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charts/chart10.xml" ContentType="application/vnd.openxmlformats-officedocument.drawingml.chart+xml"/>
  <Override PartName="/word/charts/chart11.xml" ContentType="application/vnd.openxmlformats-officedocument.drawingml.chart+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3.xml" ContentType="application/vnd.openxmlformats-officedocument.drawingml.chart+xml"/>
  <Override PartName="/word/charts/style6.xml" ContentType="application/vnd.ms-office.chartstyle+xml"/>
  <Override PartName="/word/charts/colors6.xml" ContentType="application/vnd.ms-office.chartcolorstyle+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charts/chart1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0.xml" ContentType="application/vnd.openxmlformats-officedocument.drawingml.chart+xml"/>
  <Override PartName="/word/charts/style8.xml" ContentType="application/vnd.ms-office.chartstyle+xml"/>
  <Override PartName="/word/charts/colors8.xml" ContentType="application/vnd.ms-office.chartcolorstyle+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charts/chart3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31.xml" ContentType="application/vnd.openxmlformats-officedocument.drawingml.chart+xml"/>
  <Override PartName="/word/charts/style10.xml" ContentType="application/vnd.ms-office.chartstyle+xml"/>
  <Override PartName="/word/charts/colors10.xml" ContentType="application/vnd.ms-office.chartcolorstyle+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charts/chart3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36.xml" ContentType="application/vnd.openxmlformats-officedocument.drawingml.chart+xml"/>
  <Override PartName="/word/charts/style12.xml" ContentType="application/vnd.ms-office.chartstyle+xml"/>
  <Override PartName="/word/charts/colors12.xml" ContentType="application/vnd.ms-office.chartcolorstyle+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charts/chart4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43.xml" ContentType="application/vnd.openxmlformats-officedocument.drawingml.chart+xml"/>
  <Override PartName="/word/charts/style14.xml" ContentType="application/vnd.ms-office.chartstyle+xml"/>
  <Override PartName="/word/charts/colors14.xml" ContentType="application/vnd.ms-office.chartcolorstyle+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charts/chart53.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54.xml" ContentType="application/vnd.openxmlformats-officedocument.drawingml.chart+xml"/>
  <Override PartName="/word/charts/style16.xml" ContentType="application/vnd.ms-office.chartstyle+xml"/>
  <Override PartName="/word/charts/colors16.xml" ContentType="application/vnd.ms-office.chartcolorstyle+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charts/chart62.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63.xml" ContentType="application/vnd.openxmlformats-officedocument.drawingml.chart+xml"/>
  <Override PartName="/word/charts/style18.xml" ContentType="application/vnd.ms-office.chartstyle+xml"/>
  <Override PartName="/word/charts/colors18.xml" ContentType="application/vnd.ms-office.chartcolorstyle+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charts/chart64.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65.xml" ContentType="application/vnd.openxmlformats-officedocument.drawingml.chart+xml"/>
  <Override PartName="/word/charts/style20.xml" ContentType="application/vnd.ms-office.chartstyle+xml"/>
  <Override PartName="/word/charts/colors20.xml" ContentType="application/vnd.ms-office.chartcolorstyle+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charts/chart74.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75.xml" ContentType="application/vnd.openxmlformats-officedocument.drawingml.chart+xml"/>
  <Override PartName="/word/charts/style22.xml" ContentType="application/vnd.ms-office.chartstyle+xml"/>
  <Override PartName="/word/charts/colors22.xml" ContentType="application/vnd.ms-office.chartcolorstyle+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charts/chart82.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83.xml" ContentType="application/vnd.openxmlformats-officedocument.drawingml.chart+xml"/>
  <Override PartName="/word/charts/style24.xml" ContentType="application/vnd.ms-office.chartstyle+xml"/>
  <Override PartName="/word/charts/colors24.xml" ContentType="application/vnd.ms-office.chartcolorstyle+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charts/chart87.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88.xml" ContentType="application/vnd.openxmlformats-officedocument.drawingml.chart+xml"/>
  <Override PartName="/word/charts/style26.xml" ContentType="application/vnd.ms-office.chartstyle+xml"/>
  <Override PartName="/word/charts/colors26.xml" ContentType="application/vnd.ms-office.chartcolorstyle+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charts/chart95.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96.xml" ContentType="application/vnd.openxmlformats-officedocument.drawingml.chart+xml"/>
  <Override PartName="/word/charts/style28.xml" ContentType="application/vnd.ms-office.chartstyle+xml"/>
  <Override PartName="/word/charts/colors28.xml" ContentType="application/vnd.ms-office.chartcolorstyle+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charts/chart101.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102.xml" ContentType="application/vnd.openxmlformats-officedocument.drawingml.chart+xml"/>
  <Override PartName="/word/charts/style30.xml" ContentType="application/vnd.ms-office.chartstyle+xml"/>
  <Override PartName="/word/charts/colors30.xml" ContentType="application/vnd.ms-office.chartcolorstyle+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charts/chart103.xml" ContentType="application/vnd.openxmlformats-officedocument.drawingml.chart+xml"/>
  <Override PartName="/word/charts/chart104.xml" ContentType="application/vnd.openxmlformats-officedocument.drawingml.chart+xml"/>
  <Override PartName="/word/charts/style31.xml" ContentType="application/vnd.ms-office.chartstyle+xml"/>
  <Override PartName="/word/charts/colors31.xml" ContentType="application/vnd.ms-office.chartcolorstyle+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charts/chart105.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106.xml" ContentType="application/vnd.openxmlformats-officedocument.drawingml.chart+xml"/>
  <Override PartName="/word/charts/style33.xml" ContentType="application/vnd.ms-office.chartstyle+xml"/>
  <Override PartName="/word/charts/colors33.xml" ContentType="application/vnd.ms-office.chartcolorstyle+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charts/chart111.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112.xml" ContentType="application/vnd.openxmlformats-officedocument.drawingml.chart+xml"/>
  <Override PartName="/word/charts/style35.xml" ContentType="application/vnd.ms-office.chartstyle+xml"/>
  <Override PartName="/word/charts/colors35.xml" ContentType="application/vnd.ms-office.chartcolorstyle+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charts/chart113.xml" ContentType="application/vnd.openxmlformats-officedocument.drawingml.chart+xml"/>
  <Override PartName="/word/theme/themeOverride1.xml" ContentType="application/vnd.openxmlformats-officedocument.themeOverride+xml"/>
  <Override PartName="/word/charts/chart114.xml" ContentType="application/vnd.openxmlformats-officedocument.drawingml.chart+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charts/chart115.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116.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117.xml" ContentType="application/vnd.openxmlformats-officedocument.drawingml.chart+xml"/>
  <Override PartName="/word/charts/style38.xml" ContentType="application/vnd.ms-office.chartstyle+xml"/>
  <Override PartName="/word/charts/colors38.xml" ContentType="application/vnd.ms-office.chartcolorstyle+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634A" w:rsidRDefault="00F76D44" w:rsidP="00F76D44">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85A4A750-7878-41A4-A000-1ED2FF0B174F" style="width:451.25pt;height:420.3pt">
            <v:imagedata r:id="rId7" o:title=""/>
          </v:shape>
        </w:pict>
      </w:r>
    </w:p>
    <w:bookmarkEnd w:id="0"/>
    <w:p w:rsidR="0060634A" w:rsidRDefault="0060634A">
      <w:pPr>
        <w:rPr>
          <w:noProof/>
        </w:rPr>
        <w:sectPr w:rsidR="0060634A" w:rsidSect="00F76D44">
          <w:headerReference w:type="even" r:id="rId8"/>
          <w:headerReference w:type="default" r:id="rId9"/>
          <w:footerReference w:type="even" r:id="rId10"/>
          <w:footerReference w:type="default" r:id="rId11"/>
          <w:headerReference w:type="first" r:id="rId12"/>
          <w:footerReference w:type="first" r:id="rId13"/>
          <w:pgSz w:w="11906" w:h="16838"/>
          <w:pgMar w:top="1134" w:right="1417" w:bottom="1134" w:left="1417" w:header="709" w:footer="709" w:gutter="0"/>
          <w:pgNumType w:start="0"/>
          <w:cols w:space="720"/>
          <w:docGrid w:linePitch="360"/>
        </w:sectPr>
      </w:pPr>
    </w:p>
    <w:p w:rsidR="0060634A" w:rsidRDefault="00F76D44">
      <w:pPr>
        <w:pStyle w:val="AMPRAnnexesTITLE1"/>
        <w:spacing w:before="10180"/>
        <w:sectPr w:rsidR="0060634A">
          <w:headerReference w:type="even" r:id="rId14"/>
          <w:headerReference w:type="default" r:id="rId15"/>
          <w:footerReference w:type="even" r:id="rId16"/>
          <w:footerReference w:type="default" r:id="rId17"/>
          <w:headerReference w:type="first" r:id="rId18"/>
          <w:footerReference w:type="first" r:id="rId19"/>
          <w:pgSz w:w="11906" w:h="16838" w:code="9"/>
          <w:pgMar w:top="1418" w:right="1418" w:bottom="1134" w:left="1418" w:header="567" w:footer="454" w:gutter="0"/>
          <w:pgNumType w:start="73"/>
          <w:cols w:space="720"/>
          <w:titlePg/>
          <w:docGrid w:linePitch="360"/>
        </w:sectPr>
      </w:pPr>
      <w:bookmarkStart w:id="1" w:name="_GoBack"/>
      <w:bookmarkEnd w:id="1"/>
      <w:r>
        <w:lastRenderedPageBreak/>
        <w:t>Annexes</w:t>
      </w:r>
    </w:p>
    <w:p w:rsidR="0060634A" w:rsidRDefault="0060634A">
      <w:pPr>
        <w:pStyle w:val="Title1Annexes"/>
        <w:sectPr w:rsidR="0060634A">
          <w:headerReference w:type="even" r:id="rId20"/>
          <w:headerReference w:type="default" r:id="rId21"/>
          <w:footerReference w:type="even" r:id="rId22"/>
          <w:footerReference w:type="default" r:id="rId23"/>
          <w:headerReference w:type="first" r:id="rId24"/>
          <w:footerReference w:type="first" r:id="rId25"/>
          <w:pgSz w:w="11906" w:h="16838" w:code="9"/>
          <w:pgMar w:top="1418" w:right="1418" w:bottom="1134" w:left="1418" w:header="567" w:footer="454" w:gutter="0"/>
          <w:cols w:space="720"/>
          <w:titlePg/>
          <w:docGrid w:linePitch="360"/>
        </w:sectPr>
      </w:pPr>
      <w:bookmarkStart w:id="2" w:name="_Toc2592144"/>
      <w:bookmarkStart w:id="3" w:name="_Toc6304468"/>
      <w:bookmarkStart w:id="4" w:name="_Toc8386191"/>
      <w:bookmarkStart w:id="5" w:name="_Toc11679100"/>
      <w:bookmarkStart w:id="6" w:name="_Toc39583666"/>
    </w:p>
    <w:p w:rsidR="0060634A" w:rsidRDefault="00F76D44">
      <w:pPr>
        <w:pStyle w:val="AMPRAnnexesTITLE2"/>
      </w:pPr>
      <w:r>
        <w:lastRenderedPageBreak/>
        <w:t xml:space="preserve">Annex 1: </w:t>
      </w:r>
      <w:r>
        <w:br/>
      </w:r>
      <w:bookmarkEnd w:id="2"/>
      <w:bookmarkEnd w:id="3"/>
      <w:bookmarkEnd w:id="4"/>
      <w:bookmarkEnd w:id="5"/>
      <w:r>
        <w:t>Programme performance overview</w:t>
      </w:r>
      <w:bookmarkEnd w:id="6"/>
    </w:p>
    <w:p w:rsidR="0060634A" w:rsidRDefault="00F76D44">
      <w:pPr>
        <w:pStyle w:val="AMPRAnnexesTITLE3"/>
      </w:pPr>
      <w:bookmarkStart w:id="7" w:name="_Toc39583667"/>
      <w:r>
        <w:t>Introduction</w:t>
      </w:r>
      <w:bookmarkEnd w:id="7"/>
    </w:p>
    <w:p w:rsidR="0060634A" w:rsidRDefault="00F76D44">
      <w:pPr>
        <w:pStyle w:val="AMPRBodyText"/>
      </w:pPr>
      <w:r>
        <w:t>The Commission is continuing to improve the presentation of performance information</w:t>
      </w:r>
      <w:r>
        <w:t xml:space="preserve"> relating to EU spending programmes, in order to provide accurate, reliable and understandable information on programme performance. This annex contains the programme performance overview. This overview is a summary of the programme statements attached to </w:t>
      </w:r>
      <w:r>
        <w:t>the 2021 draft budget. It presents all EU spending programmes for the 2014-2020 period in a concise and uniform way. For each programme, the overview provides information on:</w:t>
      </w:r>
    </w:p>
    <w:p w:rsidR="0060634A" w:rsidRDefault="00F76D44">
      <w:pPr>
        <w:pStyle w:val="AMPRListOrange-L1"/>
      </w:pPr>
      <w:r>
        <w:t>what the programme is about;</w:t>
      </w:r>
    </w:p>
    <w:p w:rsidR="0060634A" w:rsidRDefault="00F76D44">
      <w:pPr>
        <w:pStyle w:val="AMPRListOrange-L1"/>
      </w:pPr>
      <w:r>
        <w:t>why it is necessary;</w:t>
      </w:r>
    </w:p>
    <w:p w:rsidR="0060634A" w:rsidRDefault="00F76D44">
      <w:pPr>
        <w:pStyle w:val="AMPRListOrange-L1"/>
      </w:pPr>
      <w:r>
        <w:t xml:space="preserve">a selection of key performance </w:t>
      </w:r>
      <w:r>
        <w:t>indicators;</w:t>
      </w:r>
    </w:p>
    <w:p w:rsidR="0060634A" w:rsidRDefault="00F76D44">
      <w:pPr>
        <w:pStyle w:val="AMPRListOrange-L1"/>
      </w:pPr>
      <w:r>
        <w:t>where we are in the implementation;</w:t>
      </w:r>
    </w:p>
    <w:p w:rsidR="0060634A" w:rsidRDefault="00F76D44">
      <w:pPr>
        <w:pStyle w:val="AMPRListOrange-L1"/>
      </w:pPr>
      <w:r>
        <w:t>performance assessment;</w:t>
      </w:r>
    </w:p>
    <w:p w:rsidR="0060634A" w:rsidRDefault="00F76D44">
      <w:pPr>
        <w:pStyle w:val="AMPRListOrange-L1"/>
      </w:pPr>
      <w:r>
        <w:t>concrete examples of achievements.</w:t>
      </w:r>
    </w:p>
    <w:p w:rsidR="0060634A" w:rsidRDefault="00F76D44">
      <w:pPr>
        <w:pStyle w:val="AMPRBodyText"/>
      </w:pPr>
      <w:r>
        <w:t>This year the programme performance overview includes a new ‘Performance assessment’ section, which presents a summary of the overall progress towards achieving the programme objectives now that the end of the 2014-2020 programming period is approaching. H</w:t>
      </w:r>
      <w:r>
        <w:t>owever, it is important to note that the implementation of certain programmes will continue for a number of years beyond the end of the period, as provided for in their legal bases. This applies in particular to the European Structural and Investment Funds</w:t>
      </w:r>
      <w:r>
        <w:t xml:space="preserve">. </w:t>
      </w:r>
    </w:p>
    <w:p w:rsidR="0060634A" w:rsidRDefault="00F76D44">
      <w:pPr>
        <w:pStyle w:val="AMPRBodyText"/>
      </w:pPr>
      <w:r>
        <w:t>The information summarised and presented in this overview for each individual programme does not replace the full set of data and performance information as required by Article</w:t>
      </w:r>
      <w:r>
        <w:rPr>
          <w:rFonts w:ascii="Calibri" w:hAnsi="Calibri" w:cs="Calibri"/>
        </w:rPr>
        <w:t> </w:t>
      </w:r>
      <w:r>
        <w:t>41(3)(h) of the financial regulation. A complete overview of all 60 EU spend</w:t>
      </w:r>
      <w:r>
        <w:t xml:space="preserve">ing programmes is presented in the </w:t>
      </w:r>
      <w:r>
        <w:rPr>
          <w:rStyle w:val="AMPRcharItalic"/>
        </w:rPr>
        <w:t>Working Document Part I – Programme statements of operational expenditure</w:t>
      </w:r>
      <w:r>
        <w:t xml:space="preserve"> of the 2021 draft budget.</w:t>
      </w:r>
    </w:p>
    <w:p w:rsidR="0060634A" w:rsidRDefault="00F76D44">
      <w:pPr>
        <w:pStyle w:val="AMPRAnnexesTITLE3"/>
      </w:pPr>
      <w:bookmarkStart w:id="8" w:name="_Toc39583668"/>
      <w:r>
        <w:t>Presentation of financial data</w:t>
      </w:r>
      <w:bookmarkEnd w:id="8"/>
    </w:p>
    <w:p w:rsidR="0060634A" w:rsidRDefault="00F76D44">
      <w:pPr>
        <w:pStyle w:val="AMPRBodyText"/>
        <w:rPr>
          <w:rFonts w:ascii="Calibri" w:hAnsi="Calibri"/>
        </w:rPr>
      </w:pPr>
      <w:r>
        <w:t>The financial data presented in this report relate to the implementation of budget appropr</w:t>
      </w:r>
      <w:r>
        <w:t>iations authorised by the European Parliament and the Council in the annual budget procedures under the 2014-2020 multiannual financial framework. Consequently, expenditure relating to amounts carried over and to assigned revenues are not taken into accoun</w:t>
      </w:r>
      <w:r>
        <w:t xml:space="preserve">t in the financial data. Similarly, payments made in the course of the 2014-2020 period on the outstanding commitments from the 2007-2013 period are not included in the calculation. </w:t>
      </w:r>
    </w:p>
    <w:p w:rsidR="0060634A" w:rsidRDefault="00F76D44">
      <w:pPr>
        <w:pStyle w:val="Subhead2"/>
      </w:pPr>
      <w:r>
        <w:br w:type="page"/>
      </w:r>
    </w:p>
    <w:p w:rsidR="0060634A" w:rsidRDefault="00F76D44">
      <w:pPr>
        <w:pStyle w:val="AMPRAnnexesTITLE3"/>
      </w:pPr>
      <w:bookmarkStart w:id="9" w:name="_Toc39583669"/>
      <w:r>
        <w:t>Methodological note</w:t>
      </w:r>
      <w:bookmarkEnd w:id="9"/>
    </w:p>
    <w:p w:rsidR="0060634A" w:rsidRDefault="00F76D44">
      <w:pPr>
        <w:pStyle w:val="AMPRAnnexesTITLE4"/>
        <w:spacing w:before="480"/>
      </w:pPr>
      <w:r>
        <w:t>Selection of indicators</w:t>
      </w:r>
    </w:p>
    <w:p w:rsidR="0060634A" w:rsidRDefault="00F76D44">
      <w:pPr>
        <w:pStyle w:val="AMPRBodyText"/>
      </w:pPr>
      <w:r>
        <w:t>The performance framework f</w:t>
      </w:r>
      <w:r>
        <w:t>or the 2014-2020 spending programmes includes more than 700 indicators measuring performance against more than 60 general objectives and more than 220 specific objectives. The programme performance overview presents the most relevant indicators from the pr</w:t>
      </w:r>
      <w:r>
        <w:t>ogramme statements.</w:t>
      </w:r>
    </w:p>
    <w:p w:rsidR="0060634A" w:rsidRDefault="00F76D44">
      <w:pPr>
        <w:pStyle w:val="AMPRBodyText"/>
      </w:pPr>
      <w:r>
        <w:t>It is crucial to bear in mind that the information contained in the indicators provides only an indication of the overall performance and achievements of each specific programme. It is only possible to make fully substantiated statement</w:t>
      </w:r>
      <w:r>
        <w:t>s about the ultimate performance of programmes by taking into account the specific implementation context, including qualitative as well as quantitative elements. The Commission does this in the context of regular evaluations of its spending programmes.</w:t>
      </w:r>
    </w:p>
    <w:p w:rsidR="0060634A" w:rsidRDefault="00F76D44">
      <w:pPr>
        <w:pStyle w:val="AMPRBodyText"/>
      </w:pPr>
      <w:r>
        <w:t>Th</w:t>
      </w:r>
      <w:r>
        <w:t>e selection of indicators for the programme performance overview was made based on the following criteria, aiming to present a balanced or representative picture of programme performance:</w:t>
      </w:r>
    </w:p>
    <w:p w:rsidR="0060634A" w:rsidRDefault="00F76D44">
      <w:pPr>
        <w:pStyle w:val="AMPRListOrange-L1"/>
      </w:pPr>
      <w:r>
        <w:t>availability of data: quantitative target, results available for eit</w:t>
      </w:r>
      <w:r>
        <w:t>her 2019 or 2018, and results available for at least 3</w:t>
      </w:r>
      <w:r>
        <w:rPr>
          <w:rFonts w:ascii="Calibri" w:hAnsi="Calibri" w:cs="Calibri"/>
        </w:rPr>
        <w:t> </w:t>
      </w:r>
      <w:r>
        <w:t>years of the 2014-2019 period;</w:t>
      </w:r>
    </w:p>
    <w:p w:rsidR="0060634A" w:rsidRDefault="00F76D44">
      <w:pPr>
        <w:pStyle w:val="AMPRListOrange-L1"/>
      </w:pPr>
      <w:r>
        <w:t xml:space="preserve">professional judgement taking into account the relevance of the indicator, aiming to present a balanced or representative picture of programme performance in relation to </w:t>
      </w:r>
      <w:r>
        <w:t>the specific objectives of the programme and to what extent the indicator reflects the results of EU budget intervention.</w:t>
      </w:r>
    </w:p>
    <w:p w:rsidR="0060634A" w:rsidRDefault="00F76D44">
      <w:pPr>
        <w:pStyle w:val="AMPRAnnexesTITLE4"/>
        <w:spacing w:before="480"/>
      </w:pPr>
      <w:r>
        <w:t>Definition of targets</w:t>
      </w:r>
    </w:p>
    <w:p w:rsidR="0060634A" w:rsidRDefault="00F76D44">
      <w:pPr>
        <w:pStyle w:val="AMPRBodyText"/>
      </w:pPr>
      <w:r>
        <w:t>Targets are defined at the beginning of the programmes and come in various forms (e.g. quotas, benchmarks, numer</w:t>
      </w:r>
      <w:r>
        <w:t>ical goals). In most cases, the final target is set for 2020, the end of the programming period. However, account should be taken of the specific nature of the shared management programmes (in particular in the areas of agriculture and cohesion), which are</w:t>
      </w:r>
      <w:r>
        <w:t xml:space="preserve"> characterised by a long start-up phase (e.g. planning, programming, authorisations) followed by a long implementation cycle. As such, the appropriations for the European Structural and Investment Funds can be implemented in the 3</w:t>
      </w:r>
      <w:r>
        <w:rPr>
          <w:rFonts w:ascii="Calibri" w:hAnsi="Calibri" w:cs="Calibri"/>
        </w:rPr>
        <w:t> </w:t>
      </w:r>
      <w:r>
        <w:t>years following the commi</w:t>
      </w:r>
      <w:r>
        <w:t>tment of the funding, therefore the final target is set for 2023, in accordance with the ‘</w:t>
      </w:r>
      <w:r>
        <w:rPr>
          <w:i/>
        </w:rPr>
        <w:t>n</w:t>
      </w:r>
      <w:r>
        <w:rPr>
          <w:rFonts w:ascii="Calibri" w:hAnsi="Calibri" w:cs="Calibri"/>
        </w:rPr>
        <w:t> </w:t>
      </w:r>
      <w:r>
        <w:t>+</w:t>
      </w:r>
      <w:r>
        <w:rPr>
          <w:rFonts w:ascii="Calibri" w:hAnsi="Calibri" w:cs="Calibri"/>
        </w:rPr>
        <w:t> </w:t>
      </w:r>
      <w:r>
        <w:t>3’ rule.</w:t>
      </w:r>
    </w:p>
    <w:p w:rsidR="0060634A" w:rsidRDefault="00F76D44">
      <w:pPr>
        <w:pStyle w:val="AMPRAnnexesTITLE4"/>
        <w:spacing w:before="480"/>
      </w:pPr>
      <w:r>
        <w:t>Definition of baselines</w:t>
      </w:r>
    </w:p>
    <w:p w:rsidR="0060634A" w:rsidRDefault="00F76D44">
      <w:pPr>
        <w:pStyle w:val="AMPRBodyText"/>
      </w:pPr>
      <w:r>
        <w:t xml:space="preserve">A baseline is a measurement taken prior to a specific intervention, which allows the results before and after (i.e. with and </w:t>
      </w:r>
      <w:r>
        <w:t>without) the intervention to be compared. In the context of the EU budget, the baseline is the measurement of the indicator before the start of EU budget funding for the current programming period.</w:t>
      </w:r>
    </w:p>
    <w:p w:rsidR="0060634A" w:rsidRDefault="00F76D44">
      <w:pPr>
        <w:pStyle w:val="AMPRBodyText"/>
      </w:pPr>
      <w:r>
        <w:t xml:space="preserve">Because of its nature, a baseline is not always available </w:t>
      </w:r>
      <w:r>
        <w:t xml:space="preserve">for all the indicators, whereas in other cases the baseline should be considered to be zero. This is the case, for example, for the ‘output indicators’ relating to the specific deliverables of the intervention, such as the number of projects funded by the </w:t>
      </w:r>
      <w:r>
        <w:t>EU budget. In the case of output indicators, the measurement prior to the EU budget intervention (baseline) is considered to be zero.</w:t>
      </w:r>
    </w:p>
    <w:p w:rsidR="0060634A" w:rsidRDefault="00F76D44">
      <w:pPr>
        <w:pStyle w:val="AMPRBodyText"/>
      </w:pPr>
      <w:r>
        <w:t>It is important to make a distinction between a baseline and a historic benchmark or reference. The measurement of an indi</w:t>
      </w:r>
      <w:r>
        <w:t>cator before the 2014-2020 period should not automatically be considered as a baseline, since its measurement could have been influenced by the EU budget actions from the previous period (2007-2013).</w:t>
      </w:r>
    </w:p>
    <w:p w:rsidR="0060634A" w:rsidRDefault="00F76D44">
      <w:pPr>
        <w:rPr>
          <w:noProof/>
          <w:color w:val="000000"/>
          <w:szCs w:val="20"/>
        </w:rPr>
      </w:pPr>
      <w:r>
        <w:rPr>
          <w:noProof/>
        </w:rPr>
        <w:br w:type="page"/>
      </w:r>
    </w:p>
    <w:p w:rsidR="0060634A" w:rsidRDefault="00F76D44">
      <w:pPr>
        <w:pStyle w:val="AMPRBodyText"/>
      </w:pPr>
      <w:r>
        <w:t>The baseline of an indicator is used when the indicato</w:t>
      </w:r>
      <w:r>
        <w:t>r meets the following three conditions.</w:t>
      </w:r>
    </w:p>
    <w:p w:rsidR="0060634A" w:rsidRDefault="00F76D44">
      <w:pPr>
        <w:pStyle w:val="AMPRListOrange-L1"/>
      </w:pPr>
      <w:r>
        <w:t>A quantitative baseline is available in the programme statements.</w:t>
      </w:r>
    </w:p>
    <w:p w:rsidR="0060634A" w:rsidRDefault="00F76D44">
      <w:pPr>
        <w:pStyle w:val="AMPRListOrange-L1"/>
      </w:pPr>
      <w:r>
        <w:t>The baseline meets the definition of measurement before EU budget intervention.</w:t>
      </w:r>
    </w:p>
    <w:p w:rsidR="0060634A" w:rsidRDefault="00F76D44">
      <w:pPr>
        <w:pStyle w:val="AMPRListOrange-L1"/>
      </w:pPr>
      <w:r>
        <w:t>The target represents an improvement (i.e. a better result) compared t</w:t>
      </w:r>
      <w:r>
        <w:t>o the baseline</w:t>
      </w:r>
      <w:r>
        <w:rPr>
          <w:rFonts w:ascii="Calibri" w:hAnsi="Calibri" w:cs="Calibri"/>
        </w:rPr>
        <w:t> </w:t>
      </w:r>
      <w:r>
        <w:t>– otherwise the progress could not be calculated. Depending on the indicator, an improvement can be an increase or a decrease compared to the baseline.</w:t>
      </w:r>
    </w:p>
    <w:p w:rsidR="0060634A" w:rsidRDefault="00F76D44">
      <w:pPr>
        <w:pStyle w:val="AMPRAnnexesTITLE4"/>
        <w:spacing w:before="480"/>
      </w:pPr>
      <w:r>
        <w:t>Definition of ‘progress towards the target’ charts</w:t>
      </w:r>
    </w:p>
    <w:p w:rsidR="0060634A" w:rsidRDefault="00F76D44">
      <w:pPr>
        <w:pStyle w:val="AMPRBodyText"/>
      </w:pPr>
      <w:r>
        <w:t>The ‘progress towards the target’ char</w:t>
      </w:r>
      <w:r>
        <w:t>ts present a snapshot of selected indicators providing a consistent presentation of performance information across programmes.</w:t>
      </w:r>
    </w:p>
    <w:p w:rsidR="0060634A" w:rsidRDefault="00F76D44">
      <w:pPr>
        <w:pStyle w:val="AMPRAnnexesTITLE5"/>
      </w:pPr>
      <w:r>
        <w:t>General formula</w:t>
      </w:r>
    </w:p>
    <w:p w:rsidR="0060634A" w:rsidRDefault="00F76D44">
      <w:pPr>
        <w:pStyle w:val="AMPRBodyText"/>
      </w:pPr>
      <w:r>
        <w:t>The general formula to calculate the ‘progress towards the target’ percentage is as follows:</w:t>
      </w:r>
    </w:p>
    <w:p w:rsidR="0060634A" w:rsidRDefault="00F76D44">
      <w:pPr>
        <w:pStyle w:val="AMPRBodyText"/>
        <w:ind w:left="2693" w:hanging="1134"/>
        <w:jc w:val="left"/>
      </w:pPr>
      <w:r>
        <w:t>Progress % = (last y</w:t>
      </w:r>
      <w:r>
        <w:t>ear result – baseline) / (target – baseline)</w:t>
      </w:r>
    </w:p>
    <w:p w:rsidR="0060634A" w:rsidRDefault="00F76D44">
      <w:pPr>
        <w:pStyle w:val="AMPRAnnexesTITLE5"/>
      </w:pPr>
      <w:r>
        <w:t>Example</w:t>
      </w:r>
    </w:p>
    <w:p w:rsidR="0060634A" w:rsidRDefault="00F76D44">
      <w:pPr>
        <w:pStyle w:val="AMPRBodyText"/>
      </w:pPr>
      <w:r>
        <w:t>Programme: Implementation and exploitation of European satellite navigation systems (Galileo and EGNOS)</w:t>
      </w:r>
      <w:r>
        <w:rPr>
          <w:rStyle w:val="fnRef"/>
          <w:rFonts w:ascii="Arial" w:hAnsi="Arial" w:cs="Arial"/>
        </w:rPr>
        <w:t> </w:t>
      </w:r>
      <w:r>
        <w:rPr>
          <w:rStyle w:val="fnRef"/>
        </w:rPr>
        <w:t>(</w:t>
      </w:r>
      <w:r>
        <w:rPr>
          <w:rStyle w:val="fnRefNo"/>
        </w:rPr>
        <w:t>88</w:t>
      </w:r>
      <w:r>
        <w:rPr>
          <w:rStyle w:val="fnRef"/>
        </w:rPr>
        <w:t>)</w:t>
      </w:r>
    </w:p>
    <w:tbl>
      <w:tblPr>
        <w:tblStyle w:val="AMPRTABLEA-Template"/>
        <w:tblW w:w="0" w:type="auto"/>
        <w:tblLook w:val="0420" w:firstRow="1" w:lastRow="0" w:firstColumn="0" w:lastColumn="0" w:noHBand="0" w:noVBand="1"/>
      </w:tblPr>
      <w:tblGrid>
        <w:gridCol w:w="1019"/>
        <w:gridCol w:w="1014"/>
        <w:gridCol w:w="1014"/>
        <w:gridCol w:w="1014"/>
        <w:gridCol w:w="1014"/>
        <w:gridCol w:w="1014"/>
        <w:gridCol w:w="1015"/>
        <w:gridCol w:w="1015"/>
        <w:gridCol w:w="812"/>
      </w:tblGrid>
      <w:tr w:rsidR="0060634A" w:rsidTr="0060634A">
        <w:trPr>
          <w:cnfStyle w:val="100000000000" w:firstRow="1" w:lastRow="0" w:firstColumn="0" w:lastColumn="0" w:oddVBand="0" w:evenVBand="0" w:oddHBand="0" w:evenHBand="0" w:firstRowFirstColumn="0" w:firstRowLastColumn="0" w:lastRowFirstColumn="0" w:lastRowLastColumn="0"/>
        </w:trPr>
        <w:tc>
          <w:tcPr>
            <w:tcW w:w="8931" w:type="dxa"/>
            <w:gridSpan w:val="9"/>
          </w:tcPr>
          <w:p w:rsidR="0060634A" w:rsidRDefault="00F76D44">
            <w:pPr>
              <w:spacing w:before="144" w:after="144"/>
              <w:jc w:val="both"/>
              <w:rPr>
                <w:noProof/>
                <w:lang w:val="en-GB"/>
              </w:rPr>
            </w:pPr>
            <w:r>
              <w:rPr>
                <w:b/>
                <w:noProof/>
                <w:lang w:val="en-GB"/>
              </w:rPr>
              <w:t>Specific objective 1:</w:t>
            </w:r>
            <w:r>
              <w:rPr>
                <w:noProof/>
                <w:color w:val="1F4E79" w:themeColor="accent1" w:themeShade="80"/>
                <w:lang w:val="en-GB"/>
              </w:rPr>
              <w:t xml:space="preserve"> </w:t>
            </w:r>
            <w:r>
              <w:rPr>
                <w:noProof/>
                <w:lang w:val="en-GB"/>
              </w:rPr>
              <w:t xml:space="preserve">To develop and provide global satellite-based radio navigation </w:t>
            </w:r>
            <w:r>
              <w:rPr>
                <w:noProof/>
                <w:lang w:val="en-GB"/>
              </w:rPr>
              <w:t>infrastructures and services (Galileo) by 2020</w:t>
            </w:r>
          </w:p>
        </w:tc>
      </w:tr>
      <w:tr w:rsidR="0060634A" w:rsidTr="0060634A">
        <w:tc>
          <w:tcPr>
            <w:tcW w:w="8931" w:type="dxa"/>
            <w:gridSpan w:val="9"/>
          </w:tcPr>
          <w:p w:rsidR="0060634A" w:rsidRDefault="00F76D44">
            <w:pPr>
              <w:pStyle w:val="deletethissytlex"/>
              <w:rPr>
                <w:lang w:val="en-IE"/>
              </w:rPr>
            </w:pPr>
            <w:r>
              <w:rPr>
                <w:b/>
                <w:lang w:val="en-IE"/>
              </w:rPr>
              <w:t>Indicator 1:</w:t>
            </w:r>
            <w:r>
              <w:rPr>
                <w:color w:val="1F4E79" w:themeColor="accent1" w:themeShade="80"/>
                <w:lang w:val="en-IE"/>
              </w:rPr>
              <w:t xml:space="preserve"> </w:t>
            </w:r>
            <w:r>
              <w:rPr>
                <w:lang w:val="en-IE"/>
              </w:rPr>
              <w:t>Galileo infrastructure – cumulative number of operational satellites</w:t>
            </w:r>
          </w:p>
        </w:tc>
      </w:tr>
      <w:tr w:rsidR="0060634A" w:rsidTr="0060634A">
        <w:tc>
          <w:tcPr>
            <w:tcW w:w="1019" w:type="dxa"/>
            <w:vMerge w:val="restart"/>
            <w:shd w:val="clear" w:color="auto" w:fill="D5DCE4" w:themeFill="text2" w:themeFillTint="33"/>
          </w:tcPr>
          <w:p w:rsidR="0060634A" w:rsidRDefault="00F76D44">
            <w:pPr>
              <w:pStyle w:val="AMPRTABLEA-TextLEFTalligned-BLACK"/>
              <w:jc w:val="center"/>
            </w:pPr>
            <w:r>
              <w:t>Baseline 2013</w:t>
            </w:r>
          </w:p>
        </w:tc>
        <w:tc>
          <w:tcPr>
            <w:tcW w:w="7100" w:type="dxa"/>
            <w:gridSpan w:val="7"/>
            <w:shd w:val="clear" w:color="auto" w:fill="D5DCE4" w:themeFill="text2" w:themeFillTint="33"/>
          </w:tcPr>
          <w:p w:rsidR="0060634A" w:rsidRDefault="00F76D44">
            <w:pPr>
              <w:pStyle w:val="AMPRTABLEA-TextLEFTalligned-BLACK"/>
              <w:jc w:val="center"/>
            </w:pPr>
            <w:r>
              <w:t>Actual results</w:t>
            </w:r>
          </w:p>
        </w:tc>
        <w:tc>
          <w:tcPr>
            <w:tcW w:w="812" w:type="dxa"/>
            <w:vMerge w:val="restart"/>
            <w:shd w:val="clear" w:color="auto" w:fill="D5DCE4" w:themeFill="text2" w:themeFillTint="33"/>
          </w:tcPr>
          <w:p w:rsidR="0060634A" w:rsidRDefault="00F76D44">
            <w:pPr>
              <w:pStyle w:val="AMPRTABLEA-TextLEFTalligned-BLACK"/>
              <w:jc w:val="center"/>
            </w:pPr>
            <w:r>
              <w:t>Target 2020</w:t>
            </w:r>
          </w:p>
        </w:tc>
      </w:tr>
      <w:tr w:rsidR="0060634A" w:rsidTr="0060634A">
        <w:tc>
          <w:tcPr>
            <w:tcW w:w="1019" w:type="dxa"/>
            <w:vMerge/>
            <w:shd w:val="clear" w:color="auto" w:fill="D5DCE4" w:themeFill="text2" w:themeFillTint="33"/>
          </w:tcPr>
          <w:p w:rsidR="0060634A" w:rsidRDefault="0060634A">
            <w:pPr>
              <w:pStyle w:val="AMPRTABLEA-TextLEFTalligned-BLACK"/>
              <w:jc w:val="center"/>
            </w:pPr>
          </w:p>
        </w:tc>
        <w:tc>
          <w:tcPr>
            <w:tcW w:w="1014" w:type="dxa"/>
            <w:shd w:val="clear" w:color="auto" w:fill="D5DCE4" w:themeFill="text2" w:themeFillTint="33"/>
          </w:tcPr>
          <w:p w:rsidR="0060634A" w:rsidRDefault="00F76D44">
            <w:pPr>
              <w:pStyle w:val="AMPRTABLEA-TextLEFTalligned-BLACK"/>
              <w:jc w:val="center"/>
            </w:pPr>
            <w:r>
              <w:t>2014</w:t>
            </w:r>
          </w:p>
        </w:tc>
        <w:tc>
          <w:tcPr>
            <w:tcW w:w="1014" w:type="dxa"/>
            <w:shd w:val="clear" w:color="auto" w:fill="D5DCE4" w:themeFill="text2" w:themeFillTint="33"/>
          </w:tcPr>
          <w:p w:rsidR="0060634A" w:rsidRDefault="00F76D44">
            <w:pPr>
              <w:pStyle w:val="AMPRTABLEA-TextLEFTalligned-BLACK"/>
              <w:jc w:val="center"/>
            </w:pPr>
            <w:r>
              <w:t>2015</w:t>
            </w:r>
          </w:p>
        </w:tc>
        <w:tc>
          <w:tcPr>
            <w:tcW w:w="1014" w:type="dxa"/>
            <w:shd w:val="clear" w:color="auto" w:fill="D5DCE4" w:themeFill="text2" w:themeFillTint="33"/>
          </w:tcPr>
          <w:p w:rsidR="0060634A" w:rsidRDefault="00F76D44">
            <w:pPr>
              <w:pStyle w:val="AMPRTABLEA-TextLEFTalligned-BLACK"/>
              <w:jc w:val="center"/>
            </w:pPr>
            <w:r>
              <w:t>2016</w:t>
            </w:r>
          </w:p>
        </w:tc>
        <w:tc>
          <w:tcPr>
            <w:tcW w:w="1014" w:type="dxa"/>
            <w:shd w:val="clear" w:color="auto" w:fill="D5DCE4" w:themeFill="text2" w:themeFillTint="33"/>
          </w:tcPr>
          <w:p w:rsidR="0060634A" w:rsidRDefault="00F76D44">
            <w:pPr>
              <w:pStyle w:val="AMPRTABLEA-TextLEFTalligned-BLACK"/>
              <w:jc w:val="center"/>
            </w:pPr>
            <w:r>
              <w:t>2017</w:t>
            </w:r>
          </w:p>
        </w:tc>
        <w:tc>
          <w:tcPr>
            <w:tcW w:w="1014" w:type="dxa"/>
            <w:shd w:val="clear" w:color="auto" w:fill="D5DCE4" w:themeFill="text2" w:themeFillTint="33"/>
          </w:tcPr>
          <w:p w:rsidR="0060634A" w:rsidRDefault="00F76D44">
            <w:pPr>
              <w:pStyle w:val="AMPRTABLEA-TextLEFTalligned-BLACK"/>
              <w:jc w:val="center"/>
            </w:pPr>
            <w:r>
              <w:t>2018</w:t>
            </w:r>
          </w:p>
        </w:tc>
        <w:tc>
          <w:tcPr>
            <w:tcW w:w="1015" w:type="dxa"/>
            <w:shd w:val="clear" w:color="auto" w:fill="D5DCE4" w:themeFill="text2" w:themeFillTint="33"/>
          </w:tcPr>
          <w:p w:rsidR="0060634A" w:rsidRDefault="00F76D44">
            <w:pPr>
              <w:pStyle w:val="AMPRTABLEA-TextLEFTalligned-BLACK"/>
              <w:jc w:val="center"/>
            </w:pPr>
            <w:r>
              <w:t>2019</w:t>
            </w:r>
          </w:p>
        </w:tc>
        <w:tc>
          <w:tcPr>
            <w:tcW w:w="1015" w:type="dxa"/>
            <w:shd w:val="clear" w:color="auto" w:fill="D5DCE4" w:themeFill="text2" w:themeFillTint="33"/>
          </w:tcPr>
          <w:p w:rsidR="0060634A" w:rsidRDefault="00F76D44">
            <w:pPr>
              <w:pStyle w:val="AMPRTABLEA-TextLEFTalligned-BLACK"/>
              <w:jc w:val="center"/>
            </w:pPr>
            <w:r>
              <w:t>2020</w:t>
            </w:r>
          </w:p>
        </w:tc>
        <w:tc>
          <w:tcPr>
            <w:tcW w:w="812" w:type="dxa"/>
            <w:vMerge/>
            <w:shd w:val="clear" w:color="auto" w:fill="D5DCE4" w:themeFill="text2" w:themeFillTint="33"/>
          </w:tcPr>
          <w:p w:rsidR="0060634A" w:rsidRDefault="0060634A">
            <w:pPr>
              <w:pStyle w:val="AMPRTABLEA-TextLEFTalligned-BLACK"/>
              <w:jc w:val="center"/>
            </w:pPr>
          </w:p>
        </w:tc>
      </w:tr>
      <w:tr w:rsidR="0060634A" w:rsidTr="0060634A">
        <w:tc>
          <w:tcPr>
            <w:tcW w:w="1019" w:type="dxa"/>
          </w:tcPr>
          <w:p w:rsidR="0060634A" w:rsidRDefault="00F76D44">
            <w:pPr>
              <w:pStyle w:val="AMPRTABLEA-TextLEFTalligned-BLACK"/>
              <w:jc w:val="center"/>
            </w:pPr>
            <w:r>
              <w:t>4</w:t>
            </w:r>
          </w:p>
        </w:tc>
        <w:tc>
          <w:tcPr>
            <w:tcW w:w="1014" w:type="dxa"/>
          </w:tcPr>
          <w:p w:rsidR="0060634A" w:rsidRDefault="00F76D44">
            <w:pPr>
              <w:pStyle w:val="AMPRTABLEA-TextLEFTalligned-BLACK"/>
              <w:jc w:val="center"/>
            </w:pPr>
            <w:r>
              <w:t>3</w:t>
            </w:r>
          </w:p>
        </w:tc>
        <w:tc>
          <w:tcPr>
            <w:tcW w:w="1014" w:type="dxa"/>
          </w:tcPr>
          <w:p w:rsidR="0060634A" w:rsidRDefault="00F76D44">
            <w:pPr>
              <w:pStyle w:val="AMPRTABLEA-TextLEFTalligned-BLACK"/>
              <w:jc w:val="center"/>
            </w:pPr>
            <w:r>
              <w:t>9</w:t>
            </w:r>
          </w:p>
        </w:tc>
        <w:tc>
          <w:tcPr>
            <w:tcW w:w="1014" w:type="dxa"/>
          </w:tcPr>
          <w:p w:rsidR="0060634A" w:rsidRDefault="00F76D44">
            <w:pPr>
              <w:pStyle w:val="AMPRTABLEA-TextLEFTalligned-BLACK"/>
              <w:jc w:val="center"/>
            </w:pPr>
            <w:r>
              <w:t>18</w:t>
            </w:r>
          </w:p>
        </w:tc>
        <w:tc>
          <w:tcPr>
            <w:tcW w:w="1014" w:type="dxa"/>
          </w:tcPr>
          <w:p w:rsidR="0060634A" w:rsidRDefault="00F76D44">
            <w:pPr>
              <w:pStyle w:val="AMPRTABLEA-TextLEFTalligned-BLACK"/>
              <w:jc w:val="center"/>
            </w:pPr>
            <w:r>
              <w:t>22</w:t>
            </w:r>
          </w:p>
        </w:tc>
        <w:tc>
          <w:tcPr>
            <w:tcW w:w="1014" w:type="dxa"/>
          </w:tcPr>
          <w:p w:rsidR="0060634A" w:rsidRDefault="00F76D44">
            <w:pPr>
              <w:pStyle w:val="AMPRTABLEA-TextLEFTalligned-BLACK"/>
              <w:jc w:val="center"/>
            </w:pPr>
            <w:r>
              <w:t>26</w:t>
            </w:r>
          </w:p>
        </w:tc>
        <w:tc>
          <w:tcPr>
            <w:tcW w:w="1015" w:type="dxa"/>
          </w:tcPr>
          <w:p w:rsidR="0060634A" w:rsidRDefault="00F76D44">
            <w:pPr>
              <w:pStyle w:val="AMPRTABLEA-TextLEFTalligned-BLACK"/>
              <w:jc w:val="center"/>
            </w:pPr>
            <w:r>
              <w:t>26</w:t>
            </w:r>
          </w:p>
        </w:tc>
        <w:tc>
          <w:tcPr>
            <w:tcW w:w="1015" w:type="dxa"/>
          </w:tcPr>
          <w:p w:rsidR="0060634A" w:rsidRDefault="0060634A">
            <w:pPr>
              <w:pStyle w:val="AMPRTABLEA-TextLEFTalligned-BLACK"/>
              <w:jc w:val="center"/>
            </w:pPr>
          </w:p>
        </w:tc>
        <w:tc>
          <w:tcPr>
            <w:tcW w:w="812" w:type="dxa"/>
          </w:tcPr>
          <w:p w:rsidR="0060634A" w:rsidRDefault="00F76D44">
            <w:pPr>
              <w:pStyle w:val="AMPRTABLEA-TextLEFTalligned-BLACK"/>
              <w:jc w:val="center"/>
            </w:pPr>
            <w:r>
              <w:t>30</w:t>
            </w:r>
          </w:p>
        </w:tc>
      </w:tr>
    </w:tbl>
    <w:p w:rsidR="0060634A" w:rsidRDefault="00F76D44">
      <w:pPr>
        <w:pStyle w:val="AMPRBodyText"/>
      </w:pPr>
      <w:r>
        <w:t xml:space="preserve">Progress % = (26 – 4) </w:t>
      </w:r>
      <w:r>
        <w:t>/ (30 – 4) = 85%</w:t>
      </w:r>
    </w:p>
    <w:p w:rsidR="0060634A" w:rsidRDefault="00F76D44">
      <w:pPr>
        <w:pStyle w:val="AMPRAnnexesTITLE5"/>
      </w:pPr>
      <w:r>
        <w:t>Adaptations</w:t>
      </w:r>
    </w:p>
    <w:p w:rsidR="0060634A" w:rsidRDefault="00F76D44">
      <w:pPr>
        <w:pStyle w:val="AMPRBodyText"/>
      </w:pPr>
      <w:r>
        <w:t>Specific adaptions, if any, are noted in the footnote at the bottom of the respective figures. Examples of such adaptations are as follows.</w:t>
      </w:r>
    </w:p>
    <w:p w:rsidR="0060634A" w:rsidRDefault="00F76D44">
      <w:pPr>
        <w:pStyle w:val="AMPRLista-L1"/>
      </w:pPr>
      <w:r>
        <w:t xml:space="preserve">In cases where the progress should be expressed in a cumulative way from the beginning </w:t>
      </w:r>
      <w:r>
        <w:t>of the 2014-2020 period, and the annual results are not cumulative, then the ‘last year result’ is replaced in the formula by the ‘sum of the annual results from the beginning of the period’:</w:t>
      </w:r>
    </w:p>
    <w:p w:rsidR="0060634A" w:rsidRDefault="00F76D44">
      <w:pPr>
        <w:pStyle w:val="AMPRBodyText"/>
        <w:ind w:left="2693" w:hanging="1134"/>
        <w:jc w:val="left"/>
      </w:pPr>
      <w:r>
        <w:t>Progress % = (sum (results 2014:2019) – baseline) / (target –  b</w:t>
      </w:r>
      <w:r>
        <w:t>aseline)</w:t>
      </w:r>
    </w:p>
    <w:p w:rsidR="0060634A" w:rsidRDefault="00F76D44">
      <w:pPr>
        <w:pStyle w:val="AMPRLista-L1"/>
      </w:pPr>
      <w:r>
        <w:t xml:space="preserve">In cases where the progress cannot be expressed in a cumulative way, and the ‘last year result’ does not reflect the progress of the programme during the period as a whole, then the ‘last year result’ is replaced in the formula by the ‘average of </w:t>
      </w:r>
      <w:r>
        <w:t>the annual results from the beginning of the period’:</w:t>
      </w:r>
      <w:r>
        <w:rPr>
          <w:b/>
          <w:color w:val="005D95"/>
          <w:spacing w:val="1"/>
          <w:lang w:eastAsia="en-GB"/>
        </w:rPr>
        <w:t xml:space="preserve"> </w:t>
      </w:r>
    </w:p>
    <w:p w:rsidR="0060634A" w:rsidRDefault="00F76D44">
      <w:pPr>
        <w:pStyle w:val="AMPRBodyText"/>
        <w:ind w:left="2693" w:hanging="1134"/>
        <w:jc w:val="left"/>
      </w:pPr>
      <w:r>
        <w:rPr>
          <w:b/>
          <w:color w:val="005D95"/>
          <w:spacing w:val="1"/>
          <w:lang w:val="fr-BE" w:eastAsia="fr-BE"/>
        </w:rPr>
        <mc:AlternateContent>
          <mc:Choice Requires="wpg">
            <w:drawing>
              <wp:anchor distT="144145" distB="0" distL="114300" distR="114300" simplePos="0" relativeHeight="251742208" behindDoc="0" locked="0" layoutInCell="1" allowOverlap="1">
                <wp:simplePos x="0" y="0"/>
                <wp:positionH relativeFrom="column">
                  <wp:posOffset>0</wp:posOffset>
                </wp:positionH>
                <wp:positionV relativeFrom="margin">
                  <wp:align>bottom</wp:align>
                </wp:positionV>
                <wp:extent cx="5760000" cy="306000"/>
                <wp:effectExtent l="0" t="0" r="12700" b="0"/>
                <wp:wrapSquare wrapText="bothSides"/>
                <wp:docPr id="204" name="Group 204"/>
                <wp:cNvGraphicFramePr/>
                <a:graphic xmlns:a="http://schemas.openxmlformats.org/drawingml/2006/main">
                  <a:graphicData uri="http://schemas.microsoft.com/office/word/2010/wordprocessingGroup">
                    <wpg:wgp>
                      <wpg:cNvGrpSpPr/>
                      <wpg:grpSpPr>
                        <a:xfrm>
                          <a:off x="0" y="0"/>
                          <a:ext cx="5760000" cy="306000"/>
                          <a:chOff x="0" y="0"/>
                          <a:chExt cx="6840000" cy="305941"/>
                        </a:xfrm>
                      </wpg:grpSpPr>
                      <wps:wsp>
                        <wps:cNvPr id="223" name="Text Box 223"/>
                        <wps:cNvSpPr txBox="1"/>
                        <wps:spPr>
                          <a:xfrm>
                            <a:off x="0" y="54320"/>
                            <a:ext cx="6840000" cy="251621"/>
                          </a:xfrm>
                          <a:prstGeom prst="rect">
                            <a:avLst/>
                          </a:prstGeom>
                          <a:noFill/>
                          <a:ln w="6350">
                            <a:noFill/>
                          </a:ln>
                        </wps:spPr>
                        <wps:txbx>
                          <w:txbxContent>
                            <w:p w:rsidR="0060634A" w:rsidRDefault="00F76D44">
                              <w:pPr>
                                <w:pStyle w:val="FootnoteText"/>
                                <w:rPr>
                                  <w:lang w:val="en-IE"/>
                                </w:rPr>
                              </w:pPr>
                              <w:r>
                                <w:rPr>
                                  <w:rStyle w:val="fnRef"/>
                                </w:rPr>
                                <w:t>(</w:t>
                              </w:r>
                              <w:r>
                                <w:rPr>
                                  <w:rStyle w:val="fnRefNo"/>
                                </w:rPr>
                                <w:t>88</w:t>
                              </w:r>
                              <w:r>
                                <w:rPr>
                                  <w:rStyle w:val="fnRef"/>
                                </w:rPr>
                                <w:t>)</w:t>
                              </w:r>
                              <w:r>
                                <w:rPr>
                                  <w:rStyle w:val="fnRef"/>
                                </w:rPr>
                                <w:tab/>
                              </w:r>
                              <w:r>
                                <w:t xml:space="preserve">Information presented in the </w:t>
                              </w:r>
                              <w:r>
                                <w:rPr>
                                  <w:rStyle w:val="AMPRcharItalic"/>
                                </w:rPr>
                                <w:t xml:space="preserve">Working Document Part I – Programme statements of operational expenditure </w:t>
                              </w:r>
                              <w:r>
                                <w:t>attached to the 2021 draft budget.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260" name="Straight Connector 260"/>
                        <wps:cNvCnPr/>
                        <wps:spPr>
                          <a:xfrm>
                            <a:off x="0" y="0"/>
                            <a:ext cx="183197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04" o:spid="_x0000_s1026" style="position:absolute;left:0;text-align:left;margin-left:0;margin-top:0;width:453.55pt;height:24.1pt;z-index:251742208;mso-wrap-distance-top:11.35pt;mso-position-vertical:bottom;mso-position-vertical-relative:margin;mso-width-relative:margin;mso-height-relative:margin" coordsize="68400,3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">
                <v:shapetype id="_x0000_t202" coordsize="21600,21600" o:spt="202" path="m,l,21600r21600,l21600,xe">
                  <v:stroke joinstyle="miter"/>
                  <v:path gradientshapeok="t" o:connecttype="rect"/>
                </v:shapetype>
                <v:shape id="Text Box 223" o:spid="_x0000_s1027" type="#_x0000_t202" style="position:absolute;top:543;width:68400;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" filled="f" stroked="f" strokeweight=".5pt">
                  <v:textbox inset="0,0,0,0">
                    <w:txbxContent>
                      <w:p w:rsidR="0060634A" w:rsidRDefault="00F76D44">
                        <w:pPr>
                          <w:pStyle w:val="FootnoteText"/>
                          <w:rPr>
                            <w:lang w:val="en-IE"/>
                          </w:rPr>
                        </w:pPr>
                        <w:r>
                          <w:rPr>
                            <w:rStyle w:val="fnRef"/>
                          </w:rPr>
                          <w:t>(</w:t>
                        </w:r>
                        <w:r>
                          <w:rPr>
                            <w:rStyle w:val="fnRefNo"/>
                          </w:rPr>
                          <w:t>88</w:t>
                        </w:r>
                        <w:r>
                          <w:rPr>
                            <w:rStyle w:val="fnRef"/>
                          </w:rPr>
                          <w:t>)</w:t>
                        </w:r>
                        <w:r>
                          <w:rPr>
                            <w:rStyle w:val="fnRef"/>
                          </w:rPr>
                          <w:tab/>
                        </w:r>
                        <w:r>
                          <w:t xml:space="preserve">Information presented in the </w:t>
                        </w:r>
                        <w:r>
                          <w:rPr>
                            <w:rStyle w:val="AMPRcharItalic"/>
                          </w:rPr>
                          <w:t xml:space="preserve">Working Document Part I – Programme statements of operational expenditure </w:t>
                        </w:r>
                        <w:r>
                          <w:t>attached to the 2021 draft budget.</w:t>
                        </w:r>
                      </w:p>
                    </w:txbxContent>
                  </v:textbox>
                </v:shape>
                <v:line id="Straight Connector 260" o:spid="_x0000_s1028" style="position:absolute;visibility:visible;mso-wrap-style:square" from="0,0" to="18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" strokecolor="black [3213]" strokeweight=".25pt">
                  <v:stroke joinstyle="miter"/>
                </v:line>
                <w10:wrap type="square" anchory="margin"/>
              </v:group>
            </w:pict>
          </mc:Fallback>
        </mc:AlternateContent>
      </w:r>
      <w:r>
        <w:t>Progress % = (average (results 2014:2019) – baseline) /</w:t>
      </w:r>
      <w:r>
        <w:t xml:space="preserve"> (target – baseline)</w:t>
      </w:r>
      <w:r>
        <w:rPr>
          <w:b/>
          <w:color w:val="005D95"/>
          <w:spacing w:val="1"/>
          <w:lang w:eastAsia="en-GB"/>
        </w:rPr>
        <w:t xml:space="preserve"> </w:t>
      </w:r>
    </w:p>
    <w:p w:rsidR="0060634A" w:rsidRDefault="00F76D44">
      <w:pPr>
        <w:pStyle w:val="AMPRLista-L1"/>
      </w:pPr>
      <w:r>
        <w:t>Whenever the target is not expressed in a cumulative way for the 2014-2020 period, and the annual milestones are available for all the years, in cases where the progress of the programme is better reflected comparing the results to th</w:t>
      </w:r>
      <w:r>
        <w:t>e annual milestones, then targets are replaced in the formula by annual milestones (sum or average of the annual milestones, depending on the formula selected for the annual results). For example:</w:t>
      </w:r>
    </w:p>
    <w:p w:rsidR="0060634A" w:rsidRDefault="00F76D44">
      <w:pPr>
        <w:pStyle w:val="AMPRBodyText"/>
        <w:ind w:left="2693" w:hanging="1134"/>
        <w:jc w:val="left"/>
      </w:pPr>
      <w:r>
        <w:t>Progress % = (sum (results 2014:2019) – baseline) / (sum (m</w:t>
      </w:r>
      <w:r>
        <w:t xml:space="preserve">ilestones 2014:2020)  – </w:t>
      </w:r>
      <w:r>
        <w:br/>
        <w:t>baseline)</w:t>
      </w:r>
    </w:p>
    <w:p w:rsidR="0060634A" w:rsidRDefault="00F76D44">
      <w:pPr>
        <w:pStyle w:val="AMPRBodyText"/>
        <w:ind w:left="2693" w:hanging="1134"/>
        <w:jc w:val="left"/>
      </w:pPr>
      <w:r>
        <w:t xml:space="preserve">Progress % = (average (results 2014:2019) – baseline) / </w:t>
      </w:r>
      <w:r>
        <w:br/>
        <w:t>(sum (milestones 2014:2020) – baseline)</w:t>
      </w:r>
    </w:p>
    <w:p w:rsidR="0060634A" w:rsidRDefault="00F76D44">
      <w:pPr>
        <w:pStyle w:val="AMPRAnnexesTITLE4"/>
        <w:spacing w:before="480"/>
      </w:pPr>
      <w:r>
        <w:t>Cut-off date of performance information</w:t>
      </w:r>
    </w:p>
    <w:p w:rsidR="0060634A" w:rsidRDefault="00F76D44">
      <w:pPr>
        <w:pStyle w:val="AMPRBodyText"/>
        <w:rPr>
          <w:lang w:eastAsia="fr-BE"/>
        </w:rPr>
      </w:pPr>
      <w:r>
        <w:t>The most recent performance information available is used. For the programmes that a</w:t>
      </w:r>
      <w:r>
        <w:t xml:space="preserve">re directly managed by the Commission, this mostly concerns reported achievements measured at the end of 2019. The programmes under shared management present values recorded and reported by Member States of the situation at the end of 2018. The programmes </w:t>
      </w:r>
      <w:r>
        <w:t>under indirect management present a mixed picture: some have achievements reported up to 2019, while others depend on the data sources provided by the international organisations that implement the actions (e.g. the UN family) and may therefore be delayed.</w:t>
      </w:r>
    </w:p>
    <w:p w:rsidR="0060634A" w:rsidRDefault="00F76D44">
      <w:pPr>
        <w:rPr>
          <w:noProof/>
          <w:lang w:eastAsia="fr-BE"/>
        </w:rPr>
      </w:pPr>
      <w:r>
        <w:rPr>
          <w:noProof/>
          <w:lang w:eastAsia="fr-BE"/>
        </w:rPr>
        <w:br w:type="page"/>
      </w:r>
    </w:p>
    <w:p w:rsidR="0060634A" w:rsidRDefault="00F76D44">
      <w:pPr>
        <w:pStyle w:val="AMPRAnnexesTITLE3"/>
      </w:pPr>
      <w:bookmarkStart w:id="10" w:name="_Toc39583670"/>
      <w:r>
        <w:t>Index</w:t>
      </w:r>
      <w:bookmarkEnd w:id="10"/>
    </w:p>
    <w:sdt>
      <w:sdtPr>
        <w:rPr>
          <w:rFonts w:ascii="EC Square Sans Pro" w:eastAsiaTheme="minorHAnsi" w:hAnsi="EC Square Sans Pro" w:cstheme="minorBidi"/>
          <w:noProof w:val="0"/>
          <w:color w:val="auto"/>
          <w:sz w:val="20"/>
          <w:szCs w:val="22"/>
          <w:lang w:val="en-GB"/>
        </w:rPr>
        <w:id w:val="370656178"/>
        <w:docPartObj>
          <w:docPartGallery w:val="Table of Contents"/>
          <w:docPartUnique/>
        </w:docPartObj>
      </w:sdtPr>
      <w:sdtEndPr>
        <w:rPr>
          <w:rFonts w:asciiTheme="minorHAnsi" w:hAnsiTheme="minorHAnsi"/>
          <w:b/>
          <w:bCs/>
          <w:sz w:val="22"/>
        </w:rPr>
      </w:sdtEndPr>
      <w:sdtContent>
        <w:p w:rsidR="0060634A" w:rsidRDefault="00F76D44">
          <w:pPr>
            <w:pStyle w:val="TOCHeading"/>
            <w:rPr>
              <w:rFonts w:asciiTheme="majorHAnsi" w:eastAsiaTheme="majorEastAsia" w:hAnsiTheme="majorHAnsi" w:cstheme="majorBidi"/>
            </w:rPr>
          </w:pPr>
          <w:r>
            <w:rPr>
              <w:rFonts w:asciiTheme="majorHAnsi" w:eastAsiaTheme="majorEastAsia" w:hAnsiTheme="majorHAnsi" w:cstheme="majorBidi"/>
            </w:rPr>
            <w:fldChar w:fldCharType="begin"/>
          </w:r>
          <w:r>
            <w:rPr>
              <w:rFonts w:asciiTheme="majorHAnsi" w:eastAsiaTheme="majorEastAsia" w:hAnsiTheme="majorHAnsi" w:cstheme="majorBidi"/>
            </w:rPr>
            <w:instrText xml:space="preserve"> TOC \o "1-3" \h \z \u </w:instrText>
          </w:r>
          <w:r>
            <w:rPr>
              <w:rFonts w:asciiTheme="majorHAnsi" w:eastAsiaTheme="majorEastAsia" w:hAnsiTheme="majorHAnsi" w:cstheme="majorBidi"/>
            </w:rPr>
            <w:fldChar w:fldCharType="separate"/>
          </w:r>
        </w:p>
        <w:p w:rsidR="0060634A" w:rsidRDefault="00F76D44">
          <w:pPr>
            <w:pStyle w:val="TOC2"/>
            <w:tabs>
              <w:tab w:val="right" w:leader="dot" w:pos="9060"/>
            </w:tabs>
            <w:ind w:left="0"/>
            <w:rPr>
              <w:rStyle w:val="BOLDORANGEAnnexes"/>
            </w:rPr>
          </w:pPr>
          <w:r>
            <w:rPr>
              <w:rStyle w:val="BOLDORANGEAnnexes"/>
            </w:rPr>
            <w:t>Heading 1A: Competitiveness for growth and jobs</w:t>
          </w:r>
        </w:p>
        <w:p w:rsidR="0060634A" w:rsidRDefault="00F76D44">
          <w:pPr>
            <w:pStyle w:val="TOC2"/>
            <w:tabs>
              <w:tab w:val="right" w:leader="dot" w:pos="9060"/>
            </w:tabs>
            <w:ind w:left="0"/>
          </w:pPr>
          <w:hyperlink w:anchor="_Toc39583671" w:history="1">
            <w:r>
              <w:rPr>
                <w:rStyle w:val="Hyperlink"/>
              </w:rPr>
              <w:t>GALILEO AND EGNOS</w:t>
            </w:r>
            <w:r>
              <w:rPr>
                <w:webHidden/>
              </w:rPr>
              <w:tab/>
            </w:r>
            <w:r>
              <w:rPr>
                <w:webHidden/>
              </w:rPr>
              <w:fldChar w:fldCharType="begin"/>
            </w:r>
            <w:r>
              <w:rPr>
                <w:webHidden/>
              </w:rPr>
              <w:instrText xml:space="preserve"> PAGEREF _Toc39583671 \h </w:instrText>
            </w:r>
            <w:r>
              <w:rPr>
                <w:webHidden/>
              </w:rPr>
            </w:r>
            <w:r>
              <w:rPr>
                <w:webHidden/>
              </w:rPr>
              <w:fldChar w:fldCharType="separate"/>
            </w:r>
            <w:r>
              <w:rPr>
                <w:webHidden/>
              </w:rPr>
              <w:t>81</w:t>
            </w:r>
            <w:r>
              <w:rPr>
                <w:webHidden/>
              </w:rPr>
              <w:fldChar w:fldCharType="end"/>
            </w:r>
          </w:hyperlink>
        </w:p>
        <w:p w:rsidR="0060634A" w:rsidRDefault="00F76D44">
          <w:pPr>
            <w:pStyle w:val="TOC2"/>
            <w:tabs>
              <w:tab w:val="right" w:leader="dot" w:pos="9060"/>
            </w:tabs>
            <w:ind w:left="0"/>
          </w:pPr>
          <w:hyperlink w:anchor="_Toc39583672" w:history="1">
            <w:r>
              <w:rPr>
                <w:rStyle w:val="Hyperlink"/>
              </w:rPr>
              <w:t>ITER</w:t>
            </w:r>
            <w:r>
              <w:rPr>
                <w:webHidden/>
              </w:rPr>
              <w:tab/>
            </w:r>
            <w:r>
              <w:rPr>
                <w:webHidden/>
              </w:rPr>
              <w:fldChar w:fldCharType="begin"/>
            </w:r>
            <w:r>
              <w:rPr>
                <w:webHidden/>
              </w:rPr>
              <w:instrText xml:space="preserve"> PAGEREF _Toc39583672 \h </w:instrText>
            </w:r>
            <w:r>
              <w:rPr>
                <w:webHidden/>
              </w:rPr>
            </w:r>
            <w:r>
              <w:rPr>
                <w:webHidden/>
              </w:rPr>
              <w:fldChar w:fldCharType="separate"/>
            </w:r>
            <w:r>
              <w:rPr>
                <w:webHidden/>
              </w:rPr>
              <w:t>84</w:t>
            </w:r>
            <w:r>
              <w:rPr>
                <w:webHidden/>
              </w:rPr>
              <w:fldChar w:fldCharType="end"/>
            </w:r>
          </w:hyperlink>
        </w:p>
        <w:p w:rsidR="0060634A" w:rsidRDefault="00F76D44">
          <w:pPr>
            <w:pStyle w:val="TOC2"/>
            <w:tabs>
              <w:tab w:val="right" w:leader="dot" w:pos="9060"/>
            </w:tabs>
            <w:ind w:left="0"/>
          </w:pPr>
          <w:hyperlink w:anchor="_Toc39583673" w:history="1">
            <w:r>
              <w:rPr>
                <w:rStyle w:val="Hyperlink"/>
              </w:rPr>
              <w:t>COPERNICUS</w:t>
            </w:r>
            <w:r>
              <w:rPr>
                <w:webHidden/>
              </w:rPr>
              <w:tab/>
            </w:r>
            <w:r>
              <w:rPr>
                <w:webHidden/>
              </w:rPr>
              <w:fldChar w:fldCharType="begin"/>
            </w:r>
            <w:r>
              <w:rPr>
                <w:webHidden/>
              </w:rPr>
              <w:instrText xml:space="preserve"> PAGEREF _Toc3958</w:instrText>
            </w:r>
            <w:r>
              <w:rPr>
                <w:webHidden/>
              </w:rPr>
              <w:instrText xml:space="preserve">3673 \h </w:instrText>
            </w:r>
            <w:r>
              <w:rPr>
                <w:webHidden/>
              </w:rPr>
            </w:r>
            <w:r>
              <w:rPr>
                <w:webHidden/>
              </w:rPr>
              <w:fldChar w:fldCharType="separate"/>
            </w:r>
            <w:r>
              <w:rPr>
                <w:webHidden/>
              </w:rPr>
              <w:t>86</w:t>
            </w:r>
            <w:r>
              <w:rPr>
                <w:webHidden/>
              </w:rPr>
              <w:fldChar w:fldCharType="end"/>
            </w:r>
          </w:hyperlink>
        </w:p>
        <w:p w:rsidR="0060634A" w:rsidRDefault="00F76D44">
          <w:pPr>
            <w:pStyle w:val="TOC2"/>
            <w:tabs>
              <w:tab w:val="right" w:leader="dot" w:pos="9060"/>
            </w:tabs>
            <w:ind w:left="0"/>
          </w:pPr>
          <w:hyperlink w:anchor="_Toc39583674" w:history="1">
            <w:r>
              <w:rPr>
                <w:rStyle w:val="Hyperlink"/>
              </w:rPr>
              <w:t>EFSI</w:t>
            </w:r>
            <w:r>
              <w:rPr>
                <w:webHidden/>
              </w:rPr>
              <w:tab/>
            </w:r>
            <w:r>
              <w:rPr>
                <w:webHidden/>
              </w:rPr>
              <w:fldChar w:fldCharType="begin"/>
            </w:r>
            <w:r>
              <w:rPr>
                <w:webHidden/>
              </w:rPr>
              <w:instrText xml:space="preserve"> PAGEREF _Toc39583674 \h </w:instrText>
            </w:r>
            <w:r>
              <w:rPr>
                <w:webHidden/>
              </w:rPr>
            </w:r>
            <w:r>
              <w:rPr>
                <w:webHidden/>
              </w:rPr>
              <w:fldChar w:fldCharType="separate"/>
            </w:r>
            <w:r>
              <w:rPr>
                <w:webHidden/>
              </w:rPr>
              <w:t>88</w:t>
            </w:r>
            <w:r>
              <w:rPr>
                <w:webHidden/>
              </w:rPr>
              <w:fldChar w:fldCharType="end"/>
            </w:r>
          </w:hyperlink>
        </w:p>
        <w:p w:rsidR="0060634A" w:rsidRDefault="00F76D44">
          <w:pPr>
            <w:pStyle w:val="TOC2"/>
            <w:tabs>
              <w:tab w:val="right" w:leader="dot" w:pos="9060"/>
            </w:tabs>
            <w:ind w:left="0"/>
          </w:pPr>
          <w:hyperlink w:anchor="_Toc39583675" w:history="1">
            <w:r>
              <w:rPr>
                <w:rStyle w:val="Hyperlink"/>
              </w:rPr>
              <w:t>NUCLEAR DECOMMISSIONING  (BG AND SK)</w:t>
            </w:r>
            <w:r>
              <w:rPr>
                <w:webHidden/>
              </w:rPr>
              <w:tab/>
            </w:r>
            <w:r>
              <w:rPr>
                <w:webHidden/>
              </w:rPr>
              <w:fldChar w:fldCharType="begin"/>
            </w:r>
            <w:r>
              <w:rPr>
                <w:webHidden/>
              </w:rPr>
              <w:instrText xml:space="preserve"> PAGEREF _Toc39583675 \h </w:instrText>
            </w:r>
            <w:r>
              <w:rPr>
                <w:webHidden/>
              </w:rPr>
            </w:r>
            <w:r>
              <w:rPr>
                <w:webHidden/>
              </w:rPr>
              <w:fldChar w:fldCharType="separate"/>
            </w:r>
            <w:r>
              <w:rPr>
                <w:webHidden/>
              </w:rPr>
              <w:t>90</w:t>
            </w:r>
            <w:r>
              <w:rPr>
                <w:webHidden/>
              </w:rPr>
              <w:fldChar w:fldCharType="end"/>
            </w:r>
          </w:hyperlink>
        </w:p>
        <w:p w:rsidR="0060634A" w:rsidRDefault="00F76D44">
          <w:pPr>
            <w:pStyle w:val="TOC2"/>
            <w:tabs>
              <w:tab w:val="right" w:leader="dot" w:pos="9060"/>
            </w:tabs>
            <w:ind w:left="0"/>
          </w:pPr>
          <w:hyperlink w:anchor="_Toc39583676" w:history="1">
            <w:r>
              <w:rPr>
                <w:rStyle w:val="Hyperlink"/>
              </w:rPr>
              <w:t>NUCLEAR DECOMMISSIONING LT</w:t>
            </w:r>
            <w:r>
              <w:rPr>
                <w:webHidden/>
              </w:rPr>
              <w:tab/>
            </w:r>
            <w:r>
              <w:rPr>
                <w:webHidden/>
              </w:rPr>
              <w:fldChar w:fldCharType="begin"/>
            </w:r>
            <w:r>
              <w:rPr>
                <w:webHidden/>
              </w:rPr>
              <w:instrText xml:space="preserve"> PAGEREF _Toc39583676 \h </w:instrText>
            </w:r>
            <w:r>
              <w:rPr>
                <w:webHidden/>
              </w:rPr>
            </w:r>
            <w:r>
              <w:rPr>
                <w:webHidden/>
              </w:rPr>
              <w:fldChar w:fldCharType="separate"/>
            </w:r>
            <w:r>
              <w:rPr>
                <w:webHidden/>
              </w:rPr>
              <w:t>92</w:t>
            </w:r>
            <w:r>
              <w:rPr>
                <w:webHidden/>
              </w:rPr>
              <w:fldChar w:fldCharType="end"/>
            </w:r>
          </w:hyperlink>
        </w:p>
        <w:p w:rsidR="0060634A" w:rsidRDefault="00F76D44">
          <w:pPr>
            <w:pStyle w:val="TOC2"/>
            <w:tabs>
              <w:tab w:val="right" w:leader="dot" w:pos="9060"/>
            </w:tabs>
            <w:ind w:left="0"/>
          </w:pPr>
          <w:hyperlink w:anchor="_Toc39583677" w:history="1">
            <w:r>
              <w:rPr>
                <w:rStyle w:val="Hyperlink"/>
              </w:rPr>
              <w:t>HORIZON 2020</w:t>
            </w:r>
            <w:r>
              <w:rPr>
                <w:webHidden/>
              </w:rPr>
              <w:tab/>
            </w:r>
            <w:r>
              <w:rPr>
                <w:webHidden/>
              </w:rPr>
              <w:fldChar w:fldCharType="begin"/>
            </w:r>
            <w:r>
              <w:rPr>
                <w:webHidden/>
              </w:rPr>
              <w:instrText xml:space="preserve"> PAGEREF _Toc39583677 \h </w:instrText>
            </w:r>
            <w:r>
              <w:rPr>
                <w:webHidden/>
              </w:rPr>
            </w:r>
            <w:r>
              <w:rPr>
                <w:webHidden/>
              </w:rPr>
              <w:fldChar w:fldCharType="separate"/>
            </w:r>
            <w:r>
              <w:rPr>
                <w:webHidden/>
              </w:rPr>
              <w:t>94</w:t>
            </w:r>
            <w:r>
              <w:rPr>
                <w:webHidden/>
              </w:rPr>
              <w:fldChar w:fldCharType="end"/>
            </w:r>
          </w:hyperlink>
        </w:p>
        <w:p w:rsidR="0060634A" w:rsidRDefault="00F76D44">
          <w:pPr>
            <w:pStyle w:val="TOC2"/>
            <w:tabs>
              <w:tab w:val="right" w:leader="dot" w:pos="9060"/>
            </w:tabs>
            <w:ind w:left="0"/>
          </w:pPr>
          <w:hyperlink w:anchor="_Toc39583678" w:history="1">
            <w:r>
              <w:rPr>
                <w:rStyle w:val="Hyperlink"/>
              </w:rPr>
              <w:t>EURATOM RESEARCH</w:t>
            </w:r>
            <w:r>
              <w:rPr>
                <w:webHidden/>
              </w:rPr>
              <w:tab/>
            </w:r>
            <w:r>
              <w:rPr>
                <w:webHidden/>
              </w:rPr>
              <w:fldChar w:fldCharType="begin"/>
            </w:r>
            <w:r>
              <w:rPr>
                <w:webHidden/>
              </w:rPr>
              <w:instrText xml:space="preserve"> PAGEREF _Toc39583678 \h </w:instrText>
            </w:r>
            <w:r>
              <w:rPr>
                <w:webHidden/>
              </w:rPr>
            </w:r>
            <w:r>
              <w:rPr>
                <w:webHidden/>
              </w:rPr>
              <w:fldChar w:fldCharType="separate"/>
            </w:r>
            <w:r>
              <w:rPr>
                <w:webHidden/>
              </w:rPr>
              <w:t>97</w:t>
            </w:r>
            <w:r>
              <w:rPr>
                <w:webHidden/>
              </w:rPr>
              <w:fldChar w:fldCharType="end"/>
            </w:r>
          </w:hyperlink>
        </w:p>
        <w:p w:rsidR="0060634A" w:rsidRDefault="00F76D44">
          <w:pPr>
            <w:pStyle w:val="TOC2"/>
            <w:tabs>
              <w:tab w:val="right" w:leader="dot" w:pos="9060"/>
            </w:tabs>
            <w:ind w:left="0"/>
          </w:pPr>
          <w:hyperlink w:anchor="_Toc39583679" w:history="1">
            <w:r>
              <w:rPr>
                <w:rStyle w:val="Hyperlink"/>
              </w:rPr>
              <w:t>COSME</w:t>
            </w:r>
            <w:r>
              <w:rPr>
                <w:webHidden/>
              </w:rPr>
              <w:tab/>
            </w:r>
            <w:r>
              <w:rPr>
                <w:webHidden/>
              </w:rPr>
              <w:fldChar w:fldCharType="begin"/>
            </w:r>
            <w:r>
              <w:rPr>
                <w:webHidden/>
              </w:rPr>
              <w:instrText xml:space="preserve"> PAGEREF _Toc39583679 \h </w:instrText>
            </w:r>
            <w:r>
              <w:rPr>
                <w:webHidden/>
              </w:rPr>
            </w:r>
            <w:r>
              <w:rPr>
                <w:webHidden/>
              </w:rPr>
              <w:fldChar w:fldCharType="separate"/>
            </w:r>
            <w:r>
              <w:rPr>
                <w:webHidden/>
              </w:rPr>
              <w:t>99</w:t>
            </w:r>
            <w:r>
              <w:rPr>
                <w:webHidden/>
              </w:rPr>
              <w:fldChar w:fldCharType="end"/>
            </w:r>
          </w:hyperlink>
        </w:p>
        <w:p w:rsidR="0060634A" w:rsidRDefault="00F76D44">
          <w:pPr>
            <w:pStyle w:val="TOC2"/>
            <w:tabs>
              <w:tab w:val="right" w:leader="dot" w:pos="9060"/>
            </w:tabs>
            <w:ind w:left="0"/>
          </w:pPr>
          <w:hyperlink w:anchor="_Toc39583680" w:history="1">
            <w:r>
              <w:rPr>
                <w:rStyle w:val="Hyperlink"/>
              </w:rPr>
              <w:t>ERASMUS+</w:t>
            </w:r>
            <w:r>
              <w:rPr>
                <w:webHidden/>
              </w:rPr>
              <w:tab/>
            </w:r>
            <w:r>
              <w:rPr>
                <w:webHidden/>
              </w:rPr>
              <w:fldChar w:fldCharType="begin"/>
            </w:r>
            <w:r>
              <w:rPr>
                <w:webHidden/>
              </w:rPr>
              <w:instrText xml:space="preserve"> PAGEREF _Toc39583680 \h </w:instrText>
            </w:r>
            <w:r>
              <w:rPr>
                <w:webHidden/>
              </w:rPr>
            </w:r>
            <w:r>
              <w:rPr>
                <w:webHidden/>
              </w:rPr>
              <w:fldChar w:fldCharType="separate"/>
            </w:r>
            <w:r>
              <w:rPr>
                <w:webHidden/>
              </w:rPr>
              <w:t>102</w:t>
            </w:r>
            <w:r>
              <w:rPr>
                <w:webHidden/>
              </w:rPr>
              <w:fldChar w:fldCharType="end"/>
            </w:r>
          </w:hyperlink>
        </w:p>
        <w:p w:rsidR="0060634A" w:rsidRDefault="00F76D44">
          <w:pPr>
            <w:pStyle w:val="TOC2"/>
            <w:tabs>
              <w:tab w:val="right" w:leader="dot" w:pos="9060"/>
            </w:tabs>
            <w:ind w:left="0"/>
          </w:pPr>
          <w:hyperlink w:anchor="_Toc39583681" w:history="1">
            <w:r>
              <w:rPr>
                <w:rStyle w:val="Hyperlink"/>
              </w:rPr>
              <w:t>EaSI</w:t>
            </w:r>
            <w:r>
              <w:rPr>
                <w:webHidden/>
              </w:rPr>
              <w:tab/>
            </w:r>
            <w:r>
              <w:rPr>
                <w:webHidden/>
              </w:rPr>
              <w:fldChar w:fldCharType="begin"/>
            </w:r>
            <w:r>
              <w:rPr>
                <w:webHidden/>
              </w:rPr>
              <w:instrText xml:space="preserve"> PAGEREF _Toc39583681 \h </w:instrText>
            </w:r>
            <w:r>
              <w:rPr>
                <w:webHidden/>
              </w:rPr>
            </w:r>
            <w:r>
              <w:rPr>
                <w:webHidden/>
              </w:rPr>
              <w:fldChar w:fldCharType="separate"/>
            </w:r>
            <w:r>
              <w:rPr>
                <w:webHidden/>
              </w:rPr>
              <w:t>104</w:t>
            </w:r>
            <w:r>
              <w:rPr>
                <w:webHidden/>
              </w:rPr>
              <w:fldChar w:fldCharType="end"/>
            </w:r>
          </w:hyperlink>
        </w:p>
        <w:p w:rsidR="0060634A" w:rsidRDefault="00F76D44">
          <w:pPr>
            <w:pStyle w:val="TOC2"/>
            <w:tabs>
              <w:tab w:val="right" w:leader="dot" w:pos="9060"/>
            </w:tabs>
            <w:ind w:left="0"/>
          </w:pPr>
          <w:hyperlink w:anchor="_Toc39583682" w:history="1">
            <w:r>
              <w:rPr>
                <w:rStyle w:val="Hyperlink"/>
              </w:rPr>
              <w:t>EUROPEAN SOLIDARITY CORPS</w:t>
            </w:r>
            <w:r>
              <w:rPr>
                <w:webHidden/>
              </w:rPr>
              <w:tab/>
            </w:r>
            <w:r>
              <w:rPr>
                <w:webHidden/>
              </w:rPr>
              <w:fldChar w:fldCharType="begin"/>
            </w:r>
            <w:r>
              <w:rPr>
                <w:webHidden/>
              </w:rPr>
              <w:instrText xml:space="preserve"> PAGEREF _Toc39583682 \h </w:instrText>
            </w:r>
            <w:r>
              <w:rPr>
                <w:webHidden/>
              </w:rPr>
            </w:r>
            <w:r>
              <w:rPr>
                <w:webHidden/>
              </w:rPr>
              <w:fldChar w:fldCharType="separate"/>
            </w:r>
            <w:r>
              <w:rPr>
                <w:webHidden/>
              </w:rPr>
              <w:t>106</w:t>
            </w:r>
            <w:r>
              <w:rPr>
                <w:webHidden/>
              </w:rPr>
              <w:fldChar w:fldCharType="end"/>
            </w:r>
          </w:hyperlink>
        </w:p>
        <w:p w:rsidR="0060634A" w:rsidRDefault="00F76D44">
          <w:pPr>
            <w:pStyle w:val="TOC2"/>
            <w:tabs>
              <w:tab w:val="right" w:leader="dot" w:pos="9060"/>
            </w:tabs>
            <w:ind w:left="0"/>
          </w:pPr>
          <w:hyperlink w:anchor="_Toc39583683" w:history="1">
            <w:r>
              <w:rPr>
                <w:rStyle w:val="Hyperlink"/>
              </w:rPr>
              <w:t>CUSTOM</w:t>
            </w:r>
            <w:r>
              <w:rPr>
                <w:rStyle w:val="Hyperlink"/>
              </w:rPr>
              <w:t>S 2020</w:t>
            </w:r>
            <w:r>
              <w:rPr>
                <w:webHidden/>
              </w:rPr>
              <w:tab/>
            </w:r>
            <w:r>
              <w:rPr>
                <w:webHidden/>
              </w:rPr>
              <w:fldChar w:fldCharType="begin"/>
            </w:r>
            <w:r>
              <w:rPr>
                <w:webHidden/>
              </w:rPr>
              <w:instrText xml:space="preserve"> PAGEREF _Toc39583683 \h </w:instrText>
            </w:r>
            <w:r>
              <w:rPr>
                <w:webHidden/>
              </w:rPr>
            </w:r>
            <w:r>
              <w:rPr>
                <w:webHidden/>
              </w:rPr>
              <w:fldChar w:fldCharType="separate"/>
            </w:r>
            <w:r>
              <w:rPr>
                <w:webHidden/>
              </w:rPr>
              <w:t>108</w:t>
            </w:r>
            <w:r>
              <w:rPr>
                <w:webHidden/>
              </w:rPr>
              <w:fldChar w:fldCharType="end"/>
            </w:r>
          </w:hyperlink>
        </w:p>
        <w:p w:rsidR="0060634A" w:rsidRDefault="00F76D44">
          <w:pPr>
            <w:pStyle w:val="TOC2"/>
            <w:tabs>
              <w:tab w:val="right" w:leader="dot" w:pos="9060"/>
            </w:tabs>
            <w:ind w:left="0"/>
          </w:pPr>
          <w:hyperlink w:anchor="_Toc39583684" w:history="1">
            <w:r>
              <w:rPr>
                <w:rStyle w:val="Hyperlink"/>
              </w:rPr>
              <w:t>FISCALIS 2020</w:t>
            </w:r>
            <w:r>
              <w:rPr>
                <w:webHidden/>
              </w:rPr>
              <w:tab/>
            </w:r>
            <w:r>
              <w:rPr>
                <w:webHidden/>
              </w:rPr>
              <w:fldChar w:fldCharType="begin"/>
            </w:r>
            <w:r>
              <w:rPr>
                <w:webHidden/>
              </w:rPr>
              <w:instrText xml:space="preserve"> PAGEREF _Toc39583684 \h </w:instrText>
            </w:r>
            <w:r>
              <w:rPr>
                <w:webHidden/>
              </w:rPr>
            </w:r>
            <w:r>
              <w:rPr>
                <w:webHidden/>
              </w:rPr>
              <w:fldChar w:fldCharType="separate"/>
            </w:r>
            <w:r>
              <w:rPr>
                <w:webHidden/>
              </w:rPr>
              <w:t>110</w:t>
            </w:r>
            <w:r>
              <w:rPr>
                <w:webHidden/>
              </w:rPr>
              <w:fldChar w:fldCharType="end"/>
            </w:r>
          </w:hyperlink>
        </w:p>
        <w:p w:rsidR="0060634A" w:rsidRDefault="00F76D44">
          <w:pPr>
            <w:pStyle w:val="TOC2"/>
            <w:tabs>
              <w:tab w:val="right" w:leader="dot" w:pos="9060"/>
            </w:tabs>
            <w:ind w:left="0"/>
          </w:pPr>
          <w:hyperlink w:anchor="_Toc39583685" w:history="1">
            <w:r>
              <w:rPr>
                <w:rStyle w:val="Hyperlink"/>
              </w:rPr>
              <w:t>HERCULE III</w:t>
            </w:r>
            <w:r>
              <w:rPr>
                <w:webHidden/>
              </w:rPr>
              <w:tab/>
            </w:r>
            <w:r>
              <w:rPr>
                <w:webHidden/>
              </w:rPr>
              <w:fldChar w:fldCharType="begin"/>
            </w:r>
            <w:r>
              <w:rPr>
                <w:webHidden/>
              </w:rPr>
              <w:instrText xml:space="preserve"> PAGEREF _Toc39583685 \h </w:instrText>
            </w:r>
            <w:r>
              <w:rPr>
                <w:webHidden/>
              </w:rPr>
            </w:r>
            <w:r>
              <w:rPr>
                <w:webHidden/>
              </w:rPr>
              <w:fldChar w:fldCharType="separate"/>
            </w:r>
            <w:r>
              <w:rPr>
                <w:webHidden/>
              </w:rPr>
              <w:t>112</w:t>
            </w:r>
            <w:r>
              <w:rPr>
                <w:webHidden/>
              </w:rPr>
              <w:fldChar w:fldCharType="end"/>
            </w:r>
          </w:hyperlink>
        </w:p>
        <w:p w:rsidR="0060634A" w:rsidRDefault="00F76D44">
          <w:pPr>
            <w:pStyle w:val="TOC2"/>
            <w:tabs>
              <w:tab w:val="right" w:leader="dot" w:pos="9060"/>
            </w:tabs>
            <w:ind w:left="0"/>
          </w:pPr>
          <w:hyperlink w:anchor="_Toc39583686" w:history="1">
            <w:r>
              <w:rPr>
                <w:rStyle w:val="Hyperlink"/>
              </w:rPr>
              <w:t>PERICLES 2020</w:t>
            </w:r>
            <w:r>
              <w:rPr>
                <w:webHidden/>
              </w:rPr>
              <w:tab/>
            </w:r>
            <w:r>
              <w:rPr>
                <w:webHidden/>
              </w:rPr>
              <w:fldChar w:fldCharType="begin"/>
            </w:r>
            <w:r>
              <w:rPr>
                <w:webHidden/>
              </w:rPr>
              <w:instrText xml:space="preserve"> PAGEREF _Toc39583686 \h </w:instrText>
            </w:r>
            <w:r>
              <w:rPr>
                <w:webHidden/>
              </w:rPr>
            </w:r>
            <w:r>
              <w:rPr>
                <w:webHidden/>
              </w:rPr>
              <w:fldChar w:fldCharType="separate"/>
            </w:r>
            <w:r>
              <w:rPr>
                <w:webHidden/>
              </w:rPr>
              <w:t>114</w:t>
            </w:r>
            <w:r>
              <w:rPr>
                <w:webHidden/>
              </w:rPr>
              <w:fldChar w:fldCharType="end"/>
            </w:r>
          </w:hyperlink>
        </w:p>
        <w:p w:rsidR="0060634A" w:rsidRDefault="00F76D44">
          <w:pPr>
            <w:pStyle w:val="TOC2"/>
            <w:tabs>
              <w:tab w:val="right" w:leader="dot" w:pos="9060"/>
            </w:tabs>
            <w:ind w:left="0"/>
          </w:pPr>
          <w:hyperlink w:anchor="_Toc39583687" w:history="1">
            <w:r>
              <w:rPr>
                <w:rStyle w:val="Hyperlink"/>
              </w:rPr>
              <w:t>AFIS</w:t>
            </w:r>
            <w:r>
              <w:rPr>
                <w:webHidden/>
              </w:rPr>
              <w:tab/>
            </w:r>
            <w:r>
              <w:rPr>
                <w:webHidden/>
              </w:rPr>
              <w:fldChar w:fldCharType="begin"/>
            </w:r>
            <w:r>
              <w:rPr>
                <w:webHidden/>
              </w:rPr>
              <w:instrText xml:space="preserve"> PAGEREF _Toc39583687 \h </w:instrText>
            </w:r>
            <w:r>
              <w:rPr>
                <w:webHidden/>
              </w:rPr>
            </w:r>
            <w:r>
              <w:rPr>
                <w:webHidden/>
              </w:rPr>
              <w:fldChar w:fldCharType="separate"/>
            </w:r>
            <w:r>
              <w:rPr>
                <w:webHidden/>
              </w:rPr>
              <w:t>116</w:t>
            </w:r>
            <w:r>
              <w:rPr>
                <w:webHidden/>
              </w:rPr>
              <w:fldChar w:fldCharType="end"/>
            </w:r>
          </w:hyperlink>
        </w:p>
        <w:p w:rsidR="0060634A" w:rsidRDefault="00F76D44">
          <w:pPr>
            <w:pStyle w:val="TOC2"/>
            <w:tabs>
              <w:tab w:val="right" w:leader="dot" w:pos="9060"/>
            </w:tabs>
            <w:ind w:left="0"/>
          </w:pPr>
          <w:hyperlink w:anchor="_Toc39583688" w:history="1">
            <w:r>
              <w:rPr>
                <w:rStyle w:val="Hyperlink"/>
              </w:rPr>
              <w:t>CEF</w:t>
            </w:r>
            <w:r>
              <w:rPr>
                <w:webHidden/>
              </w:rPr>
              <w:tab/>
            </w:r>
            <w:r>
              <w:rPr>
                <w:webHidden/>
              </w:rPr>
              <w:fldChar w:fldCharType="begin"/>
            </w:r>
            <w:r>
              <w:rPr>
                <w:webHidden/>
              </w:rPr>
              <w:instrText xml:space="preserve"> PAGEREF _Toc39583688 \h </w:instrText>
            </w:r>
            <w:r>
              <w:rPr>
                <w:webHidden/>
              </w:rPr>
            </w:r>
            <w:r>
              <w:rPr>
                <w:webHidden/>
              </w:rPr>
              <w:fldChar w:fldCharType="separate"/>
            </w:r>
            <w:r>
              <w:rPr>
                <w:webHidden/>
              </w:rPr>
              <w:t>118</w:t>
            </w:r>
            <w:r>
              <w:rPr>
                <w:webHidden/>
              </w:rPr>
              <w:fldChar w:fldCharType="end"/>
            </w:r>
          </w:hyperlink>
        </w:p>
        <w:p w:rsidR="0060634A" w:rsidRDefault="00F76D44">
          <w:pPr>
            <w:pStyle w:val="TOC2"/>
            <w:tabs>
              <w:tab w:val="right" w:leader="dot" w:pos="9060"/>
            </w:tabs>
            <w:ind w:left="0"/>
          </w:pPr>
          <w:hyperlink w:anchor="_Toc39583689" w:history="1">
            <w:r>
              <w:rPr>
                <w:rStyle w:val="Hyperlink"/>
              </w:rPr>
              <w:t>ISA²</w:t>
            </w:r>
            <w:r>
              <w:rPr>
                <w:webHidden/>
              </w:rPr>
              <w:tab/>
            </w:r>
            <w:r>
              <w:rPr>
                <w:webHidden/>
              </w:rPr>
              <w:fldChar w:fldCharType="begin"/>
            </w:r>
            <w:r>
              <w:rPr>
                <w:webHidden/>
              </w:rPr>
              <w:instrText xml:space="preserve"> PAGEREF _Toc39583689 \h </w:instrText>
            </w:r>
            <w:r>
              <w:rPr>
                <w:webHidden/>
              </w:rPr>
            </w:r>
            <w:r>
              <w:rPr>
                <w:webHidden/>
              </w:rPr>
              <w:fldChar w:fldCharType="separate"/>
            </w:r>
            <w:r>
              <w:rPr>
                <w:webHidden/>
              </w:rPr>
              <w:t>122</w:t>
            </w:r>
            <w:r>
              <w:rPr>
                <w:webHidden/>
              </w:rPr>
              <w:fldChar w:fldCharType="end"/>
            </w:r>
          </w:hyperlink>
        </w:p>
        <w:p w:rsidR="0060634A" w:rsidRDefault="00F76D44">
          <w:pPr>
            <w:pStyle w:val="TOC2"/>
            <w:tabs>
              <w:tab w:val="right" w:leader="dot" w:pos="9060"/>
            </w:tabs>
            <w:ind w:left="0"/>
          </w:pPr>
          <w:hyperlink w:anchor="_Toc39583690" w:history="1">
            <w:r>
              <w:rPr>
                <w:rStyle w:val="Hyperlink"/>
              </w:rPr>
              <w:t>STATISTICAL PROGRAMME</w:t>
            </w:r>
            <w:r>
              <w:rPr>
                <w:webHidden/>
              </w:rPr>
              <w:tab/>
            </w:r>
            <w:r>
              <w:rPr>
                <w:webHidden/>
              </w:rPr>
              <w:fldChar w:fldCharType="begin"/>
            </w:r>
            <w:r>
              <w:rPr>
                <w:webHidden/>
              </w:rPr>
              <w:instrText xml:space="preserve"> PAGEREF _Toc39583690 \h </w:instrText>
            </w:r>
            <w:r>
              <w:rPr>
                <w:webHidden/>
              </w:rPr>
            </w:r>
            <w:r>
              <w:rPr>
                <w:webHidden/>
              </w:rPr>
              <w:fldChar w:fldCharType="separate"/>
            </w:r>
            <w:r>
              <w:rPr>
                <w:webHidden/>
              </w:rPr>
              <w:t>124</w:t>
            </w:r>
            <w:r>
              <w:rPr>
                <w:webHidden/>
              </w:rPr>
              <w:fldChar w:fldCharType="end"/>
            </w:r>
          </w:hyperlink>
        </w:p>
        <w:p w:rsidR="0060634A" w:rsidRDefault="00F76D44">
          <w:pPr>
            <w:pStyle w:val="TOC2"/>
            <w:tabs>
              <w:tab w:val="right" w:leader="dot" w:pos="9060"/>
            </w:tabs>
            <w:ind w:left="0"/>
          </w:pPr>
          <w:hyperlink w:anchor="_Toc39583691" w:history="1">
            <w:r>
              <w:rPr>
                <w:rStyle w:val="Hyperlink"/>
              </w:rPr>
              <w:t xml:space="preserve">FINANCIAL </w:t>
            </w:r>
            <w:r>
              <w:rPr>
                <w:rStyle w:val="Hyperlink"/>
              </w:rPr>
              <w:t>REPORTING</w:t>
            </w:r>
            <w:r>
              <w:rPr>
                <w:webHidden/>
              </w:rPr>
              <w:tab/>
            </w:r>
            <w:r>
              <w:rPr>
                <w:webHidden/>
              </w:rPr>
              <w:fldChar w:fldCharType="begin"/>
            </w:r>
            <w:r>
              <w:rPr>
                <w:webHidden/>
              </w:rPr>
              <w:instrText xml:space="preserve"> PAGEREF _Toc39583691 \h </w:instrText>
            </w:r>
            <w:r>
              <w:rPr>
                <w:webHidden/>
              </w:rPr>
            </w:r>
            <w:r>
              <w:rPr>
                <w:webHidden/>
              </w:rPr>
              <w:fldChar w:fldCharType="separate"/>
            </w:r>
            <w:r>
              <w:rPr>
                <w:webHidden/>
              </w:rPr>
              <w:t>126</w:t>
            </w:r>
            <w:r>
              <w:rPr>
                <w:webHidden/>
              </w:rPr>
              <w:fldChar w:fldCharType="end"/>
            </w:r>
          </w:hyperlink>
        </w:p>
        <w:p w:rsidR="0060634A" w:rsidRDefault="00F76D44">
          <w:pPr>
            <w:pStyle w:val="TOC2"/>
            <w:tabs>
              <w:tab w:val="right" w:leader="dot" w:pos="9060"/>
            </w:tabs>
            <w:ind w:left="0"/>
          </w:pPr>
          <w:hyperlink w:anchor="_Toc39583692" w:history="1">
            <w:r>
              <w:rPr>
                <w:rStyle w:val="Hyperlink"/>
              </w:rPr>
              <w:t>CONSUMER INVOLVEMENT</w:t>
            </w:r>
            <w:r>
              <w:rPr>
                <w:webHidden/>
              </w:rPr>
              <w:tab/>
            </w:r>
            <w:r>
              <w:rPr>
                <w:webHidden/>
              </w:rPr>
              <w:fldChar w:fldCharType="begin"/>
            </w:r>
            <w:r>
              <w:rPr>
                <w:webHidden/>
              </w:rPr>
              <w:instrText xml:space="preserve"> PAGEREF _Toc39583692 \h </w:instrText>
            </w:r>
            <w:r>
              <w:rPr>
                <w:webHidden/>
              </w:rPr>
            </w:r>
            <w:r>
              <w:rPr>
                <w:webHidden/>
              </w:rPr>
              <w:fldChar w:fldCharType="separate"/>
            </w:r>
            <w:r>
              <w:rPr>
                <w:webHidden/>
              </w:rPr>
              <w:t>128</w:t>
            </w:r>
            <w:r>
              <w:rPr>
                <w:webHidden/>
              </w:rPr>
              <w:fldChar w:fldCharType="end"/>
            </w:r>
          </w:hyperlink>
        </w:p>
        <w:p w:rsidR="0060634A" w:rsidRDefault="00F76D44">
          <w:pPr>
            <w:pStyle w:val="TOC2"/>
            <w:tabs>
              <w:tab w:val="right" w:leader="dot" w:pos="9060"/>
            </w:tabs>
            <w:ind w:left="0"/>
            <w:rPr>
              <w:rStyle w:val="Hyperlink"/>
            </w:rPr>
          </w:pPr>
          <w:hyperlink w:anchor="_Toc39583693" w:history="1">
            <w:r>
              <w:rPr>
                <w:rStyle w:val="Hyperlink"/>
              </w:rPr>
              <w:t>DEFENCE PROGRAMME</w:t>
            </w:r>
            <w:r>
              <w:rPr>
                <w:webHidden/>
              </w:rPr>
              <w:tab/>
            </w:r>
            <w:r>
              <w:rPr>
                <w:webHidden/>
              </w:rPr>
              <w:fldChar w:fldCharType="begin"/>
            </w:r>
            <w:r>
              <w:rPr>
                <w:webHidden/>
              </w:rPr>
              <w:instrText xml:space="preserve"> PAGEREF _Toc39583693 \h </w:instrText>
            </w:r>
            <w:r>
              <w:rPr>
                <w:webHidden/>
              </w:rPr>
            </w:r>
            <w:r>
              <w:rPr>
                <w:webHidden/>
              </w:rPr>
              <w:fldChar w:fldCharType="separate"/>
            </w:r>
            <w:r>
              <w:rPr>
                <w:webHidden/>
              </w:rPr>
              <w:t>130</w:t>
            </w:r>
            <w:r>
              <w:rPr>
                <w:webHidden/>
              </w:rPr>
              <w:fldChar w:fldCharType="end"/>
            </w:r>
          </w:hyperlink>
        </w:p>
        <w:p w:rsidR="0060634A" w:rsidRDefault="00F76D44">
          <w:pPr>
            <w:pStyle w:val="TOC2"/>
            <w:tabs>
              <w:tab w:val="right" w:leader="dot" w:pos="9060"/>
            </w:tabs>
            <w:ind w:left="0"/>
          </w:pPr>
          <w:r>
            <w:rPr>
              <w:rStyle w:val="BOLDORANGEAnnexes"/>
            </w:rPr>
            <w:t>Heading 1B: Economic, social and territorial cohesion</w:t>
          </w:r>
        </w:p>
        <w:p w:rsidR="0060634A" w:rsidRDefault="00F76D44">
          <w:pPr>
            <w:pStyle w:val="TOC2"/>
            <w:tabs>
              <w:tab w:val="right" w:leader="dot" w:pos="9060"/>
            </w:tabs>
            <w:ind w:left="0"/>
          </w:pPr>
          <w:hyperlink w:anchor="_Toc39583694" w:history="1">
            <w:r>
              <w:rPr>
                <w:rStyle w:val="Hyperlink"/>
              </w:rPr>
              <w:t>ESF</w:t>
            </w:r>
            <w:r>
              <w:rPr>
                <w:webHidden/>
              </w:rPr>
              <w:tab/>
            </w:r>
            <w:r>
              <w:rPr>
                <w:webHidden/>
              </w:rPr>
              <w:fldChar w:fldCharType="begin"/>
            </w:r>
            <w:r>
              <w:rPr>
                <w:webHidden/>
              </w:rPr>
              <w:instrText xml:space="preserve"> PAGEREF _Toc39583694 </w:instrText>
            </w:r>
            <w:r>
              <w:rPr>
                <w:webHidden/>
              </w:rPr>
              <w:instrText xml:space="preserve">\h </w:instrText>
            </w:r>
            <w:r>
              <w:rPr>
                <w:webHidden/>
              </w:rPr>
            </w:r>
            <w:r>
              <w:rPr>
                <w:webHidden/>
              </w:rPr>
              <w:fldChar w:fldCharType="separate"/>
            </w:r>
            <w:r>
              <w:rPr>
                <w:webHidden/>
              </w:rPr>
              <w:t>132</w:t>
            </w:r>
            <w:r>
              <w:rPr>
                <w:webHidden/>
              </w:rPr>
              <w:fldChar w:fldCharType="end"/>
            </w:r>
          </w:hyperlink>
        </w:p>
        <w:p w:rsidR="0060634A" w:rsidRDefault="00F76D44">
          <w:pPr>
            <w:pStyle w:val="TOC2"/>
            <w:tabs>
              <w:tab w:val="right" w:leader="dot" w:pos="9060"/>
            </w:tabs>
            <w:ind w:left="0"/>
          </w:pPr>
          <w:hyperlink w:anchor="_Toc39583695" w:history="1">
            <w:r>
              <w:rPr>
                <w:rStyle w:val="Hyperlink"/>
              </w:rPr>
              <w:t>ERDF</w:t>
            </w:r>
            <w:r>
              <w:rPr>
                <w:webHidden/>
              </w:rPr>
              <w:tab/>
            </w:r>
            <w:r>
              <w:rPr>
                <w:webHidden/>
              </w:rPr>
              <w:fldChar w:fldCharType="begin"/>
            </w:r>
            <w:r>
              <w:rPr>
                <w:webHidden/>
              </w:rPr>
              <w:instrText xml:space="preserve"> PAGEREF _Toc39583695 \h </w:instrText>
            </w:r>
            <w:r>
              <w:rPr>
                <w:webHidden/>
              </w:rPr>
            </w:r>
            <w:r>
              <w:rPr>
                <w:webHidden/>
              </w:rPr>
              <w:fldChar w:fldCharType="separate"/>
            </w:r>
            <w:r>
              <w:rPr>
                <w:webHidden/>
              </w:rPr>
              <w:t>135</w:t>
            </w:r>
            <w:r>
              <w:rPr>
                <w:webHidden/>
              </w:rPr>
              <w:fldChar w:fldCharType="end"/>
            </w:r>
          </w:hyperlink>
        </w:p>
        <w:p w:rsidR="0060634A" w:rsidRDefault="00F76D44">
          <w:pPr>
            <w:pStyle w:val="TOC2"/>
            <w:tabs>
              <w:tab w:val="right" w:leader="dot" w:pos="9060"/>
            </w:tabs>
            <w:ind w:left="0"/>
          </w:pPr>
          <w:hyperlink w:anchor="_Toc39583696" w:history="1">
            <w:r>
              <w:rPr>
                <w:rStyle w:val="Hyperlink"/>
              </w:rPr>
              <w:t>COHESION FUND</w:t>
            </w:r>
            <w:r>
              <w:rPr>
                <w:webHidden/>
              </w:rPr>
              <w:tab/>
            </w:r>
            <w:r>
              <w:rPr>
                <w:webHidden/>
              </w:rPr>
              <w:fldChar w:fldCharType="begin"/>
            </w:r>
            <w:r>
              <w:rPr>
                <w:webHidden/>
              </w:rPr>
              <w:instrText xml:space="preserve"> PAGEREF _Toc39583696 \h </w:instrText>
            </w:r>
            <w:r>
              <w:rPr>
                <w:webHidden/>
              </w:rPr>
            </w:r>
            <w:r>
              <w:rPr>
                <w:webHidden/>
              </w:rPr>
              <w:fldChar w:fldCharType="separate"/>
            </w:r>
            <w:r>
              <w:rPr>
                <w:webHidden/>
              </w:rPr>
              <w:t>138</w:t>
            </w:r>
            <w:r>
              <w:rPr>
                <w:webHidden/>
              </w:rPr>
              <w:fldChar w:fldCharType="end"/>
            </w:r>
          </w:hyperlink>
        </w:p>
        <w:p w:rsidR="0060634A" w:rsidRDefault="00F76D44">
          <w:pPr>
            <w:pStyle w:val="TOC2"/>
            <w:tabs>
              <w:tab w:val="right" w:leader="dot" w:pos="9060"/>
            </w:tabs>
            <w:ind w:left="0"/>
            <w:rPr>
              <w:rStyle w:val="Hyperlink"/>
            </w:rPr>
          </w:pPr>
          <w:hyperlink w:anchor="_Toc39583697" w:history="1">
            <w:r>
              <w:rPr>
                <w:rStyle w:val="Hyperlink"/>
              </w:rPr>
              <w:t>FEAD</w:t>
            </w:r>
            <w:r>
              <w:rPr>
                <w:webHidden/>
              </w:rPr>
              <w:tab/>
            </w:r>
            <w:r>
              <w:rPr>
                <w:webHidden/>
              </w:rPr>
              <w:fldChar w:fldCharType="begin"/>
            </w:r>
            <w:r>
              <w:rPr>
                <w:webHidden/>
              </w:rPr>
              <w:instrText xml:space="preserve"> PAGEREF _Toc39583697 \h </w:instrText>
            </w:r>
            <w:r>
              <w:rPr>
                <w:webHidden/>
              </w:rPr>
            </w:r>
            <w:r>
              <w:rPr>
                <w:webHidden/>
              </w:rPr>
              <w:fldChar w:fldCharType="separate"/>
            </w:r>
            <w:r>
              <w:rPr>
                <w:webHidden/>
              </w:rPr>
              <w:t>140</w:t>
            </w:r>
            <w:r>
              <w:rPr>
                <w:webHidden/>
              </w:rPr>
              <w:fldChar w:fldCharType="end"/>
            </w:r>
          </w:hyperlink>
        </w:p>
        <w:p w:rsidR="0060634A" w:rsidRDefault="00F76D44">
          <w:pPr>
            <w:pStyle w:val="TOC2"/>
            <w:tabs>
              <w:tab w:val="right" w:leader="dot" w:pos="9060"/>
            </w:tabs>
            <w:ind w:left="0"/>
          </w:pPr>
          <w:r>
            <w:rPr>
              <w:rStyle w:val="BOLDORANGEAnnexes"/>
            </w:rPr>
            <w:t>Heading 2: Sustainable growth: natural resources</w:t>
          </w:r>
        </w:p>
        <w:p w:rsidR="0060634A" w:rsidRDefault="00F76D44">
          <w:pPr>
            <w:pStyle w:val="TOC2"/>
            <w:tabs>
              <w:tab w:val="right" w:leader="dot" w:pos="9060"/>
            </w:tabs>
            <w:ind w:left="0"/>
          </w:pPr>
          <w:hyperlink w:anchor="_Toc39583698" w:history="1">
            <w:r>
              <w:rPr>
                <w:rStyle w:val="Hyperlink"/>
              </w:rPr>
              <w:t>EAGF</w:t>
            </w:r>
            <w:r>
              <w:rPr>
                <w:webHidden/>
              </w:rPr>
              <w:tab/>
            </w:r>
            <w:r>
              <w:rPr>
                <w:webHidden/>
              </w:rPr>
              <w:fldChar w:fldCharType="begin"/>
            </w:r>
            <w:r>
              <w:rPr>
                <w:webHidden/>
              </w:rPr>
              <w:instrText xml:space="preserve"> PAGEREF _Toc39583698 \h </w:instrText>
            </w:r>
            <w:r>
              <w:rPr>
                <w:webHidden/>
              </w:rPr>
            </w:r>
            <w:r>
              <w:rPr>
                <w:webHidden/>
              </w:rPr>
              <w:fldChar w:fldCharType="separate"/>
            </w:r>
            <w:r>
              <w:rPr>
                <w:webHidden/>
              </w:rPr>
              <w:t>142</w:t>
            </w:r>
            <w:r>
              <w:rPr>
                <w:webHidden/>
              </w:rPr>
              <w:fldChar w:fldCharType="end"/>
            </w:r>
          </w:hyperlink>
        </w:p>
        <w:p w:rsidR="0060634A" w:rsidRDefault="00F76D44">
          <w:pPr>
            <w:pStyle w:val="TOC2"/>
            <w:tabs>
              <w:tab w:val="right" w:leader="dot" w:pos="9060"/>
            </w:tabs>
            <w:ind w:left="0"/>
          </w:pPr>
          <w:hyperlink w:anchor="_Toc39583699" w:history="1">
            <w:r>
              <w:rPr>
                <w:rStyle w:val="Hyperlink"/>
              </w:rPr>
              <w:t>EAFRD</w:t>
            </w:r>
            <w:r>
              <w:rPr>
                <w:webHidden/>
              </w:rPr>
              <w:tab/>
            </w:r>
            <w:r>
              <w:rPr>
                <w:webHidden/>
              </w:rPr>
              <w:fldChar w:fldCharType="begin"/>
            </w:r>
            <w:r>
              <w:rPr>
                <w:webHidden/>
              </w:rPr>
              <w:instrText xml:space="preserve"> PAGEREF _Toc39583699 \h </w:instrText>
            </w:r>
            <w:r>
              <w:rPr>
                <w:webHidden/>
              </w:rPr>
            </w:r>
            <w:r>
              <w:rPr>
                <w:webHidden/>
              </w:rPr>
              <w:fldChar w:fldCharType="separate"/>
            </w:r>
            <w:r>
              <w:rPr>
                <w:webHidden/>
              </w:rPr>
              <w:t>145</w:t>
            </w:r>
            <w:r>
              <w:rPr>
                <w:webHidden/>
              </w:rPr>
              <w:fldChar w:fldCharType="end"/>
            </w:r>
          </w:hyperlink>
        </w:p>
        <w:p w:rsidR="0060634A" w:rsidRDefault="00F76D44">
          <w:pPr>
            <w:pStyle w:val="TOC2"/>
            <w:tabs>
              <w:tab w:val="right" w:leader="dot" w:pos="9060"/>
            </w:tabs>
            <w:ind w:left="0"/>
          </w:pPr>
          <w:hyperlink w:anchor="_Toc39583700" w:history="1">
            <w:r>
              <w:rPr>
                <w:rStyle w:val="Hyperlink"/>
              </w:rPr>
              <w:t>EMFF</w:t>
            </w:r>
            <w:r>
              <w:rPr>
                <w:webHidden/>
              </w:rPr>
              <w:tab/>
            </w:r>
            <w:r>
              <w:rPr>
                <w:webHidden/>
              </w:rPr>
              <w:fldChar w:fldCharType="begin"/>
            </w:r>
            <w:r>
              <w:rPr>
                <w:webHidden/>
              </w:rPr>
              <w:instrText xml:space="preserve"> PAGEREF _Toc39583700 \h </w:instrText>
            </w:r>
            <w:r>
              <w:rPr>
                <w:webHidden/>
              </w:rPr>
            </w:r>
            <w:r>
              <w:rPr>
                <w:webHidden/>
              </w:rPr>
              <w:fldChar w:fldCharType="separate"/>
            </w:r>
            <w:r>
              <w:rPr>
                <w:webHidden/>
              </w:rPr>
              <w:t>148</w:t>
            </w:r>
            <w:r>
              <w:rPr>
                <w:webHidden/>
              </w:rPr>
              <w:fldChar w:fldCharType="end"/>
            </w:r>
          </w:hyperlink>
        </w:p>
        <w:p w:rsidR="0060634A" w:rsidRDefault="00F76D44">
          <w:pPr>
            <w:pStyle w:val="TOC2"/>
            <w:tabs>
              <w:tab w:val="right" w:leader="dot" w:pos="9060"/>
            </w:tabs>
            <w:ind w:left="0"/>
          </w:pPr>
          <w:hyperlink w:anchor="_Toc39583701" w:history="1">
            <w:r>
              <w:rPr>
                <w:rStyle w:val="Hyperlink"/>
              </w:rPr>
              <w:t>LIFE</w:t>
            </w:r>
            <w:r>
              <w:rPr>
                <w:webHidden/>
              </w:rPr>
              <w:tab/>
            </w:r>
            <w:r>
              <w:rPr>
                <w:webHidden/>
              </w:rPr>
              <w:fldChar w:fldCharType="begin"/>
            </w:r>
            <w:r>
              <w:rPr>
                <w:webHidden/>
              </w:rPr>
              <w:instrText xml:space="preserve"> PAGEREF _Toc39583701 \h </w:instrText>
            </w:r>
            <w:r>
              <w:rPr>
                <w:webHidden/>
              </w:rPr>
            </w:r>
            <w:r>
              <w:rPr>
                <w:webHidden/>
              </w:rPr>
              <w:fldChar w:fldCharType="separate"/>
            </w:r>
            <w:r>
              <w:rPr>
                <w:webHidden/>
              </w:rPr>
              <w:t>151</w:t>
            </w:r>
            <w:r>
              <w:rPr>
                <w:webHidden/>
              </w:rPr>
              <w:fldChar w:fldCharType="end"/>
            </w:r>
          </w:hyperlink>
        </w:p>
        <w:p w:rsidR="0060634A" w:rsidRDefault="00F76D44">
          <w:pPr>
            <w:pStyle w:val="TOC2"/>
            <w:tabs>
              <w:tab w:val="right" w:leader="dot" w:pos="9060"/>
            </w:tabs>
            <w:ind w:left="0"/>
          </w:pPr>
          <w:hyperlink w:anchor="_Toc39583702" w:history="1">
            <w:r>
              <w:rPr>
                <w:rStyle w:val="Hyperlink"/>
              </w:rPr>
              <w:t>FISHERIES AGREEMENTS</w:t>
            </w:r>
            <w:r>
              <w:rPr>
                <w:webHidden/>
              </w:rPr>
              <w:tab/>
            </w:r>
            <w:r>
              <w:rPr>
                <w:webHidden/>
              </w:rPr>
              <w:fldChar w:fldCharType="begin"/>
            </w:r>
            <w:r>
              <w:rPr>
                <w:webHidden/>
              </w:rPr>
              <w:instrText xml:space="preserve"> PAGEREF _Toc39583702 \h </w:instrText>
            </w:r>
            <w:r>
              <w:rPr>
                <w:webHidden/>
              </w:rPr>
            </w:r>
            <w:r>
              <w:rPr>
                <w:webHidden/>
              </w:rPr>
              <w:fldChar w:fldCharType="separate"/>
            </w:r>
            <w:r>
              <w:rPr>
                <w:webHidden/>
              </w:rPr>
              <w:t>154</w:t>
            </w:r>
            <w:r>
              <w:rPr>
                <w:webHidden/>
              </w:rPr>
              <w:fldChar w:fldCharType="end"/>
            </w:r>
          </w:hyperlink>
        </w:p>
        <w:p w:rsidR="0060634A" w:rsidRDefault="00F76D44">
          <w:pPr>
            <w:pStyle w:val="TOC2"/>
            <w:tabs>
              <w:tab w:val="right" w:leader="dot" w:pos="9060"/>
            </w:tabs>
            <w:ind w:left="0"/>
            <w:rPr>
              <w:rStyle w:val="Hyperlink"/>
              <w:b/>
              <w:color w:val="E48C32"/>
            </w:rPr>
          </w:pPr>
          <w:r>
            <w:rPr>
              <w:rStyle w:val="BOLDORANGEAnnexes"/>
            </w:rPr>
            <w:t>Heading 3: Security and citizenship</w:t>
          </w:r>
        </w:p>
        <w:p w:rsidR="0060634A" w:rsidRDefault="00F76D44">
          <w:pPr>
            <w:pStyle w:val="TOC2"/>
            <w:tabs>
              <w:tab w:val="right" w:leader="dot" w:pos="9060"/>
            </w:tabs>
            <w:ind w:left="0"/>
          </w:pPr>
          <w:hyperlink w:anchor="_Toc39583703" w:history="1">
            <w:r>
              <w:rPr>
                <w:rStyle w:val="Hyperlink"/>
              </w:rPr>
              <w:t>AMIF</w:t>
            </w:r>
            <w:r>
              <w:rPr>
                <w:webHidden/>
              </w:rPr>
              <w:tab/>
            </w:r>
            <w:r>
              <w:rPr>
                <w:webHidden/>
              </w:rPr>
              <w:fldChar w:fldCharType="begin"/>
            </w:r>
            <w:r>
              <w:rPr>
                <w:webHidden/>
              </w:rPr>
              <w:instrText xml:space="preserve"> PAGEREF _Toc39583703 \h </w:instrText>
            </w:r>
            <w:r>
              <w:rPr>
                <w:webHidden/>
              </w:rPr>
            </w:r>
            <w:r>
              <w:rPr>
                <w:webHidden/>
              </w:rPr>
              <w:fldChar w:fldCharType="separate"/>
            </w:r>
            <w:r>
              <w:rPr>
                <w:webHidden/>
              </w:rPr>
              <w:t>156</w:t>
            </w:r>
            <w:r>
              <w:rPr>
                <w:webHidden/>
              </w:rPr>
              <w:fldChar w:fldCharType="end"/>
            </w:r>
          </w:hyperlink>
        </w:p>
        <w:p w:rsidR="0060634A" w:rsidRDefault="00F76D44">
          <w:pPr>
            <w:pStyle w:val="TOC2"/>
            <w:tabs>
              <w:tab w:val="right" w:leader="dot" w:pos="9060"/>
            </w:tabs>
            <w:ind w:left="0"/>
          </w:pPr>
          <w:hyperlink w:anchor="_Toc39583704" w:history="1">
            <w:r>
              <w:rPr>
                <w:rStyle w:val="Hyperlink"/>
              </w:rPr>
              <w:t>INTERNAL SECURITY FUND</w:t>
            </w:r>
            <w:r>
              <w:rPr>
                <w:webHidden/>
              </w:rPr>
              <w:tab/>
            </w:r>
            <w:r>
              <w:rPr>
                <w:webHidden/>
              </w:rPr>
              <w:fldChar w:fldCharType="begin"/>
            </w:r>
            <w:r>
              <w:rPr>
                <w:webHidden/>
              </w:rPr>
              <w:instrText xml:space="preserve"> PAGEREF _Toc39583704 \h </w:instrText>
            </w:r>
            <w:r>
              <w:rPr>
                <w:webHidden/>
              </w:rPr>
            </w:r>
            <w:r>
              <w:rPr>
                <w:webHidden/>
              </w:rPr>
              <w:fldChar w:fldCharType="separate"/>
            </w:r>
            <w:r>
              <w:rPr>
                <w:webHidden/>
              </w:rPr>
              <w:t>159</w:t>
            </w:r>
            <w:r>
              <w:rPr>
                <w:webHidden/>
              </w:rPr>
              <w:fldChar w:fldCharType="end"/>
            </w:r>
          </w:hyperlink>
        </w:p>
        <w:p w:rsidR="0060634A" w:rsidRDefault="00F76D44">
          <w:pPr>
            <w:pStyle w:val="TOC2"/>
            <w:tabs>
              <w:tab w:val="right" w:leader="dot" w:pos="9060"/>
            </w:tabs>
            <w:ind w:left="0"/>
          </w:pPr>
          <w:hyperlink w:anchor="_Toc39583705" w:history="1">
            <w:r>
              <w:rPr>
                <w:rStyle w:val="Hyperlink"/>
              </w:rPr>
              <w:t>JUSTICE PR</w:t>
            </w:r>
            <w:r>
              <w:rPr>
                <w:rStyle w:val="Hyperlink"/>
              </w:rPr>
              <w:t>OGRAMME</w:t>
            </w:r>
            <w:r>
              <w:rPr>
                <w:webHidden/>
              </w:rPr>
              <w:tab/>
            </w:r>
            <w:r>
              <w:rPr>
                <w:webHidden/>
              </w:rPr>
              <w:fldChar w:fldCharType="begin"/>
            </w:r>
            <w:r>
              <w:rPr>
                <w:webHidden/>
              </w:rPr>
              <w:instrText xml:space="preserve"> PAGEREF _Toc39583705 \h </w:instrText>
            </w:r>
            <w:r>
              <w:rPr>
                <w:webHidden/>
              </w:rPr>
            </w:r>
            <w:r>
              <w:rPr>
                <w:webHidden/>
              </w:rPr>
              <w:fldChar w:fldCharType="separate"/>
            </w:r>
            <w:r>
              <w:rPr>
                <w:webHidden/>
              </w:rPr>
              <w:t>161</w:t>
            </w:r>
            <w:r>
              <w:rPr>
                <w:webHidden/>
              </w:rPr>
              <w:fldChar w:fldCharType="end"/>
            </w:r>
          </w:hyperlink>
        </w:p>
        <w:p w:rsidR="0060634A" w:rsidRDefault="00F76D44">
          <w:pPr>
            <w:pStyle w:val="TOC2"/>
            <w:tabs>
              <w:tab w:val="right" w:leader="dot" w:pos="9060"/>
            </w:tabs>
            <w:ind w:left="0"/>
          </w:pPr>
          <w:hyperlink w:anchor="_Toc39583706" w:history="1">
            <w:r>
              <w:rPr>
                <w:rStyle w:val="Hyperlink"/>
              </w:rPr>
              <w:t>RIGHTS, EQUALITY AND CITIZENSHIP PROGRAMME</w:t>
            </w:r>
            <w:r>
              <w:rPr>
                <w:webHidden/>
              </w:rPr>
              <w:tab/>
            </w:r>
            <w:r>
              <w:rPr>
                <w:webHidden/>
              </w:rPr>
              <w:fldChar w:fldCharType="begin"/>
            </w:r>
            <w:r>
              <w:rPr>
                <w:webHidden/>
              </w:rPr>
              <w:instrText xml:space="preserve"> PAGEREF _Toc39583706 \h </w:instrText>
            </w:r>
            <w:r>
              <w:rPr>
                <w:webHidden/>
              </w:rPr>
            </w:r>
            <w:r>
              <w:rPr>
                <w:webHidden/>
              </w:rPr>
              <w:fldChar w:fldCharType="separate"/>
            </w:r>
            <w:r>
              <w:rPr>
                <w:webHidden/>
              </w:rPr>
              <w:t>163</w:t>
            </w:r>
            <w:r>
              <w:rPr>
                <w:webHidden/>
              </w:rPr>
              <w:fldChar w:fldCharType="end"/>
            </w:r>
          </w:hyperlink>
        </w:p>
        <w:p w:rsidR="0060634A" w:rsidRDefault="00F76D44">
          <w:pPr>
            <w:pStyle w:val="TOC2"/>
            <w:tabs>
              <w:tab w:val="right" w:leader="dot" w:pos="9060"/>
            </w:tabs>
            <w:ind w:left="0"/>
          </w:pPr>
          <w:hyperlink w:anchor="_Toc39583707" w:history="1">
            <w:r>
              <w:rPr>
                <w:rStyle w:val="Hyperlink"/>
              </w:rPr>
              <w:t>EUROPE FOR CITIZENS</w:t>
            </w:r>
            <w:r>
              <w:rPr>
                <w:webHidden/>
              </w:rPr>
              <w:tab/>
            </w:r>
            <w:r>
              <w:rPr>
                <w:webHidden/>
              </w:rPr>
              <w:fldChar w:fldCharType="begin"/>
            </w:r>
            <w:r>
              <w:rPr>
                <w:webHidden/>
              </w:rPr>
              <w:instrText xml:space="preserve"> PAGEREF _Toc39583707 \h </w:instrText>
            </w:r>
            <w:r>
              <w:rPr>
                <w:webHidden/>
              </w:rPr>
            </w:r>
            <w:r>
              <w:rPr>
                <w:webHidden/>
              </w:rPr>
              <w:fldChar w:fldCharType="separate"/>
            </w:r>
            <w:r>
              <w:rPr>
                <w:webHidden/>
              </w:rPr>
              <w:t>165</w:t>
            </w:r>
            <w:r>
              <w:rPr>
                <w:webHidden/>
              </w:rPr>
              <w:fldChar w:fldCharType="end"/>
            </w:r>
          </w:hyperlink>
        </w:p>
        <w:p w:rsidR="0060634A" w:rsidRDefault="00F76D44">
          <w:pPr>
            <w:pStyle w:val="TOC2"/>
            <w:tabs>
              <w:tab w:val="right" w:leader="dot" w:pos="9060"/>
            </w:tabs>
            <w:ind w:left="0"/>
          </w:pPr>
          <w:hyperlink w:anchor="_Toc39583708" w:history="1">
            <w:r>
              <w:rPr>
                <w:rStyle w:val="Hyperlink"/>
              </w:rPr>
              <w:t>CIVIL PROTECTION</w:t>
            </w:r>
            <w:r>
              <w:rPr>
                <w:webHidden/>
              </w:rPr>
              <w:tab/>
            </w:r>
            <w:r>
              <w:rPr>
                <w:webHidden/>
              </w:rPr>
              <w:fldChar w:fldCharType="begin"/>
            </w:r>
            <w:r>
              <w:rPr>
                <w:webHidden/>
              </w:rPr>
              <w:instrText xml:space="preserve"> PAGEREF _Toc39583708 \h </w:instrText>
            </w:r>
            <w:r>
              <w:rPr>
                <w:webHidden/>
              </w:rPr>
            </w:r>
            <w:r>
              <w:rPr>
                <w:webHidden/>
              </w:rPr>
              <w:fldChar w:fldCharType="separate"/>
            </w:r>
            <w:r>
              <w:rPr>
                <w:webHidden/>
              </w:rPr>
              <w:t>167</w:t>
            </w:r>
            <w:r>
              <w:rPr>
                <w:webHidden/>
              </w:rPr>
              <w:fldChar w:fldCharType="end"/>
            </w:r>
          </w:hyperlink>
        </w:p>
        <w:p w:rsidR="0060634A" w:rsidRDefault="00F76D44">
          <w:pPr>
            <w:pStyle w:val="TOC2"/>
            <w:tabs>
              <w:tab w:val="right" w:leader="dot" w:pos="9060"/>
            </w:tabs>
            <w:ind w:left="0"/>
          </w:pPr>
          <w:hyperlink w:anchor="_Toc39583709" w:history="1">
            <w:r>
              <w:rPr>
                <w:rStyle w:val="Hyperlink"/>
              </w:rPr>
              <w:t>FOOD AND FEED</w:t>
            </w:r>
            <w:r>
              <w:rPr>
                <w:webHidden/>
              </w:rPr>
              <w:tab/>
            </w:r>
            <w:r>
              <w:rPr>
                <w:webHidden/>
              </w:rPr>
              <w:fldChar w:fldCharType="begin"/>
            </w:r>
            <w:r>
              <w:rPr>
                <w:webHidden/>
              </w:rPr>
              <w:instrText xml:space="preserve"> PAGEREF _Toc39583709 \h </w:instrText>
            </w:r>
            <w:r>
              <w:rPr>
                <w:webHidden/>
              </w:rPr>
            </w:r>
            <w:r>
              <w:rPr>
                <w:webHidden/>
              </w:rPr>
              <w:fldChar w:fldCharType="separate"/>
            </w:r>
            <w:r>
              <w:rPr>
                <w:webHidden/>
              </w:rPr>
              <w:t>169</w:t>
            </w:r>
            <w:r>
              <w:rPr>
                <w:webHidden/>
              </w:rPr>
              <w:fldChar w:fldCharType="end"/>
            </w:r>
          </w:hyperlink>
        </w:p>
        <w:p w:rsidR="0060634A" w:rsidRDefault="00F76D44">
          <w:pPr>
            <w:pStyle w:val="TOC2"/>
            <w:tabs>
              <w:tab w:val="right" w:leader="dot" w:pos="9060"/>
            </w:tabs>
            <w:ind w:left="0"/>
          </w:pPr>
          <w:hyperlink w:anchor="_Toc39583710" w:history="1">
            <w:r>
              <w:rPr>
                <w:rStyle w:val="Hyperlink"/>
              </w:rPr>
              <w:t>HEALTH PROGRAMME</w:t>
            </w:r>
            <w:r>
              <w:rPr>
                <w:webHidden/>
              </w:rPr>
              <w:tab/>
            </w:r>
            <w:r>
              <w:rPr>
                <w:webHidden/>
              </w:rPr>
              <w:fldChar w:fldCharType="begin"/>
            </w:r>
            <w:r>
              <w:rPr>
                <w:webHidden/>
              </w:rPr>
              <w:instrText xml:space="preserve"> PAGEREF _T</w:instrText>
            </w:r>
            <w:r>
              <w:rPr>
                <w:webHidden/>
              </w:rPr>
              <w:instrText xml:space="preserve">oc39583710 \h </w:instrText>
            </w:r>
            <w:r>
              <w:rPr>
                <w:webHidden/>
              </w:rPr>
            </w:r>
            <w:r>
              <w:rPr>
                <w:webHidden/>
              </w:rPr>
              <w:fldChar w:fldCharType="separate"/>
            </w:r>
            <w:r>
              <w:rPr>
                <w:webHidden/>
              </w:rPr>
              <w:t>171</w:t>
            </w:r>
            <w:r>
              <w:rPr>
                <w:webHidden/>
              </w:rPr>
              <w:fldChar w:fldCharType="end"/>
            </w:r>
          </w:hyperlink>
        </w:p>
        <w:p w:rsidR="0060634A" w:rsidRDefault="00F76D44">
          <w:pPr>
            <w:pStyle w:val="TOC2"/>
            <w:tabs>
              <w:tab w:val="right" w:leader="dot" w:pos="9060"/>
            </w:tabs>
            <w:ind w:left="0"/>
          </w:pPr>
          <w:hyperlink w:anchor="_Toc39583711" w:history="1">
            <w:r>
              <w:rPr>
                <w:rStyle w:val="Hyperlink"/>
              </w:rPr>
              <w:t>CONSUMER PROGRAMME</w:t>
            </w:r>
            <w:r>
              <w:rPr>
                <w:webHidden/>
              </w:rPr>
              <w:tab/>
            </w:r>
            <w:r>
              <w:rPr>
                <w:webHidden/>
              </w:rPr>
              <w:fldChar w:fldCharType="begin"/>
            </w:r>
            <w:r>
              <w:rPr>
                <w:webHidden/>
              </w:rPr>
              <w:instrText xml:space="preserve"> PAGEREF _Toc39583711 \h </w:instrText>
            </w:r>
            <w:r>
              <w:rPr>
                <w:webHidden/>
              </w:rPr>
            </w:r>
            <w:r>
              <w:rPr>
                <w:webHidden/>
              </w:rPr>
              <w:fldChar w:fldCharType="separate"/>
            </w:r>
            <w:r>
              <w:rPr>
                <w:webHidden/>
              </w:rPr>
              <w:t>174</w:t>
            </w:r>
            <w:r>
              <w:rPr>
                <w:webHidden/>
              </w:rPr>
              <w:fldChar w:fldCharType="end"/>
            </w:r>
          </w:hyperlink>
        </w:p>
        <w:p w:rsidR="0060634A" w:rsidRDefault="00F76D44">
          <w:pPr>
            <w:pStyle w:val="TOC2"/>
            <w:tabs>
              <w:tab w:val="right" w:leader="dot" w:pos="9060"/>
            </w:tabs>
            <w:ind w:left="0"/>
          </w:pPr>
          <w:hyperlink w:anchor="_Toc39583712" w:history="1">
            <w:r>
              <w:rPr>
                <w:rStyle w:val="Hyperlink"/>
              </w:rPr>
              <w:t>CREATIVE EUROPE</w:t>
            </w:r>
            <w:r>
              <w:rPr>
                <w:webHidden/>
              </w:rPr>
              <w:tab/>
            </w:r>
            <w:r>
              <w:rPr>
                <w:webHidden/>
              </w:rPr>
              <w:fldChar w:fldCharType="begin"/>
            </w:r>
            <w:r>
              <w:rPr>
                <w:webHidden/>
              </w:rPr>
              <w:instrText xml:space="preserve"> PAGEREF _Toc39583712 \h </w:instrText>
            </w:r>
            <w:r>
              <w:rPr>
                <w:webHidden/>
              </w:rPr>
            </w:r>
            <w:r>
              <w:rPr>
                <w:webHidden/>
              </w:rPr>
              <w:fldChar w:fldCharType="separate"/>
            </w:r>
            <w:r>
              <w:rPr>
                <w:webHidden/>
              </w:rPr>
              <w:t>176</w:t>
            </w:r>
            <w:r>
              <w:rPr>
                <w:webHidden/>
              </w:rPr>
              <w:fldChar w:fldCharType="end"/>
            </w:r>
          </w:hyperlink>
        </w:p>
        <w:p w:rsidR="0060634A" w:rsidRDefault="00F76D44">
          <w:pPr>
            <w:pStyle w:val="TOC2"/>
            <w:tabs>
              <w:tab w:val="right" w:leader="dot" w:pos="9060"/>
            </w:tabs>
            <w:ind w:left="0"/>
            <w:rPr>
              <w:rStyle w:val="Hyperlink"/>
            </w:rPr>
          </w:pPr>
          <w:hyperlink w:anchor="_Toc39583713" w:history="1">
            <w:r>
              <w:rPr>
                <w:rStyle w:val="Hyperlink"/>
              </w:rPr>
              <w:t>COMMUNICATION</w:t>
            </w:r>
            <w:r>
              <w:rPr>
                <w:webHidden/>
              </w:rPr>
              <w:tab/>
            </w:r>
            <w:r>
              <w:rPr>
                <w:webHidden/>
              </w:rPr>
              <w:fldChar w:fldCharType="begin"/>
            </w:r>
            <w:r>
              <w:rPr>
                <w:webHidden/>
              </w:rPr>
              <w:instrText xml:space="preserve"> P</w:instrText>
            </w:r>
            <w:r>
              <w:rPr>
                <w:webHidden/>
              </w:rPr>
              <w:instrText xml:space="preserve">AGEREF _Toc39583713 \h </w:instrText>
            </w:r>
            <w:r>
              <w:rPr>
                <w:webHidden/>
              </w:rPr>
            </w:r>
            <w:r>
              <w:rPr>
                <w:webHidden/>
              </w:rPr>
              <w:fldChar w:fldCharType="separate"/>
            </w:r>
            <w:r>
              <w:rPr>
                <w:webHidden/>
              </w:rPr>
              <w:t>179</w:t>
            </w:r>
            <w:r>
              <w:rPr>
                <w:webHidden/>
              </w:rPr>
              <w:fldChar w:fldCharType="end"/>
            </w:r>
          </w:hyperlink>
        </w:p>
        <w:p w:rsidR="0060634A" w:rsidRDefault="00F76D44">
          <w:pPr>
            <w:pStyle w:val="TOC2"/>
            <w:tabs>
              <w:tab w:val="right" w:leader="dot" w:pos="9060"/>
            </w:tabs>
            <w:ind w:left="0"/>
          </w:pPr>
          <w:r>
            <w:rPr>
              <w:rStyle w:val="BOLDORANGEAnnexes"/>
            </w:rPr>
            <w:t>Heading 4: Global Europe</w:t>
          </w:r>
        </w:p>
        <w:p w:rsidR="0060634A" w:rsidRDefault="00F76D44">
          <w:pPr>
            <w:pStyle w:val="TOC2"/>
            <w:tabs>
              <w:tab w:val="right" w:leader="dot" w:pos="9060"/>
            </w:tabs>
            <w:ind w:left="0"/>
          </w:pPr>
          <w:hyperlink w:anchor="_Toc39583714" w:history="1">
            <w:r>
              <w:rPr>
                <w:rStyle w:val="Hyperlink"/>
              </w:rPr>
              <w:t>IPA II</w:t>
            </w:r>
            <w:r>
              <w:rPr>
                <w:webHidden/>
              </w:rPr>
              <w:tab/>
            </w:r>
            <w:r>
              <w:rPr>
                <w:webHidden/>
              </w:rPr>
              <w:fldChar w:fldCharType="begin"/>
            </w:r>
            <w:r>
              <w:rPr>
                <w:webHidden/>
              </w:rPr>
              <w:instrText xml:space="preserve"> PAGEREF _Toc39583714 \h </w:instrText>
            </w:r>
            <w:r>
              <w:rPr>
                <w:webHidden/>
              </w:rPr>
            </w:r>
            <w:r>
              <w:rPr>
                <w:webHidden/>
              </w:rPr>
              <w:fldChar w:fldCharType="separate"/>
            </w:r>
            <w:r>
              <w:rPr>
                <w:webHidden/>
              </w:rPr>
              <w:t>181</w:t>
            </w:r>
            <w:r>
              <w:rPr>
                <w:webHidden/>
              </w:rPr>
              <w:fldChar w:fldCharType="end"/>
            </w:r>
          </w:hyperlink>
        </w:p>
        <w:p w:rsidR="0060634A" w:rsidRDefault="00F76D44">
          <w:pPr>
            <w:pStyle w:val="TOC2"/>
            <w:tabs>
              <w:tab w:val="right" w:leader="dot" w:pos="9060"/>
            </w:tabs>
            <w:ind w:left="0"/>
          </w:pPr>
          <w:hyperlink w:anchor="_Toc39583715" w:history="1">
            <w:r>
              <w:rPr>
                <w:rStyle w:val="Hyperlink"/>
              </w:rPr>
              <w:t>TURKISH CYPRIOT COMMUNITY</w:t>
            </w:r>
            <w:r>
              <w:rPr>
                <w:webHidden/>
              </w:rPr>
              <w:tab/>
            </w:r>
            <w:r>
              <w:rPr>
                <w:webHidden/>
              </w:rPr>
              <w:fldChar w:fldCharType="begin"/>
            </w:r>
            <w:r>
              <w:rPr>
                <w:webHidden/>
              </w:rPr>
              <w:instrText xml:space="preserve"> PAGEREF _Toc39583715 \h </w:instrText>
            </w:r>
            <w:r>
              <w:rPr>
                <w:webHidden/>
              </w:rPr>
            </w:r>
            <w:r>
              <w:rPr>
                <w:webHidden/>
              </w:rPr>
              <w:fldChar w:fldCharType="separate"/>
            </w:r>
            <w:r>
              <w:rPr>
                <w:webHidden/>
              </w:rPr>
              <w:t>184</w:t>
            </w:r>
            <w:r>
              <w:rPr>
                <w:webHidden/>
              </w:rPr>
              <w:fldChar w:fldCharType="end"/>
            </w:r>
          </w:hyperlink>
        </w:p>
        <w:p w:rsidR="0060634A" w:rsidRDefault="00F76D44">
          <w:pPr>
            <w:pStyle w:val="TOC2"/>
            <w:tabs>
              <w:tab w:val="right" w:leader="dot" w:pos="9060"/>
            </w:tabs>
            <w:ind w:left="0"/>
          </w:pPr>
          <w:hyperlink w:anchor="_Toc39583716" w:history="1">
            <w:r>
              <w:rPr>
                <w:rStyle w:val="Hyperlink"/>
              </w:rPr>
              <w:t>EUROPEAN NEIGHBOURHOOD</w:t>
            </w:r>
            <w:r>
              <w:rPr>
                <w:webHidden/>
              </w:rPr>
              <w:tab/>
            </w:r>
            <w:r>
              <w:rPr>
                <w:webHidden/>
              </w:rPr>
              <w:fldChar w:fldCharType="begin"/>
            </w:r>
            <w:r>
              <w:rPr>
                <w:webHidden/>
              </w:rPr>
              <w:instrText xml:space="preserve"> PAGEREF _Toc39583716 \h </w:instrText>
            </w:r>
            <w:r>
              <w:rPr>
                <w:webHidden/>
              </w:rPr>
            </w:r>
            <w:r>
              <w:rPr>
                <w:webHidden/>
              </w:rPr>
              <w:fldChar w:fldCharType="separate"/>
            </w:r>
            <w:r>
              <w:rPr>
                <w:webHidden/>
              </w:rPr>
              <w:t>186</w:t>
            </w:r>
            <w:r>
              <w:rPr>
                <w:webHidden/>
              </w:rPr>
              <w:fldChar w:fldCharType="end"/>
            </w:r>
          </w:hyperlink>
        </w:p>
        <w:p w:rsidR="0060634A" w:rsidRDefault="00F76D44">
          <w:pPr>
            <w:pStyle w:val="TOC2"/>
            <w:tabs>
              <w:tab w:val="right" w:leader="dot" w:pos="9060"/>
            </w:tabs>
            <w:ind w:left="0"/>
          </w:pPr>
          <w:hyperlink w:anchor="_Toc39583717" w:history="1">
            <w:r>
              <w:rPr>
                <w:rStyle w:val="Hyperlink"/>
              </w:rPr>
              <w:t>DEVELOPMENT COOPERATION</w:t>
            </w:r>
            <w:r>
              <w:rPr>
                <w:webHidden/>
              </w:rPr>
              <w:tab/>
            </w:r>
            <w:r>
              <w:rPr>
                <w:webHidden/>
              </w:rPr>
              <w:fldChar w:fldCharType="begin"/>
            </w:r>
            <w:r>
              <w:rPr>
                <w:webHidden/>
              </w:rPr>
              <w:instrText xml:space="preserve"> PAGEREF _Toc39583717 \h </w:instrText>
            </w:r>
            <w:r>
              <w:rPr>
                <w:webHidden/>
              </w:rPr>
            </w:r>
            <w:r>
              <w:rPr>
                <w:webHidden/>
              </w:rPr>
              <w:fldChar w:fldCharType="separate"/>
            </w:r>
            <w:r>
              <w:rPr>
                <w:webHidden/>
              </w:rPr>
              <w:t>189</w:t>
            </w:r>
            <w:r>
              <w:rPr>
                <w:webHidden/>
              </w:rPr>
              <w:fldChar w:fldCharType="end"/>
            </w:r>
          </w:hyperlink>
        </w:p>
        <w:p w:rsidR="0060634A" w:rsidRDefault="00F76D44">
          <w:pPr>
            <w:pStyle w:val="TOC2"/>
            <w:tabs>
              <w:tab w:val="right" w:leader="dot" w:pos="9060"/>
            </w:tabs>
            <w:ind w:left="0"/>
          </w:pPr>
          <w:hyperlink w:anchor="_Toc39583718" w:history="1">
            <w:r>
              <w:rPr>
                <w:rStyle w:val="Hyperlink"/>
              </w:rPr>
              <w:t>PARTNERSHIP INSTRUMENT</w:t>
            </w:r>
            <w:r>
              <w:rPr>
                <w:webHidden/>
              </w:rPr>
              <w:tab/>
            </w:r>
            <w:r>
              <w:rPr>
                <w:webHidden/>
              </w:rPr>
              <w:fldChar w:fldCharType="begin"/>
            </w:r>
            <w:r>
              <w:rPr>
                <w:webHidden/>
              </w:rPr>
              <w:instrText xml:space="preserve"> PAGEREF _Toc39583718 \h </w:instrText>
            </w:r>
            <w:r>
              <w:rPr>
                <w:webHidden/>
              </w:rPr>
            </w:r>
            <w:r>
              <w:rPr>
                <w:webHidden/>
              </w:rPr>
              <w:fldChar w:fldCharType="separate"/>
            </w:r>
            <w:r>
              <w:rPr>
                <w:webHidden/>
              </w:rPr>
              <w:t>192</w:t>
            </w:r>
            <w:r>
              <w:rPr>
                <w:webHidden/>
              </w:rPr>
              <w:fldChar w:fldCharType="end"/>
            </w:r>
          </w:hyperlink>
        </w:p>
        <w:p w:rsidR="0060634A" w:rsidRDefault="00F76D44">
          <w:pPr>
            <w:pStyle w:val="TOC2"/>
            <w:tabs>
              <w:tab w:val="right" w:leader="dot" w:pos="9060"/>
            </w:tabs>
            <w:ind w:left="0"/>
          </w:pPr>
          <w:hyperlink w:anchor="_Toc39583719" w:history="1">
            <w:r>
              <w:rPr>
                <w:rStyle w:val="Hyperlink"/>
              </w:rPr>
              <w:t>EIDHR</w:t>
            </w:r>
            <w:r>
              <w:rPr>
                <w:webHidden/>
              </w:rPr>
              <w:tab/>
            </w:r>
            <w:r>
              <w:rPr>
                <w:webHidden/>
              </w:rPr>
              <w:fldChar w:fldCharType="begin"/>
            </w:r>
            <w:r>
              <w:rPr>
                <w:webHidden/>
              </w:rPr>
              <w:instrText xml:space="preserve"> PAGEREF _Toc39583719 \h </w:instrText>
            </w:r>
            <w:r>
              <w:rPr>
                <w:webHidden/>
              </w:rPr>
            </w:r>
            <w:r>
              <w:rPr>
                <w:webHidden/>
              </w:rPr>
              <w:fldChar w:fldCharType="separate"/>
            </w:r>
            <w:r>
              <w:rPr>
                <w:webHidden/>
              </w:rPr>
              <w:t>194</w:t>
            </w:r>
            <w:r>
              <w:rPr>
                <w:webHidden/>
              </w:rPr>
              <w:fldChar w:fldCharType="end"/>
            </w:r>
          </w:hyperlink>
        </w:p>
        <w:p w:rsidR="0060634A" w:rsidRDefault="00F76D44">
          <w:pPr>
            <w:pStyle w:val="TOC2"/>
            <w:tabs>
              <w:tab w:val="right" w:leader="dot" w:pos="9060"/>
            </w:tabs>
            <w:ind w:left="0"/>
          </w:pPr>
          <w:hyperlink w:anchor="_Toc39583720" w:history="1">
            <w:r>
              <w:rPr>
                <w:rStyle w:val="Hyperlink"/>
              </w:rPr>
              <w:t>STABILITY AND PEACE</w:t>
            </w:r>
            <w:r>
              <w:rPr>
                <w:webHidden/>
              </w:rPr>
              <w:tab/>
            </w:r>
            <w:r>
              <w:rPr>
                <w:webHidden/>
              </w:rPr>
              <w:fldChar w:fldCharType="begin"/>
            </w:r>
            <w:r>
              <w:rPr>
                <w:webHidden/>
              </w:rPr>
              <w:instrText xml:space="preserve"> PAGEREF _Toc39583720 \h </w:instrText>
            </w:r>
            <w:r>
              <w:rPr>
                <w:webHidden/>
              </w:rPr>
            </w:r>
            <w:r>
              <w:rPr>
                <w:webHidden/>
              </w:rPr>
              <w:fldChar w:fldCharType="separate"/>
            </w:r>
            <w:r>
              <w:rPr>
                <w:webHidden/>
              </w:rPr>
              <w:t>196</w:t>
            </w:r>
            <w:r>
              <w:rPr>
                <w:webHidden/>
              </w:rPr>
              <w:fldChar w:fldCharType="end"/>
            </w:r>
          </w:hyperlink>
        </w:p>
        <w:p w:rsidR="0060634A" w:rsidRDefault="00F76D44">
          <w:pPr>
            <w:pStyle w:val="TOC2"/>
            <w:tabs>
              <w:tab w:val="right" w:leader="dot" w:pos="9060"/>
            </w:tabs>
            <w:ind w:left="0"/>
          </w:pPr>
          <w:hyperlink w:anchor="_Toc39583721" w:history="1">
            <w:r>
              <w:rPr>
                <w:rStyle w:val="Hyperlink"/>
              </w:rPr>
              <w:t>HUMA</w:t>
            </w:r>
            <w:r>
              <w:rPr>
                <w:webHidden/>
              </w:rPr>
              <w:tab/>
            </w:r>
            <w:r>
              <w:rPr>
                <w:webHidden/>
              </w:rPr>
              <w:fldChar w:fldCharType="begin"/>
            </w:r>
            <w:r>
              <w:rPr>
                <w:webHidden/>
              </w:rPr>
              <w:instrText xml:space="preserve"> PAGEREF _Toc39583721 \h </w:instrText>
            </w:r>
            <w:r>
              <w:rPr>
                <w:webHidden/>
              </w:rPr>
            </w:r>
            <w:r>
              <w:rPr>
                <w:webHidden/>
              </w:rPr>
              <w:fldChar w:fldCharType="separate"/>
            </w:r>
            <w:r>
              <w:rPr>
                <w:webHidden/>
              </w:rPr>
              <w:t>198</w:t>
            </w:r>
            <w:r>
              <w:rPr>
                <w:webHidden/>
              </w:rPr>
              <w:fldChar w:fldCharType="end"/>
            </w:r>
          </w:hyperlink>
        </w:p>
        <w:p w:rsidR="0060634A" w:rsidRDefault="00F76D44">
          <w:pPr>
            <w:pStyle w:val="TOC2"/>
            <w:tabs>
              <w:tab w:val="right" w:leader="dot" w:pos="9060"/>
            </w:tabs>
            <w:ind w:left="0"/>
          </w:pPr>
          <w:hyperlink w:anchor="_Toc39583722" w:history="1">
            <w:r>
              <w:rPr>
                <w:rStyle w:val="Hyperlink"/>
              </w:rPr>
              <w:t>CFSP</w:t>
            </w:r>
            <w:r>
              <w:rPr>
                <w:webHidden/>
              </w:rPr>
              <w:tab/>
            </w:r>
            <w:r>
              <w:rPr>
                <w:webHidden/>
              </w:rPr>
              <w:fldChar w:fldCharType="begin"/>
            </w:r>
            <w:r>
              <w:rPr>
                <w:webHidden/>
              </w:rPr>
              <w:instrText xml:space="preserve"> PAGEREF _Toc39583722 \h </w:instrText>
            </w:r>
            <w:r>
              <w:rPr>
                <w:webHidden/>
              </w:rPr>
            </w:r>
            <w:r>
              <w:rPr>
                <w:webHidden/>
              </w:rPr>
              <w:fldChar w:fldCharType="separate"/>
            </w:r>
            <w:r>
              <w:rPr>
                <w:webHidden/>
              </w:rPr>
              <w:t>200</w:t>
            </w:r>
            <w:r>
              <w:rPr>
                <w:webHidden/>
              </w:rPr>
              <w:fldChar w:fldCharType="end"/>
            </w:r>
          </w:hyperlink>
        </w:p>
        <w:p w:rsidR="0060634A" w:rsidRDefault="00F76D44">
          <w:pPr>
            <w:pStyle w:val="TOC2"/>
            <w:tabs>
              <w:tab w:val="right" w:leader="dot" w:pos="9060"/>
            </w:tabs>
            <w:ind w:left="0"/>
          </w:pPr>
          <w:hyperlink w:anchor="_Toc39583723" w:history="1">
            <w:r>
              <w:rPr>
                <w:rStyle w:val="Hyperlink"/>
              </w:rPr>
              <w:t>NUCLEAR COOPERATION II</w:t>
            </w:r>
            <w:r>
              <w:rPr>
                <w:webHidden/>
              </w:rPr>
              <w:tab/>
            </w:r>
            <w:r>
              <w:rPr>
                <w:webHidden/>
              </w:rPr>
              <w:fldChar w:fldCharType="begin"/>
            </w:r>
            <w:r>
              <w:rPr>
                <w:webHidden/>
              </w:rPr>
              <w:instrText xml:space="preserve"> PAGEREF _Toc39583723 \h </w:instrText>
            </w:r>
            <w:r>
              <w:rPr>
                <w:webHidden/>
              </w:rPr>
            </w:r>
            <w:r>
              <w:rPr>
                <w:webHidden/>
              </w:rPr>
              <w:fldChar w:fldCharType="separate"/>
            </w:r>
            <w:r>
              <w:rPr>
                <w:webHidden/>
              </w:rPr>
              <w:t>202</w:t>
            </w:r>
            <w:r>
              <w:rPr>
                <w:webHidden/>
              </w:rPr>
              <w:fldChar w:fldCharType="end"/>
            </w:r>
          </w:hyperlink>
        </w:p>
        <w:p w:rsidR="0060634A" w:rsidRDefault="00F76D44">
          <w:pPr>
            <w:pStyle w:val="TOC2"/>
            <w:tabs>
              <w:tab w:val="right" w:leader="dot" w:pos="9060"/>
            </w:tabs>
            <w:ind w:left="0"/>
          </w:pPr>
          <w:hyperlink w:anchor="_Toc39583724" w:history="1">
            <w:r>
              <w:rPr>
                <w:rStyle w:val="Hyperlink"/>
              </w:rPr>
              <w:t>CIVIL PROTECTION</w:t>
            </w:r>
            <w:r>
              <w:rPr>
                <w:webHidden/>
              </w:rPr>
              <w:tab/>
            </w:r>
            <w:r>
              <w:rPr>
                <w:webHidden/>
              </w:rPr>
              <w:fldChar w:fldCharType="begin"/>
            </w:r>
            <w:r>
              <w:rPr>
                <w:webHidden/>
              </w:rPr>
              <w:instrText xml:space="preserve"> PAGEREF _Toc39583724 \h </w:instrText>
            </w:r>
            <w:r>
              <w:rPr>
                <w:webHidden/>
              </w:rPr>
            </w:r>
            <w:r>
              <w:rPr>
                <w:webHidden/>
              </w:rPr>
              <w:fldChar w:fldCharType="separate"/>
            </w:r>
            <w:r>
              <w:rPr>
                <w:webHidden/>
              </w:rPr>
              <w:t>204</w:t>
            </w:r>
            <w:r>
              <w:rPr>
                <w:webHidden/>
              </w:rPr>
              <w:fldChar w:fldCharType="end"/>
            </w:r>
          </w:hyperlink>
        </w:p>
        <w:p w:rsidR="0060634A" w:rsidRDefault="00F76D44">
          <w:pPr>
            <w:pStyle w:val="TOC2"/>
            <w:tabs>
              <w:tab w:val="right" w:leader="dot" w:pos="9060"/>
            </w:tabs>
            <w:ind w:left="0"/>
          </w:pPr>
          <w:hyperlink w:anchor="_Toc39583725" w:history="1">
            <w:r>
              <w:rPr>
                <w:rStyle w:val="Hyperlink"/>
              </w:rPr>
              <w:t>EU AID VOLUNTEERS</w:t>
            </w:r>
            <w:r>
              <w:rPr>
                <w:webHidden/>
              </w:rPr>
              <w:tab/>
            </w:r>
            <w:r>
              <w:rPr>
                <w:webHidden/>
              </w:rPr>
              <w:fldChar w:fldCharType="begin"/>
            </w:r>
            <w:r>
              <w:rPr>
                <w:webHidden/>
              </w:rPr>
              <w:instrText xml:space="preserve"> PAGEREF _Toc39583725 \h </w:instrText>
            </w:r>
            <w:r>
              <w:rPr>
                <w:webHidden/>
              </w:rPr>
            </w:r>
            <w:r>
              <w:rPr>
                <w:webHidden/>
              </w:rPr>
              <w:fldChar w:fldCharType="separate"/>
            </w:r>
            <w:r>
              <w:rPr>
                <w:webHidden/>
              </w:rPr>
              <w:t>206</w:t>
            </w:r>
            <w:r>
              <w:rPr>
                <w:webHidden/>
              </w:rPr>
              <w:fldChar w:fldCharType="end"/>
            </w:r>
          </w:hyperlink>
        </w:p>
        <w:p w:rsidR="0060634A" w:rsidRDefault="00F76D44">
          <w:pPr>
            <w:pStyle w:val="TOC2"/>
            <w:tabs>
              <w:tab w:val="right" w:leader="dot" w:pos="9060"/>
            </w:tabs>
            <w:ind w:left="0"/>
          </w:pPr>
          <w:hyperlink w:anchor="_Toc39583726" w:history="1">
            <w:r>
              <w:rPr>
                <w:rStyle w:val="Hyperlink"/>
              </w:rPr>
              <w:t>SUSTAINABLE DEVELOPMENT</w:t>
            </w:r>
            <w:r>
              <w:rPr>
                <w:webHidden/>
              </w:rPr>
              <w:tab/>
            </w:r>
            <w:r>
              <w:rPr>
                <w:webHidden/>
              </w:rPr>
              <w:fldChar w:fldCharType="begin"/>
            </w:r>
            <w:r>
              <w:rPr>
                <w:webHidden/>
              </w:rPr>
              <w:instrText xml:space="preserve"> PAGEREF _Toc39583726 \h </w:instrText>
            </w:r>
            <w:r>
              <w:rPr>
                <w:webHidden/>
              </w:rPr>
            </w:r>
            <w:r>
              <w:rPr>
                <w:webHidden/>
              </w:rPr>
              <w:fldChar w:fldCharType="separate"/>
            </w:r>
            <w:r>
              <w:rPr>
                <w:webHidden/>
              </w:rPr>
              <w:t>208</w:t>
            </w:r>
            <w:r>
              <w:rPr>
                <w:webHidden/>
              </w:rPr>
              <w:fldChar w:fldCharType="end"/>
            </w:r>
          </w:hyperlink>
        </w:p>
        <w:p w:rsidR="0060634A" w:rsidRDefault="00F76D44">
          <w:pPr>
            <w:pStyle w:val="TOC2"/>
            <w:tabs>
              <w:tab w:val="right" w:leader="dot" w:pos="9060"/>
            </w:tabs>
            <w:ind w:left="0"/>
          </w:pPr>
          <w:hyperlink w:anchor="_Toc39583727" w:history="1">
            <w:r>
              <w:rPr>
                <w:rStyle w:val="Hyperlink"/>
              </w:rPr>
              <w:t>GREENLAN</w:t>
            </w:r>
            <w:r>
              <w:rPr>
                <w:rStyle w:val="Hyperlink"/>
              </w:rPr>
              <w:t>D</w:t>
            </w:r>
            <w:r>
              <w:rPr>
                <w:webHidden/>
              </w:rPr>
              <w:tab/>
            </w:r>
            <w:r>
              <w:rPr>
                <w:webHidden/>
              </w:rPr>
              <w:fldChar w:fldCharType="begin"/>
            </w:r>
            <w:r>
              <w:rPr>
                <w:webHidden/>
              </w:rPr>
              <w:instrText xml:space="preserve"> PAGEREF _Toc39583727 \h </w:instrText>
            </w:r>
            <w:r>
              <w:rPr>
                <w:webHidden/>
              </w:rPr>
            </w:r>
            <w:r>
              <w:rPr>
                <w:webHidden/>
              </w:rPr>
              <w:fldChar w:fldCharType="separate"/>
            </w:r>
            <w:r>
              <w:rPr>
                <w:webHidden/>
              </w:rPr>
              <w:t>210</w:t>
            </w:r>
            <w:r>
              <w:rPr>
                <w:webHidden/>
              </w:rPr>
              <w:fldChar w:fldCharType="end"/>
            </w:r>
          </w:hyperlink>
        </w:p>
        <w:p w:rsidR="0060634A" w:rsidRDefault="00F76D44">
          <w:pPr>
            <w:pStyle w:val="TOC2"/>
            <w:tabs>
              <w:tab w:val="right" w:leader="dot" w:pos="9060"/>
            </w:tabs>
            <w:ind w:left="0"/>
            <w:rPr>
              <w:rStyle w:val="Hyperlink"/>
            </w:rPr>
          </w:pPr>
          <w:hyperlink w:anchor="_Toc39583728" w:history="1">
            <w:r>
              <w:rPr>
                <w:rStyle w:val="Hyperlink"/>
              </w:rPr>
              <w:t>MACRO-FINANCIAL ASSISTANCE</w:t>
            </w:r>
            <w:r>
              <w:rPr>
                <w:webHidden/>
              </w:rPr>
              <w:tab/>
            </w:r>
            <w:r>
              <w:rPr>
                <w:webHidden/>
              </w:rPr>
              <w:fldChar w:fldCharType="begin"/>
            </w:r>
            <w:r>
              <w:rPr>
                <w:webHidden/>
              </w:rPr>
              <w:instrText xml:space="preserve"> PAGEREF _Toc39583728 \h </w:instrText>
            </w:r>
            <w:r>
              <w:rPr>
                <w:webHidden/>
              </w:rPr>
            </w:r>
            <w:r>
              <w:rPr>
                <w:webHidden/>
              </w:rPr>
              <w:fldChar w:fldCharType="separate"/>
            </w:r>
            <w:r>
              <w:rPr>
                <w:webHidden/>
              </w:rPr>
              <w:t>212</w:t>
            </w:r>
            <w:r>
              <w:rPr>
                <w:webHidden/>
              </w:rPr>
              <w:fldChar w:fldCharType="end"/>
            </w:r>
          </w:hyperlink>
        </w:p>
        <w:p w:rsidR="0060634A" w:rsidRDefault="00F76D44">
          <w:pPr>
            <w:pStyle w:val="TOC2"/>
            <w:tabs>
              <w:tab w:val="right" w:leader="dot" w:pos="9060"/>
            </w:tabs>
            <w:ind w:left="0"/>
          </w:pPr>
          <w:r>
            <w:rPr>
              <w:rStyle w:val="BOLDORANGEAnnexes"/>
            </w:rPr>
            <w:t>Spec</w:t>
          </w:r>
          <w:r>
            <w:rPr>
              <w:rStyle w:val="BOLDORANGEAnnexes"/>
            </w:rPr>
            <w:t>ial instruments</w:t>
          </w:r>
        </w:p>
        <w:p w:rsidR="0060634A" w:rsidRDefault="00F76D44">
          <w:pPr>
            <w:pStyle w:val="TOC2"/>
            <w:tabs>
              <w:tab w:val="right" w:leader="dot" w:pos="9060"/>
            </w:tabs>
            <w:ind w:left="0"/>
          </w:pPr>
          <w:hyperlink w:anchor="_Toc39583729" w:history="1">
            <w:r>
              <w:rPr>
                <w:rStyle w:val="Hyperlink"/>
              </w:rPr>
              <w:t>EGF</w:t>
            </w:r>
            <w:r>
              <w:rPr>
                <w:webHidden/>
              </w:rPr>
              <w:tab/>
            </w:r>
            <w:r>
              <w:rPr>
                <w:webHidden/>
              </w:rPr>
              <w:fldChar w:fldCharType="begin"/>
            </w:r>
            <w:r>
              <w:rPr>
                <w:webHidden/>
              </w:rPr>
              <w:instrText xml:space="preserve"> PAGEREF _Toc39583729 \h </w:instrText>
            </w:r>
            <w:r>
              <w:rPr>
                <w:webHidden/>
              </w:rPr>
            </w:r>
            <w:r>
              <w:rPr>
                <w:webHidden/>
              </w:rPr>
              <w:fldChar w:fldCharType="separate"/>
            </w:r>
            <w:r>
              <w:rPr>
                <w:webHidden/>
              </w:rPr>
              <w:t>214</w:t>
            </w:r>
            <w:r>
              <w:rPr>
                <w:webHidden/>
              </w:rPr>
              <w:fldChar w:fldCharType="end"/>
            </w:r>
          </w:hyperlink>
        </w:p>
        <w:p w:rsidR="0060634A" w:rsidRDefault="00F76D44">
          <w:pPr>
            <w:pStyle w:val="TOC2"/>
            <w:tabs>
              <w:tab w:val="right" w:leader="dot" w:pos="9060"/>
            </w:tabs>
            <w:ind w:left="0"/>
          </w:pPr>
          <w:hyperlink w:anchor="_Toc39583730" w:history="1">
            <w:r>
              <w:rPr>
                <w:rStyle w:val="Hyperlink"/>
              </w:rPr>
              <w:t>SOLIDARITY FUND</w:t>
            </w:r>
            <w:r>
              <w:rPr>
                <w:webHidden/>
              </w:rPr>
              <w:tab/>
            </w:r>
            <w:r>
              <w:rPr>
                <w:webHidden/>
              </w:rPr>
              <w:fldChar w:fldCharType="begin"/>
            </w:r>
            <w:r>
              <w:rPr>
                <w:webHidden/>
              </w:rPr>
              <w:instrText xml:space="preserve"> PAGEREF _Toc39583730 \h </w:instrText>
            </w:r>
            <w:r>
              <w:rPr>
                <w:webHidden/>
              </w:rPr>
            </w:r>
            <w:r>
              <w:rPr>
                <w:webHidden/>
              </w:rPr>
              <w:fldChar w:fldCharType="separate"/>
            </w:r>
            <w:r>
              <w:rPr>
                <w:webHidden/>
              </w:rPr>
              <w:t>216</w:t>
            </w:r>
            <w:r>
              <w:rPr>
                <w:webHidden/>
              </w:rPr>
              <w:fldChar w:fldCharType="end"/>
            </w:r>
          </w:hyperlink>
        </w:p>
        <w:p w:rsidR="0060634A" w:rsidRDefault="0060634A">
          <w:pPr>
            <w:pStyle w:val="TOC2"/>
            <w:tabs>
              <w:tab w:val="right" w:leader="dot" w:pos="9060"/>
            </w:tabs>
            <w:ind w:left="0"/>
          </w:pPr>
        </w:p>
        <w:p w:rsidR="0060634A" w:rsidRDefault="00F76D44">
          <w:pPr>
            <w:rPr>
              <w:noProof/>
            </w:rPr>
          </w:pPr>
          <w:r>
            <w:rPr>
              <w:b/>
              <w:bCs/>
              <w:noProof/>
            </w:rPr>
            <w:fldChar w:fldCharType="end"/>
          </w:r>
        </w:p>
      </w:sdtContent>
    </w:sdt>
    <w:p w:rsidR="0060634A" w:rsidRDefault="0060634A">
      <w:pPr>
        <w:pStyle w:val="BodyText1spaceafter"/>
      </w:pPr>
    </w:p>
    <w:p w:rsidR="0060634A" w:rsidRDefault="00F76D44">
      <w:pPr>
        <w:rPr>
          <w:noProof/>
        </w:rPr>
        <w:sectPr w:rsidR="0060634A">
          <w:headerReference w:type="even" r:id="rId26"/>
          <w:headerReference w:type="default" r:id="rId27"/>
          <w:footerReference w:type="even" r:id="rId28"/>
          <w:footerReference w:type="default" r:id="rId29"/>
          <w:headerReference w:type="first" r:id="rId30"/>
          <w:footerReference w:type="first" r:id="rId31"/>
          <w:pgSz w:w="11906" w:h="16838" w:code="9"/>
          <w:pgMar w:top="1418" w:right="1418" w:bottom="1134" w:left="1418" w:header="567" w:footer="454" w:gutter="0"/>
          <w:cols w:space="720"/>
          <w:docGrid w:linePitch="360"/>
        </w:sectPr>
      </w:pPr>
      <w:r>
        <w:rPr>
          <w:noProof/>
        </w:rPr>
        <w:br w:type="page"/>
      </w:r>
    </w:p>
    <w:p w:rsidR="0060634A" w:rsidRDefault="00F76D44">
      <w:pPr>
        <w:pStyle w:val="PPO1AsidebarTitleBlue"/>
        <w:spacing w:before="200"/>
        <w:rPr>
          <w:rFonts w:eastAsiaTheme="minorEastAsia"/>
        </w:rPr>
      </w:pPr>
      <w:r>
        <w:rPr>
          <w:rFonts w:eastAsiaTheme="minorEastAsia"/>
          <w:lang w:val="fr-BE" w:eastAsia="fr-BE"/>
        </w:rPr>
        <mc:AlternateContent>
          <mc:Choice Requires="wps">
            <w:drawing>
              <wp:anchor distT="0" distB="0" distL="0" distR="0" simplePos="0" relativeHeight="251709440" behindDoc="0" locked="1" layoutInCell="1" allowOverlap="1">
                <wp:simplePos x="0" y="0"/>
                <wp:positionH relativeFrom="page">
                  <wp:posOffset>359410</wp:posOffset>
                </wp:positionH>
                <wp:positionV relativeFrom="page">
                  <wp:posOffset>593725</wp:posOffset>
                </wp:positionV>
                <wp:extent cx="1458000" cy="777600"/>
                <wp:effectExtent l="0" t="0" r="85090" b="3810"/>
                <wp:wrapTopAndBottom/>
                <wp:docPr id="7" name="Text Box 7"/>
                <wp:cNvGraphicFramePr/>
                <a:graphic xmlns:a="http://schemas.openxmlformats.org/drawingml/2006/main">
                  <a:graphicData uri="http://schemas.microsoft.com/office/word/2010/wordprocessingShape">
                    <wps:wsp>
                      <wps:cNvSpPr txBox="1"/>
                      <wps:spPr>
                        <a:xfrm>
                          <a:off x="0" y="0"/>
                          <a:ext cx="1458000" cy="777600"/>
                        </a:xfrm>
                        <a:prstGeom prst="wedgeRectCallout">
                          <a:avLst>
                            <a:gd name="adj1" fmla="val 54107"/>
                            <a:gd name="adj2" fmla="val -21878"/>
                          </a:avLst>
                        </a:prstGeom>
                        <a:solidFill>
                          <a:srgbClr val="28296E"/>
                        </a:solidFill>
                        <a:ln w="6350">
                          <a:noFill/>
                        </a:ln>
                      </wps:spPr>
                      <wps:txbx>
                        <w:txbxContent>
                          <w:p w:rsidR="0060634A" w:rsidRDefault="00F76D44">
                            <w:pPr>
                              <w:pStyle w:val="PPOsidebarLegalBasisBOXHeading"/>
                            </w:pPr>
                            <w:r>
                              <w:t>LEGAL BASIS</w:t>
                            </w:r>
                          </w:p>
                          <w:p w:rsidR="0060634A" w:rsidRDefault="00F76D44">
                            <w:pPr>
                              <w:pStyle w:val="PPOsidebarLegalBasisBOXtext"/>
                              <w:rPr>
                                <w:sz w:val="18"/>
                                <w:szCs w:val="20"/>
                              </w:rPr>
                            </w:pPr>
                            <w:r>
                              <w:t>Regulation (EU) No 1285/2013 of the European Parliament and of the Council</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Text Box 7" o:spid="_x0000_s1029" type="#_x0000_t61" style="position:absolute;left:0;text-align:left;margin-left:28.3pt;margin-top:46.75pt;width:114.8pt;height:61.25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" adj="22487,6074" fillcolor="#28296e" stroked="f" strokeweight=".5pt">
                <v:textbox inset="2.5mm,1.3mm,2.5mm,1.3mm">
                  <w:txbxContent>
                    <w:p w:rsidR="0060634A" w:rsidRDefault="00F76D44">
                      <w:pPr>
                        <w:pStyle w:val="PPOsidebarLegalBasisBOXHeading"/>
                      </w:pPr>
                      <w:r>
                        <w:t>LEGAL BASIS</w:t>
                      </w:r>
                    </w:p>
                    <w:p w:rsidR="0060634A" w:rsidRDefault="00F76D44">
                      <w:pPr>
                        <w:pStyle w:val="PPOsidebarLegalBasisBOXtext"/>
                        <w:rPr>
                          <w:sz w:val="18"/>
                          <w:szCs w:val="20"/>
                        </w:rPr>
                      </w:pPr>
                      <w:r>
                        <w:t>Regulation (EU) No 1285/2013 of the European Parliament and of the Council</w:t>
                      </w:r>
                    </w:p>
                  </w:txbxContent>
                </v:textbox>
                <w10:wrap type="topAndBottom" anchorx="page" anchory="page"/>
                <w10:anchorlock/>
              </v:shape>
            </w:pict>
          </mc:Fallback>
        </mc:AlternateContent>
      </w:r>
      <w:r>
        <w:rPr>
          <w:rFonts w:eastAsiaTheme="minorEastAsia"/>
        </w:rPr>
        <w:t>MORE INFORMATION</w:t>
      </w:r>
    </w:p>
    <w:p w:rsidR="0060634A" w:rsidRDefault="00F76D44">
      <w:pPr>
        <w:pStyle w:val="PPOsidebartext"/>
        <w:rPr>
          <w:rStyle w:val="PPOChar-Hyperlink"/>
          <w:rFonts w:eastAsiaTheme="minorEastAsia"/>
        </w:rPr>
      </w:pPr>
      <w:hyperlink r:id="rId32" w:history="1">
        <w:r>
          <w:rPr>
            <w:rStyle w:val="PPOChar-Hyperlink"/>
            <w:rFonts w:eastAsiaTheme="minorEastAsia"/>
          </w:rPr>
          <w:t>https://europa.eu/!TP38Kh</w:t>
        </w:r>
      </w:hyperlink>
    </w:p>
    <w:p w:rsidR="0060634A" w:rsidRDefault="00F76D44">
      <w:pPr>
        <w:pStyle w:val="PPO1AsidebarTitleBlue"/>
        <w:spacing w:before="160"/>
        <w:rPr>
          <w:rFonts w:eastAsiaTheme="minorEastAsia"/>
        </w:rPr>
      </w:pPr>
      <w:r>
        <w:rPr>
          <w:rFonts w:eastAsiaTheme="minorEastAsia"/>
        </w:rPr>
        <w:t>FINANCIAL PROGRAMMING</w:t>
      </w:r>
    </w:p>
    <w:p w:rsidR="0060634A" w:rsidRDefault="00F76D44">
      <w:pPr>
        <w:pStyle w:val="PPO1AsidebarTablecaption"/>
        <w:spacing w:after="60"/>
      </w:pPr>
      <w:r>
        <w:t>(million EUR)</w:t>
      </w:r>
    </w:p>
    <w:tbl>
      <w:tblPr>
        <w:tblOverlap w:val="never"/>
        <w:tblW w:w="2296" w:type="dxa"/>
        <w:jc w:val="right"/>
        <w:tblLayout w:type="fixed"/>
        <w:tblCellMar>
          <w:top w:w="28" w:type="dxa"/>
          <w:left w:w="28" w:type="dxa"/>
          <w:bottom w:w="28" w:type="dxa"/>
          <w:right w:w="28" w:type="dxa"/>
        </w:tblCellMar>
        <w:tblLook w:val="0000" w:firstRow="0" w:lastRow="0" w:firstColumn="0" w:lastColumn="0" w:noHBand="0" w:noVBand="0"/>
      </w:tblPr>
      <w:tblGrid>
        <w:gridCol w:w="1134"/>
        <w:gridCol w:w="1162"/>
      </w:tblGrid>
      <w:tr w:rsidR="0060634A">
        <w:trPr>
          <w:trHeight w:hRule="exact" w:val="229"/>
          <w:jc w:val="right"/>
        </w:trPr>
        <w:tc>
          <w:tcPr>
            <w:tcW w:w="1134" w:type="dxa"/>
            <w:tcBorders>
              <w:bottom w:val="single" w:sz="6" w:space="0" w:color="FFFFFF" w:themeColor="background1"/>
            </w:tcBorders>
            <w:shd w:val="clear" w:color="auto" w:fill="DCE6F2"/>
            <w:vAlign w:val="center"/>
          </w:tcPr>
          <w:p w:rsidR="0060634A" w:rsidRDefault="00F76D44">
            <w:pPr>
              <w:pStyle w:val="PPOsidebarTabletext"/>
              <w:rPr>
                <w:b/>
              </w:rPr>
            </w:pPr>
            <w:r>
              <w:t>2014</w:t>
            </w:r>
          </w:p>
        </w:tc>
        <w:tc>
          <w:tcPr>
            <w:tcW w:w="1162" w:type="dxa"/>
            <w:shd w:val="clear" w:color="auto" w:fill="FFFFFF"/>
          </w:tcPr>
          <w:p w:rsidR="0060634A" w:rsidRDefault="00F76D44">
            <w:pPr>
              <w:pStyle w:val="PPOsidebarTabletext"/>
              <w:rPr>
                <w:b/>
              </w:rPr>
            </w:pPr>
            <w:r>
              <w:t>1 326.2</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2015</w:t>
            </w:r>
          </w:p>
        </w:tc>
        <w:tc>
          <w:tcPr>
            <w:tcW w:w="1162" w:type="dxa"/>
            <w:tcBorders>
              <w:top w:val="single" w:sz="4" w:space="0" w:color="auto"/>
            </w:tcBorders>
            <w:shd w:val="clear" w:color="auto" w:fill="FFFFFF"/>
          </w:tcPr>
          <w:p w:rsidR="0060634A" w:rsidRDefault="00F76D44">
            <w:pPr>
              <w:pStyle w:val="PPOsidebarTabletext"/>
              <w:rPr>
                <w:b/>
              </w:rPr>
            </w:pPr>
            <w:r>
              <w:t>1 060.6</w:t>
            </w:r>
          </w:p>
        </w:tc>
      </w:tr>
      <w:tr w:rsidR="0060634A">
        <w:trPr>
          <w:trHeight w:hRule="exact" w:val="229"/>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2016</w:t>
            </w:r>
          </w:p>
        </w:tc>
        <w:tc>
          <w:tcPr>
            <w:tcW w:w="1162" w:type="dxa"/>
            <w:tcBorders>
              <w:top w:val="single" w:sz="4" w:space="0" w:color="auto"/>
            </w:tcBorders>
            <w:shd w:val="clear" w:color="auto" w:fill="FFFFFF"/>
          </w:tcPr>
          <w:p w:rsidR="0060634A" w:rsidRDefault="00F76D44">
            <w:pPr>
              <w:pStyle w:val="PPOsidebarTabletext"/>
              <w:rPr>
                <w:b/>
              </w:rPr>
            </w:pPr>
            <w:r>
              <w:t>851.6</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2017</w:t>
            </w:r>
          </w:p>
        </w:tc>
        <w:tc>
          <w:tcPr>
            <w:tcW w:w="1162" w:type="dxa"/>
            <w:tcBorders>
              <w:top w:val="single" w:sz="4" w:space="0" w:color="auto"/>
            </w:tcBorders>
            <w:shd w:val="clear" w:color="auto" w:fill="FFFFFF"/>
          </w:tcPr>
          <w:p w:rsidR="0060634A" w:rsidRDefault="00F76D44">
            <w:pPr>
              <w:pStyle w:val="PPOsidebarTabletext"/>
              <w:rPr>
                <w:b/>
              </w:rPr>
            </w:pPr>
            <w:r>
              <w:t>897.5</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2018</w:t>
            </w:r>
          </w:p>
        </w:tc>
        <w:tc>
          <w:tcPr>
            <w:tcW w:w="1162" w:type="dxa"/>
            <w:tcBorders>
              <w:top w:val="single" w:sz="4" w:space="0" w:color="auto"/>
            </w:tcBorders>
            <w:shd w:val="clear" w:color="auto" w:fill="FFFFFF"/>
          </w:tcPr>
          <w:p w:rsidR="0060634A" w:rsidRDefault="00F76D44">
            <w:pPr>
              <w:pStyle w:val="PPOsidebarTabletext"/>
              <w:rPr>
                <w:b/>
              </w:rPr>
            </w:pPr>
            <w:r>
              <w:t>807.9</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2019</w:t>
            </w:r>
          </w:p>
        </w:tc>
        <w:tc>
          <w:tcPr>
            <w:tcW w:w="1162" w:type="dxa"/>
            <w:tcBorders>
              <w:top w:val="single" w:sz="4" w:space="0" w:color="auto"/>
            </w:tcBorders>
            <w:shd w:val="clear" w:color="auto" w:fill="FFFFFF"/>
          </w:tcPr>
          <w:p w:rsidR="0060634A" w:rsidRDefault="00F76D44">
            <w:pPr>
              <w:pStyle w:val="PPOsidebarTabletext"/>
              <w:rPr>
                <w:b/>
              </w:rPr>
            </w:pPr>
            <w:r>
              <w:t>690.7</w:t>
            </w:r>
          </w:p>
        </w:tc>
      </w:tr>
      <w:tr w:rsidR="0060634A">
        <w:trPr>
          <w:trHeight w:hRule="exact" w:val="225"/>
          <w:jc w:val="right"/>
        </w:trPr>
        <w:tc>
          <w:tcPr>
            <w:tcW w:w="1134" w:type="dxa"/>
            <w:tcBorders>
              <w:top w:val="single" w:sz="6" w:space="0" w:color="FFFFFF" w:themeColor="background1"/>
            </w:tcBorders>
            <w:shd w:val="clear" w:color="auto" w:fill="DCE6F2"/>
            <w:vAlign w:val="center"/>
          </w:tcPr>
          <w:p w:rsidR="0060634A" w:rsidRDefault="00F76D44">
            <w:pPr>
              <w:pStyle w:val="PPOsidebarTabletext"/>
              <w:rPr>
                <w:b/>
              </w:rPr>
            </w:pPr>
            <w:r>
              <w:t>2020</w:t>
            </w:r>
          </w:p>
        </w:tc>
        <w:tc>
          <w:tcPr>
            <w:tcW w:w="1162" w:type="dxa"/>
            <w:tcBorders>
              <w:top w:val="single" w:sz="4" w:space="0" w:color="auto"/>
            </w:tcBorders>
            <w:shd w:val="clear" w:color="auto" w:fill="FFFFFF"/>
          </w:tcPr>
          <w:p w:rsidR="0060634A" w:rsidRDefault="00F76D44">
            <w:pPr>
              <w:pStyle w:val="PPOsidebarTabletext"/>
              <w:rPr>
                <w:b/>
              </w:rPr>
            </w:pPr>
            <w:r>
              <w:t>1 207.0</w:t>
            </w:r>
          </w:p>
        </w:tc>
      </w:tr>
      <w:tr w:rsidR="0060634A">
        <w:trPr>
          <w:trHeight w:hRule="exact" w:val="258"/>
          <w:jc w:val="right"/>
        </w:trPr>
        <w:tc>
          <w:tcPr>
            <w:tcW w:w="1134" w:type="dxa"/>
            <w:shd w:val="clear" w:color="auto" w:fill="00ADDC"/>
            <w:vAlign w:val="center"/>
          </w:tcPr>
          <w:p w:rsidR="0060634A" w:rsidRDefault="00F76D44">
            <w:pPr>
              <w:pStyle w:val="PPOsidebarTabletext"/>
            </w:pPr>
            <w:r>
              <w:t>Total</w:t>
            </w:r>
          </w:p>
        </w:tc>
        <w:tc>
          <w:tcPr>
            <w:tcW w:w="1162" w:type="dxa"/>
            <w:tcBorders>
              <w:top w:val="single" w:sz="4" w:space="0" w:color="auto"/>
            </w:tcBorders>
            <w:shd w:val="clear" w:color="auto" w:fill="FFFFFF"/>
          </w:tcPr>
          <w:p w:rsidR="0060634A" w:rsidRDefault="00F76D44">
            <w:pPr>
              <w:pStyle w:val="PPOsidebarTabletext"/>
              <w:rPr>
                <w:b/>
              </w:rPr>
            </w:pPr>
            <w:r>
              <w:t>6 841.4</w:t>
            </w:r>
          </w:p>
        </w:tc>
      </w:tr>
    </w:tbl>
    <w:p w:rsidR="0060634A" w:rsidRDefault="00F76D44">
      <w:pPr>
        <w:pStyle w:val="PPO1AsidebarTitleBlue"/>
        <w:spacing w:before="160"/>
        <w:rPr>
          <w:rFonts w:eastAsiaTheme="minorEastAsia"/>
        </w:rPr>
      </w:pPr>
      <w:r>
        <w:rPr>
          <w:rFonts w:eastAsiaTheme="minorEastAsia"/>
          <w:lang w:val="fr-BE" w:eastAsia="fr-BE"/>
        </w:rPr>
        <mc:AlternateContent>
          <mc:Choice Requires="wpg">
            <w:drawing>
              <wp:anchor distT="0" distB="0" distL="114300" distR="114300" simplePos="0" relativeHeight="251710464" behindDoc="1" locked="1" layoutInCell="1" allowOverlap="1">
                <wp:simplePos x="0" y="0"/>
                <wp:positionH relativeFrom="column">
                  <wp:posOffset>-267335</wp:posOffset>
                </wp:positionH>
                <wp:positionV relativeFrom="paragraph">
                  <wp:posOffset>417830</wp:posOffset>
                </wp:positionV>
                <wp:extent cx="1871980" cy="1454150"/>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6" name="Chart 6"/>
                        <wpg:cNvFrPr/>
                        <wpg:xfrm>
                          <a:off x="461310" y="264194"/>
                          <a:ext cx="2492055" cy="1453317"/>
                        </wpg:xfrm>
                        <a:graphic>
                          <a:graphicData uri="http://schemas.openxmlformats.org/drawingml/2006/chart">
                            <c:chart xmlns:c="http://schemas.openxmlformats.org/drawingml/2006/chart" xmlns:r="http://schemas.openxmlformats.org/officeDocument/2006/relationships" r:id="rId33"/>
                          </a:graphicData>
                        </a:graphic>
                      </wpg:graphicFrame>
                      <wps:wsp>
                        <wps:cNvPr id="12" name="Text Box 2"/>
                        <wps:cNvSpPr txBox="1">
                          <a:spLocks noChangeArrowheads="1"/>
                        </wps:cNvSpPr>
                        <wps:spPr bwMode="auto">
                          <a:xfrm>
                            <a:off x="1287117" y="723786"/>
                            <a:ext cx="1276742" cy="600139"/>
                          </a:xfrm>
                          <a:prstGeom prst="rect">
                            <a:avLst/>
                          </a:prstGeom>
                          <a:noFill/>
                          <a:ln w="9525">
                            <a:noFill/>
                            <a:miter lim="800000"/>
                            <a:headEnd/>
                            <a:tailEnd/>
                          </a:ln>
                        </wps:spPr>
                        <wps:txbx>
                          <w:txbxContent>
                            <w:p w:rsidR="0060634A" w:rsidRDefault="00F76D44">
                              <w:pPr>
                                <w:pStyle w:val="PPO1AsidebarchartCenterText"/>
                                <w:rPr>
                                  <w:rFonts w:eastAsiaTheme="minorEastAsia"/>
                                </w:rPr>
                              </w:pPr>
                              <w:r>
                                <w:rPr>
                                  <w:rFonts w:eastAsiaTheme="minorEastAsia"/>
                                </w:rPr>
                                <w:t xml:space="preserve">EUR </w:t>
                              </w:r>
                              <w:r>
                                <w:rPr>
                                  <w:rFonts w:eastAsiaTheme="minorEastAsia"/>
                                  <w:b/>
                                </w:rPr>
                                <w:t>6 841.4</w:t>
                              </w:r>
                              <w:r>
                                <w:rPr>
                                  <w:rFonts w:eastAsiaTheme="minorEastAsia"/>
                                </w:rPr>
                                <w:br/>
                                <w:t>million</w:t>
                              </w:r>
                            </w:p>
                          </w:txbxContent>
                        </wps:txbx>
                        <wps:bodyPr rot="0" vert="horz" wrap="square" lIns="91440" tIns="45720" rIns="91440" bIns="45720" anchor="t" anchorCtr="0">
                          <a:noAutofit/>
                        </wps:bodyPr>
                      </wps:wsp>
                      <wps:wsp>
                        <wps:cNvPr id="13" name="Text Box 2"/>
                        <wps:cNvSpPr txBox="1">
                          <a:spLocks noChangeArrowheads="1"/>
                        </wps:cNvSpPr>
                        <wps:spPr bwMode="auto">
                          <a:xfrm>
                            <a:off x="984734" y="872729"/>
                            <a:ext cx="700344" cy="229870"/>
                          </a:xfrm>
                          <a:prstGeom prst="rect">
                            <a:avLst/>
                          </a:prstGeom>
                          <a:noFill/>
                          <a:ln w="9525">
                            <a:noFill/>
                            <a:miter lim="800000"/>
                            <a:headEnd/>
                            <a:tailEnd/>
                          </a:ln>
                        </wps:spPr>
                        <wps:txbx>
                          <w:txbxContent>
                            <w:p w:rsidR="0060634A" w:rsidRDefault="00F76D44">
                              <w:pPr>
                                <w:spacing w:after="120"/>
                                <w:jc w:val="center"/>
                                <w:rPr>
                                  <w:color w:val="00ADDC"/>
                                  <w:lang w:val="fr-BE"/>
                                </w:rPr>
                              </w:pPr>
                              <w:r>
                                <w:rPr>
                                  <w:b/>
                                  <w:color w:val="00ADDC"/>
                                  <w:lang w:val="fr-BE"/>
                                </w:rPr>
                                <w:t>71%</w:t>
                              </w:r>
                            </w:p>
                          </w:txbxContent>
                        </wps:txbx>
                        <wps:bodyPr rot="0" vert="horz" wrap="square" lIns="91440" tIns="45720" rIns="91440" bIns="45720" anchor="t" anchorCtr="0">
                          <a:noAutofit/>
                        </wps:bodyPr>
                      </wps:wsp>
                      <wps:wsp>
                        <wps:cNvPr id="14" name="Text Box 2"/>
                        <wps:cNvSpPr txBox="1">
                          <a:spLocks noChangeArrowheads="1"/>
                        </wps:cNvSpPr>
                        <wps:spPr bwMode="auto">
                          <a:xfrm>
                            <a:off x="956911" y="495353"/>
                            <a:ext cx="741153" cy="266065"/>
                          </a:xfrm>
                          <a:prstGeom prst="rect">
                            <a:avLst/>
                          </a:prstGeom>
                          <a:noFill/>
                          <a:ln w="9525">
                            <a:noFill/>
                            <a:miter lim="800000"/>
                            <a:headEnd/>
                            <a:tailEnd/>
                          </a:ln>
                        </wps:spPr>
                        <wps:txbx>
                          <w:txbxContent>
                            <w:p w:rsidR="0060634A" w:rsidRDefault="00F76D44">
                              <w:pPr>
                                <w:spacing w:after="120"/>
                                <w:jc w:val="center"/>
                                <w:rPr>
                                  <w:color w:val="28296E"/>
                                  <w:lang w:val="fr-BE"/>
                                </w:rPr>
                              </w:pPr>
                              <w:r>
                                <w:rPr>
                                  <w:b/>
                                  <w:color w:val="28296E"/>
                                  <w:lang w:val="fr-BE"/>
                                </w:rPr>
                                <w:t>82%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 o:spid="_x0000_s1030" style="position:absolute;left:0;text-align:left;margin-left:-21.05pt;margin-top:32.9pt;width:147.4pt;height:114.5pt;z-index:-251606016;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AoAAAAAAAAAIQASw1JsvSIAAL0iAAAtAAAAZHJzL2VtYmVkZGluZ3MvTWlj&#10;cm9zb2Z0X0V4Y2VsX1dvcmtzaGVldC54bHN4UEsDBBQABgAIAAAAIQDdK4tYbAEAABAFAAATAAgC&#10;W0NvbnRlbnRfVHlwZXNdLnhtbCCiBAIoo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">
                <v:shape id="Chart 6" o:spid="_x0000_s1031"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">
                  <v:imagedata r:id="rId34" o:title=""/>
                  <o:lock v:ext="edit" aspectratio="f"/>
                </v:shape>
                <v:shape id="_x0000_s1032" type="#_x0000_t202" style="position:absolute;left:12871;top:7237;width:12767;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60634A" w:rsidRDefault="00F76D44">
                        <w:pPr>
                          <w:pStyle w:val="PPO1AsidebarchartCenterText"/>
                          <w:rPr>
                            <w:rFonts w:eastAsiaTheme="minorEastAsia"/>
                          </w:rPr>
                        </w:pPr>
                        <w:r>
                          <w:rPr>
                            <w:rFonts w:eastAsiaTheme="minorEastAsia"/>
                          </w:rPr>
                          <w:t xml:space="preserve">EUR </w:t>
                        </w:r>
                        <w:r>
                          <w:rPr>
                            <w:rFonts w:eastAsiaTheme="minorEastAsia"/>
                            <w:b/>
                          </w:rPr>
                          <w:t>6 841.4</w:t>
                        </w:r>
                        <w:r>
                          <w:rPr>
                            <w:rFonts w:eastAsiaTheme="minorEastAsia"/>
                          </w:rPr>
                          <w:br/>
                          <w:t>million</w:t>
                        </w:r>
                      </w:p>
                    </w:txbxContent>
                  </v:textbox>
                </v:shape>
                <v:shape id="_x0000_s1033" type="#_x0000_t202" style="position:absolute;left:9847;top:8727;width:7003;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60634A" w:rsidRDefault="00F76D44">
                        <w:pPr>
                          <w:spacing w:after="120"/>
                          <w:jc w:val="center"/>
                          <w:rPr>
                            <w:color w:val="00ADDC"/>
                            <w:lang w:val="fr-BE"/>
                          </w:rPr>
                        </w:pPr>
                        <w:r>
                          <w:rPr>
                            <w:b/>
                            <w:color w:val="00ADDC"/>
                            <w:lang w:val="fr-BE"/>
                          </w:rPr>
                          <w:t>71%</w:t>
                        </w:r>
                      </w:p>
                    </w:txbxContent>
                  </v:textbox>
                </v:shape>
                <v:shape id="_x0000_s1034" type="#_x0000_t202" style="position:absolute;left:9569;top:4953;width:741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60634A" w:rsidRDefault="00F76D44">
                        <w:pPr>
                          <w:spacing w:after="120"/>
                          <w:jc w:val="center"/>
                          <w:rPr>
                            <w:color w:val="28296E"/>
                            <w:lang w:val="fr-BE"/>
                          </w:rPr>
                        </w:pPr>
                        <w:r>
                          <w:rPr>
                            <w:b/>
                            <w:color w:val="28296E"/>
                            <w:lang w:val="fr-BE"/>
                          </w:rPr>
                          <w:t>82%</w:t>
                        </w:r>
                      </w:p>
                    </w:txbxContent>
                  </v:textbox>
                </v:shape>
                <w10:wrap type="square"/>
                <w10:anchorlock/>
              </v:group>
              <o:OLEObject Type="Embed" ProgID="Excel.Chart.8" ShapeID="Chart 6" DrawAspect="Content" ObjectID="_1654495721" r:id="rId35">
                <o:FieldCodes>\s</o:FieldCodes>
              </o:OLEObject>
            </w:pict>
          </mc:Fallback>
        </mc:AlternateContent>
      </w:r>
      <w:r>
        <w:rPr>
          <w:rFonts w:eastAsiaTheme="minorEastAsia"/>
        </w:rPr>
        <w:t xml:space="preserve">OVERALL EXECUTION </w:t>
      </w:r>
      <w:r>
        <w:rPr>
          <w:rFonts w:eastAsiaTheme="minorEastAsia"/>
        </w:rPr>
        <w:br/>
        <w:t xml:space="preserve">(2014-2019) </w:t>
      </w:r>
    </w:p>
    <w:p w:rsidR="0060634A" w:rsidRDefault="00F76D44">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705344" behindDoc="0" locked="1" layoutInCell="1" allowOverlap="1">
                <wp:simplePos x="0" y="0"/>
                <wp:positionH relativeFrom="page">
                  <wp:posOffset>2242185</wp:posOffset>
                </wp:positionH>
                <wp:positionV relativeFrom="page">
                  <wp:posOffset>4755515</wp:posOffset>
                </wp:positionV>
                <wp:extent cx="2437130" cy="3235960"/>
                <wp:effectExtent l="0" t="0" r="1270" b="254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3235960"/>
                        </a:xfrm>
                        <a:prstGeom prst="rect">
                          <a:avLst/>
                        </a:prstGeom>
                        <a:solidFill>
                          <a:srgbClr val="FFFFFF"/>
                        </a:solidFill>
                        <a:ln w="9525">
                          <a:noFill/>
                          <a:miter lim="800000"/>
                          <a:headEnd/>
                          <a:tailEnd/>
                        </a:ln>
                      </wps:spPr>
                      <wps:txbx id="6">
                        <w:txbxContent>
                          <w:p w:rsidR="0060634A" w:rsidRDefault="00F76D44">
                            <w:pPr>
                              <w:pStyle w:val="PPOTitle3-nospacebefore"/>
                              <w:rPr>
                                <w:rFonts w:eastAsiaTheme="minorEastAsia"/>
                              </w:rPr>
                            </w:pPr>
                            <w:r>
                              <w:rPr>
                                <w:rFonts w:eastAsiaTheme="minorEastAsia"/>
                              </w:rPr>
                              <w:t>Why is it necessary?</w:t>
                            </w:r>
                          </w:p>
                          <w:p w:rsidR="0060634A" w:rsidRDefault="00F76D44">
                            <w:pPr>
                              <w:pStyle w:val="PPObodyText"/>
                              <w:rPr>
                                <w:noProof/>
                              </w:rPr>
                            </w:pPr>
                            <w:r>
                              <w:rPr>
                                <w:noProof/>
                              </w:rPr>
                              <w:t>About 11% of the EU’s gross domestic product, i.e. about EUR</w:t>
                            </w:r>
                            <w:r>
                              <w:rPr>
                                <w:rFonts w:ascii="Calibri" w:hAnsi="Calibri" w:cs="Calibri"/>
                                <w:noProof/>
                              </w:rPr>
                              <w:t> </w:t>
                            </w:r>
                            <w:r>
                              <w:rPr>
                                <w:noProof/>
                              </w:rPr>
                              <w:t>1</w:t>
                            </w:r>
                            <w:r>
                              <w:rPr>
                                <w:rFonts w:ascii="Calibri" w:hAnsi="Calibri" w:cs="Calibri"/>
                                <w:noProof/>
                              </w:rPr>
                              <w:t> </w:t>
                            </w:r>
                            <w:r>
                              <w:rPr>
                                <w:noProof/>
                              </w:rPr>
                              <w:t>300</w:t>
                            </w:r>
                            <w:r>
                              <w:rPr>
                                <w:rFonts w:ascii="Calibri" w:hAnsi="Calibri" w:cs="Calibri"/>
                                <w:noProof/>
                              </w:rPr>
                              <w:t> </w:t>
                            </w:r>
                            <w:r>
                              <w:rPr>
                                <w:noProof/>
                              </w:rPr>
                              <w:t xml:space="preserve">billion, relies on satellite </w:t>
                            </w:r>
                            <w:r>
                              <w:rPr>
                                <w:noProof/>
                              </w:rPr>
                              <w:t>navigation signals, often controlled by non-EU countries. EGNOS and Galileo ensure Europe’s autonomy and provide additional benefits in combination with other GNSSs (global navigation satellite systems), resulting from the additional services of the system</w:t>
                            </w:r>
                            <w:r>
                              <w:rPr>
                                <w:noProof/>
                              </w:rPr>
                              <w:t>s and the increased performance provided by additional satellites. Galileo is also the only GNSS specifically designed for civil purposes, i.e. it aims to satisfy the requirements and the needs of the civil sector, in compliance with the most demanding sec</w:t>
                            </w:r>
                            <w:r>
                              <w:rPr>
                                <w:noProof/>
                              </w:rPr>
                              <w:t>urity standards. Billions of users across the world are expected to use Galileo, and it will therefore achieve a level of outreach unequalled by any other EU infrastructure. Both programmes are complex projects that exceed the financial and technical capac</w:t>
                            </w:r>
                            <w:r>
                              <w:rPr>
                                <w:noProof/>
                              </w:rPr>
                              <w:t>ities of a single Member State. As such, they fall fully within the competence of the EU. Considering their requirements in terms of security, all Member States must be involved in the programmes.</w:t>
                            </w:r>
                          </w:p>
                          <w:p w:rsidR="0060634A" w:rsidRDefault="00F76D44">
                            <w:pPr>
                              <w:pStyle w:val="PPOTitle3-nospacebefore"/>
                              <w:rPr>
                                <w:rFonts w:eastAsiaTheme="minorEastAsia"/>
                              </w:rPr>
                            </w:pPr>
                            <w:r>
                              <w:rPr>
                                <w:rFonts w:eastAsiaTheme="minorEastAsia"/>
                              </w:rPr>
                              <w:t>Outlook for the 2021-2027 period</w:t>
                            </w:r>
                          </w:p>
                          <w:p w:rsidR="0060634A" w:rsidRDefault="00F76D44">
                            <w:pPr>
                              <w:pStyle w:val="PPObodyText"/>
                              <w:rPr>
                                <w:noProof/>
                              </w:rPr>
                            </w:pPr>
                            <w:r>
                              <w:rPr>
                                <w:noProof/>
                              </w:rPr>
                              <w:t>The Commission proposed to</w:t>
                            </w:r>
                            <w:r>
                              <w:rPr>
                                <w:noProof/>
                              </w:rPr>
                              <w:t xml:space="preserve"> integrate all existing and new space activities under the umbrella of a single EU space programme.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left:0;text-align:left;margin-left:176.55pt;margin-top:374.45pt;width:191.9pt;height:254.8pt;z-index:25170534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" stroked="f">
                <v:textbox style="mso-next-textbox:#Text Box 8" inset="0">
                  <w:txbxContent>
                    <w:p w:rsidR="0060634A" w:rsidRDefault="00F76D44">
                      <w:pPr>
                        <w:pStyle w:val="PPOTitle3-nospacebefore"/>
                        <w:rPr>
                          <w:rFonts w:eastAsiaTheme="minorEastAsia"/>
                        </w:rPr>
                      </w:pPr>
                      <w:r>
                        <w:rPr>
                          <w:rFonts w:eastAsiaTheme="minorEastAsia"/>
                        </w:rPr>
                        <w:t>Why is it necessary?</w:t>
                      </w:r>
                    </w:p>
                    <w:p w:rsidR="0060634A" w:rsidRDefault="00F76D44">
                      <w:pPr>
                        <w:pStyle w:val="PPObodyText"/>
                        <w:rPr>
                          <w:noProof/>
                        </w:rPr>
                      </w:pPr>
                      <w:r>
                        <w:rPr>
                          <w:noProof/>
                        </w:rPr>
                        <w:t>About 11% of the EU’s gross domestic product, i.e. about EUR</w:t>
                      </w:r>
                      <w:r>
                        <w:rPr>
                          <w:rFonts w:ascii="Calibri" w:hAnsi="Calibri" w:cs="Calibri"/>
                          <w:noProof/>
                        </w:rPr>
                        <w:t> </w:t>
                      </w:r>
                      <w:r>
                        <w:rPr>
                          <w:noProof/>
                        </w:rPr>
                        <w:t>1</w:t>
                      </w:r>
                      <w:r>
                        <w:rPr>
                          <w:rFonts w:ascii="Calibri" w:hAnsi="Calibri" w:cs="Calibri"/>
                          <w:noProof/>
                        </w:rPr>
                        <w:t> </w:t>
                      </w:r>
                      <w:r>
                        <w:rPr>
                          <w:noProof/>
                        </w:rPr>
                        <w:t>300</w:t>
                      </w:r>
                      <w:r>
                        <w:rPr>
                          <w:rFonts w:ascii="Calibri" w:hAnsi="Calibri" w:cs="Calibri"/>
                          <w:noProof/>
                        </w:rPr>
                        <w:t> </w:t>
                      </w:r>
                      <w:r>
                        <w:rPr>
                          <w:noProof/>
                        </w:rPr>
                        <w:t xml:space="preserve">billion, relies on satellite </w:t>
                      </w:r>
                      <w:r>
                        <w:rPr>
                          <w:noProof/>
                        </w:rPr>
                        <w:t>navigation signals, often controlled by non-EU countries. EGNOS and Galileo ensure Europe’s autonomy and provide additional benefits in combination with other GNSSs (global navigation satellite systems), resulting from the additional services of the system</w:t>
                      </w:r>
                      <w:r>
                        <w:rPr>
                          <w:noProof/>
                        </w:rPr>
                        <w:t>s and the increased performance provided by additional satellites. Galileo is also the only GNSS specifically designed for civil purposes, i.e. it aims to satisfy the requirements and the needs of the civil sector, in compliance with the most demanding sec</w:t>
                      </w:r>
                      <w:r>
                        <w:rPr>
                          <w:noProof/>
                        </w:rPr>
                        <w:t>urity standards. Billions of users across the world are expected to use Galileo, and it will therefore achieve a level of outreach unequalled by any other EU infrastructure. Both programmes are complex projects that exceed the financial and technical capac</w:t>
                      </w:r>
                      <w:r>
                        <w:rPr>
                          <w:noProof/>
                        </w:rPr>
                        <w:t>ities of a single Member State. As such, they fall fully within the competence of the EU. Considering their requirements in terms of security, all Member States must be involved in the programmes.</w:t>
                      </w:r>
                    </w:p>
                    <w:p w:rsidR="0060634A" w:rsidRDefault="00F76D44">
                      <w:pPr>
                        <w:pStyle w:val="PPOTitle3-nospacebefore"/>
                        <w:rPr>
                          <w:rFonts w:eastAsiaTheme="minorEastAsia"/>
                        </w:rPr>
                      </w:pPr>
                      <w:r>
                        <w:rPr>
                          <w:rFonts w:eastAsiaTheme="minorEastAsia"/>
                        </w:rPr>
                        <w:t>Outlook for the 2021-2027 period</w:t>
                      </w:r>
                    </w:p>
                    <w:p w:rsidR="0060634A" w:rsidRDefault="00F76D44">
                      <w:pPr>
                        <w:pStyle w:val="PPObodyText"/>
                        <w:rPr>
                          <w:noProof/>
                        </w:rPr>
                      </w:pPr>
                      <w:r>
                        <w:rPr>
                          <w:noProof/>
                        </w:rPr>
                        <w:t>The Commission proposed to</w:t>
                      </w:r>
                      <w:r>
                        <w:rPr>
                          <w:noProof/>
                        </w:rPr>
                        <w:t xml:space="preserve"> integrate all existing and new space activities under the umbrella of a single EU space programme.</w:t>
                      </w:r>
                    </w:p>
                  </w:txbxContent>
                </v:textbox>
                <w10:wrap type="topAndBottom" anchorx="page" anchory="page"/>
                <w10:anchorlock/>
              </v:shape>
            </w:pict>
          </mc:Fallback>
        </mc:AlternateContent>
      </w:r>
    </w:p>
    <w:p w:rsidR="0060634A" w:rsidRDefault="00F76D44">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708416" behindDoc="0" locked="1" layoutInCell="1" allowOverlap="1">
                <wp:simplePos x="0" y="0"/>
                <wp:positionH relativeFrom="column">
                  <wp:posOffset>539750</wp:posOffset>
                </wp:positionH>
                <wp:positionV relativeFrom="paragraph">
                  <wp:posOffset>1270</wp:posOffset>
                </wp:positionV>
                <wp:extent cx="115200" cy="115200"/>
                <wp:effectExtent l="0" t="0" r="0" b="0"/>
                <wp:wrapNone/>
                <wp:docPr id="241" name="Oval 241"/>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00AD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2AB7C3" id="Oval 241" o:spid="_x0000_s1026" style="position:absolute;margin-left:42.5pt;margin-top:.1pt;width:9.05pt;height:9.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" fillcolor="#00addc" stroked="f" strokeweight="1pt">
                <v:stroke joinstyle="miter"/>
                <w10:anchorlock/>
              </v:oval>
            </w:pict>
          </mc:Fallback>
        </mc:AlternateContent>
      </w:r>
      <w:r>
        <w:rPr>
          <w:rFonts w:eastAsiaTheme="minorEastAsia"/>
          <w:lang w:val="fr-BE" w:eastAsia="fr-BE"/>
        </w:rPr>
        <w:drawing>
          <wp:anchor distT="0" distB="0" distL="114300" distR="114300" simplePos="0" relativeHeight="251706368" behindDoc="1" locked="1" layoutInCell="1" allowOverlap="1">
            <wp:simplePos x="0" y="0"/>
            <wp:positionH relativeFrom="page">
              <wp:posOffset>-415925</wp:posOffset>
            </wp:positionH>
            <wp:positionV relativeFrom="paragraph">
              <wp:posOffset>-1602105</wp:posOffset>
            </wp:positionV>
            <wp:extent cx="3412800" cy="1990800"/>
            <wp:effectExtent l="0" t="0" r="0" b="0"/>
            <wp:wrapNone/>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707392" behindDoc="0" locked="1" layoutInCell="1" allowOverlap="1">
                <wp:simplePos x="0" y="0"/>
                <wp:positionH relativeFrom="column">
                  <wp:posOffset>539750</wp:posOffset>
                </wp:positionH>
                <wp:positionV relativeFrom="paragraph">
                  <wp:posOffset>195580</wp:posOffset>
                </wp:positionV>
                <wp:extent cx="115200" cy="115200"/>
                <wp:effectExtent l="0" t="0" r="0" b="0"/>
                <wp:wrapNone/>
                <wp:docPr id="239" name="Oval 239"/>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FECD4D" id="Oval 239" o:spid="_x0000_s1026" style="position:absolute;margin-left:42.5pt;margin-top:15.4pt;width:9.05pt;height:9.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" fillcolor="#28296e" stroked="f" strokeweight="1pt">
                <v:stroke joinstyle="miter"/>
                <w10:anchorlock/>
              </v:oval>
            </w:pict>
          </mc:Fallback>
        </mc:AlternateContent>
      </w:r>
      <w:r>
        <w:rPr>
          <w:rFonts w:eastAsiaTheme="minorEastAsia"/>
        </w:rPr>
        <w:t>Payments</w:t>
      </w:r>
    </w:p>
    <w:p w:rsidR="0060634A" w:rsidRDefault="00F76D44">
      <w:pPr>
        <w:pStyle w:val="PPOsidebarchartLegends"/>
        <w:rPr>
          <w:rFonts w:eastAsiaTheme="minorEastAsia"/>
        </w:rPr>
      </w:pPr>
      <w:r>
        <w:rPr>
          <w:rFonts w:eastAsiaTheme="minorEastAsia"/>
        </w:rPr>
        <w:t>Commitments</w:t>
      </w:r>
    </w:p>
    <w:p w:rsidR="0060634A" w:rsidRDefault="00F76D44">
      <w:pPr>
        <w:pStyle w:val="PPO1AsidebarTitleLightBlue"/>
        <w:spacing w:before="160"/>
        <w:rPr>
          <w:rFonts w:eastAsiaTheme="minorEastAsia"/>
        </w:rPr>
      </w:pPr>
      <w:r>
        <w:rPr>
          <w:rFonts w:eastAsiaTheme="minorEastAsia"/>
        </w:rPr>
        <w:t>Evaluations/</w:t>
      </w:r>
      <w:r>
        <w:rPr>
          <w:rFonts w:eastAsiaTheme="minorEastAsia"/>
        </w:rPr>
        <w:br/>
        <w:t>studies conducted</w:t>
      </w:r>
    </w:p>
    <w:p w:rsidR="0060634A" w:rsidRDefault="00F76D44">
      <w:pPr>
        <w:pStyle w:val="PPOsidebartext"/>
        <w:rPr>
          <w:rStyle w:val="PPOChar-Hyperlink"/>
          <w:rFonts w:eastAsiaTheme="minorEastAsia"/>
        </w:rPr>
      </w:pPr>
      <w:r>
        <w:rPr>
          <w:rFonts w:eastAsiaTheme="minorEastAsia"/>
        </w:rPr>
        <w:t>The midterm review of the programmes was carried out in</w:t>
      </w:r>
      <w:r>
        <w:rPr>
          <w:rFonts w:ascii="Calibri" w:eastAsiaTheme="minorEastAsia" w:hAnsi="Calibri" w:cs="Calibri"/>
        </w:rPr>
        <w:t> </w:t>
      </w:r>
      <w:r>
        <w:rPr>
          <w:rFonts w:eastAsiaTheme="minorEastAsia"/>
        </w:rPr>
        <w:t xml:space="preserve">2017: </w:t>
      </w:r>
      <w:hyperlink r:id="rId37" w:history="1">
        <w:r>
          <w:rPr>
            <w:rStyle w:val="PPOChar-Hyperlink"/>
            <w:rFonts w:eastAsiaTheme="minorEastAsia"/>
          </w:rPr>
          <w:t>http://europa.eu/!KF39Uq</w:t>
        </w:r>
      </w:hyperlink>
    </w:p>
    <w:p w:rsidR="0060634A" w:rsidRDefault="00F76D44">
      <w:pPr>
        <w:pStyle w:val="PPOsidebartext"/>
        <w:rPr>
          <w:rFonts w:eastAsiaTheme="minorEastAsia"/>
        </w:rPr>
      </w:pPr>
      <w:r>
        <w:rPr>
          <w:rFonts w:eastAsiaTheme="minorEastAsia"/>
        </w:rPr>
        <w:t xml:space="preserve">The impact assessment on the EU space programme and the European Union Agency for the Space Programme was adopted in 2018: </w:t>
      </w:r>
      <w:hyperlink r:id="rId38" w:history="1">
        <w:r>
          <w:rPr>
            <w:rStyle w:val="PPOChar-Hyperlink"/>
            <w:rFonts w:eastAsiaTheme="minorEastAsia"/>
          </w:rPr>
          <w:t>https://europa.eu/!XF34px</w:t>
        </w:r>
      </w:hyperlink>
    </w:p>
    <w:p w:rsidR="0060634A" w:rsidRDefault="00F76D44">
      <w:pPr>
        <w:pStyle w:val="PPOsidebartext"/>
        <w:rPr>
          <w:rFonts w:eastAsiaTheme="minorEastAsia"/>
        </w:rPr>
      </w:pPr>
      <w:r>
        <w:rPr>
          <w:rFonts w:eastAsiaTheme="minorEastAsia"/>
        </w:rPr>
        <w:t>An impact assessment on the use of Ga</w:t>
      </w:r>
      <w:r>
        <w:rPr>
          <w:rFonts w:eastAsiaTheme="minorEastAsia"/>
        </w:rPr>
        <w:t>lileo for critical infrastructures is ongoing.</w:t>
      </w:r>
    </w:p>
    <w:p w:rsidR="0060634A" w:rsidRDefault="00F76D44">
      <w:pPr>
        <w:pStyle w:val="PPO1AsidebarTitleLightBlue"/>
        <w:spacing w:before="160"/>
        <w:rPr>
          <w:rFonts w:eastAsiaTheme="minorEastAsia"/>
        </w:rPr>
      </w:pPr>
      <w:r>
        <w:rPr>
          <w:rFonts w:eastAsiaTheme="minorEastAsia"/>
        </w:rPr>
        <w:t>How is it implemented?</w:t>
      </w:r>
    </w:p>
    <w:tbl>
      <w:tblPr>
        <w:tblStyle w:val="TableGrid"/>
        <w:tblpPr w:vertAnchor="page" w:horzAnchor="page" w:tblpX="3663" w:tblpY="13622"/>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60634A">
        <w:trPr>
          <w:cantSplit/>
        </w:trPr>
        <w:tc>
          <w:tcPr>
            <w:tcW w:w="7792" w:type="dxa"/>
            <w:gridSpan w:val="3"/>
            <w:vAlign w:val="center"/>
          </w:tcPr>
          <w:p w:rsidR="0060634A" w:rsidRDefault="00F76D44">
            <w:pPr>
              <w:pStyle w:val="PPOTitle3-nospacebefore"/>
              <w:ind w:left="-108"/>
              <w:rPr>
                <w:rFonts w:eastAsiaTheme="minorEastAsia"/>
                <w:lang w:val="en-GB"/>
              </w:rPr>
            </w:pPr>
            <w:r>
              <w:rPr>
                <w:rFonts w:eastAsiaTheme="minorEastAsia"/>
                <w:lang w:val="en-GB"/>
              </w:rPr>
              <w:t>Voted budget execution (in million EUR)</w:t>
            </w:r>
          </w:p>
        </w:tc>
      </w:tr>
      <w:tr w:rsidR="0060634A">
        <w:tblPrEx>
          <w:tblCellMar>
            <w:left w:w="57" w:type="dxa"/>
            <w:right w:w="57" w:type="dxa"/>
          </w:tblCellMar>
        </w:tblPrEx>
        <w:trPr>
          <w:cantSplit/>
        </w:trPr>
        <w:tc>
          <w:tcPr>
            <w:tcW w:w="3471" w:type="dxa"/>
            <w:shd w:val="clear" w:color="auto" w:fill="00ADDC"/>
            <w:vAlign w:val="center"/>
          </w:tcPr>
          <w:p w:rsidR="0060634A" w:rsidRDefault="00F76D44">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00ADDC"/>
            <w:vAlign w:val="center"/>
          </w:tcPr>
          <w:p w:rsidR="0060634A" w:rsidRDefault="0060634A">
            <w:pPr>
              <w:rPr>
                <w:noProof/>
              </w:rPr>
            </w:pPr>
          </w:p>
        </w:tc>
        <w:tc>
          <w:tcPr>
            <w:tcW w:w="3471" w:type="dxa"/>
            <w:shd w:val="clear" w:color="auto" w:fill="00ADDC"/>
            <w:vAlign w:val="center"/>
          </w:tcPr>
          <w:p w:rsidR="0060634A" w:rsidRDefault="00F76D44">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60634A">
        <w:trPr>
          <w:cantSplit/>
        </w:trPr>
        <w:tc>
          <w:tcPr>
            <w:tcW w:w="3471" w:type="dxa"/>
            <w:shd w:val="clear" w:color="auto" w:fill="DCE6F2"/>
            <w:vAlign w:val="center"/>
          </w:tcPr>
          <w:p w:rsidR="0060634A" w:rsidRDefault="00F76D44">
            <w:pPr>
              <w:spacing w:after="100" w:afterAutospacing="1"/>
              <w:jc w:val="center"/>
              <w:rPr>
                <w:noProof/>
                <w:color w:val="0070C0"/>
                <w:sz w:val="18"/>
              </w:rPr>
            </w:pPr>
            <w:r>
              <w:rPr>
                <w:noProof/>
                <w:color w:val="0070C0"/>
                <w:sz w:val="18"/>
                <w:lang w:eastAsia="fr-BE"/>
              </w:rPr>
              <w:drawing>
                <wp:inline distT="0" distB="0" distL="0" distR="0">
                  <wp:extent cx="2158365" cy="890270"/>
                  <wp:effectExtent l="0" t="0" r="0" b="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c>
          <w:tcPr>
            <w:tcW w:w="850" w:type="dxa"/>
            <w:shd w:val="clear" w:color="auto" w:fill="DCE6F2"/>
            <w:vAlign w:val="center"/>
          </w:tcPr>
          <w:p w:rsidR="0060634A" w:rsidRDefault="00F76D44">
            <w:pPr>
              <w:pStyle w:val="PPO1AVotedbudgetTABLEtextBlue"/>
              <w:framePr w:hSpace="0" w:wrap="auto" w:vAnchor="margin" w:hAnchor="text" w:xAlign="left" w:yAlign="inline"/>
              <w:suppressOverlap w:val="0"/>
              <w:rPr>
                <w:rFonts w:eastAsiaTheme="minorEastAsia"/>
              </w:rPr>
            </w:pPr>
            <w:r>
              <w:rPr>
                <w:rFonts w:eastAsiaTheme="minorEastAsia"/>
              </w:rPr>
              <w:t>2017</w:t>
            </w:r>
          </w:p>
          <w:p w:rsidR="0060634A" w:rsidRDefault="00F76D44">
            <w:pPr>
              <w:pStyle w:val="PPO1AVotedbudgetTABLEtextBlue"/>
              <w:framePr w:hSpace="0" w:wrap="auto" w:vAnchor="margin" w:hAnchor="text" w:xAlign="left" w:yAlign="inline"/>
              <w:suppressOverlap w:val="0"/>
              <w:rPr>
                <w:rFonts w:eastAsiaTheme="minorEastAsia"/>
              </w:rPr>
            </w:pPr>
            <w:r>
              <w:rPr>
                <w:rFonts w:eastAsiaTheme="minorEastAsia"/>
              </w:rPr>
              <w:t>2018</w:t>
            </w:r>
          </w:p>
          <w:p w:rsidR="0060634A" w:rsidRDefault="00F76D44">
            <w:pPr>
              <w:pStyle w:val="PPO1AVotedbudgetTABLEtextBlue"/>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DCE6F2"/>
            <w:vAlign w:val="center"/>
          </w:tcPr>
          <w:p w:rsidR="0060634A" w:rsidRDefault="00F76D44">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890270"/>
                  <wp:effectExtent l="0" t="0" r="0" b="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r>
    </w:tbl>
    <w:p w:rsidR="0060634A" w:rsidRDefault="00F76D44">
      <w:pPr>
        <w:pStyle w:val="PPOsidebartext"/>
        <w:rPr>
          <w:rFonts w:eastAsiaTheme="minorEastAsia"/>
        </w:rPr>
      </w:pPr>
      <w:r>
        <w:rPr>
          <w:rFonts w:eastAsiaTheme="minorEastAsia"/>
        </w:rPr>
        <w:t xml:space="preserve">The Directorate-General for Defence, Industry and Space is the lead DG for the </w:t>
      </w:r>
      <w:r>
        <w:rPr>
          <w:rFonts w:eastAsiaTheme="minorEastAsia"/>
        </w:rPr>
        <w:t>implementation of the programme. Both Galileo and EGNOS are implemented mainly through indirect management by the European GNSS Agency and the European Space Agency, though part of the budget is implemented through direct management by the Commission (gran</w:t>
      </w:r>
      <w:r>
        <w:rPr>
          <w:rFonts w:eastAsiaTheme="minorEastAsia"/>
        </w:rPr>
        <w:t>ts and procurement).</w:t>
      </w:r>
    </w:p>
    <w:p w:rsidR="0060634A" w:rsidRDefault="00F76D44">
      <w:pPr>
        <w:pStyle w:val="PPO1ATitle1"/>
        <w:rPr>
          <w:rFonts w:eastAsiaTheme="minorEastAsia"/>
        </w:rPr>
      </w:pPr>
      <w:r>
        <w:rPr>
          <w:rFonts w:eastAsiaTheme="minorEastAsia"/>
        </w:rPr>
        <w:br w:type="column"/>
      </w:r>
      <w:bookmarkStart w:id="11" w:name="_Toc39583671"/>
      <w:r>
        <w:rPr>
          <w:rFonts w:eastAsiaTheme="minorEastAsia"/>
        </w:rPr>
        <w:t>GALILEO AND EGNOS</w:t>
      </w:r>
      <w:bookmarkEnd w:id="11"/>
    </w:p>
    <w:p w:rsidR="0060634A" w:rsidRDefault="00F76D44">
      <w:pPr>
        <w:pStyle w:val="PPO1ATitle2"/>
        <w:rPr>
          <w:rFonts w:eastAsiaTheme="minorEastAsia"/>
        </w:rPr>
      </w:pPr>
      <w:r>
        <w:rPr>
          <w:rFonts w:eastAsiaTheme="minorEastAsia"/>
        </w:rPr>
        <w:t>IMPLEMENTATION AND EXPLOITATION OF EUROPEAN SATELLITE NAVIGATION SYSTEMS</w:t>
      </w:r>
    </w:p>
    <w:p w:rsidR="0060634A" w:rsidRDefault="00F76D44">
      <w:pPr>
        <w:pStyle w:val="PPOTitle3"/>
        <w:rPr>
          <w:rFonts w:eastAsiaTheme="minorEastAsia"/>
        </w:rPr>
      </w:pPr>
      <w:r>
        <w:rPr>
          <w:rFonts w:eastAsiaTheme="minorEastAsia"/>
        </w:rPr>
        <w:t>What are Galileo and EGNOS?</w:t>
      </w:r>
    </w:p>
    <w:p w:rsidR="0060634A" w:rsidRDefault="00F76D44">
      <w:pPr>
        <w:pStyle w:val="PPObodyText"/>
        <w:spacing w:after="220"/>
        <w:rPr>
          <w:noProof/>
        </w:rPr>
      </w:pPr>
      <w:r>
        <w:rPr>
          <w:noProof/>
          <w:lang w:val="fr-BE" w:eastAsia="fr-BE"/>
        </w:rPr>
        <mc:AlternateContent>
          <mc:Choice Requires="wps">
            <w:drawing>
              <wp:anchor distT="0" distB="0" distL="114300" distR="114300" simplePos="0" relativeHeight="251738112" behindDoc="0" locked="1" layoutInCell="1" allowOverlap="1">
                <wp:simplePos x="0" y="0"/>
                <wp:positionH relativeFrom="page">
                  <wp:posOffset>4761230</wp:posOffset>
                </wp:positionH>
                <wp:positionV relativeFrom="page">
                  <wp:posOffset>4755515</wp:posOffset>
                </wp:positionV>
                <wp:extent cx="2437130" cy="2055495"/>
                <wp:effectExtent l="0" t="0" r="1270" b="1905"/>
                <wp:wrapNone/>
                <wp:docPr id="8" name="Text Box 8"/>
                <wp:cNvGraphicFramePr/>
                <a:graphic xmlns:a="http://schemas.openxmlformats.org/drawingml/2006/main">
                  <a:graphicData uri="http://schemas.microsoft.com/office/word/2010/wordprocessingShape">
                    <wps:wsp>
                      <wps:cNvSpPr txBox="1"/>
                      <wps:spPr>
                        <a:xfrm>
                          <a:off x="0" y="0"/>
                          <a:ext cx="2437130" cy="2055495"/>
                        </a:xfrm>
                        <a:prstGeom prst="rect">
                          <a:avLst/>
                        </a:prstGeom>
                        <a:solidFill>
                          <a:schemeClr val="lt1"/>
                        </a:solidFill>
                        <a:ln w="6350">
                          <a:noFill/>
                        </a:ln>
                      </wps:spPr>
                      <wps:linkedTxbx id="6"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6" type="#_x0000_t202" style="position:absolute;left:0;text-align:left;margin-left:374.9pt;margin-top:374.45pt;width:191.9pt;height:161.8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" fillcolor="white [3201]" stroked="f" strokeweight=".5pt">
                <v:textbox inset=",,0">
                  <w:txbxContent/>
                </v:textbox>
                <w10:wrap anchorx="page" anchory="page"/>
                <w10:anchorlock/>
              </v:shape>
            </w:pict>
          </mc:Fallback>
        </mc:AlternateContent>
      </w:r>
      <w:r>
        <w:rPr>
          <w:noProof/>
        </w:rPr>
        <w:t>Galileo is a European large-infrastructure project and is entirely financed by the EU budget. It is Europe’s Globa</w:t>
      </w:r>
      <w:r>
        <w:rPr>
          <w:noProof/>
        </w:rPr>
        <w:t>l Satellite Navigation System, and will ensure the continent’s autonomy in an area that is of strategic importance to both its economy and its security. Galileo will be used for a large number of purposes, including critical business processes that require</w:t>
      </w:r>
      <w:r>
        <w:rPr>
          <w:noProof/>
        </w:rPr>
        <w:t xml:space="preserve"> uninterrupted navigation and timing services needed, for example, for critical applications such as the synchronisation of electricity grids and telecommunication networks. The Galileo system consists of a satellite constellation and the necessary ground </w:t>
      </w:r>
      <w:r>
        <w:rPr>
          <w:noProof/>
        </w:rPr>
        <w:t>infrastructure to control the satellites and enable the provision of positioning, navigation and timing services. EGNOS (the European Geostationary Navigation Overlay Service) is a fully operational regional satellite navigation system monitoring and corre</w:t>
      </w:r>
      <w:r>
        <w:rPr>
          <w:noProof/>
        </w:rPr>
        <w:t>cting open signals emitted by the US Global Positioning System (GPS), and in the future of Galileo. It consists of several transponders installed on geostationary satellites and a network of ground stations. By improving the accuracy and reliability of the</w:t>
      </w:r>
      <w:r>
        <w:rPr>
          <w:noProof/>
        </w:rPr>
        <w:t xml:space="preserve"> GPS signal across the territory of Europe, EGNOS allows users to use GPS signals for safety-critical applications such as aircraft operations, and allow users in Europe and beyond to determine their position to an accuracy of around 1</w:t>
      </w:r>
      <w:r>
        <w:rPr>
          <w:rFonts w:ascii="Calibri" w:hAnsi="Calibri" w:cs="Calibri"/>
          <w:noProof/>
        </w:rPr>
        <w:t> </w:t>
      </w:r>
      <w:r>
        <w:rPr>
          <w:noProof/>
        </w:rPr>
        <w:t>metre.</w:t>
      </w:r>
    </w:p>
    <w:tbl>
      <w:tblPr>
        <w:tblStyle w:val="TableGrid"/>
        <w:tblpPr w:leftFromText="181" w:rightFromText="340" w:vertAnchor="text" w:tblpX="108" w:tblpY="45"/>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7763"/>
      </w:tblGrid>
      <w:tr w:rsidR="0060634A">
        <w:trPr>
          <w:trHeight w:val="1300"/>
        </w:trPr>
        <w:tc>
          <w:tcPr>
            <w:tcW w:w="7763" w:type="dxa"/>
            <w:shd w:val="clear" w:color="auto" w:fill="F2F2F2" w:themeFill="background1" w:themeFillShade="F2"/>
          </w:tcPr>
          <w:p w:rsidR="0060634A" w:rsidRDefault="00F76D44">
            <w:pPr>
              <w:pStyle w:val="PPO1ASpecificobjectivesBOX-HeadingLightBlue"/>
              <w:rPr>
                <w:rFonts w:eastAsiaTheme="minorEastAsia"/>
              </w:rPr>
            </w:pPr>
            <w:r>
              <w:rPr>
                <w:rFonts w:eastAsiaTheme="minorEastAsia"/>
                <w:lang w:eastAsia="fr-BE"/>
              </w:rPr>
              <mc:AlternateContent>
                <mc:Choice Requires="wps">
                  <w:drawing>
                    <wp:anchor distT="0" distB="0" distL="114300" distR="114300" simplePos="0" relativeHeight="251712512"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00ADDC"/>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C6035CA" id="Freeform 6" o:spid="_x0000_s1026" style="position:absolute;margin-left:4pt;margin-top:1.4pt;width:21.25pt;height:2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00addc"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rFonts w:eastAsiaTheme="minorEastAsia"/>
              </w:rPr>
              <w:t>Specific obj</w:t>
            </w:r>
            <w:r>
              <w:rPr>
                <w:rFonts w:eastAsiaTheme="minorEastAsia"/>
              </w:rPr>
              <w:t>ectives</w:t>
            </w:r>
          </w:p>
          <w:p w:rsidR="0060634A" w:rsidRDefault="00F76D44">
            <w:pPr>
              <w:pStyle w:val="PPO1ASpecificobjectivesBOX-BulletLightBlue"/>
              <w:rPr>
                <w:rFonts w:ascii="EC Square Sans Cond Pro" w:hAnsi="EC Square Sans Cond Pro"/>
                <w:lang w:val="en-GB"/>
              </w:rPr>
            </w:pPr>
            <w:r>
              <w:rPr>
                <w:rFonts w:ascii="EC Square Sans Cond Pro" w:hAnsi="EC Square Sans Cond Pro"/>
                <w:lang w:val="en-GB"/>
              </w:rPr>
              <w:t>To develop and provide global satellite-based radio navigation infrastructures and services  by 2020 (Galileo).</w:t>
            </w:r>
          </w:p>
          <w:p w:rsidR="0060634A" w:rsidRDefault="00F76D44">
            <w:pPr>
              <w:pStyle w:val="PPO1ASpecificobjectivesBOX-BulletLightBlue"/>
              <w:rPr>
                <w:lang w:val="en-GB"/>
              </w:rPr>
            </w:pPr>
            <w:r>
              <w:rPr>
                <w:rFonts w:ascii="EC Square Sans Cond Pro" w:hAnsi="EC Square Sans Cond Pro"/>
                <w:lang w:val="en-GB"/>
              </w:rPr>
              <w:t>To provide satellite-based services improving the performance of GPS to gradually cover the whole of the European Civil Aviation Confere</w:t>
            </w:r>
            <w:r>
              <w:rPr>
                <w:rFonts w:ascii="EC Square Sans Cond Pro" w:hAnsi="EC Square Sans Cond Pro"/>
                <w:lang w:val="en-GB"/>
              </w:rPr>
              <w:t>nce region and neighbouring European countries by 2020 (EGNOS).</w:t>
            </w:r>
          </w:p>
        </w:tc>
      </w:tr>
    </w:tbl>
    <w:p w:rsidR="0060634A" w:rsidRDefault="0060634A">
      <w:pPr>
        <w:framePr w:w="6721" w:wrap="auto" w:hAnchor="text" w:x="3544"/>
        <w:jc w:val="both"/>
        <w:rPr>
          <w:b/>
          <w:noProof/>
          <w:color w:val="1F95A5"/>
        </w:rPr>
        <w:sectPr w:rsidR="0060634A">
          <w:headerReference w:type="even" r:id="rId41"/>
          <w:headerReference w:type="default" r:id="rId42"/>
          <w:footerReference w:type="even" r:id="rId43"/>
          <w:footerReference w:type="default" r:id="rId44"/>
          <w:headerReference w:type="first" r:id="rId45"/>
          <w:footerReference w:type="first" r:id="rId46"/>
          <w:pgSz w:w="11906" w:h="16838"/>
          <w:pgMar w:top="567" w:right="567" w:bottom="567" w:left="567" w:header="567" w:footer="454" w:gutter="0"/>
          <w:paperSrc w:first="15" w:other="15"/>
          <w:cols w:num="2" w:space="708" w:equalWidth="0">
            <w:col w:w="2269" w:space="708"/>
            <w:col w:w="7795"/>
          </w:cols>
          <w:docGrid w:linePitch="360"/>
        </w:sectPr>
      </w:pPr>
    </w:p>
    <w:p w:rsidR="0060634A" w:rsidRDefault="00F76D44">
      <w:pPr>
        <w:pStyle w:val="PPOTitle3-nospacebefore"/>
        <w:ind w:left="284" w:hanging="284"/>
        <w:rPr>
          <w:rFonts w:eastAsiaTheme="minorEastAsia"/>
        </w:rPr>
      </w:pPr>
      <w:r>
        <w:rPr>
          <w:rFonts w:eastAsiaTheme="minorEastAsia"/>
        </w:rPr>
        <w:t xml:space="preserve">Key performance indicators </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2851"/>
        <w:gridCol w:w="867"/>
        <w:gridCol w:w="3508"/>
        <w:gridCol w:w="836"/>
        <w:gridCol w:w="2627"/>
        <w:gridCol w:w="51"/>
      </w:tblGrid>
      <w:tr w:rsidR="0060634A">
        <w:trPr>
          <w:gridAfter w:val="1"/>
          <w:wAfter w:w="51" w:type="dxa"/>
          <w:trHeight w:val="333"/>
        </w:trPr>
        <w:tc>
          <w:tcPr>
            <w:tcW w:w="2851" w:type="dxa"/>
            <w:vAlign w:val="center"/>
          </w:tcPr>
          <w:p w:rsidR="0060634A" w:rsidRDefault="0060634A">
            <w:pPr>
              <w:ind w:left="284" w:hanging="284"/>
              <w:jc w:val="right"/>
              <w:rPr>
                <w:noProof/>
                <w:sz w:val="16"/>
                <w:szCs w:val="16"/>
              </w:rPr>
            </w:pPr>
          </w:p>
        </w:tc>
        <w:tc>
          <w:tcPr>
            <w:tcW w:w="867" w:type="dxa"/>
            <w:vAlign w:val="bottom"/>
          </w:tcPr>
          <w:p w:rsidR="0060634A" w:rsidRDefault="00F76D44">
            <w:pPr>
              <w:ind w:left="284" w:hanging="284"/>
              <w:jc w:val="center"/>
              <w:rPr>
                <w:b/>
                <w:noProof/>
                <w:color w:val="28296E"/>
                <w:sz w:val="16"/>
                <w:szCs w:val="16"/>
              </w:rPr>
            </w:pPr>
            <w:r>
              <w:rPr>
                <w:b/>
                <w:noProof/>
                <w:color w:val="28296E"/>
                <w:sz w:val="16"/>
                <w:szCs w:val="16"/>
              </w:rPr>
              <w:t>Baseline</w:t>
            </w:r>
          </w:p>
        </w:tc>
        <w:tc>
          <w:tcPr>
            <w:tcW w:w="3508" w:type="dxa"/>
            <w:vAlign w:val="center"/>
          </w:tcPr>
          <w:p w:rsidR="0060634A" w:rsidRDefault="00F76D44">
            <w:pPr>
              <w:ind w:left="284" w:hanging="284"/>
              <w:jc w:val="center"/>
              <w:rPr>
                <w:b/>
                <w:noProof/>
                <w:color w:val="28296E"/>
                <w:sz w:val="16"/>
                <w:szCs w:val="16"/>
              </w:rPr>
            </w:pPr>
            <w:r>
              <w:rPr>
                <w:b/>
                <w:noProof/>
                <w:color w:val="28296E"/>
                <w:sz w:val="16"/>
                <w:szCs w:val="16"/>
              </w:rPr>
              <w:t>PROGRESS TOWARDS THE TARGET</w:t>
            </w:r>
          </w:p>
        </w:tc>
        <w:tc>
          <w:tcPr>
            <w:tcW w:w="836" w:type="dxa"/>
            <w:vAlign w:val="bottom"/>
          </w:tcPr>
          <w:p w:rsidR="0060634A" w:rsidRDefault="00F76D44">
            <w:pPr>
              <w:ind w:left="284" w:hanging="284"/>
              <w:jc w:val="center"/>
              <w:rPr>
                <w:b/>
                <w:noProof/>
                <w:color w:val="28296E"/>
                <w:sz w:val="16"/>
                <w:szCs w:val="16"/>
              </w:rPr>
            </w:pPr>
            <w:r>
              <w:rPr>
                <w:b/>
                <w:noProof/>
                <w:color w:val="28296E"/>
                <w:sz w:val="16"/>
                <w:szCs w:val="16"/>
              </w:rPr>
              <w:t>Target</w:t>
            </w:r>
          </w:p>
        </w:tc>
        <w:tc>
          <w:tcPr>
            <w:tcW w:w="2627" w:type="dxa"/>
            <w:vAlign w:val="bottom"/>
          </w:tcPr>
          <w:p w:rsidR="0060634A" w:rsidRDefault="00F76D44">
            <w:pPr>
              <w:ind w:left="284" w:hanging="284"/>
              <w:jc w:val="center"/>
              <w:rPr>
                <w:b/>
                <w:noProof/>
                <w:color w:val="28296E"/>
                <w:sz w:val="16"/>
                <w:szCs w:val="16"/>
              </w:rPr>
            </w:pPr>
            <w:r>
              <w:rPr>
                <w:b/>
                <w:noProof/>
                <w:color w:val="28296E"/>
                <w:sz w:val="16"/>
                <w:szCs w:val="16"/>
              </w:rPr>
              <w:t>Results</w:t>
            </w:r>
          </w:p>
        </w:tc>
      </w:tr>
      <w:tr w:rsidR="0060634A">
        <w:tblPrEx>
          <w:tblCellMar>
            <w:left w:w="108" w:type="dxa"/>
            <w:right w:w="108" w:type="dxa"/>
          </w:tblCellMar>
        </w:tblPrEx>
        <w:trPr>
          <w:trHeight w:val="344"/>
        </w:trPr>
        <w:tc>
          <w:tcPr>
            <w:tcW w:w="2851" w:type="dxa"/>
            <w:vAlign w:val="center"/>
          </w:tcPr>
          <w:p w:rsidR="0060634A" w:rsidRDefault="00F76D44">
            <w:pPr>
              <w:ind w:left="284" w:hanging="284"/>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Market share of the EU</w:t>
            </w:r>
            <w:r>
              <w:rPr>
                <w:rFonts w:ascii="Arial" w:hAnsi="Arial" w:cs="Arial"/>
                <w:noProof/>
                <w:color w:val="000000"/>
                <w:sz w:val="16"/>
                <w:szCs w:val="16"/>
                <w:lang w:val="en-GB" w:eastAsia="en-GB"/>
              </w:rPr>
              <w:t>ʼ</w:t>
            </w:r>
            <w:r>
              <w:rPr>
                <w:rFonts w:ascii="EC Square Sans Cond Pro" w:hAnsi="EC Square Sans Cond Pro" w:cs="EC Square Sans Cond Pro"/>
                <w:noProof/>
                <w:color w:val="000000"/>
                <w:sz w:val="16"/>
                <w:szCs w:val="16"/>
                <w:lang w:val="en-GB" w:eastAsia="en-GB"/>
              </w:rPr>
              <w:t>s GNSS industry – EGNOS</w:t>
            </w:r>
          </w:p>
        </w:tc>
        <w:tc>
          <w:tcPr>
            <w:tcW w:w="867" w:type="dxa"/>
            <w:vAlign w:val="center"/>
          </w:tcPr>
          <w:p w:rsidR="0060634A" w:rsidRDefault="00F76D44">
            <w:pPr>
              <w:ind w:left="284" w:hanging="284"/>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lang w:eastAsia="en-GB"/>
              </w:rPr>
              <w:t>63%</w:t>
            </w:r>
          </w:p>
        </w:tc>
        <w:tc>
          <w:tcPr>
            <w:tcW w:w="3508" w:type="dxa"/>
            <w:vAlign w:val="center"/>
          </w:tcPr>
          <w:p w:rsidR="0060634A" w:rsidRDefault="00F76D44">
            <w:pPr>
              <w:ind w:left="284" w:hanging="284"/>
              <w:rPr>
                <w:rFonts w:ascii="EC Square Sans Cond Pro" w:hAnsi="EC Square Sans Cond Pro"/>
                <w:noProof/>
                <w:sz w:val="16"/>
                <w:szCs w:val="16"/>
              </w:rPr>
            </w:pPr>
            <w:r>
              <w:rPr>
                <w:noProof/>
                <w:lang w:eastAsia="fr-BE"/>
              </w:rPr>
              <w:drawing>
                <wp:inline distT="0" distB="0" distL="0" distR="0">
                  <wp:extent cx="1997075" cy="127000"/>
                  <wp:effectExtent l="0" t="0" r="3175" b="63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836" w:type="dxa"/>
            <w:vAlign w:val="center"/>
          </w:tcPr>
          <w:p w:rsidR="0060634A" w:rsidRDefault="00F76D44">
            <w:pPr>
              <w:ind w:left="284" w:hanging="284"/>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85%</w:t>
            </w:r>
          </w:p>
        </w:tc>
        <w:tc>
          <w:tcPr>
            <w:tcW w:w="2678" w:type="dxa"/>
            <w:gridSpan w:val="2"/>
            <w:vAlign w:val="center"/>
          </w:tcPr>
          <w:p w:rsidR="0060634A" w:rsidRDefault="00F76D44">
            <w:pPr>
              <w:ind w:left="284" w:hanging="284"/>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68% compared to 85%</w:t>
            </w:r>
          </w:p>
        </w:tc>
      </w:tr>
      <w:tr w:rsidR="0060634A">
        <w:tblPrEx>
          <w:tblCellMar>
            <w:left w:w="108" w:type="dxa"/>
            <w:right w:w="108" w:type="dxa"/>
          </w:tblCellMar>
        </w:tblPrEx>
        <w:trPr>
          <w:trHeight w:val="318"/>
        </w:trPr>
        <w:tc>
          <w:tcPr>
            <w:tcW w:w="2851" w:type="dxa"/>
            <w:vAlign w:val="center"/>
          </w:tcPr>
          <w:p w:rsidR="0060634A" w:rsidRDefault="00F76D44">
            <w:pPr>
              <w:ind w:left="284" w:hanging="284"/>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Market share of EU</w:t>
            </w:r>
            <w:r>
              <w:rPr>
                <w:rFonts w:ascii="Arial" w:hAnsi="Arial" w:cs="Arial"/>
                <w:noProof/>
                <w:color w:val="000000"/>
                <w:sz w:val="16"/>
                <w:szCs w:val="16"/>
                <w:lang w:val="en-GB" w:eastAsia="en-GB"/>
              </w:rPr>
              <w:t>ʼ</w:t>
            </w:r>
            <w:r>
              <w:rPr>
                <w:rFonts w:ascii="EC Square Sans Cond Pro" w:hAnsi="EC Square Sans Cond Pro" w:cs="EC Square Sans Cond Pro"/>
                <w:noProof/>
                <w:color w:val="000000"/>
                <w:sz w:val="16"/>
                <w:szCs w:val="16"/>
                <w:lang w:val="en-GB" w:eastAsia="en-GB"/>
              </w:rPr>
              <w:t>s GNSS industry – Galileo</w:t>
            </w:r>
          </w:p>
        </w:tc>
        <w:tc>
          <w:tcPr>
            <w:tcW w:w="867" w:type="dxa"/>
            <w:vAlign w:val="center"/>
          </w:tcPr>
          <w:p w:rsidR="0060634A" w:rsidRDefault="00F76D44">
            <w:pPr>
              <w:ind w:left="284" w:hanging="284"/>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lang w:eastAsia="en-GB"/>
              </w:rPr>
              <w:t>35%</w:t>
            </w:r>
          </w:p>
        </w:tc>
        <w:tc>
          <w:tcPr>
            <w:tcW w:w="3508" w:type="dxa"/>
            <w:vAlign w:val="center"/>
          </w:tcPr>
          <w:p w:rsidR="0060634A" w:rsidRDefault="00F76D44">
            <w:pPr>
              <w:ind w:left="284" w:hanging="284"/>
              <w:rPr>
                <w:rFonts w:ascii="EC Square Sans Cond Pro" w:hAnsi="EC Square Sans Cond Pro"/>
                <w:noProof/>
                <w:sz w:val="16"/>
                <w:szCs w:val="16"/>
              </w:rPr>
            </w:pPr>
            <w:r>
              <w:rPr>
                <w:noProof/>
                <w:lang w:eastAsia="fr-BE"/>
              </w:rPr>
              <w:drawing>
                <wp:inline distT="0" distB="0" distL="0" distR="0">
                  <wp:extent cx="1997075" cy="127000"/>
                  <wp:effectExtent l="0" t="0" r="3175" b="63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836" w:type="dxa"/>
            <w:vAlign w:val="center"/>
          </w:tcPr>
          <w:p w:rsidR="0060634A" w:rsidRDefault="00F76D44">
            <w:pPr>
              <w:ind w:left="284" w:hanging="284"/>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70%</w:t>
            </w:r>
          </w:p>
        </w:tc>
        <w:tc>
          <w:tcPr>
            <w:tcW w:w="2678" w:type="dxa"/>
            <w:gridSpan w:val="2"/>
            <w:vAlign w:val="center"/>
          </w:tcPr>
          <w:p w:rsidR="0060634A" w:rsidRDefault="00F76D44">
            <w:pPr>
              <w:ind w:left="284" w:hanging="284"/>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42%</w:t>
            </w:r>
            <w:r>
              <w:rPr>
                <w:rFonts w:ascii="EC Square Sans Cond Pro" w:hAnsi="EC Square Sans Cond Pro" w:cs="EC Square Sans Cond Pro"/>
                <w:noProof/>
                <w:color w:val="000000"/>
                <w:sz w:val="16"/>
                <w:szCs w:val="16"/>
                <w:lang w:eastAsia="en-GB"/>
              </w:rPr>
              <w:t xml:space="preserve"> compared to 70%</w:t>
            </w:r>
          </w:p>
        </w:tc>
      </w:tr>
      <w:tr w:rsidR="0060634A">
        <w:tblPrEx>
          <w:tblCellMar>
            <w:left w:w="108" w:type="dxa"/>
            <w:right w:w="108" w:type="dxa"/>
          </w:tblCellMar>
        </w:tblPrEx>
        <w:trPr>
          <w:trHeight w:val="309"/>
        </w:trPr>
        <w:tc>
          <w:tcPr>
            <w:tcW w:w="2851" w:type="dxa"/>
            <w:vAlign w:val="center"/>
          </w:tcPr>
          <w:p w:rsidR="0060634A" w:rsidRDefault="00F76D44">
            <w:pPr>
              <w:ind w:left="284" w:hanging="284"/>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Galileo infrastructure – satellites</w:t>
            </w:r>
          </w:p>
        </w:tc>
        <w:tc>
          <w:tcPr>
            <w:tcW w:w="867" w:type="dxa"/>
            <w:vAlign w:val="center"/>
          </w:tcPr>
          <w:p w:rsidR="0060634A" w:rsidRDefault="00F76D44">
            <w:pPr>
              <w:ind w:left="284" w:hanging="284"/>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4</w:t>
            </w:r>
          </w:p>
        </w:tc>
        <w:tc>
          <w:tcPr>
            <w:tcW w:w="3508" w:type="dxa"/>
            <w:vAlign w:val="center"/>
          </w:tcPr>
          <w:p w:rsidR="0060634A" w:rsidRDefault="00F76D44">
            <w:pPr>
              <w:ind w:left="284" w:hanging="284"/>
              <w:rPr>
                <w:rFonts w:ascii="EC Square Sans Cond Pro" w:hAnsi="EC Square Sans Cond Pro"/>
                <w:noProof/>
                <w:sz w:val="16"/>
                <w:szCs w:val="16"/>
              </w:rPr>
            </w:pPr>
            <w:r>
              <w:rPr>
                <w:noProof/>
                <w:lang w:eastAsia="fr-BE"/>
              </w:rPr>
              <w:drawing>
                <wp:inline distT="0" distB="0" distL="0" distR="0">
                  <wp:extent cx="1997075" cy="127000"/>
                  <wp:effectExtent l="0" t="0" r="3175" b="63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836" w:type="dxa"/>
            <w:vAlign w:val="center"/>
          </w:tcPr>
          <w:p w:rsidR="0060634A" w:rsidRDefault="00F76D44">
            <w:pPr>
              <w:ind w:left="284" w:hanging="284"/>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30</w:t>
            </w:r>
          </w:p>
        </w:tc>
        <w:tc>
          <w:tcPr>
            <w:tcW w:w="2678" w:type="dxa"/>
            <w:gridSpan w:val="2"/>
            <w:vAlign w:val="center"/>
          </w:tcPr>
          <w:p w:rsidR="0060634A" w:rsidRDefault="00F76D44">
            <w:pPr>
              <w:ind w:left="284" w:hanging="284"/>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26 out of 30 operational satellites</w:t>
            </w:r>
          </w:p>
        </w:tc>
      </w:tr>
      <w:tr w:rsidR="0060634A">
        <w:tblPrEx>
          <w:tblCellMar>
            <w:left w:w="108" w:type="dxa"/>
            <w:right w:w="108" w:type="dxa"/>
          </w:tblCellMar>
        </w:tblPrEx>
        <w:trPr>
          <w:trHeight w:val="327"/>
        </w:trPr>
        <w:tc>
          <w:tcPr>
            <w:tcW w:w="2851" w:type="dxa"/>
            <w:vAlign w:val="center"/>
          </w:tcPr>
          <w:p w:rsidR="0060634A" w:rsidRDefault="00F76D44">
            <w:pPr>
              <w:ind w:left="284" w:hanging="284"/>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Galileo services provision implemented</w:t>
            </w:r>
          </w:p>
        </w:tc>
        <w:tc>
          <w:tcPr>
            <w:tcW w:w="867" w:type="dxa"/>
            <w:vAlign w:val="center"/>
          </w:tcPr>
          <w:p w:rsidR="0060634A" w:rsidRDefault="0060634A">
            <w:pPr>
              <w:ind w:left="284" w:hanging="284"/>
              <w:jc w:val="center"/>
              <w:rPr>
                <w:rFonts w:ascii="EC Square Sans Cond Pro" w:hAnsi="EC Square Sans Cond Pro"/>
                <w:noProof/>
                <w:sz w:val="16"/>
                <w:szCs w:val="16"/>
                <w:lang w:eastAsia="en-GB"/>
              </w:rPr>
            </w:pPr>
          </w:p>
        </w:tc>
        <w:tc>
          <w:tcPr>
            <w:tcW w:w="3508" w:type="dxa"/>
            <w:vAlign w:val="center"/>
          </w:tcPr>
          <w:p w:rsidR="0060634A" w:rsidRDefault="00F76D44">
            <w:pPr>
              <w:ind w:left="284" w:hanging="284"/>
              <w:rPr>
                <w:rFonts w:ascii="EC Square Sans Cond Pro" w:hAnsi="EC Square Sans Cond Pro"/>
                <w:noProof/>
                <w:sz w:val="16"/>
                <w:szCs w:val="16"/>
              </w:rPr>
            </w:pPr>
            <w:r>
              <w:rPr>
                <w:noProof/>
                <w:lang w:eastAsia="fr-BE"/>
              </w:rPr>
              <w:drawing>
                <wp:inline distT="0" distB="0" distL="0" distR="0">
                  <wp:extent cx="1985645" cy="127000"/>
                  <wp:effectExtent l="0" t="0" r="0" b="63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836" w:type="dxa"/>
            <w:vAlign w:val="center"/>
          </w:tcPr>
          <w:p w:rsidR="0060634A" w:rsidRDefault="00F76D44">
            <w:pPr>
              <w:ind w:left="284" w:hanging="284"/>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5</w:t>
            </w:r>
          </w:p>
        </w:tc>
        <w:tc>
          <w:tcPr>
            <w:tcW w:w="2678" w:type="dxa"/>
            <w:gridSpan w:val="2"/>
            <w:vAlign w:val="center"/>
          </w:tcPr>
          <w:p w:rsidR="0060634A" w:rsidRDefault="00F76D44">
            <w:pPr>
              <w:ind w:left="284" w:hanging="284"/>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3 out of 5 services implemented</w:t>
            </w:r>
          </w:p>
        </w:tc>
      </w:tr>
      <w:tr w:rsidR="0060634A">
        <w:tblPrEx>
          <w:tblCellMar>
            <w:left w:w="108" w:type="dxa"/>
            <w:right w:w="108" w:type="dxa"/>
          </w:tblCellMar>
        </w:tblPrEx>
        <w:trPr>
          <w:trHeight w:val="368"/>
        </w:trPr>
        <w:tc>
          <w:tcPr>
            <w:tcW w:w="2851" w:type="dxa"/>
            <w:vAlign w:val="center"/>
          </w:tcPr>
          <w:p w:rsidR="0060634A" w:rsidRDefault="00F76D44">
            <w:pPr>
              <w:ind w:left="284" w:hanging="284"/>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EGNOS service availability index</w:t>
            </w:r>
            <w:r>
              <w:rPr>
                <w:rFonts w:ascii="EC Square Sans Cond Pro" w:hAnsi="EC Square Sans Cond Pro" w:cs="EC Square Sans Cond Pro"/>
                <w:noProof/>
                <w:color w:val="000000"/>
                <w:sz w:val="16"/>
                <w:szCs w:val="16"/>
              </w:rPr>
              <w:t xml:space="preserve"> (</w:t>
            </w:r>
            <w:r>
              <w:rPr>
                <w:noProof/>
                <w:sz w:val="14"/>
                <w:szCs w:val="16"/>
                <w:vertAlign w:val="superscript"/>
              </w:rPr>
              <w:t>1</w:t>
            </w:r>
            <w:r>
              <w:rPr>
                <w:noProof/>
                <w:sz w:val="14"/>
                <w:szCs w:val="16"/>
              </w:rPr>
              <w:t>)</w:t>
            </w:r>
          </w:p>
        </w:tc>
        <w:tc>
          <w:tcPr>
            <w:tcW w:w="867" w:type="dxa"/>
            <w:vAlign w:val="center"/>
          </w:tcPr>
          <w:p w:rsidR="0060634A" w:rsidRDefault="0060634A">
            <w:pPr>
              <w:ind w:left="284" w:hanging="284"/>
              <w:jc w:val="center"/>
              <w:rPr>
                <w:rFonts w:ascii="EC Square Sans Cond Pro" w:hAnsi="EC Square Sans Cond Pro"/>
                <w:noProof/>
                <w:sz w:val="16"/>
                <w:szCs w:val="16"/>
                <w:lang w:eastAsia="en-GB"/>
              </w:rPr>
            </w:pPr>
          </w:p>
        </w:tc>
        <w:tc>
          <w:tcPr>
            <w:tcW w:w="3508" w:type="dxa"/>
            <w:vAlign w:val="center"/>
          </w:tcPr>
          <w:p w:rsidR="0060634A" w:rsidRDefault="00F76D44">
            <w:pPr>
              <w:ind w:left="284" w:hanging="284"/>
              <w:rPr>
                <w:rFonts w:ascii="EC Square Sans Cond Pro" w:hAnsi="EC Square Sans Cond Pro"/>
                <w:noProof/>
                <w:sz w:val="16"/>
                <w:szCs w:val="16"/>
              </w:rPr>
            </w:pPr>
            <w:r>
              <w:rPr>
                <w:noProof/>
                <w:lang w:eastAsia="fr-BE"/>
              </w:rPr>
              <w:drawing>
                <wp:inline distT="0" distB="0" distL="0" distR="0">
                  <wp:extent cx="1997075" cy="127000"/>
                  <wp:effectExtent l="0" t="0" r="3175" b="6350"/>
                  <wp:docPr id="236" name="Chart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836" w:type="dxa"/>
            <w:vAlign w:val="center"/>
          </w:tcPr>
          <w:p w:rsidR="0060634A" w:rsidRDefault="00F76D44">
            <w:pPr>
              <w:ind w:left="284" w:hanging="284"/>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99.0%</w:t>
            </w:r>
          </w:p>
        </w:tc>
        <w:tc>
          <w:tcPr>
            <w:tcW w:w="2678" w:type="dxa"/>
            <w:gridSpan w:val="2"/>
            <w:vAlign w:val="center"/>
          </w:tcPr>
          <w:p w:rsidR="0060634A" w:rsidRDefault="00F76D44">
            <w:pPr>
              <w:ind w:left="284" w:hanging="284"/>
              <w:rPr>
                <w:rFonts w:ascii="EC Square Sans Cond Pro" w:hAnsi="EC Square Sans Cond Pro"/>
                <w:noProof/>
                <w:sz w:val="16"/>
                <w:szCs w:val="16"/>
                <w:lang w:val="en-GB"/>
              </w:rPr>
            </w:pPr>
            <w:r>
              <w:rPr>
                <w:rFonts w:ascii="EC Square Sans Cond Pro" w:eastAsiaTheme="minorEastAsia" w:hAnsi="EC Square Sans Cond Pro" w:cs="EC Square Sans Cond Pro"/>
                <w:noProof/>
                <w:color w:val="000000"/>
                <w:sz w:val="16"/>
                <w:szCs w:val="16"/>
                <w:lang w:val="en-GB" w:eastAsia="en-GB"/>
              </w:rPr>
              <w:t>99.1% compared to a target of 99.0%</w:t>
            </w:r>
          </w:p>
        </w:tc>
      </w:tr>
      <w:tr w:rsidR="0060634A">
        <w:trPr>
          <w:trHeight w:val="247"/>
        </w:trPr>
        <w:tc>
          <w:tcPr>
            <w:tcW w:w="2851" w:type="dxa"/>
            <w:tcBorders>
              <w:bottom w:val="nil"/>
            </w:tcBorders>
            <w:vAlign w:val="center"/>
          </w:tcPr>
          <w:p w:rsidR="0060634A" w:rsidRDefault="00F76D44">
            <w:pPr>
              <w:ind w:left="284" w:hanging="284"/>
              <w:jc w:val="right"/>
              <w:rPr>
                <w:noProof/>
                <w:sz w:val="16"/>
                <w:szCs w:val="16"/>
                <w:lang w:val="en-GB"/>
              </w:rPr>
            </w:pPr>
            <w:r>
              <w:rPr>
                <w:noProof/>
                <w:sz w:val="16"/>
                <w:szCs w:val="16"/>
                <w:lang w:val="en-GB"/>
              </w:rPr>
              <w:t xml:space="preserve">    </w:t>
            </w:r>
          </w:p>
        </w:tc>
        <w:tc>
          <w:tcPr>
            <w:tcW w:w="867" w:type="dxa"/>
            <w:tcBorders>
              <w:bottom w:val="nil"/>
            </w:tcBorders>
          </w:tcPr>
          <w:p w:rsidR="0060634A" w:rsidRDefault="0060634A">
            <w:pPr>
              <w:ind w:left="284" w:hanging="284"/>
              <w:rPr>
                <w:noProof/>
                <w:sz w:val="16"/>
                <w:szCs w:val="16"/>
                <w:lang w:val="en-GB" w:eastAsia="en-GB"/>
              </w:rPr>
            </w:pPr>
          </w:p>
        </w:tc>
        <w:tc>
          <w:tcPr>
            <w:tcW w:w="3508" w:type="dxa"/>
            <w:tcBorders>
              <w:bottom w:val="nil"/>
            </w:tcBorders>
            <w:vAlign w:val="center"/>
          </w:tcPr>
          <w:p w:rsidR="0060634A" w:rsidRDefault="00F76D44">
            <w:pPr>
              <w:spacing w:before="120"/>
              <w:ind w:left="284" w:hanging="284"/>
              <w:rPr>
                <w:noProof/>
                <w:sz w:val="16"/>
                <w:szCs w:val="16"/>
                <w:lang w:val="en-GB"/>
              </w:rPr>
            </w:pPr>
            <w:r>
              <w:rPr>
                <w:noProof/>
                <w:sz w:val="16"/>
                <w:szCs w:val="16"/>
                <w:lang w:eastAsia="fr-BE"/>
              </w:rPr>
              <mc:AlternateContent>
                <mc:Choice Requires="wps">
                  <w:drawing>
                    <wp:anchor distT="0" distB="0" distL="114300" distR="114300" simplePos="0" relativeHeight="251588608"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26" name="Rectangle 26"/>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37708" id="Rectangle 26" o:spid="_x0000_s1026" style="position:absolute;margin-left:-9.45pt;margin-top:6.1pt;width:6.35pt;height:7.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" fillcolor="#28296e" stroked="f" strokeweight="1pt">
                      <w10:wrap type="through"/>
                    </v:rect>
                  </w:pict>
                </mc:Fallback>
              </mc:AlternateContent>
            </w:r>
            <w:r>
              <w:rPr>
                <w:noProof/>
                <w:sz w:val="16"/>
                <w:szCs w:val="16"/>
                <w:lang w:val="en-GB"/>
              </w:rPr>
              <w:t>% of target achieved by the end of 2019</w:t>
            </w:r>
          </w:p>
        </w:tc>
        <w:tc>
          <w:tcPr>
            <w:tcW w:w="836" w:type="dxa"/>
            <w:tcBorders>
              <w:bottom w:val="nil"/>
            </w:tcBorders>
          </w:tcPr>
          <w:p w:rsidR="0060634A" w:rsidRDefault="0060634A">
            <w:pPr>
              <w:ind w:left="284" w:hanging="284"/>
              <w:rPr>
                <w:noProof/>
                <w:sz w:val="16"/>
                <w:szCs w:val="16"/>
                <w:lang w:val="en-GB" w:eastAsia="en-GB"/>
              </w:rPr>
            </w:pPr>
          </w:p>
        </w:tc>
        <w:tc>
          <w:tcPr>
            <w:tcW w:w="2678" w:type="dxa"/>
            <w:gridSpan w:val="2"/>
            <w:tcBorders>
              <w:bottom w:val="nil"/>
            </w:tcBorders>
            <w:vAlign w:val="center"/>
          </w:tcPr>
          <w:p w:rsidR="0060634A" w:rsidRDefault="0060634A">
            <w:pPr>
              <w:ind w:left="284" w:hanging="284"/>
              <w:rPr>
                <w:noProof/>
                <w:sz w:val="16"/>
                <w:szCs w:val="16"/>
                <w:lang w:val="en-GB"/>
              </w:rPr>
            </w:pPr>
          </w:p>
        </w:tc>
      </w:tr>
      <w:tr w:rsidR="0060634A">
        <w:trPr>
          <w:trHeight w:val="247"/>
        </w:trPr>
        <w:tc>
          <w:tcPr>
            <w:tcW w:w="10740" w:type="dxa"/>
            <w:gridSpan w:val="6"/>
            <w:tcBorders>
              <w:top w:val="nil"/>
              <w:bottom w:val="nil"/>
            </w:tcBorders>
            <w:vAlign w:val="center"/>
          </w:tcPr>
          <w:p w:rsidR="0060634A" w:rsidRDefault="00F76D44">
            <w:pPr>
              <w:ind w:left="284" w:hanging="284"/>
              <w:rPr>
                <w:noProof/>
                <w:sz w:val="14"/>
                <w:szCs w:val="16"/>
              </w:rPr>
            </w:pPr>
            <w:r>
              <w:rPr>
                <w:noProof/>
                <w:sz w:val="14"/>
                <w:szCs w:val="16"/>
              </w:rPr>
              <w:t>(</w:t>
            </w:r>
            <w:r>
              <w:rPr>
                <w:noProof/>
                <w:sz w:val="14"/>
                <w:szCs w:val="16"/>
                <w:vertAlign w:val="superscript"/>
              </w:rPr>
              <w:t>1</w:t>
            </w:r>
            <w:r>
              <w:rPr>
                <w:noProof/>
                <w:sz w:val="14"/>
                <w:szCs w:val="16"/>
              </w:rPr>
              <w:t>) Average of results for 2014-2018.</w:t>
            </w:r>
          </w:p>
        </w:tc>
      </w:tr>
    </w:tbl>
    <w:p w:rsidR="0060634A" w:rsidRDefault="00F76D44">
      <w:pPr>
        <w:pStyle w:val="PPOTitle3"/>
      </w:pPr>
      <w:r>
        <w:t>Where are we in the implementation?</w:t>
      </w:r>
    </w:p>
    <w:p w:rsidR="0060634A" w:rsidRDefault="00F76D44">
      <w:pPr>
        <w:pStyle w:val="PPOTitle4-BlackBold9pt"/>
        <w:ind w:left="284" w:hanging="284"/>
        <w:rPr>
          <w:rFonts w:eastAsiaTheme="minorEastAsia"/>
        </w:rPr>
      </w:pPr>
      <w:r>
        <w:rPr>
          <w:rFonts w:eastAsiaTheme="minorEastAsia"/>
        </w:rPr>
        <w:t>Galileo</w:t>
      </w:r>
    </w:p>
    <w:p w:rsidR="0060634A" w:rsidRDefault="00F76D44">
      <w:pPr>
        <w:pStyle w:val="PPOBlackBULLETS-L1"/>
        <w:ind w:left="284" w:hanging="284"/>
        <w:rPr>
          <w:noProof/>
        </w:rPr>
      </w:pPr>
      <w:r>
        <w:rPr>
          <w:noProof/>
        </w:rPr>
        <w:t>The deployment of the Galileo space infrastructure continued with the aim of reaching full operational capability. By the</w:t>
      </w:r>
      <w:r>
        <w:rPr>
          <w:noProof/>
        </w:rPr>
        <w:t xml:space="preserve"> end of 2019 there were 26 Galileo satellites in orbit and providing services, 22 of which are fully operational for all services. The two satellites launched in the wrong orbit in 2014 are used for the search and rescue service, and underwent in-depth tes</w:t>
      </w:r>
      <w:r>
        <w:rPr>
          <w:noProof/>
        </w:rPr>
        <w:t>ts and modifications of their on-board software between 2016 and 2017 to allow their operational use for the open service by the end of 2020. The production of additional first-generation satellites is ongoing with the procurement of batch</w:t>
      </w:r>
      <w:r>
        <w:rPr>
          <w:rFonts w:ascii="Calibri" w:hAnsi="Calibri" w:cs="Calibri"/>
          <w:noProof/>
        </w:rPr>
        <w:t> </w:t>
      </w:r>
      <w:r>
        <w:rPr>
          <w:noProof/>
        </w:rPr>
        <w:t>3 (12 satellites</w:t>
      </w:r>
      <w:r>
        <w:rPr>
          <w:noProof/>
        </w:rPr>
        <w:t xml:space="preserve">), </w:t>
      </w:r>
      <w:r>
        <w:rPr>
          <w:rFonts w:cs="EC Square Sans Cond Pro"/>
          <w:noProof/>
          <w:color w:val="000000"/>
          <w:szCs w:val="18"/>
        </w:rPr>
        <w:t>the contract for which was signed in June 2017</w:t>
      </w:r>
      <w:r>
        <w:rPr>
          <w:noProof/>
        </w:rPr>
        <w:t xml:space="preserve">. The first of these satellites are scheduled to be delivered by August 2020. In order to initiate the transition between the first and second generations of Galileo satellites and to ensure the maintenance </w:t>
      </w:r>
      <w:r>
        <w:rPr>
          <w:noProof/>
        </w:rPr>
        <w:t xml:space="preserve">of the Galileo constellation in the future, </w:t>
      </w:r>
      <w:r>
        <w:rPr>
          <w:rFonts w:cs="EC Square Sans Cond Pro"/>
          <w:noProof/>
          <w:color w:val="000000"/>
          <w:szCs w:val="18"/>
        </w:rPr>
        <w:t>a procurement process</w:t>
      </w:r>
      <w:r>
        <w:rPr>
          <w:noProof/>
        </w:rPr>
        <w:t xml:space="preserve"> for transition satellites was launched in 2018 and is expected to be finalised in 2020. </w:t>
      </w:r>
    </w:p>
    <w:p w:rsidR="0060634A" w:rsidRDefault="00F76D44">
      <w:pPr>
        <w:pStyle w:val="PPOBlackBULLETS-L1"/>
        <w:ind w:left="284" w:hanging="284"/>
        <w:rPr>
          <w:noProof/>
        </w:rPr>
      </w:pPr>
      <w:r>
        <w:rPr>
          <w:noProof/>
        </w:rPr>
        <w:t>A contract for the development of a dispenser for carrying Galileo satellites was signed with the Ari</w:t>
      </w:r>
      <w:r>
        <w:rPr>
          <w:noProof/>
        </w:rPr>
        <w:t>ane Group in the summer of 2019. The first Ariane</w:t>
      </w:r>
      <w:r>
        <w:rPr>
          <w:rFonts w:ascii="Calibri" w:hAnsi="Calibri" w:cs="Calibri"/>
          <w:noProof/>
        </w:rPr>
        <w:t> </w:t>
      </w:r>
      <w:r>
        <w:rPr>
          <w:noProof/>
        </w:rPr>
        <w:t>6 dispenser flight model for Galileo will be delivered by early 2021.</w:t>
      </w:r>
    </w:p>
    <w:p w:rsidR="0060634A" w:rsidRDefault="00F76D44">
      <w:pPr>
        <w:pStyle w:val="PPOBlackBULLETS-L1"/>
        <w:ind w:left="284" w:hanging="284"/>
        <w:rPr>
          <w:noProof/>
        </w:rPr>
      </w:pPr>
      <w:r>
        <w:rPr>
          <w:noProof/>
        </w:rPr>
        <w:t>Regarding the Galileo ground infrastructure, the ground-mission and ground-control segment continued Galileo satellite operations. In Fe</w:t>
      </w:r>
      <w:r>
        <w:rPr>
          <w:noProof/>
        </w:rPr>
        <w:t>bruary 2019 a major upgrade of the Galileo ground infrastructure began in order to improve the robustness of the system and its compliance with security requirements. The European GNSS Service Centre in Madrid (Spain) continued to provide a single interfac</w:t>
      </w:r>
      <w:r>
        <w:rPr>
          <w:noProof/>
        </w:rPr>
        <w:t>e between the Galileo system and Galileo users. To ensure the independent monitoring of the Galileo services, the Galileo Reference Centre began operations in Noordwijk (Netherlands) in May 2018, supporting the GNSS performance monitoring needs of the Euro</w:t>
      </w:r>
      <w:r>
        <w:rPr>
          <w:noProof/>
        </w:rPr>
        <w:t>pean Union Aviation Safety Agency and providing support to Eurocontrol. The Galileo Security Monitoring Centre back-up site was transferred from the United Kingdom to Spain in 2019.</w:t>
      </w:r>
    </w:p>
    <w:p w:rsidR="0060634A" w:rsidRDefault="00F76D44">
      <w:pPr>
        <w:pStyle w:val="PPOBlackBULLETS-L1"/>
        <w:ind w:left="284" w:hanging="284"/>
        <w:rPr>
          <w:noProof/>
        </w:rPr>
      </w:pPr>
      <w:r>
        <w:rPr>
          <w:noProof/>
        </w:rPr>
        <w:t>Regarding security, key actions included measures to improve cybersecurity</w:t>
      </w:r>
      <w:r>
        <w:rPr>
          <w:noProof/>
        </w:rPr>
        <w:t>; to obtain and maintain security accreditation for operations and for site infrastructure; and to develop operational concepts and procedures for the public regulated service. This is an encrypted navigation service for authorised government users and sen</w:t>
      </w:r>
      <w:r>
        <w:rPr>
          <w:noProof/>
        </w:rPr>
        <w:t xml:space="preserve">sitive applications that require a high level of continuity. The public regulated service will ensure a better continuity of service for authorised users when access to other navigation services may be degraded, while in cases of malicious interference it </w:t>
      </w:r>
      <w:r>
        <w:rPr>
          <w:noProof/>
        </w:rPr>
        <w:t>increases the likelihood of the continuous availability of the signal in space.</w:t>
      </w:r>
    </w:p>
    <w:p w:rsidR="0060634A" w:rsidRDefault="00F76D44">
      <w:pPr>
        <w:pStyle w:val="PPOBlackBULLETS-L1"/>
        <w:ind w:left="284" w:hanging="284"/>
        <w:rPr>
          <w:noProof/>
        </w:rPr>
      </w:pPr>
      <w:r>
        <w:rPr>
          <w:noProof/>
        </w:rPr>
        <w:t xml:space="preserve">To ensure the continuity of services beyond 2020, the future Galileo services and high-level objectives for security were defined in </w:t>
      </w:r>
      <w:r>
        <w:rPr>
          <w:rFonts w:cs="EC Square Sans Cond Pro"/>
          <w:noProof/>
          <w:color w:val="000000"/>
          <w:szCs w:val="18"/>
        </w:rPr>
        <w:t xml:space="preserve">the evolution of the high-level definition </w:t>
      </w:r>
      <w:r>
        <w:rPr>
          <w:rFonts w:cs="EC Square Sans Cond Pro"/>
          <w:noProof/>
          <w:color w:val="000000"/>
          <w:szCs w:val="18"/>
        </w:rPr>
        <w:t>document</w:t>
      </w:r>
      <w:r>
        <w:rPr>
          <w:noProof/>
        </w:rPr>
        <w:t>. In parallel, preparatory activities have begun for the definition of new Galileo services to be developed as of 2021, such as an emergency service to broadcast warnings related to natural disasters.</w:t>
      </w:r>
    </w:p>
    <w:p w:rsidR="0060634A" w:rsidRDefault="00F76D44">
      <w:pPr>
        <w:pStyle w:val="PPOBlackBULLETS-L1"/>
        <w:ind w:left="284" w:hanging="284"/>
        <w:rPr>
          <w:noProof/>
        </w:rPr>
      </w:pPr>
      <w:r>
        <w:rPr>
          <w:noProof/>
        </w:rPr>
        <w:t>Galileo’s three initial services (the open serv</w:t>
      </w:r>
      <w:r>
        <w:rPr>
          <w:noProof/>
        </w:rPr>
        <w:t>ice, the public regulated service and the search and rescue service) were continuously provided in 2019, with the exception of a 6-day interruption in July of the Galileo initial navigation and timing services due to a technical incident. Nevertheless, the</w:t>
      </w:r>
      <w:r>
        <w:rPr>
          <w:noProof/>
        </w:rPr>
        <w:t xml:space="preserve"> Galileo search and rescue service was unaffected. The independent inquiry board set up by the Commission analysed the root causes of the incident and provided recommendations. The Commission has put in place a process to implement the recommendations to e</w:t>
      </w:r>
      <w:r>
        <w:rPr>
          <w:noProof/>
        </w:rPr>
        <w:t>nsure that Galileo is a stable, robust and resilient system.</w:t>
      </w:r>
    </w:p>
    <w:p w:rsidR="0060634A" w:rsidRDefault="00F76D44">
      <w:pPr>
        <w:pStyle w:val="PPOBlackBULLETS-L1"/>
        <w:ind w:left="284" w:hanging="284"/>
        <w:rPr>
          <w:noProof/>
        </w:rPr>
      </w:pPr>
      <w:r>
        <w:rPr>
          <w:noProof/>
        </w:rPr>
        <w:t xml:space="preserve">In 2019 several activities aiming to support the market uptake of Galileo were undertaken, including Galileo acceleration; hackathon initiatives for the development of applications using Galileo </w:t>
      </w:r>
      <w:r>
        <w:rPr>
          <w:noProof/>
        </w:rPr>
        <w:t>signals; and standardisation activities.</w:t>
      </w:r>
    </w:p>
    <w:p w:rsidR="0060634A" w:rsidRDefault="00F76D44">
      <w:pPr>
        <w:pStyle w:val="PPOTitle4-BlackBold9pt"/>
        <w:ind w:left="284" w:hanging="284"/>
        <w:rPr>
          <w:rFonts w:eastAsiaTheme="minorEastAsia"/>
        </w:rPr>
      </w:pPr>
      <w:r>
        <w:rPr>
          <w:rFonts w:eastAsiaTheme="minorEastAsia"/>
        </w:rPr>
        <w:t>EGNOS</w:t>
      </w:r>
    </w:p>
    <w:p w:rsidR="0060634A" w:rsidRDefault="00F76D44">
      <w:pPr>
        <w:pStyle w:val="PPOBlackBULLETS-L1"/>
        <w:ind w:left="284" w:hanging="284"/>
        <w:rPr>
          <w:noProof/>
        </w:rPr>
      </w:pPr>
      <w:r>
        <w:rPr>
          <w:noProof/>
        </w:rPr>
        <w:t>The continuity and quality of all EGNOS services beyond 2020 were ensured in 2019 through the ongoing development of a major EGNOS release version and the completion of the study phase for an additional versio</w:t>
      </w:r>
      <w:r>
        <w:rPr>
          <w:noProof/>
        </w:rPr>
        <w:t xml:space="preserve">n, which will improve the coverage of European territories. Procurement relating to the latter’s implementation phase was carried out in 2019 </w:t>
      </w:r>
      <w:r>
        <w:rPr>
          <w:rFonts w:cs="EC Square Sans Cond Pro"/>
          <w:noProof/>
          <w:color w:val="000000"/>
          <w:szCs w:val="18"/>
        </w:rPr>
        <w:t>and is expected to start delivering its services around 2023.</w:t>
      </w:r>
    </w:p>
    <w:p w:rsidR="0060634A" w:rsidRDefault="00F76D44">
      <w:pPr>
        <w:pStyle w:val="PPOBlackBULLETS-L1"/>
        <w:ind w:left="284" w:hanging="284"/>
        <w:rPr>
          <w:noProof/>
        </w:rPr>
      </w:pPr>
      <w:r>
        <w:rPr>
          <w:noProof/>
        </w:rPr>
        <w:t>The EGNOS service area was extended up to latitude 7</w:t>
      </w:r>
      <w:r>
        <w:rPr>
          <w:noProof/>
        </w:rPr>
        <w:t xml:space="preserve">2 degrees north. To that end, an update of the </w:t>
      </w:r>
      <w:r>
        <w:rPr>
          <w:i/>
          <w:iCs/>
          <w:noProof/>
        </w:rPr>
        <w:t>EGNOS Safety of Life</w:t>
      </w:r>
      <w:r>
        <w:rPr>
          <w:rFonts w:ascii="Calibri" w:hAnsi="Calibri" w:cs="Calibri"/>
          <w:i/>
          <w:iCs/>
          <w:noProof/>
        </w:rPr>
        <w:t> </w:t>
      </w:r>
      <w:r>
        <w:rPr>
          <w:i/>
          <w:iCs/>
          <w:noProof/>
        </w:rPr>
        <w:t>– Service definition document</w:t>
      </w:r>
      <w:r>
        <w:rPr>
          <w:noProof/>
        </w:rPr>
        <w:t xml:space="preserve"> was published in 2019. Activities for the development of EGNOS version</w:t>
      </w:r>
      <w:r>
        <w:rPr>
          <w:rFonts w:ascii="Calibri" w:hAnsi="Calibri" w:cs="Calibri"/>
          <w:noProof/>
        </w:rPr>
        <w:t> </w:t>
      </w:r>
      <w:r>
        <w:rPr>
          <w:noProof/>
        </w:rPr>
        <w:t>3 continued. In October 2019 a satellite hosting the GEO-3 payload for EGNOS version</w:t>
      </w:r>
      <w:r>
        <w:rPr>
          <w:rFonts w:ascii="Calibri" w:hAnsi="Calibri" w:cs="Calibri"/>
          <w:noProof/>
        </w:rPr>
        <w:t> </w:t>
      </w:r>
      <w:r>
        <w:rPr>
          <w:noProof/>
        </w:rPr>
        <w:t xml:space="preserve">3 </w:t>
      </w:r>
      <w:r>
        <w:rPr>
          <w:noProof/>
        </w:rPr>
        <w:t>was successfully launched.</w:t>
      </w:r>
    </w:p>
    <w:p w:rsidR="0060634A" w:rsidRDefault="00F76D44">
      <w:pPr>
        <w:pStyle w:val="PPOBlackBULLETS-L1"/>
        <w:ind w:left="284" w:hanging="284"/>
        <w:rPr>
          <w:noProof/>
        </w:rPr>
      </w:pPr>
      <w:r>
        <w:rPr>
          <w:noProof/>
        </w:rPr>
        <w:t>The 2018 regulation laying down airspace usage requirements and operating procedures for performance-based navigation aimed at enhancing EGNOS’s market uptake by requiring the publication of localizer performance with vertical gu</w:t>
      </w:r>
      <w:r>
        <w:rPr>
          <w:noProof/>
        </w:rPr>
        <w:t>idance procedures delivered by EGNOS in all European instrument runway ends before January 2024.</w:t>
      </w:r>
    </w:p>
    <w:p w:rsidR="0060634A" w:rsidRDefault="00F76D44">
      <w:pPr>
        <w:pStyle w:val="PPOBlackBULLETS-L1"/>
        <w:ind w:left="284" w:hanging="284"/>
        <w:rPr>
          <w:noProof/>
        </w:rPr>
      </w:pPr>
      <w:r>
        <w:rPr>
          <w:noProof/>
        </w:rPr>
        <w:t>In the field of international cooperation, negotiations continued with Norway and the United States for access to the Galileo public regulated service. Progres</w:t>
      </w:r>
      <w:r>
        <w:rPr>
          <w:noProof/>
        </w:rPr>
        <w:t>s was made with the extension of EGNOS to European neighbourhood policy south countries with the approval of EUR</w:t>
      </w:r>
      <w:r>
        <w:rPr>
          <w:rFonts w:ascii="Calibri" w:hAnsi="Calibri" w:cs="Calibri"/>
          <w:noProof/>
        </w:rPr>
        <w:t> </w:t>
      </w:r>
      <w:r>
        <w:rPr>
          <w:noProof/>
        </w:rPr>
        <w:t>9</w:t>
      </w:r>
      <w:r>
        <w:rPr>
          <w:rFonts w:ascii="Calibri" w:hAnsi="Calibri" w:cs="Calibri"/>
          <w:noProof/>
        </w:rPr>
        <w:t> </w:t>
      </w:r>
      <w:r>
        <w:rPr>
          <w:noProof/>
        </w:rPr>
        <w:t>million in funding for infrastructure needed to provide them with the EGNOS safety-of-life signal.</w:t>
      </w:r>
    </w:p>
    <w:p w:rsidR="0060634A" w:rsidRDefault="00F76D44">
      <w:pPr>
        <w:pStyle w:val="PPOBlackBULLETS-L1"/>
        <w:ind w:left="284" w:hanging="284"/>
        <w:rPr>
          <w:noProof/>
        </w:rPr>
      </w:pPr>
      <w:r>
        <w:rPr>
          <w:noProof/>
        </w:rPr>
        <w:t>The Commission has: (1) granted extended l</w:t>
      </w:r>
      <w:r>
        <w:rPr>
          <w:noProof/>
        </w:rPr>
        <w:t>icences to Galileo-related intellectual property rights, thus enabling industry to make use of knowledge and assets generated under the EU space programme; and (2) licensed patents from industry and sublicensed them subsequently for free use by the general</w:t>
      </w:r>
      <w:r>
        <w:rPr>
          <w:noProof/>
        </w:rPr>
        <w:t xml:space="preserve"> public.</w:t>
      </w:r>
    </w:p>
    <w:p w:rsidR="0060634A" w:rsidRDefault="00F76D44">
      <w:pPr>
        <w:pStyle w:val="PPOTitle4-BlackBold9pt"/>
        <w:ind w:left="284" w:hanging="284"/>
        <w:rPr>
          <w:rFonts w:eastAsiaTheme="minorEastAsia"/>
        </w:rPr>
      </w:pPr>
      <w:r>
        <w:rPr>
          <w:rFonts w:eastAsiaTheme="minorEastAsia"/>
        </w:rPr>
        <w:t>Performance assessment</w:t>
      </w:r>
    </w:p>
    <w:p w:rsidR="0060634A" w:rsidRDefault="00F76D44">
      <w:pPr>
        <w:pStyle w:val="PPOBlackBULLETS-L1"/>
        <w:ind w:left="284" w:hanging="284"/>
        <w:rPr>
          <w:noProof/>
        </w:rPr>
      </w:pPr>
      <w:r>
        <w:rPr>
          <w:noProof/>
        </w:rPr>
        <w:t>Galileo progressed towards its target of developing and providing global satellite-based radio navigation infrastructures and services by 2020. Its progress was, however, impacted by the service incident of July 2019. The re</w:t>
      </w:r>
      <w:r>
        <w:rPr>
          <w:noProof/>
        </w:rPr>
        <w:t>commendations of the independent inquiry board aim at ensuring uninterrupted service provision and focus mainly on the review of Galileo’s operational management, including interactions between the Commission, the European GNSS Agency and the European Spac</w:t>
      </w:r>
      <w:r>
        <w:rPr>
          <w:noProof/>
        </w:rPr>
        <w:t xml:space="preserve">e Agency. The implementation of the recommendations is ongoing, and its completion is a priority for 2020: </w:t>
      </w:r>
      <w:r>
        <w:rPr>
          <w:rFonts w:eastAsiaTheme="minorEastAsia" w:cs="EC Square Sans Cond Pro"/>
          <w:bCs w:val="0"/>
          <w:noProof/>
          <w:color w:val="000000"/>
          <w:szCs w:val="18"/>
        </w:rPr>
        <w:t>measures establishing a unique end-to-end maintenance and configuration management</w:t>
      </w:r>
      <w:r>
        <w:rPr>
          <w:noProof/>
        </w:rPr>
        <w:t xml:space="preserve"> system are being introduced and operational procedures and processes have been updated.</w:t>
      </w:r>
    </w:p>
    <w:p w:rsidR="0060634A" w:rsidRDefault="00F76D44">
      <w:pPr>
        <w:pStyle w:val="PPOBlackBULLETS-L1"/>
        <w:keepLines/>
        <w:ind w:left="284" w:hanging="284"/>
        <w:rPr>
          <w:noProof/>
        </w:rPr>
      </w:pPr>
      <w:r>
        <w:rPr>
          <w:noProof/>
        </w:rPr>
        <w:t>Regarding the ground infrastructure, deployment of the new system release Galileo system build 1.5.1 progressed significantly despite delays due to the Galileo inciden</w:t>
      </w:r>
      <w:r>
        <w:rPr>
          <w:noProof/>
        </w:rPr>
        <w:t>t. This release includes improvements to the infrastructure in order to support increased availability in the provision of services. Following the last launch of Galileo satellites in 2018 and the in-orbit test review in early 2019, the total number of ope</w:t>
      </w:r>
      <w:r>
        <w:rPr>
          <w:noProof/>
        </w:rPr>
        <w:t>rational satellites in orbit increased to 26, in line with the milestone set for this specific objective. The manufacturing of additional satellites to complete the constellation and to provide sufficient spare capacity to ensure its continuity has continu</w:t>
      </w:r>
      <w:r>
        <w:rPr>
          <w:noProof/>
        </w:rPr>
        <w:t>ed in accordance with the planned schedule. In particular, in preparation for the Galileo second generation, the procurement of transition satellites launched in 2018 is expected to result in a contract award in the second half of 2020. The main challenges</w:t>
      </w:r>
      <w:r>
        <w:rPr>
          <w:noProof/>
        </w:rPr>
        <w:t xml:space="preserve"> encountered were linked to the consolidation of the satellites’ technical specifications, as work to define the requirements for the Galileo second generation is not yet complete.</w:t>
      </w:r>
    </w:p>
    <w:p w:rsidR="0060634A" w:rsidRDefault="00F76D44">
      <w:pPr>
        <w:pStyle w:val="PPOBlackBULLETS-L1"/>
        <w:ind w:left="284" w:hanging="284"/>
        <w:rPr>
          <w:noProof/>
        </w:rPr>
      </w:pPr>
      <w:r>
        <w:rPr>
          <w:noProof/>
        </w:rPr>
        <w:t>Gradual improvements have been made in the provision of Galileo services: a</w:t>
      </w:r>
      <w:r>
        <w:rPr>
          <w:noProof/>
        </w:rPr>
        <w:t xml:space="preserve"> new service-definition document for Galileo’s open service was published in 2019, providing minimum performances levels in positioning and timing; and a new search and rescue functionality, the return link service, became operational in the same year. The</w:t>
      </w:r>
      <w:r>
        <w:rPr>
          <w:noProof/>
        </w:rPr>
        <w:t xml:space="preserve"> performance levels of the Galileo open service and the Galileo search and rescue service in terms of availability and accuracy continuously exceeded the minimum-performance-level targets defined in the service-definition documents. </w:t>
      </w:r>
    </w:p>
    <w:p w:rsidR="0060634A" w:rsidRDefault="00F76D44">
      <w:pPr>
        <w:pStyle w:val="PPOBlackBULLETS-L1"/>
        <w:ind w:left="284" w:hanging="284"/>
        <w:rPr>
          <w:noProof/>
        </w:rPr>
      </w:pPr>
      <w:r>
        <w:rPr>
          <w:noProof/>
        </w:rPr>
        <w:t xml:space="preserve">The deployment of the </w:t>
      </w:r>
      <w:r>
        <w:rPr>
          <w:noProof/>
        </w:rPr>
        <w:t>Galileo ground and space infrastructure is directly linked to the implementation schedule for the provision of the high accuracy service (20</w:t>
      </w:r>
      <w:r>
        <w:rPr>
          <w:rFonts w:ascii="Calibri" w:hAnsi="Calibri" w:cs="Calibri"/>
          <w:noProof/>
        </w:rPr>
        <w:t> </w:t>
      </w:r>
      <w:r>
        <w:rPr>
          <w:noProof/>
        </w:rPr>
        <w:t>cm positioning accuracy) by the end of 2021. It is thus significant for the delivery on the programme’s objectives.</w:t>
      </w:r>
    </w:p>
    <w:p w:rsidR="0060634A" w:rsidRDefault="00F76D44">
      <w:pPr>
        <w:pStyle w:val="PPOBlackBULLETS-L1"/>
        <w:ind w:left="284" w:hanging="284"/>
        <w:rPr>
          <w:noProof/>
        </w:rPr>
      </w:pPr>
      <w:r>
        <w:rPr>
          <w:noProof/>
        </w:rPr>
        <w:t>Concerning security, key actions for 2020 include measures to ensure the accreditation of the system, in particular cybersecurity issues. Concerning Galileo's security governance, the midterm review recommended reassessing the allocation of responsibiliti</w:t>
      </w:r>
      <w:r>
        <w:rPr>
          <w:noProof/>
        </w:rPr>
        <w:t>es between the Commission and the European GNSS Agency; the role of the Member States; the role of the Council, the High Representative of the EU for Foreign Affairs and Security Policy and the European External Action Service; and the independence and aut</w:t>
      </w:r>
      <w:r>
        <w:rPr>
          <w:noProof/>
        </w:rPr>
        <w:t>onomy of the Security Accreditation Board with respect to the European GNSS Agency and the choice of legal instruments for technical security matters (delegated acts versus implementing acts).</w:t>
      </w:r>
    </w:p>
    <w:p w:rsidR="0060634A" w:rsidRDefault="00F76D44">
      <w:pPr>
        <w:pStyle w:val="PPOBlackBULLETS-L1"/>
        <w:ind w:left="284" w:hanging="284"/>
        <w:rPr>
          <w:noProof/>
        </w:rPr>
      </w:pPr>
      <w:r>
        <w:rPr>
          <w:noProof/>
        </w:rPr>
        <w:t>EGNOS’s performance in relation to its objective of providing s</w:t>
      </w:r>
      <w:r>
        <w:rPr>
          <w:noProof/>
        </w:rPr>
        <w:t>atellite-based services that improve the performance of GPS to gradually cover the whole territory of the EU Member States has steadily got better. Currently, the only territories not covered are the Azores (Portugal), Cyprus and northern Norway, due to th</w:t>
      </w:r>
      <w:r>
        <w:rPr>
          <w:noProof/>
        </w:rPr>
        <w:t xml:space="preserve">e limitations of </w:t>
      </w:r>
      <w:r>
        <w:rPr>
          <w:rFonts w:eastAsiaTheme="minorEastAsia" w:cs="EC Square Sans Cond Pro"/>
          <w:bCs w:val="0"/>
          <w:noProof/>
          <w:color w:val="000000"/>
          <w:szCs w:val="18"/>
        </w:rPr>
        <w:t xml:space="preserve">the current technology </w:t>
      </w:r>
      <w:r>
        <w:rPr>
          <w:noProof/>
        </w:rPr>
        <w:t xml:space="preserve">and the Ranging and Monitoring Stations network. Cyprus is expected to be covered in 2020 and Northern Norway in 2023, with </w:t>
      </w:r>
      <w:r>
        <w:rPr>
          <w:rFonts w:eastAsiaTheme="minorEastAsia" w:cs="EC Square Sans Cond Pro"/>
          <w:bCs w:val="0"/>
          <w:noProof/>
          <w:color w:val="000000"/>
          <w:szCs w:val="18"/>
        </w:rPr>
        <w:t>the deployment of a future version of EGNOS</w:t>
      </w:r>
      <w:r>
        <w:rPr>
          <w:noProof/>
        </w:rPr>
        <w:t>. The Azores will be covered around 2025, once th</w:t>
      </w:r>
      <w:r>
        <w:rPr>
          <w:noProof/>
        </w:rPr>
        <w:t xml:space="preserve">e ground segment is upgraded to EGNOS V3. </w:t>
      </w:r>
    </w:p>
    <w:p w:rsidR="0060634A" w:rsidRDefault="00F76D44">
      <w:pPr>
        <w:pStyle w:val="PPOBlackBULLETS-L1"/>
        <w:ind w:left="284" w:hanging="284"/>
        <w:rPr>
          <w:noProof/>
        </w:rPr>
      </w:pPr>
      <w:r>
        <w:rPr>
          <w:noProof/>
        </w:rPr>
        <w:t>The objective of continuous delivery of EGNOS services was successfully achieved through the efficient implementation of recurring activities and the preparation of system updates. In terms of service availability</w:t>
      </w:r>
      <w:r>
        <w:rPr>
          <w:noProof/>
        </w:rPr>
        <w:t>, at the end of 2019 there were approximately 350 EGNOS-enabled airports in 23 countries in Europe. Thus, the objective of an annual increase in the number of airports has been achieved annually since 2014. In the agriculture sector, more than 80% of Europ</w:t>
      </w:r>
      <w:r>
        <w:rPr>
          <w:noProof/>
        </w:rPr>
        <w:t>ean farmers using satellite navigation for tractor guidance rely on EGNOS.</w:t>
      </w:r>
    </w:p>
    <w:p w:rsidR="0060634A" w:rsidRDefault="00F76D44">
      <w:pPr>
        <w:pStyle w:val="PPOBlackBULLETS-L1"/>
        <w:ind w:left="284" w:hanging="284"/>
        <w:rPr>
          <w:noProof/>
        </w:rPr>
      </w:pPr>
      <w:r>
        <w:rPr>
          <w:noProof/>
        </w:rPr>
        <w:t>In terms of performance in relation to the market share of the EU GNSS industry in the worldwide GNSS downstream market, Galileo has achieved steady progress. In 2019 Galileo was pr</w:t>
      </w:r>
      <w:r>
        <w:rPr>
          <w:noProof/>
        </w:rPr>
        <w:t>esent in 42% of receiver models worldwide. Exceeding the expectations at the time when the 2020 target was set, in 2019 there were more than 1</w:t>
      </w:r>
      <w:r>
        <w:rPr>
          <w:rFonts w:ascii="Calibri" w:hAnsi="Calibri" w:cs="Calibri"/>
          <w:noProof/>
        </w:rPr>
        <w:t> </w:t>
      </w:r>
      <w:r>
        <w:rPr>
          <w:noProof/>
        </w:rPr>
        <w:t>billion Galileo-enabled smartphones on the market. However, in other market segments (e.g. rail, maritime) its ma</w:t>
      </w:r>
      <w:r>
        <w:rPr>
          <w:noProof/>
        </w:rPr>
        <w:t>rket penetration is lower. This is due to various reasons: the long lifetime of receivers on the market; missing certification or standardisation; the energy consumption constraints of the connected objects; optimisation costs (there are still many GPS-onl</w:t>
      </w:r>
      <w:r>
        <w:rPr>
          <w:noProof/>
        </w:rPr>
        <w:t>y models available); and receiver models serving only regional markets (e.g. Chinese or US manufacturers). The market share is expected to increase in the coming years, mainly due to the phasing out of old models, the increasing use of Galileo in the Unite</w:t>
      </w:r>
      <w:r>
        <w:rPr>
          <w:noProof/>
        </w:rPr>
        <w:t>d States and the use of Galileo signals in safety-critical applications in the aviation or rail sectors.</w:t>
      </w:r>
    </w:p>
    <w:p w:rsidR="0060634A" w:rsidRDefault="00F76D44">
      <w:pPr>
        <w:pStyle w:val="PPOBlackBULLETS-L1"/>
        <w:ind w:left="284" w:hanging="284"/>
        <w:rPr>
          <w:noProof/>
        </w:rPr>
      </w:pPr>
      <w:r>
        <w:rPr>
          <w:noProof/>
        </w:rPr>
        <w:t>With regard to EGNOS, in 2018 and 2019 the presence of EGNOS in receiver models stabilised at 68% of the total number of receiver models worldwide. The</w:t>
      </w:r>
      <w:r>
        <w:rPr>
          <w:noProof/>
        </w:rPr>
        <w:t xml:space="preserve"> market penetration of EGNOS is lower than expected, in particular in location-based services. This is because the early uptake of dual frequency in receiver models greatly outperformed the benefits of EGNOS. Also, the rapid development of many GNSS conste</w:t>
      </w:r>
      <w:r>
        <w:rPr>
          <w:noProof/>
        </w:rPr>
        <w:t>llations and the commercial augmentation of the signals increased GNSS performance to the level where the benefits of EGNOS are less competitive than assumed in 2014. Therefore, with regard to the 2020 target, it can be assumed that the number of EGNOS-ena</w:t>
      </w:r>
      <w:r>
        <w:rPr>
          <w:noProof/>
        </w:rPr>
        <w:t>bled receivers will not grow beyond 70% of receiver models worldwide.</w:t>
      </w:r>
    </w:p>
    <w:p w:rsidR="0060634A" w:rsidRDefault="00F76D44">
      <w:pPr>
        <w:pStyle w:val="PPOBlackBULLETS-L1"/>
        <w:ind w:left="284" w:hanging="284"/>
        <w:rPr>
          <w:noProof/>
        </w:rPr>
      </w:pPr>
      <w:r>
        <w:rPr>
          <w:noProof/>
        </w:rPr>
        <w:t xml:space="preserve">In 2020 market-uptake activities will continue with the implantation of actions stemming from the space strategy for Europe, with a focus on: </w:t>
      </w:r>
    </w:p>
    <w:p w:rsidR="0060634A" w:rsidRDefault="00F76D44">
      <w:pPr>
        <w:pStyle w:val="PPOBlackBULLETS-L2"/>
        <w:rPr>
          <w:noProof/>
        </w:rPr>
      </w:pPr>
      <w:r>
        <w:rPr>
          <w:noProof/>
        </w:rPr>
        <w:t xml:space="preserve">pursuing market uptake, standardisation, and research and development activities, notably in the three priority domains of intelligent transport, intelligent infrastructures and intelligent interconnectivity; </w:t>
      </w:r>
    </w:p>
    <w:p w:rsidR="0060634A" w:rsidRDefault="00F76D44">
      <w:pPr>
        <w:pStyle w:val="PPOBlackBULLETS-L2"/>
        <w:rPr>
          <w:noProof/>
        </w:rPr>
      </w:pPr>
      <w:r>
        <w:rPr>
          <w:noProof/>
        </w:rPr>
        <w:t xml:space="preserve">strengthening Europe’s role as a global actor </w:t>
      </w:r>
      <w:r>
        <w:rPr>
          <w:noProof/>
        </w:rPr>
        <w:t>in space by promoting the worldwide use of Galileo and EGNOS, fostering cooperation with strategic partners and ensuring interoperability with other systems, pursuing economic diplomacy and outreach activities and continuing international negotiations on a</w:t>
      </w:r>
      <w:r>
        <w:rPr>
          <w:noProof/>
        </w:rPr>
        <w:t xml:space="preserve">ccess to the public regulated service and the extension of EGNOS coverage, notably to partner countries of the European Neighbourhood Instrument South and East; </w:t>
      </w:r>
    </w:p>
    <w:p w:rsidR="0060634A" w:rsidRDefault="00F76D44">
      <w:pPr>
        <w:pStyle w:val="PPOBlackBULLETS-L2"/>
        <w:rPr>
          <w:noProof/>
        </w:rPr>
      </w:pPr>
      <w:r>
        <w:rPr>
          <w:noProof/>
        </w:rPr>
        <w:t>pursuing radio spectrum coordination and frequency protection activities.</w:t>
      </w:r>
    </w:p>
    <w:p w:rsidR="0060634A" w:rsidRDefault="00F76D44">
      <w:pPr>
        <w:pStyle w:val="PPOBlackBULLETS-L1"/>
        <w:ind w:left="284" w:hanging="284"/>
        <w:rPr>
          <w:noProof/>
        </w:rPr>
      </w:pPr>
      <w:r>
        <w:rPr>
          <w:noProof/>
        </w:rPr>
        <w:t>For the next program</w:t>
      </w:r>
      <w:r>
        <w:rPr>
          <w:noProof/>
        </w:rPr>
        <w:t>ming period, the Commission proposed to make EUR</w:t>
      </w:r>
      <w:r>
        <w:rPr>
          <w:rFonts w:ascii="Calibri" w:hAnsi="Calibri" w:cs="Calibri"/>
          <w:noProof/>
        </w:rPr>
        <w:t> </w:t>
      </w:r>
      <w:r>
        <w:rPr>
          <w:noProof/>
        </w:rPr>
        <w:t>16</w:t>
      </w:r>
      <w:r>
        <w:rPr>
          <w:rFonts w:ascii="Calibri" w:hAnsi="Calibri" w:cs="Calibri"/>
          <w:noProof/>
        </w:rPr>
        <w:t> </w:t>
      </w:r>
      <w:r>
        <w:rPr>
          <w:noProof/>
        </w:rPr>
        <w:t>billion available to help maintain and further enhance the EU's leadership in space. The proposal would bring all existing and new space activities under the umbrella of a single EU space programme. The l</w:t>
      </w:r>
      <w:r>
        <w:rPr>
          <w:noProof/>
        </w:rPr>
        <w:t xml:space="preserve">atter would maintain the existing infrastructure and services and introduce a number of new </w:t>
      </w:r>
      <w:r>
        <w:rPr>
          <w:rFonts w:eastAsiaTheme="minorEastAsia" w:cs="EC Square Sans Cond Pro"/>
          <w:bCs w:val="0"/>
          <w:noProof/>
          <w:color w:val="000000"/>
          <w:szCs w:val="18"/>
        </w:rPr>
        <w:t>features</w:t>
      </w:r>
      <w:r>
        <w:rPr>
          <w:noProof/>
        </w:rPr>
        <w:t xml:space="preserve">, such as </w:t>
      </w:r>
      <w:r>
        <w:rPr>
          <w:rFonts w:eastAsiaTheme="minorEastAsia" w:cs="EC Square Sans Cond Pro"/>
          <w:bCs w:val="0"/>
          <w:noProof/>
          <w:color w:val="000000"/>
          <w:szCs w:val="18"/>
        </w:rPr>
        <w:t>a unified system of governance.</w:t>
      </w:r>
    </w:p>
    <w:p w:rsidR="0060634A" w:rsidRDefault="00F76D44">
      <w:pPr>
        <w:pStyle w:val="PPOTitle3"/>
        <w:ind w:left="284" w:hanging="284"/>
        <w:rPr>
          <w:rFonts w:eastAsiaTheme="minorEastAsia"/>
        </w:rPr>
      </w:pPr>
      <w:r>
        <w:rPr>
          <w:rFonts w:eastAsiaTheme="minorEastAsia"/>
        </w:rPr>
        <w:t>Concrete examples of achievements</w:t>
      </w:r>
    </w:p>
    <w:tbl>
      <w:tblPr>
        <w:tblStyle w:val="TableGrid"/>
        <w:tblW w:w="10729"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2977"/>
        <w:gridCol w:w="2552"/>
        <w:gridCol w:w="2693"/>
        <w:gridCol w:w="2507"/>
      </w:tblGrid>
      <w:tr w:rsidR="0060634A">
        <w:trPr>
          <w:trHeight w:val="106"/>
        </w:trPr>
        <w:tc>
          <w:tcPr>
            <w:tcW w:w="2977" w:type="dxa"/>
            <w:shd w:val="clear" w:color="auto" w:fill="00ADDC"/>
          </w:tcPr>
          <w:p w:rsidR="0060634A" w:rsidRDefault="00F76D44">
            <w:pPr>
              <w:pStyle w:val="PPOExamplesTABLEHeader"/>
              <w:ind w:left="284" w:hanging="284"/>
              <w:rPr>
                <w:rFonts w:eastAsiaTheme="minorEastAsia"/>
              </w:rPr>
            </w:pPr>
            <w:r>
              <w:rPr>
                <w:rFonts w:eastAsiaTheme="minorEastAsia"/>
              </w:rPr>
              <w:t>10 minutes</w:t>
            </w:r>
          </w:p>
        </w:tc>
        <w:tc>
          <w:tcPr>
            <w:tcW w:w="2552" w:type="dxa"/>
            <w:shd w:val="clear" w:color="auto" w:fill="00ADDC"/>
          </w:tcPr>
          <w:p w:rsidR="0060634A" w:rsidRDefault="00F76D44">
            <w:pPr>
              <w:pStyle w:val="PPOExamplesTABLEHeader"/>
              <w:ind w:left="284" w:hanging="284"/>
              <w:rPr>
                <w:rFonts w:eastAsiaTheme="minorEastAsia"/>
              </w:rPr>
            </w:pPr>
            <w:r>
              <w:rPr>
                <w:rFonts w:eastAsiaTheme="minorEastAsia"/>
              </w:rPr>
              <w:t>1 billion</w:t>
            </w:r>
          </w:p>
        </w:tc>
        <w:tc>
          <w:tcPr>
            <w:tcW w:w="2693" w:type="dxa"/>
            <w:shd w:val="clear" w:color="auto" w:fill="00ADDC"/>
          </w:tcPr>
          <w:p w:rsidR="0060634A" w:rsidRDefault="00F76D44">
            <w:pPr>
              <w:pStyle w:val="PPOExamplesTABLEHeader"/>
              <w:ind w:left="284" w:hanging="284"/>
              <w:rPr>
                <w:rFonts w:eastAsiaTheme="minorEastAsia"/>
              </w:rPr>
            </w:pPr>
            <w:r>
              <w:rPr>
                <w:rFonts w:eastAsiaTheme="minorEastAsia"/>
              </w:rPr>
              <w:t>16-metre</w:t>
            </w:r>
          </w:p>
        </w:tc>
        <w:tc>
          <w:tcPr>
            <w:tcW w:w="2507" w:type="dxa"/>
            <w:shd w:val="clear" w:color="auto" w:fill="00ADDC"/>
          </w:tcPr>
          <w:p w:rsidR="0060634A" w:rsidRDefault="00F76D44">
            <w:pPr>
              <w:pStyle w:val="PPOExamplesTABLEHeader"/>
              <w:ind w:left="284" w:hanging="284"/>
              <w:rPr>
                <w:rFonts w:eastAsiaTheme="minorEastAsia"/>
              </w:rPr>
            </w:pPr>
            <w:r>
              <w:rPr>
                <w:rFonts w:eastAsiaTheme="minorEastAsia"/>
              </w:rPr>
              <w:t>7</w:t>
            </w:r>
          </w:p>
        </w:tc>
      </w:tr>
      <w:tr w:rsidR="0060634A">
        <w:trPr>
          <w:trHeight w:val="787"/>
        </w:trPr>
        <w:tc>
          <w:tcPr>
            <w:tcW w:w="2977" w:type="dxa"/>
            <w:shd w:val="clear" w:color="auto" w:fill="DCE6F2"/>
          </w:tcPr>
          <w:p w:rsidR="0060634A" w:rsidRDefault="00F76D44">
            <w:pPr>
              <w:pStyle w:val="PPOExamplesTABLEText"/>
              <w:spacing w:line="240" w:lineRule="auto"/>
              <w:rPr>
                <w:noProof/>
                <w:lang w:val="en-GB"/>
              </w:rPr>
            </w:pPr>
            <w:r>
              <w:rPr>
                <w:noProof/>
                <w:lang w:val="en-GB"/>
              </w:rPr>
              <w:t xml:space="preserve">is the amount of time required by Galileo’s </w:t>
            </w:r>
            <w:r>
              <w:rPr>
                <w:noProof/>
                <w:lang w:val="en-GB"/>
              </w:rPr>
              <w:t>search and rescue service to detect emergency distress beacons, compared to up to 3</w:t>
            </w:r>
            <w:r>
              <w:rPr>
                <w:rFonts w:ascii="Calibri" w:hAnsi="Calibri" w:cs="Calibri"/>
                <w:noProof/>
                <w:lang w:val="en-GB"/>
              </w:rPr>
              <w:t> </w:t>
            </w:r>
            <w:r>
              <w:rPr>
                <w:noProof/>
                <w:lang w:val="en-GB"/>
              </w:rPr>
              <w:t>hours previously.</w:t>
            </w:r>
          </w:p>
        </w:tc>
        <w:tc>
          <w:tcPr>
            <w:tcW w:w="2552" w:type="dxa"/>
            <w:shd w:val="clear" w:color="auto" w:fill="DCE6F2"/>
          </w:tcPr>
          <w:p w:rsidR="0060634A" w:rsidRDefault="00F76D44">
            <w:pPr>
              <w:pStyle w:val="PPOExamplesTABLEText"/>
              <w:spacing w:line="240" w:lineRule="auto"/>
              <w:rPr>
                <w:noProof/>
                <w:lang w:val="en-GB"/>
              </w:rPr>
            </w:pPr>
            <w:r>
              <w:rPr>
                <w:noProof/>
                <w:lang w:val="en-GB"/>
              </w:rPr>
              <w:t>Galileo-enabled smartphones are in use.</w:t>
            </w:r>
          </w:p>
        </w:tc>
        <w:tc>
          <w:tcPr>
            <w:tcW w:w="2693" w:type="dxa"/>
            <w:shd w:val="clear" w:color="auto" w:fill="DCE6F2"/>
          </w:tcPr>
          <w:p w:rsidR="0060634A" w:rsidRDefault="00F76D44">
            <w:pPr>
              <w:pStyle w:val="PPOExamplesTABLEText"/>
              <w:spacing w:line="240" w:lineRule="auto"/>
              <w:rPr>
                <w:rFonts w:ascii="EC Square Sans Cond Pro" w:hAnsi="EC Square Sans Cond Pro" w:cs="EC Square Sans Cond Pro"/>
                <w:noProof/>
                <w:color w:val="000000"/>
                <w:sz w:val="18"/>
                <w:szCs w:val="18"/>
                <w:lang w:val="en-GB"/>
              </w:rPr>
            </w:pPr>
            <w:r>
              <w:rPr>
                <w:noProof/>
                <w:lang w:val="en-GB"/>
              </w:rPr>
              <w:t>accuracy of Galileo’s location information, compared to the 2</w:t>
            </w:r>
            <w:r>
              <w:rPr>
                <w:noProof/>
                <w:lang w:val="en-GB"/>
              </w:rPr>
              <w:noBreakHyphen/>
              <w:t>10 km accuracy displayed by the current Cell ID tech</w:t>
            </w:r>
            <w:r>
              <w:rPr>
                <w:noProof/>
                <w:lang w:val="en-GB"/>
              </w:rPr>
              <w:t>nology.</w:t>
            </w:r>
          </w:p>
        </w:tc>
        <w:tc>
          <w:tcPr>
            <w:tcW w:w="2507" w:type="dxa"/>
            <w:shd w:val="clear" w:color="auto" w:fill="DCE6F2"/>
          </w:tcPr>
          <w:p w:rsidR="0060634A" w:rsidRDefault="00F76D44">
            <w:pPr>
              <w:pStyle w:val="PPOExamplesTABLEText"/>
              <w:spacing w:line="240" w:lineRule="auto"/>
              <w:rPr>
                <w:noProof/>
                <w:lang w:val="en-GB"/>
              </w:rPr>
            </w:pPr>
            <w:r>
              <w:rPr>
                <w:noProof/>
                <w:lang w:val="en-GB"/>
              </w:rPr>
              <w:t>Member States have had support from the Help 112 II project.</w:t>
            </w:r>
          </w:p>
        </w:tc>
      </w:tr>
    </w:tbl>
    <w:p w:rsidR="0060634A" w:rsidRDefault="0060634A">
      <w:pPr>
        <w:pStyle w:val="PPObodyText"/>
        <w:ind w:left="284" w:hanging="284"/>
        <w:rPr>
          <w:noProof/>
          <w:sz w:val="6"/>
          <w:szCs w:val="6"/>
        </w:rPr>
      </w:pPr>
    </w:p>
    <w:p w:rsidR="0060634A" w:rsidRDefault="0060634A">
      <w:pPr>
        <w:rPr>
          <w:noProof/>
        </w:rPr>
        <w:sectPr w:rsidR="0060634A">
          <w:headerReference w:type="even" r:id="rId52"/>
          <w:headerReference w:type="default" r:id="rId53"/>
          <w:footerReference w:type="even" r:id="rId54"/>
          <w:footerReference w:type="default" r:id="rId55"/>
          <w:headerReference w:type="first" r:id="rId56"/>
          <w:footerReference w:type="first" r:id="rId57"/>
          <w:pgSz w:w="11906" w:h="16838" w:code="9"/>
          <w:pgMar w:top="567" w:right="567" w:bottom="567" w:left="567" w:header="567" w:footer="454" w:gutter="0"/>
          <w:paperSrc w:first="15" w:other="15"/>
          <w:cols w:space="720"/>
          <w:docGrid w:linePitch="360"/>
        </w:sectPr>
      </w:pPr>
    </w:p>
    <w:p w:rsidR="0060634A" w:rsidRDefault="00F76D44">
      <w:pPr>
        <w:pStyle w:val="PPO1AsidebarTitleBlue"/>
        <w:rPr>
          <w:rFonts w:eastAsiaTheme="minorEastAsia"/>
        </w:rPr>
      </w:pPr>
      <w:r>
        <w:rPr>
          <w:rFonts w:eastAsiaTheme="minorEastAsia"/>
          <w:lang w:val="fr-BE" w:eastAsia="fr-BE"/>
        </w:rPr>
        <mc:AlternateContent>
          <mc:Choice Requires="wps">
            <w:drawing>
              <wp:anchor distT="0" distB="0" distL="0" distR="0" simplePos="0" relativeHeight="251578368" behindDoc="0" locked="1" layoutInCell="1" allowOverlap="1">
                <wp:simplePos x="0" y="0"/>
                <wp:positionH relativeFrom="page">
                  <wp:posOffset>359410</wp:posOffset>
                </wp:positionH>
                <wp:positionV relativeFrom="page">
                  <wp:posOffset>593725</wp:posOffset>
                </wp:positionV>
                <wp:extent cx="1458000" cy="777600"/>
                <wp:effectExtent l="0" t="0" r="85090" b="3810"/>
                <wp:wrapTopAndBottom/>
                <wp:docPr id="38" name="Text Box 38"/>
                <wp:cNvGraphicFramePr/>
                <a:graphic xmlns:a="http://schemas.openxmlformats.org/drawingml/2006/main">
                  <a:graphicData uri="http://schemas.microsoft.com/office/word/2010/wordprocessingShape">
                    <wps:wsp>
                      <wps:cNvSpPr txBox="1"/>
                      <wps:spPr>
                        <a:xfrm>
                          <a:off x="0" y="0"/>
                          <a:ext cx="1458000" cy="777600"/>
                        </a:xfrm>
                        <a:prstGeom prst="wedgeRectCallout">
                          <a:avLst>
                            <a:gd name="adj1" fmla="val 54107"/>
                            <a:gd name="adj2" fmla="val -21878"/>
                          </a:avLst>
                        </a:prstGeom>
                        <a:solidFill>
                          <a:srgbClr val="28296E"/>
                        </a:solidFill>
                        <a:ln w="6350">
                          <a:noFill/>
                        </a:ln>
                      </wps:spPr>
                      <wps:txbx>
                        <w:txbxContent>
                          <w:p w:rsidR="0060634A" w:rsidRDefault="00F76D44">
                            <w:pPr>
                              <w:pStyle w:val="PPOsidebarLegalBasisBOXHeading"/>
                              <w:rPr>
                                <w:rFonts w:eastAsiaTheme="minorEastAsia"/>
                              </w:rPr>
                            </w:pPr>
                            <w:r>
                              <w:rPr>
                                <w:rFonts w:eastAsiaTheme="minorEastAsia"/>
                              </w:rPr>
                              <w:t>LEGAL BASIS</w:t>
                            </w:r>
                          </w:p>
                          <w:p w:rsidR="0060634A" w:rsidRDefault="00F76D44">
                            <w:pPr>
                              <w:pStyle w:val="PPOsidebarLegalBasisBOXtext"/>
                              <w:rPr>
                                <w:rFonts w:eastAsiaTheme="minorEastAsia"/>
                              </w:rPr>
                            </w:pPr>
                            <w:r>
                              <w:rPr>
                                <w:rFonts w:eastAsiaTheme="minorEastAsia"/>
                              </w:rPr>
                              <w:t>Council Decision 2013/791/Euratom</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7" type="#_x0000_t61" style="position:absolute;left:0;text-align:left;margin-left:28.3pt;margin-top:46.75pt;width:114.8pt;height:61.25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" adj="22487,6074" fillcolor="#28296e" stroked="f" strokeweight=".5pt">
                <v:textbox inset="2.5mm,1.3mm,2.5mm,1.3mm">
                  <w:txbxContent>
                    <w:p w:rsidR="0060634A" w:rsidRDefault="00F76D44">
                      <w:pPr>
                        <w:pStyle w:val="PPOsidebarLegalBasisBOXHeading"/>
                        <w:rPr>
                          <w:rFonts w:eastAsiaTheme="minorEastAsia"/>
                        </w:rPr>
                      </w:pPr>
                      <w:r>
                        <w:rPr>
                          <w:rFonts w:eastAsiaTheme="minorEastAsia"/>
                        </w:rPr>
                        <w:t>LEGAL BASIS</w:t>
                      </w:r>
                    </w:p>
                    <w:p w:rsidR="0060634A" w:rsidRDefault="00F76D44">
                      <w:pPr>
                        <w:pStyle w:val="PPOsidebarLegalBasisBOXtext"/>
                        <w:rPr>
                          <w:rFonts w:eastAsiaTheme="minorEastAsia"/>
                        </w:rPr>
                      </w:pPr>
                      <w:r>
                        <w:rPr>
                          <w:rFonts w:eastAsiaTheme="minorEastAsia"/>
                        </w:rPr>
                        <w:t>Council Decision 2013/791/Euratom</w:t>
                      </w:r>
                    </w:p>
                  </w:txbxContent>
                </v:textbox>
                <w10:wrap type="topAndBottom" anchorx="page" anchory="page"/>
                <w10:anchorlock/>
              </v:shape>
            </w:pict>
          </mc:Fallback>
        </mc:AlternateContent>
      </w:r>
      <w:r>
        <w:rPr>
          <w:rFonts w:eastAsiaTheme="minorEastAsia"/>
        </w:rPr>
        <w:t>MORE INFORMATION</w:t>
      </w:r>
    </w:p>
    <w:p w:rsidR="0060634A" w:rsidRDefault="00F76D44">
      <w:pPr>
        <w:pStyle w:val="PPOsidebartext"/>
        <w:rPr>
          <w:rStyle w:val="PPOChar-Hyperlink"/>
          <w:rFonts w:eastAsiaTheme="minorEastAsia"/>
        </w:rPr>
      </w:pPr>
      <w:hyperlink r:id="rId58" w:history="1">
        <w:r>
          <w:rPr>
            <w:rStyle w:val="PPOChar-Hyperlink"/>
            <w:rFonts w:eastAsiaTheme="minorEastAsia"/>
          </w:rPr>
          <w:t>http://fusionforenergy.europa.eu/</w:t>
        </w:r>
      </w:hyperlink>
    </w:p>
    <w:p w:rsidR="0060634A" w:rsidRDefault="00F76D44">
      <w:pPr>
        <w:pStyle w:val="PPOsidebartext"/>
        <w:rPr>
          <w:rStyle w:val="PPOChar-Hyperlink"/>
          <w:rFonts w:eastAsiaTheme="minorEastAsia"/>
          <w:lang w:val="nl-BE"/>
        </w:rPr>
      </w:pPr>
      <w:hyperlink r:id="rId59" w:history="1">
        <w:r>
          <w:rPr>
            <w:rStyle w:val="PPOChar-Hyperlink"/>
            <w:rFonts w:eastAsiaTheme="minorEastAsia"/>
            <w:lang w:val="nl-BE"/>
          </w:rPr>
          <w:t>https://www.iter.org/</w:t>
        </w:r>
      </w:hyperlink>
    </w:p>
    <w:p w:rsidR="0060634A" w:rsidRDefault="00F76D44">
      <w:pPr>
        <w:pStyle w:val="PPO1AsidebarTitleBlue"/>
        <w:rPr>
          <w:rFonts w:eastAsiaTheme="minorEastAsia"/>
          <w:lang w:val="nl-NL"/>
        </w:rPr>
      </w:pPr>
      <w:r>
        <w:rPr>
          <w:rFonts w:eastAsiaTheme="minorEastAsia"/>
          <w:lang w:val="nl-NL"/>
        </w:rPr>
        <w:t xml:space="preserve">FINANCIAL </w:t>
      </w:r>
      <w:r>
        <w:rPr>
          <w:rFonts w:eastAsiaTheme="minorEastAsia"/>
          <w:lang w:val="nl-NL"/>
        </w:rPr>
        <w:t>PROGRAMMING</w:t>
      </w:r>
    </w:p>
    <w:p w:rsidR="0060634A" w:rsidRDefault="00F76D44">
      <w:pPr>
        <w:pStyle w:val="PPO1AsidebarTablecaption"/>
      </w:pPr>
      <w:r>
        <w:t>(million EUR)</w:t>
      </w:r>
    </w:p>
    <w:tbl>
      <w:tblPr>
        <w:tblOverlap w:val="never"/>
        <w:tblW w:w="2296" w:type="dxa"/>
        <w:jc w:val="right"/>
        <w:tblLayout w:type="fixed"/>
        <w:tblCellMar>
          <w:top w:w="28" w:type="dxa"/>
          <w:left w:w="28" w:type="dxa"/>
          <w:bottom w:w="28" w:type="dxa"/>
          <w:right w:w="28" w:type="dxa"/>
        </w:tblCellMar>
        <w:tblLook w:val="0000" w:firstRow="0" w:lastRow="0" w:firstColumn="0" w:lastColumn="0" w:noHBand="0" w:noVBand="0"/>
      </w:tblPr>
      <w:tblGrid>
        <w:gridCol w:w="1134"/>
        <w:gridCol w:w="1162"/>
      </w:tblGrid>
      <w:tr w:rsidR="0060634A">
        <w:trPr>
          <w:trHeight w:hRule="exact" w:val="229"/>
          <w:jc w:val="right"/>
        </w:trPr>
        <w:tc>
          <w:tcPr>
            <w:tcW w:w="1134" w:type="dxa"/>
            <w:tcBorders>
              <w:bottom w:val="single" w:sz="6" w:space="0" w:color="FFFFFF" w:themeColor="background1"/>
            </w:tcBorders>
            <w:shd w:val="clear" w:color="auto" w:fill="DCE6F2"/>
            <w:vAlign w:val="center"/>
          </w:tcPr>
          <w:p w:rsidR="0060634A" w:rsidRDefault="00F76D44">
            <w:pPr>
              <w:pStyle w:val="PPOsidebarTabletext"/>
              <w:rPr>
                <w:b/>
              </w:rPr>
            </w:pPr>
            <w:r>
              <w:t>2014</w:t>
            </w:r>
          </w:p>
        </w:tc>
        <w:tc>
          <w:tcPr>
            <w:tcW w:w="1162" w:type="dxa"/>
            <w:shd w:val="clear" w:color="auto" w:fill="FFFFFF"/>
          </w:tcPr>
          <w:p w:rsidR="0060634A" w:rsidRDefault="00F76D44">
            <w:pPr>
              <w:pStyle w:val="PPOsidebarTabletext"/>
              <w:rPr>
                <w:b/>
              </w:rPr>
            </w:pPr>
            <w:r>
              <w:t>729.8</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2015</w:t>
            </w:r>
          </w:p>
        </w:tc>
        <w:tc>
          <w:tcPr>
            <w:tcW w:w="1162" w:type="dxa"/>
            <w:tcBorders>
              <w:top w:val="single" w:sz="4" w:space="0" w:color="auto"/>
            </w:tcBorders>
            <w:shd w:val="clear" w:color="auto" w:fill="FFFFFF"/>
          </w:tcPr>
          <w:p w:rsidR="0060634A" w:rsidRDefault="00F76D44">
            <w:pPr>
              <w:pStyle w:val="PPOsidebarTabletext"/>
              <w:rPr>
                <w:b/>
              </w:rPr>
            </w:pPr>
            <w:r>
              <w:t>391.9</w:t>
            </w:r>
          </w:p>
        </w:tc>
      </w:tr>
      <w:tr w:rsidR="0060634A">
        <w:trPr>
          <w:trHeight w:hRule="exact" w:val="229"/>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2016</w:t>
            </w:r>
          </w:p>
        </w:tc>
        <w:tc>
          <w:tcPr>
            <w:tcW w:w="1162" w:type="dxa"/>
            <w:tcBorders>
              <w:top w:val="single" w:sz="4" w:space="0" w:color="auto"/>
            </w:tcBorders>
            <w:shd w:val="clear" w:color="auto" w:fill="FFFFFF"/>
          </w:tcPr>
          <w:p w:rsidR="0060634A" w:rsidRDefault="00F76D44">
            <w:pPr>
              <w:pStyle w:val="PPOsidebarTabletext"/>
              <w:rPr>
                <w:b/>
              </w:rPr>
            </w:pPr>
            <w:r>
              <w:t>329.9</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2017</w:t>
            </w:r>
          </w:p>
        </w:tc>
        <w:tc>
          <w:tcPr>
            <w:tcW w:w="1162" w:type="dxa"/>
            <w:tcBorders>
              <w:top w:val="single" w:sz="4" w:space="0" w:color="auto"/>
            </w:tcBorders>
            <w:shd w:val="clear" w:color="auto" w:fill="FFFFFF"/>
          </w:tcPr>
          <w:p w:rsidR="0060634A" w:rsidRDefault="00F76D44">
            <w:pPr>
              <w:pStyle w:val="PPOsidebarTabletext"/>
              <w:rPr>
                <w:b/>
              </w:rPr>
            </w:pPr>
            <w:r>
              <w:t>322.5</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2018</w:t>
            </w:r>
          </w:p>
        </w:tc>
        <w:tc>
          <w:tcPr>
            <w:tcW w:w="1162" w:type="dxa"/>
            <w:tcBorders>
              <w:top w:val="single" w:sz="4" w:space="0" w:color="auto"/>
            </w:tcBorders>
            <w:shd w:val="clear" w:color="auto" w:fill="FFFFFF"/>
          </w:tcPr>
          <w:p w:rsidR="0060634A" w:rsidRDefault="00F76D44">
            <w:pPr>
              <w:pStyle w:val="PPOsidebarTabletext"/>
              <w:rPr>
                <w:b/>
              </w:rPr>
            </w:pPr>
            <w:r>
              <w:t>376.4</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2019</w:t>
            </w:r>
          </w:p>
        </w:tc>
        <w:tc>
          <w:tcPr>
            <w:tcW w:w="1162" w:type="dxa"/>
            <w:tcBorders>
              <w:top w:val="single" w:sz="4" w:space="0" w:color="auto"/>
            </w:tcBorders>
            <w:shd w:val="clear" w:color="auto" w:fill="FFFFFF"/>
          </w:tcPr>
          <w:p w:rsidR="0060634A" w:rsidRDefault="00F76D44">
            <w:pPr>
              <w:pStyle w:val="PPOsidebarTabletext"/>
              <w:rPr>
                <w:b/>
              </w:rPr>
            </w:pPr>
            <w:r>
              <w:t>409.1</w:t>
            </w:r>
          </w:p>
        </w:tc>
      </w:tr>
      <w:tr w:rsidR="0060634A">
        <w:trPr>
          <w:trHeight w:hRule="exact" w:val="225"/>
          <w:jc w:val="right"/>
        </w:trPr>
        <w:tc>
          <w:tcPr>
            <w:tcW w:w="1134" w:type="dxa"/>
            <w:tcBorders>
              <w:top w:val="single" w:sz="6" w:space="0" w:color="FFFFFF" w:themeColor="background1"/>
            </w:tcBorders>
            <w:shd w:val="clear" w:color="auto" w:fill="DCE6F2"/>
            <w:vAlign w:val="center"/>
          </w:tcPr>
          <w:p w:rsidR="0060634A" w:rsidRDefault="00F76D44">
            <w:pPr>
              <w:pStyle w:val="PPOsidebarTabletext"/>
              <w:rPr>
                <w:b/>
              </w:rPr>
            </w:pPr>
            <w:r>
              <w:t>2020</w:t>
            </w:r>
          </w:p>
        </w:tc>
        <w:tc>
          <w:tcPr>
            <w:tcW w:w="1162" w:type="dxa"/>
            <w:tcBorders>
              <w:top w:val="single" w:sz="4" w:space="0" w:color="auto"/>
            </w:tcBorders>
            <w:shd w:val="clear" w:color="auto" w:fill="FFFFFF"/>
          </w:tcPr>
          <w:p w:rsidR="0060634A" w:rsidRDefault="00F76D44">
            <w:pPr>
              <w:pStyle w:val="PPOsidebarTabletext"/>
              <w:rPr>
                <w:b/>
              </w:rPr>
            </w:pPr>
            <w:r>
              <w:t>364.8</w:t>
            </w:r>
          </w:p>
        </w:tc>
      </w:tr>
      <w:tr w:rsidR="0060634A">
        <w:trPr>
          <w:trHeight w:hRule="exact" w:val="258"/>
          <w:jc w:val="right"/>
        </w:trPr>
        <w:tc>
          <w:tcPr>
            <w:tcW w:w="1134" w:type="dxa"/>
            <w:shd w:val="clear" w:color="auto" w:fill="00ADDC"/>
            <w:vAlign w:val="center"/>
          </w:tcPr>
          <w:p w:rsidR="0060634A" w:rsidRDefault="00F76D44">
            <w:pPr>
              <w:pStyle w:val="PPOsidebarTabletext"/>
            </w:pPr>
            <w:r>
              <w:t>Total</w:t>
            </w:r>
          </w:p>
        </w:tc>
        <w:tc>
          <w:tcPr>
            <w:tcW w:w="1162" w:type="dxa"/>
            <w:tcBorders>
              <w:top w:val="single" w:sz="4" w:space="0" w:color="auto"/>
            </w:tcBorders>
            <w:shd w:val="clear" w:color="auto" w:fill="FFFFFF"/>
          </w:tcPr>
          <w:p w:rsidR="0060634A" w:rsidRDefault="00F76D44">
            <w:pPr>
              <w:pStyle w:val="PPOsidebarTabletext"/>
              <w:rPr>
                <w:b/>
              </w:rPr>
            </w:pPr>
            <w:r>
              <w:t>2 924.3</w:t>
            </w:r>
          </w:p>
        </w:tc>
      </w:tr>
    </w:tbl>
    <w:p w:rsidR="0060634A" w:rsidRDefault="00F76D44">
      <w:pPr>
        <w:pStyle w:val="PPO1AsidebarTitleBlue"/>
        <w:rPr>
          <w:rFonts w:eastAsiaTheme="minorEastAsia"/>
        </w:rPr>
      </w:pPr>
      <w:r>
        <w:rPr>
          <w:rFonts w:eastAsiaTheme="minorEastAsia"/>
          <w:lang w:val="fr-BE" w:eastAsia="fr-BE"/>
        </w:rPr>
        <mc:AlternateContent>
          <mc:Choice Requires="wpg">
            <w:drawing>
              <wp:anchor distT="0" distB="0" distL="114300" distR="114300" simplePos="0" relativeHeight="251590656" behindDoc="1" locked="1" layoutInCell="1" allowOverlap="1">
                <wp:simplePos x="0" y="0"/>
                <wp:positionH relativeFrom="column">
                  <wp:posOffset>-267335</wp:posOffset>
                </wp:positionH>
                <wp:positionV relativeFrom="paragraph">
                  <wp:posOffset>575945</wp:posOffset>
                </wp:positionV>
                <wp:extent cx="1871980" cy="1454150"/>
                <wp:effectExtent l="0" t="0" r="0" b="0"/>
                <wp:wrapSquare wrapText="bothSides"/>
                <wp:docPr id="39" name="Group 39"/>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40" name="Chart 40"/>
                        <wpg:cNvFrPr/>
                        <wpg:xfrm>
                          <a:off x="461310" y="264194"/>
                          <a:ext cx="2492055" cy="1453317"/>
                        </wpg:xfrm>
                        <a:graphic>
                          <a:graphicData uri="http://schemas.openxmlformats.org/drawingml/2006/chart">
                            <c:chart xmlns:c="http://schemas.openxmlformats.org/drawingml/2006/chart" xmlns:r="http://schemas.openxmlformats.org/officeDocument/2006/relationships" r:id="rId60"/>
                          </a:graphicData>
                        </a:graphic>
                      </wpg:graphicFrame>
                      <wps:wsp>
                        <wps:cNvPr id="41" name="Text Box 2"/>
                        <wps:cNvSpPr txBox="1">
                          <a:spLocks noChangeArrowheads="1"/>
                        </wps:cNvSpPr>
                        <wps:spPr bwMode="auto">
                          <a:xfrm>
                            <a:off x="1287117" y="723786"/>
                            <a:ext cx="1276742" cy="600139"/>
                          </a:xfrm>
                          <a:prstGeom prst="rect">
                            <a:avLst/>
                          </a:prstGeom>
                          <a:noFill/>
                          <a:ln w="9525">
                            <a:noFill/>
                            <a:miter lim="800000"/>
                            <a:headEnd/>
                            <a:tailEnd/>
                          </a:ln>
                        </wps:spPr>
                        <wps:txbx>
                          <w:txbxContent>
                            <w:p w:rsidR="0060634A" w:rsidRDefault="00F76D44">
                              <w:pPr>
                                <w:pStyle w:val="PPO1AsidebarchartCenterText"/>
                                <w:rPr>
                                  <w:rFonts w:eastAsiaTheme="minorEastAsia"/>
                                </w:rPr>
                              </w:pPr>
                              <w:r>
                                <w:rPr>
                                  <w:rFonts w:eastAsiaTheme="minorEastAsia"/>
                                </w:rPr>
                                <w:t>EUR</w:t>
                              </w:r>
                              <w:r>
                                <w:rPr>
                                  <w:rFonts w:eastAsiaTheme="minorEastAsia"/>
                                  <w:b/>
                                </w:rPr>
                                <w:t xml:space="preserve"> 2 924.3</w:t>
                              </w:r>
                              <w:r>
                                <w:rPr>
                                  <w:rFonts w:eastAsiaTheme="minorEastAsia"/>
                                </w:rPr>
                                <w:br/>
                                <w:t>million</w:t>
                              </w:r>
                            </w:p>
                          </w:txbxContent>
                        </wps:txbx>
                        <wps:bodyPr rot="0" vert="horz" wrap="square" lIns="91440" tIns="45720" rIns="91440" bIns="45720" anchor="t" anchorCtr="0">
                          <a:noAutofit/>
                        </wps:bodyPr>
                      </wps:wsp>
                      <wps:wsp>
                        <wps:cNvPr id="42" name="Text Box 2"/>
                        <wps:cNvSpPr txBox="1">
                          <a:spLocks noChangeArrowheads="1"/>
                        </wps:cNvSpPr>
                        <wps:spPr bwMode="auto">
                          <a:xfrm>
                            <a:off x="1175435" y="1253510"/>
                            <a:ext cx="700344" cy="229870"/>
                          </a:xfrm>
                          <a:prstGeom prst="rect">
                            <a:avLst/>
                          </a:prstGeom>
                          <a:noFill/>
                          <a:ln w="9525">
                            <a:noFill/>
                            <a:miter lim="800000"/>
                            <a:headEnd/>
                            <a:tailEnd/>
                          </a:ln>
                        </wps:spPr>
                        <wps:txbx>
                          <w:txbxContent>
                            <w:p w:rsidR="0060634A" w:rsidRDefault="00F76D44">
                              <w:pPr>
                                <w:spacing w:after="120"/>
                                <w:jc w:val="center"/>
                                <w:rPr>
                                  <w:color w:val="00ADDC"/>
                                  <w:lang w:val="fr-BE"/>
                                </w:rPr>
                              </w:pPr>
                              <w:r>
                                <w:rPr>
                                  <w:b/>
                                  <w:color w:val="00ADDC"/>
                                  <w:lang w:val="fr-BE"/>
                                </w:rPr>
                                <w:t>55%%</w:t>
                              </w:r>
                            </w:p>
                          </w:txbxContent>
                        </wps:txbx>
                        <wps:bodyPr rot="0" vert="horz" wrap="square" lIns="91440" tIns="45720" rIns="91440" bIns="45720" anchor="t" anchorCtr="0">
                          <a:noAutofit/>
                        </wps:bodyPr>
                      </wps:wsp>
                      <wps:wsp>
                        <wps:cNvPr id="43" name="Text Box 2"/>
                        <wps:cNvSpPr txBox="1">
                          <a:spLocks noChangeArrowheads="1"/>
                        </wps:cNvSpPr>
                        <wps:spPr bwMode="auto">
                          <a:xfrm>
                            <a:off x="1148520" y="359962"/>
                            <a:ext cx="741153" cy="266065"/>
                          </a:xfrm>
                          <a:prstGeom prst="rect">
                            <a:avLst/>
                          </a:prstGeom>
                          <a:noFill/>
                          <a:ln w="9525">
                            <a:noFill/>
                            <a:miter lim="800000"/>
                            <a:headEnd/>
                            <a:tailEnd/>
                          </a:ln>
                        </wps:spPr>
                        <wps:txbx>
                          <w:txbxContent>
                            <w:p w:rsidR="0060634A" w:rsidRDefault="00F76D44">
                              <w:pPr>
                                <w:spacing w:after="120"/>
                                <w:jc w:val="center"/>
                                <w:rPr>
                                  <w:color w:val="28296E"/>
                                  <w:lang w:val="fr-BE"/>
                                </w:rPr>
                              </w:pPr>
                              <w:r>
                                <w:rPr>
                                  <w:b/>
                                  <w:color w:val="28296E"/>
                                  <w:lang w:val="fr-BE"/>
                                </w:rPr>
                                <w:t>87%%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9" o:spid="_x0000_s1038" style="position:absolute;left:0;text-align:left;margin-left:-21.05pt;margin-top:45.35pt;width:147.4pt;height:114.5pt;z-index:-251725824;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CgAAAAAAAAAhABNXdF+8IgAAvCIAAC0AAABkcnMvZW1iZWRkaW5ncy9NaWNyb3Nv&#10;ZnRfRXhjZWxfV29ya3NoZWV0Lnhsc3hQSwMEFAAGAAgAAAAhAN0ri1hsAQAAEAUAABMACAJbQ29u&#10;dGVudF9UeXBlc10ueG1s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">
                <v:shape id="Chart 40" o:spid="_x0000_s1039"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">
                  <v:imagedata r:id="rId61" o:title=""/>
                  <o:lock v:ext="edit" aspectratio="f"/>
                </v:shape>
                <v:shape id="_x0000_s1040" type="#_x0000_t202" style="position:absolute;left:12871;top:7237;width:12767;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60634A" w:rsidRDefault="00F76D44">
                        <w:pPr>
                          <w:pStyle w:val="PPO1AsidebarchartCenterText"/>
                          <w:rPr>
                            <w:rFonts w:eastAsiaTheme="minorEastAsia"/>
                          </w:rPr>
                        </w:pPr>
                        <w:r>
                          <w:rPr>
                            <w:rFonts w:eastAsiaTheme="minorEastAsia"/>
                          </w:rPr>
                          <w:t>EUR</w:t>
                        </w:r>
                        <w:r>
                          <w:rPr>
                            <w:rFonts w:eastAsiaTheme="minorEastAsia"/>
                            <w:b/>
                          </w:rPr>
                          <w:t xml:space="preserve"> 2 924.3</w:t>
                        </w:r>
                        <w:r>
                          <w:rPr>
                            <w:rFonts w:eastAsiaTheme="minorEastAsia"/>
                          </w:rPr>
                          <w:br/>
                          <w:t>million</w:t>
                        </w:r>
                      </w:p>
                    </w:txbxContent>
                  </v:textbox>
                </v:shape>
                <v:shape id="_x0000_s1041" type="#_x0000_t202" style="position:absolute;left:11754;top:12535;width:7003;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60634A" w:rsidRDefault="00F76D44">
                        <w:pPr>
                          <w:spacing w:after="120"/>
                          <w:jc w:val="center"/>
                          <w:rPr>
                            <w:color w:val="00ADDC"/>
                            <w:lang w:val="fr-BE"/>
                          </w:rPr>
                        </w:pPr>
                        <w:r>
                          <w:rPr>
                            <w:b/>
                            <w:color w:val="00ADDC"/>
                            <w:lang w:val="fr-BE"/>
                          </w:rPr>
                          <w:t>55%%</w:t>
                        </w:r>
                      </w:p>
                    </w:txbxContent>
                  </v:textbox>
                </v:shape>
                <v:shape id="_x0000_s1042" type="#_x0000_t202" style="position:absolute;left:11485;top:3599;width:741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rsidR="0060634A" w:rsidRDefault="00F76D44">
                        <w:pPr>
                          <w:spacing w:after="120"/>
                          <w:jc w:val="center"/>
                          <w:rPr>
                            <w:color w:val="28296E"/>
                            <w:lang w:val="fr-BE"/>
                          </w:rPr>
                        </w:pPr>
                        <w:r>
                          <w:rPr>
                            <w:b/>
                            <w:color w:val="28296E"/>
                            <w:lang w:val="fr-BE"/>
                          </w:rPr>
                          <w:t>87%%</w:t>
                        </w:r>
                      </w:p>
                    </w:txbxContent>
                  </v:textbox>
                </v:shape>
                <w10:wrap type="square"/>
                <w10:anchorlock/>
              </v:group>
              <o:OLEObject Type="Embed" ProgID="Excel.Chart.8" ShapeID="Chart 40" DrawAspect="Content" ObjectID="_1654495722" r:id="rId62">
                <o:FieldCodes>\s</o:FieldCodes>
              </o:OLEObject>
            </w:pict>
          </mc:Fallback>
        </mc:AlternateContent>
      </w:r>
      <w:r>
        <w:rPr>
          <w:rFonts w:eastAsiaTheme="minorEastAsia"/>
        </w:rPr>
        <w:t xml:space="preserve">OVERALL EXECUTION </w:t>
      </w:r>
      <w:r>
        <w:rPr>
          <w:rFonts w:eastAsiaTheme="minorEastAsia"/>
        </w:rPr>
        <w:br/>
        <w:t xml:space="preserve">(2014-2019) </w:t>
      </w:r>
    </w:p>
    <w:p w:rsidR="0060634A" w:rsidRDefault="00F76D44">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591680" behindDoc="1" locked="1" layoutInCell="1" allowOverlap="1">
                <wp:simplePos x="0" y="0"/>
                <wp:positionH relativeFrom="page">
                  <wp:posOffset>2241550</wp:posOffset>
                </wp:positionH>
                <wp:positionV relativeFrom="page">
                  <wp:posOffset>4573905</wp:posOffset>
                </wp:positionV>
                <wp:extent cx="2437130" cy="3314700"/>
                <wp:effectExtent l="0" t="0" r="1270" b="0"/>
                <wp:wrapTight wrapText="bothSides">
                  <wp:wrapPolygon edited="0">
                    <wp:start x="0" y="0"/>
                    <wp:lineTo x="0" y="21476"/>
                    <wp:lineTo x="21442" y="21476"/>
                    <wp:lineTo x="21442" y="0"/>
                    <wp:lineTo x="0" y="0"/>
                  </wp:wrapPolygon>
                </wp:wrapTight>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3314700"/>
                        </a:xfrm>
                        <a:prstGeom prst="rect">
                          <a:avLst/>
                        </a:prstGeom>
                        <a:solidFill>
                          <a:srgbClr val="FFFFFF"/>
                        </a:solidFill>
                        <a:ln w="9525">
                          <a:noFill/>
                          <a:miter lim="800000"/>
                          <a:headEnd/>
                          <a:tailEnd/>
                        </a:ln>
                      </wps:spPr>
                      <wps:txbx id="11">
                        <w:txbxContent>
                          <w:p w:rsidR="0060634A" w:rsidRDefault="00F76D44">
                            <w:pPr>
                              <w:pStyle w:val="PPOTitle3-nospacebefore"/>
                              <w:rPr>
                                <w:rFonts w:eastAsiaTheme="minorEastAsia"/>
                              </w:rPr>
                            </w:pPr>
                            <w:r>
                              <w:rPr>
                                <w:rFonts w:eastAsiaTheme="minorEastAsia"/>
                              </w:rPr>
                              <w:t>Why is it necessary?</w:t>
                            </w:r>
                          </w:p>
                          <w:p w:rsidR="0060634A" w:rsidRDefault="00F76D44">
                            <w:pPr>
                              <w:pStyle w:val="PPObodyText"/>
                              <w:rPr>
                                <w:noProof/>
                              </w:rPr>
                            </w:pPr>
                            <w:r>
                              <w:rPr>
                                <w:noProof/>
                              </w:rPr>
                              <w:t xml:space="preserve">ITER will achieve what no single </w:t>
                            </w:r>
                            <w:r>
                              <w:rPr>
                                <w:noProof/>
                              </w:rPr>
                              <w:t>country can do on its own. The risk, the costs and the long-term nature of a large research project such as ITER put it beyond the reach of individual Member States, and even of the EU itself. Thus, the establishment of a global framework through an intern</w:t>
                            </w:r>
                            <w:r>
                              <w:rPr>
                                <w:noProof/>
                              </w:rPr>
                              <w:t>ational agreement between Euratom and six other parties was essential in order to undertake this large-scale scientific experiment. The construction of ITER started in 2007, and Euratom provides about 45% of all components through the Fusion for Energy Joi</w:t>
                            </w:r>
                            <w:r>
                              <w:rPr>
                                <w:noProof/>
                              </w:rPr>
                              <w:t>nt Undertaking.</w:t>
                            </w:r>
                          </w:p>
                          <w:p w:rsidR="0060634A" w:rsidRDefault="00F76D44">
                            <w:pPr>
                              <w:pStyle w:val="PPObodyText"/>
                              <w:rPr>
                                <w:noProof/>
                              </w:rPr>
                            </w:pPr>
                            <w:r>
                              <w:rPr>
                                <w:noProof/>
                              </w:rPr>
                              <w:t>The EU’s support for ITER and its activities contributes to the European Green Deal. ITER is stimulating the EU’s industrial investment in new advanced technologies for the components of the facility and in advanced civil engineering for it</w:t>
                            </w:r>
                            <w:r>
                              <w:rPr>
                                <w:noProof/>
                              </w:rPr>
                              <w:t>s construction. Fusion has enormous potential, and represents almost incalculable value as an environmentally acceptable and virtually unlimited source of energy. In addition, thanks to its leadership in fusion research and the construction of ITER, the EU</w:t>
                            </w:r>
                            <w:r>
                              <w:rPr>
                                <w:noProof/>
                              </w:rPr>
                              <w:t xml:space="preserve"> will be in a privileged position to reap the benefits of constructing and operating the first generation of fusion power plants in the future. Regarding ITER’s place in energy policy and decarbonisation, the project remains an important part of the EU’s e</w:t>
                            </w:r>
                            <w:r>
                              <w:rPr>
                                <w:noProof/>
                              </w:rPr>
                              <w:t>nergy and innovation policy, and although it does not contribute directly to energy and climate targets in the short to medium term, its potential role in the decarbonisation of the energy landscape post-2050 is very significant.</w:t>
                            </w:r>
                          </w:p>
                          <w:p w:rsidR="0060634A" w:rsidRDefault="00F76D44">
                            <w:pPr>
                              <w:pStyle w:val="PPOTitle3"/>
                              <w:spacing w:before="220"/>
                              <w:rPr>
                                <w:rFonts w:eastAsiaTheme="minorEastAsia"/>
                              </w:rPr>
                            </w:pPr>
                            <w:r>
                              <w:rPr>
                                <w:rFonts w:eastAsiaTheme="minorEastAsia"/>
                              </w:rPr>
                              <w:t xml:space="preserve">Outlook for the 2021-2027 </w:t>
                            </w:r>
                            <w:r>
                              <w:rPr>
                                <w:rFonts w:eastAsiaTheme="minorEastAsia"/>
                              </w:rPr>
                              <w:t>period</w:t>
                            </w:r>
                          </w:p>
                          <w:p w:rsidR="0060634A" w:rsidRDefault="00F76D44">
                            <w:pPr>
                              <w:pStyle w:val="PPObodyText"/>
                              <w:rPr>
                                <w:noProof/>
                              </w:rPr>
                            </w:pPr>
                            <w:r>
                              <w:rPr>
                                <w:noProof/>
                              </w:rPr>
                              <w:t>The Commission proposed the continuation of this long-term project for the next multiannual financial framework.</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76.5pt;margin-top:360.15pt;width:191.9pt;height:261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" stroked="f">
                <v:textbox style="mso-next-textbox:#Text Box 47" inset="0">
                  <w:txbxContent>
                    <w:p w:rsidR="0060634A" w:rsidRDefault="00F76D44">
                      <w:pPr>
                        <w:pStyle w:val="PPOTitle3-nospacebefore"/>
                        <w:rPr>
                          <w:rFonts w:eastAsiaTheme="minorEastAsia"/>
                        </w:rPr>
                      </w:pPr>
                      <w:r>
                        <w:rPr>
                          <w:rFonts w:eastAsiaTheme="minorEastAsia"/>
                        </w:rPr>
                        <w:t>Why is it necessary?</w:t>
                      </w:r>
                    </w:p>
                    <w:p w:rsidR="0060634A" w:rsidRDefault="00F76D44">
                      <w:pPr>
                        <w:pStyle w:val="PPObodyText"/>
                        <w:rPr>
                          <w:noProof/>
                        </w:rPr>
                      </w:pPr>
                      <w:r>
                        <w:rPr>
                          <w:noProof/>
                        </w:rPr>
                        <w:t xml:space="preserve">ITER will achieve what no single </w:t>
                      </w:r>
                      <w:r>
                        <w:rPr>
                          <w:noProof/>
                        </w:rPr>
                        <w:t>country can do on its own. The risk, the costs and the long-term nature of a large research project such as ITER put it beyond the reach of individual Member States, and even of the EU itself. Thus, the establishment of a global framework through an intern</w:t>
                      </w:r>
                      <w:r>
                        <w:rPr>
                          <w:noProof/>
                        </w:rPr>
                        <w:t>ational agreement between Euratom and six other parties was essential in order to undertake this large-scale scientific experiment. The construction of ITER started in 2007, and Euratom provides about 45% of all components through the Fusion for Energy Joi</w:t>
                      </w:r>
                      <w:r>
                        <w:rPr>
                          <w:noProof/>
                        </w:rPr>
                        <w:t>nt Undertaking.</w:t>
                      </w:r>
                    </w:p>
                    <w:p w:rsidR="0060634A" w:rsidRDefault="00F76D44">
                      <w:pPr>
                        <w:pStyle w:val="PPObodyText"/>
                        <w:rPr>
                          <w:noProof/>
                        </w:rPr>
                      </w:pPr>
                      <w:r>
                        <w:rPr>
                          <w:noProof/>
                        </w:rPr>
                        <w:t>The EU’s support for ITER and its activities contributes to the European Green Deal. ITER is stimulating the EU’s industrial investment in new advanced technologies for the components of the facility and in advanced civil engineering for it</w:t>
                      </w:r>
                      <w:r>
                        <w:rPr>
                          <w:noProof/>
                        </w:rPr>
                        <w:t>s construction. Fusion has enormous potential, and represents almost incalculable value as an environmentally acceptable and virtually unlimited source of energy. In addition, thanks to its leadership in fusion research and the construction of ITER, the EU</w:t>
                      </w:r>
                      <w:r>
                        <w:rPr>
                          <w:noProof/>
                        </w:rPr>
                        <w:t xml:space="preserve"> will be in a privileged position to reap the benefits of constructing and operating the first generation of fusion power plants in the future. Regarding ITER’s place in energy policy and decarbonisation, the project remains an important part of the EU’s e</w:t>
                      </w:r>
                      <w:r>
                        <w:rPr>
                          <w:noProof/>
                        </w:rPr>
                        <w:t>nergy and innovation policy, and although it does not contribute directly to energy and climate targets in the short to medium term, its potential role in the decarbonisation of the energy landscape post-2050 is very significant.</w:t>
                      </w:r>
                    </w:p>
                    <w:p w:rsidR="0060634A" w:rsidRDefault="00F76D44">
                      <w:pPr>
                        <w:pStyle w:val="PPOTitle3"/>
                        <w:spacing w:before="220"/>
                        <w:rPr>
                          <w:rFonts w:eastAsiaTheme="minorEastAsia"/>
                        </w:rPr>
                      </w:pPr>
                      <w:r>
                        <w:rPr>
                          <w:rFonts w:eastAsiaTheme="minorEastAsia"/>
                        </w:rPr>
                        <w:t xml:space="preserve">Outlook for the 2021-2027 </w:t>
                      </w:r>
                      <w:r>
                        <w:rPr>
                          <w:rFonts w:eastAsiaTheme="minorEastAsia"/>
                        </w:rPr>
                        <w:t>period</w:t>
                      </w:r>
                    </w:p>
                    <w:p w:rsidR="0060634A" w:rsidRDefault="00F76D44">
                      <w:pPr>
                        <w:pStyle w:val="PPObodyText"/>
                        <w:rPr>
                          <w:noProof/>
                        </w:rPr>
                      </w:pPr>
                      <w:r>
                        <w:rPr>
                          <w:noProof/>
                        </w:rPr>
                        <w:t>The Commission proposed the continuation of this long-term project for the next multiannual financial framework.</w:t>
                      </w:r>
                    </w:p>
                  </w:txbxContent>
                </v:textbox>
                <w10:wrap type="tight" anchorx="page" anchory="page"/>
                <w10:anchorlock/>
              </v:shape>
            </w:pict>
          </mc:Fallback>
        </mc:AlternateContent>
      </w:r>
    </w:p>
    <w:p w:rsidR="0060634A" w:rsidRDefault="00F76D44">
      <w:pPr>
        <w:pStyle w:val="PPOsidebarchartLegends"/>
        <w:rPr>
          <w:rFonts w:eastAsiaTheme="minorEastAsia"/>
        </w:rPr>
      </w:pPr>
      <w:r>
        <w:rPr>
          <w:rFonts w:eastAsiaTheme="minorEastAsia"/>
          <w:szCs w:val="16"/>
          <w:lang w:val="fr-BE" w:eastAsia="fr-BE"/>
        </w:rPr>
        <mc:AlternateContent>
          <mc:Choice Requires="wps">
            <w:drawing>
              <wp:anchor distT="0" distB="0" distL="114300" distR="114300" simplePos="0" relativeHeight="251593728" behindDoc="0" locked="1" layoutInCell="1" allowOverlap="1">
                <wp:simplePos x="0" y="0"/>
                <wp:positionH relativeFrom="column">
                  <wp:posOffset>539750</wp:posOffset>
                </wp:positionH>
                <wp:positionV relativeFrom="paragraph">
                  <wp:posOffset>1270</wp:posOffset>
                </wp:positionV>
                <wp:extent cx="115200" cy="115200"/>
                <wp:effectExtent l="0" t="0" r="0" b="0"/>
                <wp:wrapNone/>
                <wp:docPr id="45" name="Oval 45"/>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00AD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4A6671" id="Oval 45" o:spid="_x0000_s1026" style="position:absolute;margin-left:42.5pt;margin-top:.1pt;width:9.05pt;height:9.0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" fillcolor="#00addc" stroked="f" strokeweight="1pt">
                <v:stroke joinstyle="miter"/>
                <w10:anchorlock/>
              </v:oval>
            </w:pict>
          </mc:Fallback>
        </mc:AlternateContent>
      </w:r>
      <w:r>
        <w:rPr>
          <w:rFonts w:eastAsiaTheme="minorEastAsia"/>
          <w:color w:val="00B050"/>
          <w:lang w:val="fr-BE" w:eastAsia="fr-BE"/>
        </w:rPr>
        <w:drawing>
          <wp:anchor distT="0" distB="0" distL="114300" distR="114300" simplePos="0" relativeHeight="251589632" behindDoc="1" locked="1" layoutInCell="1" allowOverlap="1">
            <wp:simplePos x="0" y="0"/>
            <wp:positionH relativeFrom="page">
              <wp:posOffset>-396875</wp:posOffset>
            </wp:positionH>
            <wp:positionV relativeFrom="paragraph">
              <wp:posOffset>-1597025</wp:posOffset>
            </wp:positionV>
            <wp:extent cx="3412490" cy="1990725"/>
            <wp:effectExtent l="0" t="0" r="0" b="0"/>
            <wp:wrapNone/>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Pr>
          <w:rFonts w:eastAsiaTheme="minorEastAsia"/>
          <w:szCs w:val="16"/>
          <w:lang w:val="fr-BE" w:eastAsia="fr-BE"/>
        </w:rPr>
        <mc:AlternateContent>
          <mc:Choice Requires="wps">
            <w:drawing>
              <wp:anchor distT="0" distB="0" distL="114300" distR="114300" simplePos="0" relativeHeight="251592704" behindDoc="0" locked="1" layoutInCell="1" allowOverlap="1">
                <wp:simplePos x="0" y="0"/>
                <wp:positionH relativeFrom="column">
                  <wp:posOffset>539750</wp:posOffset>
                </wp:positionH>
                <wp:positionV relativeFrom="paragraph">
                  <wp:posOffset>195580</wp:posOffset>
                </wp:positionV>
                <wp:extent cx="115200" cy="115200"/>
                <wp:effectExtent l="0" t="0" r="0" b="0"/>
                <wp:wrapNone/>
                <wp:docPr id="46" name="Oval 46"/>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63053D" id="Oval 46" o:spid="_x0000_s1026" style="position:absolute;margin-left:42.5pt;margin-top:15.4pt;width:9.05pt;height:9.0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" fillcolor="#28296e" stroked="f" strokeweight="1pt">
                <v:stroke joinstyle="miter"/>
                <w10:anchorlock/>
              </v:oval>
            </w:pict>
          </mc:Fallback>
        </mc:AlternateContent>
      </w:r>
      <w:r>
        <w:rPr>
          <w:rFonts w:eastAsiaTheme="minorEastAsia"/>
        </w:rPr>
        <w:t>Payments</w:t>
      </w:r>
    </w:p>
    <w:p w:rsidR="0060634A" w:rsidRDefault="00F76D44">
      <w:pPr>
        <w:pStyle w:val="PPOsidebarchartLegends"/>
        <w:rPr>
          <w:rFonts w:eastAsiaTheme="minorEastAsia"/>
        </w:rPr>
      </w:pPr>
      <w:r>
        <w:rPr>
          <w:rFonts w:eastAsiaTheme="minorEastAsia"/>
        </w:rPr>
        <w:t>Commitments</w:t>
      </w:r>
    </w:p>
    <w:p w:rsidR="0060634A" w:rsidRDefault="00F76D44">
      <w:pPr>
        <w:pStyle w:val="PPO1AsidebarTitleLightBlue"/>
        <w:rPr>
          <w:rFonts w:eastAsiaTheme="minorEastAsia"/>
        </w:rPr>
      </w:pPr>
      <w:r>
        <w:rPr>
          <w:rFonts w:eastAsiaTheme="minorEastAsia"/>
        </w:rPr>
        <w:t>Evaluations/</w:t>
      </w:r>
      <w:r>
        <w:rPr>
          <w:rFonts w:eastAsiaTheme="minorEastAsia"/>
        </w:rPr>
        <w:br/>
        <w:t xml:space="preserve">studies conducted </w:t>
      </w:r>
    </w:p>
    <w:p w:rsidR="0060634A" w:rsidRDefault="00F76D44">
      <w:pPr>
        <w:pStyle w:val="PPOsidebartext"/>
        <w:rPr>
          <w:rFonts w:eastAsiaTheme="minorEastAsia"/>
        </w:rPr>
      </w:pPr>
      <w:r>
        <w:rPr>
          <w:rFonts w:eastAsiaTheme="minorEastAsia"/>
        </w:rPr>
        <w:t xml:space="preserve">The midterm progress report for ITER and the development of fusion energy was </w:t>
      </w:r>
      <w:r>
        <w:rPr>
          <w:rFonts w:eastAsiaTheme="minorEastAsia"/>
        </w:rPr>
        <w:t>adopted on 21 March 2019</w:t>
      </w:r>
    </w:p>
    <w:p w:rsidR="0060634A" w:rsidRDefault="00F76D44">
      <w:pPr>
        <w:pStyle w:val="PPOsidebartext"/>
        <w:rPr>
          <w:rStyle w:val="PPOChar-Hyperlink"/>
          <w:rFonts w:eastAsiaTheme="minorEastAsia"/>
        </w:rPr>
      </w:pPr>
      <w:hyperlink r:id="rId64" w:history="1">
        <w:r>
          <w:rPr>
            <w:rStyle w:val="PPOChar-Hyperlink"/>
            <w:rFonts w:eastAsiaTheme="minorEastAsia"/>
          </w:rPr>
          <w:t>https://europa.eu/!Hq99Nh</w:t>
        </w:r>
      </w:hyperlink>
    </w:p>
    <w:p w:rsidR="0060634A" w:rsidRDefault="00F76D44">
      <w:pPr>
        <w:pStyle w:val="PPO1AsidebarTitleLightBlue"/>
        <w:rPr>
          <w:rFonts w:eastAsiaTheme="minorEastAsia"/>
        </w:rPr>
      </w:pPr>
      <w:r>
        <w:rPr>
          <w:rFonts w:eastAsiaTheme="minorEastAsia"/>
        </w:rPr>
        <w:t>How is it implemented?</w:t>
      </w:r>
    </w:p>
    <w:tbl>
      <w:tblPr>
        <w:tblStyle w:val="TableGrid"/>
        <w:tblpPr w:vertAnchor="page" w:horzAnchor="page" w:tblpX="3663" w:tblpY="13651"/>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60634A">
        <w:trPr>
          <w:cantSplit/>
        </w:trPr>
        <w:tc>
          <w:tcPr>
            <w:tcW w:w="7792" w:type="dxa"/>
            <w:gridSpan w:val="3"/>
            <w:vAlign w:val="center"/>
          </w:tcPr>
          <w:p w:rsidR="0060634A" w:rsidRDefault="00F76D44">
            <w:pPr>
              <w:pStyle w:val="PPOTitle3-nospacebefore"/>
              <w:ind w:left="-108"/>
              <w:rPr>
                <w:rFonts w:eastAsiaTheme="minorEastAsia"/>
                <w:lang w:val="en-GB"/>
              </w:rPr>
            </w:pPr>
            <w:r>
              <w:rPr>
                <w:rFonts w:eastAsiaTheme="minorEastAsia"/>
                <w:lang w:val="en-GB"/>
              </w:rPr>
              <w:t>Voted budget execution (in million EUR)</w:t>
            </w:r>
          </w:p>
        </w:tc>
      </w:tr>
      <w:tr w:rsidR="0060634A">
        <w:tblPrEx>
          <w:tblCellMar>
            <w:left w:w="57" w:type="dxa"/>
            <w:right w:w="57" w:type="dxa"/>
          </w:tblCellMar>
        </w:tblPrEx>
        <w:trPr>
          <w:cantSplit/>
        </w:trPr>
        <w:tc>
          <w:tcPr>
            <w:tcW w:w="3471" w:type="dxa"/>
            <w:shd w:val="clear" w:color="auto" w:fill="00ADDC"/>
            <w:vAlign w:val="center"/>
          </w:tcPr>
          <w:p w:rsidR="0060634A" w:rsidRDefault="00F76D44">
            <w:pPr>
              <w:spacing w:after="100" w:afterAutospacing="1"/>
              <w:ind w:right="57"/>
              <w:jc w:val="right"/>
              <w:rPr>
                <w:noProof/>
                <w:sz w:val="18"/>
              </w:rPr>
            </w:pPr>
            <w:r>
              <w:rPr>
                <w:noProof/>
                <w:color w:val="FFFFFF" w:themeColor="background1"/>
                <w:sz w:val="18"/>
                <w:lang w:val="en-GB"/>
              </w:rPr>
              <w:t xml:space="preserve">                </w:t>
            </w:r>
            <w:r>
              <w:rPr>
                <w:noProof/>
                <w:color w:val="FFFFFF" w:themeColor="background1"/>
                <w:sz w:val="18"/>
              </w:rPr>
              <w:t>EXECUTED COMMITMENTS</w:t>
            </w:r>
          </w:p>
        </w:tc>
        <w:tc>
          <w:tcPr>
            <w:tcW w:w="850" w:type="dxa"/>
            <w:shd w:val="clear" w:color="auto" w:fill="00ADDC"/>
            <w:vAlign w:val="center"/>
          </w:tcPr>
          <w:p w:rsidR="0060634A" w:rsidRDefault="0060634A">
            <w:pPr>
              <w:spacing w:afterAutospacing="1"/>
              <w:jc w:val="center"/>
              <w:rPr>
                <w:noProof/>
                <w:sz w:val="18"/>
              </w:rPr>
            </w:pPr>
          </w:p>
        </w:tc>
        <w:tc>
          <w:tcPr>
            <w:tcW w:w="3471" w:type="dxa"/>
            <w:shd w:val="clear" w:color="auto" w:fill="00ADDC"/>
            <w:vAlign w:val="center"/>
          </w:tcPr>
          <w:p w:rsidR="0060634A" w:rsidRDefault="00F76D44">
            <w:pPr>
              <w:spacing w:after="100" w:afterAutospacing="1"/>
              <w:rPr>
                <w:noProof/>
                <w:sz w:val="18"/>
              </w:rPr>
            </w:pPr>
            <w:r>
              <w:rPr>
                <w:noProof/>
                <w:color w:val="FFFFFF" w:themeColor="background1"/>
                <w:sz w:val="18"/>
              </w:rPr>
              <w:t>EXECUTED PAYMENTS</w:t>
            </w:r>
          </w:p>
        </w:tc>
      </w:tr>
      <w:tr w:rsidR="0060634A">
        <w:trPr>
          <w:cantSplit/>
        </w:trPr>
        <w:tc>
          <w:tcPr>
            <w:tcW w:w="3471" w:type="dxa"/>
            <w:shd w:val="clear" w:color="auto" w:fill="DCE6F2"/>
            <w:vAlign w:val="center"/>
          </w:tcPr>
          <w:p w:rsidR="0060634A" w:rsidRDefault="00F76D44">
            <w:pPr>
              <w:spacing w:after="100" w:afterAutospacing="1"/>
              <w:jc w:val="center"/>
              <w:rPr>
                <w:noProof/>
                <w:color w:val="0070C0"/>
                <w:sz w:val="18"/>
              </w:rPr>
            </w:pPr>
            <w:r>
              <w:rPr>
                <w:noProof/>
                <w:color w:val="0070C0"/>
                <w:sz w:val="18"/>
                <w:lang w:eastAsia="fr-BE"/>
              </w:rPr>
              <w:drawing>
                <wp:inline distT="0" distB="0" distL="0" distR="0">
                  <wp:extent cx="2158365" cy="890270"/>
                  <wp:effectExtent l="0" t="0" r="0" b="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c>
          <w:tcPr>
            <w:tcW w:w="850" w:type="dxa"/>
            <w:shd w:val="clear" w:color="auto" w:fill="DCE6F2"/>
            <w:vAlign w:val="center"/>
          </w:tcPr>
          <w:p w:rsidR="0060634A" w:rsidRDefault="00F76D44">
            <w:pPr>
              <w:spacing w:after="60"/>
              <w:jc w:val="center"/>
              <w:rPr>
                <w:noProof/>
                <w:color w:val="0070C0"/>
              </w:rPr>
            </w:pPr>
            <w:r>
              <w:rPr>
                <w:noProof/>
                <w:color w:val="0070C0"/>
              </w:rPr>
              <w:t>2017</w:t>
            </w:r>
          </w:p>
          <w:p w:rsidR="0060634A" w:rsidRDefault="00F76D44">
            <w:pPr>
              <w:spacing w:after="60"/>
              <w:jc w:val="center"/>
              <w:rPr>
                <w:noProof/>
                <w:color w:val="0070C0"/>
              </w:rPr>
            </w:pPr>
            <w:r>
              <w:rPr>
                <w:noProof/>
                <w:color w:val="0070C0"/>
              </w:rPr>
              <w:t>2018</w:t>
            </w:r>
          </w:p>
          <w:p w:rsidR="0060634A" w:rsidRDefault="00F76D44">
            <w:pPr>
              <w:spacing w:after="60"/>
              <w:jc w:val="center"/>
              <w:rPr>
                <w:noProof/>
                <w:sz w:val="18"/>
              </w:rPr>
            </w:pPr>
            <w:r>
              <w:rPr>
                <w:noProof/>
                <w:color w:val="0070C0"/>
              </w:rPr>
              <w:t>2019</w:t>
            </w:r>
          </w:p>
        </w:tc>
        <w:tc>
          <w:tcPr>
            <w:tcW w:w="3471" w:type="dxa"/>
            <w:shd w:val="clear" w:color="auto" w:fill="DCE6F2"/>
            <w:vAlign w:val="center"/>
          </w:tcPr>
          <w:p w:rsidR="0060634A" w:rsidRDefault="00F76D44">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890270"/>
                  <wp:effectExtent l="0" t="0" r="0" b="0"/>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r>
    </w:tbl>
    <w:p w:rsidR="0060634A" w:rsidRDefault="00F76D44">
      <w:pPr>
        <w:pStyle w:val="PPOsidebartext"/>
        <w:rPr>
          <w:rFonts w:eastAsiaTheme="minorEastAsia"/>
        </w:rPr>
      </w:pPr>
      <w:r>
        <w:rPr>
          <w:rFonts w:eastAsiaTheme="minorEastAsia"/>
        </w:rPr>
        <w:t xml:space="preserve">The </w:t>
      </w:r>
      <w:r>
        <w:rPr>
          <w:rFonts w:eastAsiaTheme="minorEastAsia"/>
        </w:rPr>
        <w:t>Directorate-General for Energy is the lead DG for the implementation of the programme. Programme implementation is entrusted to the Fusion for Energy Joint Undertaking.</w:t>
      </w:r>
    </w:p>
    <w:p w:rsidR="0060634A" w:rsidRDefault="00F76D44">
      <w:pPr>
        <w:pStyle w:val="PPO1ATitle1"/>
        <w:rPr>
          <w:rFonts w:eastAsiaTheme="minorEastAsia"/>
        </w:rPr>
      </w:pPr>
      <w:r>
        <w:rPr>
          <w:rStyle w:val="Title3Char"/>
          <w:rFonts w:eastAsiaTheme="minorEastAsia"/>
        </w:rPr>
        <w:br w:type="column"/>
      </w:r>
      <w:bookmarkStart w:id="12" w:name="_Toc39583672"/>
      <w:r>
        <w:rPr>
          <w:rFonts w:eastAsiaTheme="minorEastAsia"/>
        </w:rPr>
        <w:t>ITER</w:t>
      </w:r>
      <w:bookmarkEnd w:id="12"/>
    </w:p>
    <w:p w:rsidR="0060634A" w:rsidRDefault="00F76D44">
      <w:pPr>
        <w:pStyle w:val="PPOTitle3"/>
        <w:rPr>
          <w:rFonts w:eastAsiaTheme="minorEastAsia"/>
        </w:rPr>
      </w:pPr>
      <w:r>
        <w:rPr>
          <w:rFonts w:eastAsiaTheme="minorEastAsia"/>
        </w:rPr>
        <w:t>INTERNATIONAL THERMONUCLEAR EXPERIMENTAL REACTOR</w:t>
      </w:r>
    </w:p>
    <w:p w:rsidR="0060634A" w:rsidRDefault="00F76D44">
      <w:pPr>
        <w:pStyle w:val="PPOTitle3"/>
        <w:rPr>
          <w:rFonts w:eastAsiaTheme="minorEastAsia"/>
        </w:rPr>
      </w:pPr>
      <w:r>
        <w:rPr>
          <w:rFonts w:eastAsiaTheme="minorEastAsia"/>
        </w:rPr>
        <w:t>What is ITER?</w:t>
      </w:r>
    </w:p>
    <w:p w:rsidR="0060634A" w:rsidRDefault="00F76D44">
      <w:pPr>
        <w:pStyle w:val="PPObodyText"/>
        <w:spacing w:after="360"/>
        <w:rPr>
          <w:noProof/>
        </w:rPr>
      </w:pPr>
      <w:r>
        <w:rPr>
          <w:noProof/>
          <w:lang w:val="fr-BE" w:eastAsia="fr-BE"/>
        </w:rPr>
        <mc:AlternateContent>
          <mc:Choice Requires="wps">
            <w:drawing>
              <wp:anchor distT="0" distB="0" distL="114300" distR="114300" simplePos="0" relativeHeight="251735040" behindDoc="0" locked="1" layoutInCell="1" allowOverlap="1">
                <wp:simplePos x="0" y="0"/>
                <wp:positionH relativeFrom="page">
                  <wp:posOffset>4761865</wp:posOffset>
                </wp:positionH>
                <wp:positionV relativeFrom="page">
                  <wp:posOffset>4815205</wp:posOffset>
                </wp:positionV>
                <wp:extent cx="2437130" cy="2693035"/>
                <wp:effectExtent l="0" t="0" r="1270" b="0"/>
                <wp:wrapTopAndBottom/>
                <wp:docPr id="47" name="Text Box 47"/>
                <wp:cNvGraphicFramePr/>
                <a:graphic xmlns:a="http://schemas.openxmlformats.org/drawingml/2006/main">
                  <a:graphicData uri="http://schemas.microsoft.com/office/word/2010/wordprocessingShape">
                    <wps:wsp>
                      <wps:cNvSpPr txBox="1"/>
                      <wps:spPr>
                        <a:xfrm>
                          <a:off x="0" y="0"/>
                          <a:ext cx="2437130" cy="2693035"/>
                        </a:xfrm>
                        <a:prstGeom prst="rect">
                          <a:avLst/>
                        </a:prstGeom>
                        <a:solidFill>
                          <a:schemeClr val="lt1"/>
                        </a:solidFill>
                        <a:ln w="6350">
                          <a:noFill/>
                        </a:ln>
                      </wps:spPr>
                      <wps:linkedTxbx id="11"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4" type="#_x0000_t202" style="position:absolute;left:0;text-align:left;margin-left:374.95pt;margin-top:379.15pt;width:191.9pt;height:212.0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" fillcolor="white [3201]" stroked="f" strokeweight=".5pt">
                <v:textbox inset=",,0">
                  <w:txbxContent/>
                </v:textbox>
                <w10:wrap type="topAndBottom" anchorx="page" anchory="page"/>
                <w10:anchorlock/>
              </v:shape>
            </w:pict>
          </mc:Fallback>
        </mc:AlternateContent>
      </w:r>
      <w:r>
        <w:rPr>
          <w:noProof/>
        </w:rPr>
        <w:t>ITER (‘The Way’ i</w:t>
      </w:r>
      <w:r>
        <w:rPr>
          <w:noProof/>
        </w:rPr>
        <w:t>n Latin) aims to demonstrate that fusion is a viable and sustainable source of energy. The ITER project, which is part of the strategic energy technology plan, aims at building and operating an experimental fusion reactor. It is a major step towards demons</w:t>
      </w:r>
      <w:r>
        <w:rPr>
          <w:noProof/>
        </w:rPr>
        <w:t>trating that fusion is a sustainable energy source. Due to its significant advantages, such as the availability of large fuel reserves and the lack of CO</w:t>
      </w:r>
      <w:r>
        <w:rPr>
          <w:noProof/>
          <w:vertAlign w:val="subscript"/>
        </w:rPr>
        <w:t>2</w:t>
      </w:r>
      <w:r>
        <w:rPr>
          <w:noProof/>
        </w:rPr>
        <w:t xml:space="preserve"> emissions, fusion could contribute greatly to the European Green Deal in a safe, efficient and secure</w:t>
      </w:r>
      <w:r>
        <w:rPr>
          <w:noProof/>
        </w:rPr>
        <w:t xml:space="preserve"> way. The magnetic fusion device is being built in Saint-Paul-lès-Durance (France) with the support of seven international partners that represent half of the world’s population (Euratom, China, India, Japan, Russia, South Korea and the United States). The</w:t>
      </w:r>
      <w:r>
        <w:rPr>
          <w:noProof/>
        </w:rPr>
        <w:t xml:space="preserve"> programme covers the EU’s contribution to the ITER Organisation for the construction of the ITER facility, which includes the procurement of equipment, installation and general technical and administrative support for the construction phase, along with pa</w:t>
      </w:r>
      <w:r>
        <w:rPr>
          <w:noProof/>
        </w:rPr>
        <w:t>rticipation in commissioning and operations. The programme also covers other activities, such as the Broader Approach activities with Japan, consisting of activities that aim to complement the ITER project and to accelerate the realisation of fusion energy</w:t>
      </w:r>
      <w:r>
        <w:rPr>
          <w:noProof/>
        </w:rPr>
        <w:t xml:space="preserve"> through R</w:t>
      </w:r>
      <w:r>
        <w:rPr>
          <w:rFonts w:ascii="Calibri" w:hAnsi="Calibri" w:cs="Calibri"/>
          <w:noProof/>
        </w:rPr>
        <w:t> </w:t>
      </w:r>
      <w:r>
        <w:rPr>
          <w:noProof/>
        </w:rPr>
        <w:t>&amp;</w:t>
      </w:r>
      <w:r>
        <w:rPr>
          <w:rFonts w:ascii="Calibri" w:hAnsi="Calibri" w:cs="Calibri"/>
          <w:noProof/>
        </w:rPr>
        <w:t> </w:t>
      </w:r>
      <w:r>
        <w:rPr>
          <w:noProof/>
        </w:rPr>
        <w:t>D and advanced technologies. These contributions are channelled through an EU agency, the Fusion for Energy Joint Undertaking, located in Barcelona (Spain).</w:t>
      </w:r>
    </w:p>
    <w:tbl>
      <w:tblPr>
        <w:tblStyle w:val="TableGrid"/>
        <w:tblpPr w:leftFromText="181" w:rightFromText="340" w:vertAnchor="text" w:tblpX="108" w:tblpY="1"/>
        <w:tblW w:w="7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7837"/>
      </w:tblGrid>
      <w:tr w:rsidR="0060634A">
        <w:trPr>
          <w:trHeight w:val="1194"/>
        </w:trPr>
        <w:tc>
          <w:tcPr>
            <w:tcW w:w="7837" w:type="dxa"/>
            <w:shd w:val="clear" w:color="auto" w:fill="F2F2F2" w:themeFill="background1" w:themeFillShade="F2"/>
          </w:tcPr>
          <w:p w:rsidR="0060634A" w:rsidRDefault="00F76D44">
            <w:pPr>
              <w:pStyle w:val="PPO1ASpecificobjectivesBOX-HeadingLightBlue"/>
              <w:rPr>
                <w:rFonts w:eastAsiaTheme="minorEastAsia"/>
              </w:rPr>
            </w:pPr>
            <w:r>
              <w:rPr>
                <w:rFonts w:eastAsiaTheme="minorEastAsia"/>
              </w:rPr>
              <w:t>Specific objectives</w:t>
            </w:r>
            <w:r>
              <w:rPr>
                <w:rFonts w:eastAsiaTheme="minorEastAsia"/>
                <w:lang w:eastAsia="fr-BE"/>
              </w:rPr>
              <mc:AlternateContent>
                <mc:Choice Requires="wps">
                  <w:drawing>
                    <wp:anchor distT="0" distB="0" distL="114300" distR="114300" simplePos="0" relativeHeight="251595776"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1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00ADDC"/>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72A664B" id="Freeform 6" o:spid="_x0000_s1026" style="position:absolute;margin-left:4pt;margin-top:1.4pt;width:21.25pt;height:21.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00addc"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p>
          <w:p w:rsidR="0060634A" w:rsidRDefault="00F76D44">
            <w:pPr>
              <w:pStyle w:val="PPO1ASpecificobjectivesBOX-BulletLightBlue"/>
              <w:numPr>
                <w:ilvl w:val="0"/>
                <w:numId w:val="10"/>
              </w:numPr>
              <w:rPr>
                <w:rFonts w:ascii="EC Square Sans Cond Pro" w:hAnsi="EC Square Sans Cond Pro"/>
                <w:lang w:val="en-GB"/>
              </w:rPr>
            </w:pPr>
            <w:r>
              <w:rPr>
                <w:rFonts w:ascii="EC Square Sans Cond Pro" w:hAnsi="EC Square Sans Cond Pro"/>
                <w:lang w:val="en-GB"/>
              </w:rPr>
              <w:t xml:space="preserve">To provide Euratom’s contribution to ITER and ITER-related </w:t>
            </w:r>
            <w:r>
              <w:rPr>
                <w:rFonts w:ascii="EC Square Sans Cond Pro" w:hAnsi="EC Square Sans Cond Pro"/>
                <w:lang w:val="en-GB"/>
              </w:rPr>
              <w:t>activities.</w:t>
            </w:r>
          </w:p>
          <w:p w:rsidR="0060634A" w:rsidRDefault="00F76D44">
            <w:pPr>
              <w:pStyle w:val="PPO1ASpecificobjectivesBOX-BulletLightBlue"/>
              <w:numPr>
                <w:ilvl w:val="0"/>
                <w:numId w:val="10"/>
              </w:numPr>
              <w:rPr>
                <w:lang w:val="en-GB"/>
              </w:rPr>
            </w:pPr>
            <w:r>
              <w:rPr>
                <w:rFonts w:ascii="EC Square Sans Cond Pro" w:hAnsi="EC Square Sans Cond Pro"/>
                <w:lang w:val="en-GB"/>
              </w:rPr>
              <w:t xml:space="preserve">To support EU industry and research through the construction of ITER and ITER-related activities. </w:t>
            </w:r>
          </w:p>
        </w:tc>
      </w:tr>
    </w:tbl>
    <w:p w:rsidR="0060634A" w:rsidRDefault="0060634A">
      <w:pPr>
        <w:rPr>
          <w:noProof/>
          <w:sz w:val="18"/>
        </w:rPr>
      </w:pPr>
    </w:p>
    <w:p w:rsidR="0060634A" w:rsidRDefault="0060634A">
      <w:pPr>
        <w:framePr w:w="6721" w:wrap="auto" w:hAnchor="text" w:x="3544"/>
        <w:jc w:val="both"/>
        <w:rPr>
          <w:b/>
          <w:noProof/>
          <w:color w:val="1F95A5"/>
        </w:rPr>
        <w:sectPr w:rsidR="0060634A">
          <w:headerReference w:type="even" r:id="rId67"/>
          <w:headerReference w:type="default" r:id="rId68"/>
          <w:footerReference w:type="even" r:id="rId69"/>
          <w:footerReference w:type="default" r:id="rId70"/>
          <w:headerReference w:type="first" r:id="rId71"/>
          <w:footerReference w:type="first" r:id="rId72"/>
          <w:pgSz w:w="11906" w:h="16838"/>
          <w:pgMar w:top="567" w:right="567" w:bottom="567" w:left="567" w:header="567" w:footer="454" w:gutter="0"/>
          <w:paperSrc w:first="15" w:other="15"/>
          <w:cols w:num="2" w:space="708" w:equalWidth="0">
            <w:col w:w="2269" w:space="708"/>
            <w:col w:w="7795"/>
          </w:cols>
          <w:docGrid w:linePitch="360"/>
        </w:sectPr>
      </w:pPr>
    </w:p>
    <w:p w:rsidR="0060634A" w:rsidRDefault="00F76D44">
      <w:pPr>
        <w:pStyle w:val="PPOTitle3-pagebreakbefore"/>
        <w:rPr>
          <w:rFonts w:eastAsiaTheme="minorEastAsia"/>
          <w:color w:val="000000"/>
        </w:rPr>
      </w:pPr>
      <w:r>
        <w:rPr>
          <w:rFonts w:eastAsiaTheme="minorEastAsia"/>
        </w:rPr>
        <w:t>Key performance indicators</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76"/>
        <w:gridCol w:w="707"/>
        <w:gridCol w:w="3458"/>
        <w:gridCol w:w="596"/>
        <w:gridCol w:w="2847"/>
        <w:gridCol w:w="56"/>
      </w:tblGrid>
      <w:tr w:rsidR="0060634A">
        <w:trPr>
          <w:gridAfter w:val="1"/>
          <w:wAfter w:w="56" w:type="dxa"/>
          <w:trHeight w:val="333"/>
        </w:trPr>
        <w:tc>
          <w:tcPr>
            <w:tcW w:w="3076" w:type="dxa"/>
            <w:vAlign w:val="center"/>
          </w:tcPr>
          <w:p w:rsidR="0060634A" w:rsidRDefault="0060634A">
            <w:pPr>
              <w:ind w:left="142"/>
              <w:jc w:val="right"/>
              <w:rPr>
                <w:noProof/>
                <w:sz w:val="16"/>
                <w:szCs w:val="16"/>
              </w:rPr>
            </w:pPr>
          </w:p>
        </w:tc>
        <w:tc>
          <w:tcPr>
            <w:tcW w:w="707" w:type="dxa"/>
            <w:vAlign w:val="bottom"/>
          </w:tcPr>
          <w:p w:rsidR="0060634A" w:rsidRDefault="00F76D44">
            <w:pPr>
              <w:jc w:val="center"/>
              <w:rPr>
                <w:b/>
                <w:noProof/>
                <w:color w:val="28296E"/>
                <w:sz w:val="16"/>
                <w:szCs w:val="16"/>
              </w:rPr>
            </w:pPr>
            <w:r>
              <w:rPr>
                <w:b/>
                <w:noProof/>
                <w:color w:val="28296E"/>
                <w:sz w:val="16"/>
                <w:szCs w:val="16"/>
              </w:rPr>
              <w:t>Baseline</w:t>
            </w:r>
          </w:p>
        </w:tc>
        <w:tc>
          <w:tcPr>
            <w:tcW w:w="3458" w:type="dxa"/>
            <w:vAlign w:val="center"/>
          </w:tcPr>
          <w:p w:rsidR="0060634A" w:rsidRDefault="00F76D44">
            <w:pPr>
              <w:ind w:left="142"/>
              <w:jc w:val="center"/>
              <w:rPr>
                <w:b/>
                <w:noProof/>
                <w:color w:val="28296E"/>
                <w:sz w:val="16"/>
                <w:szCs w:val="16"/>
              </w:rPr>
            </w:pPr>
            <w:r>
              <w:rPr>
                <w:b/>
                <w:noProof/>
                <w:color w:val="28296E"/>
                <w:sz w:val="16"/>
                <w:szCs w:val="16"/>
              </w:rPr>
              <w:t>PROGRESS TOWARDS THE TARGET</w:t>
            </w:r>
          </w:p>
        </w:tc>
        <w:tc>
          <w:tcPr>
            <w:tcW w:w="596" w:type="dxa"/>
            <w:vAlign w:val="bottom"/>
          </w:tcPr>
          <w:p w:rsidR="0060634A" w:rsidRDefault="00F76D44">
            <w:pPr>
              <w:jc w:val="center"/>
              <w:rPr>
                <w:b/>
                <w:noProof/>
                <w:color w:val="28296E"/>
                <w:sz w:val="16"/>
                <w:szCs w:val="16"/>
              </w:rPr>
            </w:pPr>
            <w:r>
              <w:rPr>
                <w:b/>
                <w:noProof/>
                <w:color w:val="28296E"/>
                <w:sz w:val="16"/>
                <w:szCs w:val="16"/>
              </w:rPr>
              <w:t>Target</w:t>
            </w:r>
          </w:p>
        </w:tc>
        <w:tc>
          <w:tcPr>
            <w:tcW w:w="2847" w:type="dxa"/>
            <w:vAlign w:val="bottom"/>
          </w:tcPr>
          <w:p w:rsidR="0060634A" w:rsidRDefault="00F76D44">
            <w:pPr>
              <w:jc w:val="center"/>
              <w:rPr>
                <w:b/>
                <w:noProof/>
                <w:color w:val="28296E"/>
                <w:sz w:val="16"/>
                <w:szCs w:val="16"/>
              </w:rPr>
            </w:pPr>
            <w:r>
              <w:rPr>
                <w:b/>
                <w:noProof/>
                <w:color w:val="28296E"/>
                <w:sz w:val="16"/>
                <w:szCs w:val="16"/>
              </w:rPr>
              <w:t>Results</w:t>
            </w:r>
          </w:p>
        </w:tc>
      </w:tr>
      <w:tr w:rsidR="0060634A">
        <w:tblPrEx>
          <w:tblCellMar>
            <w:left w:w="108" w:type="dxa"/>
            <w:right w:w="108" w:type="dxa"/>
          </w:tblCellMar>
        </w:tblPrEx>
        <w:trPr>
          <w:trHeight w:val="344"/>
        </w:trPr>
        <w:tc>
          <w:tcPr>
            <w:tcW w:w="3076" w:type="dxa"/>
            <w:vAlign w:val="center"/>
          </w:tcPr>
          <w:p w:rsidR="0060634A" w:rsidRDefault="00F76D44">
            <w:pPr>
              <w:ind w:left="142"/>
              <w:jc w:val="right"/>
              <w:rPr>
                <w:rFonts w:ascii="EC Square Sans Cond Pro" w:hAnsi="EC Square Sans Cond Pro"/>
                <w:noProof/>
                <w:sz w:val="16"/>
                <w:szCs w:val="16"/>
              </w:rPr>
            </w:pPr>
            <w:r>
              <w:rPr>
                <w:rFonts w:ascii="EC Square Sans Cond Pro" w:eastAsiaTheme="minorEastAsia" w:hAnsi="EC Square Sans Cond Pro" w:cs="EC Square Sans Cond Pro"/>
                <w:noProof/>
                <w:color w:val="000000"/>
                <w:sz w:val="16"/>
                <w:szCs w:val="16"/>
                <w:lang w:eastAsia="en-GB"/>
              </w:rPr>
              <w:t>Euratom</w:t>
            </w:r>
            <w:r>
              <w:rPr>
                <w:rFonts w:ascii="Arial" w:eastAsiaTheme="minorEastAsia" w:hAnsi="Arial" w:cs="Arial"/>
                <w:noProof/>
                <w:color w:val="000000"/>
                <w:sz w:val="16"/>
                <w:szCs w:val="16"/>
                <w:lang w:eastAsia="en-GB"/>
              </w:rPr>
              <w:t>ʼ</w:t>
            </w:r>
            <w:r>
              <w:rPr>
                <w:rFonts w:ascii="EC Square Sans Cond Pro" w:eastAsiaTheme="minorEastAsia" w:hAnsi="EC Square Sans Cond Pro" w:cs="EC Square Sans Cond Pro"/>
                <w:noProof/>
                <w:color w:val="000000"/>
                <w:sz w:val="16"/>
                <w:szCs w:val="16"/>
                <w:lang w:eastAsia="en-GB"/>
              </w:rPr>
              <w:t>s obligations discharged</w:t>
            </w:r>
          </w:p>
        </w:tc>
        <w:tc>
          <w:tcPr>
            <w:tcW w:w="707" w:type="dxa"/>
            <w:vAlign w:val="center"/>
          </w:tcPr>
          <w:p w:rsidR="0060634A" w:rsidRDefault="00F76D44">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rPr>
              <w:t>6%</w:t>
            </w:r>
          </w:p>
        </w:tc>
        <w:tc>
          <w:tcPr>
            <w:tcW w:w="3458"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c>
          <w:tcPr>
            <w:tcW w:w="596"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63%</w:t>
            </w:r>
          </w:p>
        </w:tc>
        <w:tc>
          <w:tcPr>
            <w:tcW w:w="2903" w:type="dxa"/>
            <w:gridSpan w:val="2"/>
            <w:vAlign w:val="center"/>
          </w:tcPr>
          <w:p w:rsidR="0060634A" w:rsidRDefault="00F76D44">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41% compared to 63% of obligations</w:t>
            </w:r>
            <w:r>
              <w:rPr>
                <w:rFonts w:ascii="EC Square Sans Cond Pro" w:hAnsi="EC Square Sans Cond Pro" w:cs="EC Square Sans Cond Pro"/>
                <w:noProof/>
                <w:color w:val="000000"/>
                <w:sz w:val="16"/>
                <w:szCs w:val="16"/>
                <w:lang w:val="en-GB" w:eastAsia="en-GB"/>
              </w:rPr>
              <w:t xml:space="preserve"> discharged through the Fusion for Energy Joint Undertaking</w:t>
            </w:r>
          </w:p>
        </w:tc>
      </w:tr>
      <w:tr w:rsidR="0060634A">
        <w:tblPrEx>
          <w:tblCellMar>
            <w:left w:w="108" w:type="dxa"/>
            <w:right w:w="108" w:type="dxa"/>
          </w:tblCellMar>
        </w:tblPrEx>
        <w:trPr>
          <w:trHeight w:val="318"/>
        </w:trPr>
        <w:tc>
          <w:tcPr>
            <w:tcW w:w="3076"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Budget committed to industry and laboratories</w:t>
            </w:r>
          </w:p>
        </w:tc>
        <w:tc>
          <w:tcPr>
            <w:tcW w:w="707" w:type="dxa"/>
            <w:vAlign w:val="center"/>
          </w:tcPr>
          <w:p w:rsidR="0060634A" w:rsidRDefault="0060634A">
            <w:pPr>
              <w:jc w:val="center"/>
              <w:rPr>
                <w:rFonts w:ascii="EC Square Sans Cond Pro" w:hAnsi="EC Square Sans Cond Pro"/>
                <w:noProof/>
                <w:sz w:val="16"/>
                <w:szCs w:val="16"/>
                <w:lang w:val="en-GB" w:eastAsia="en-GB"/>
              </w:rPr>
            </w:pPr>
          </w:p>
        </w:tc>
        <w:tc>
          <w:tcPr>
            <w:tcW w:w="3458"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596"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100%</w:t>
            </w:r>
          </w:p>
        </w:tc>
        <w:tc>
          <w:tcPr>
            <w:tcW w:w="2903"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78% compared to 100% budget committed</w:t>
            </w:r>
          </w:p>
        </w:tc>
      </w:tr>
      <w:tr w:rsidR="0060634A">
        <w:trPr>
          <w:trHeight w:val="247"/>
        </w:trPr>
        <w:tc>
          <w:tcPr>
            <w:tcW w:w="3076" w:type="dxa"/>
            <w:tcBorders>
              <w:bottom w:val="nil"/>
            </w:tcBorders>
            <w:vAlign w:val="center"/>
          </w:tcPr>
          <w:p w:rsidR="0060634A" w:rsidRDefault="00F76D44">
            <w:pPr>
              <w:ind w:left="142"/>
              <w:jc w:val="right"/>
              <w:rPr>
                <w:noProof/>
                <w:sz w:val="16"/>
                <w:szCs w:val="16"/>
              </w:rPr>
            </w:pPr>
            <w:r>
              <w:rPr>
                <w:noProof/>
                <w:sz w:val="16"/>
                <w:szCs w:val="16"/>
              </w:rPr>
              <w:t xml:space="preserve">    </w:t>
            </w:r>
          </w:p>
        </w:tc>
        <w:tc>
          <w:tcPr>
            <w:tcW w:w="707" w:type="dxa"/>
            <w:tcBorders>
              <w:bottom w:val="nil"/>
            </w:tcBorders>
          </w:tcPr>
          <w:p w:rsidR="0060634A" w:rsidRDefault="0060634A">
            <w:pPr>
              <w:ind w:left="142"/>
              <w:rPr>
                <w:noProof/>
                <w:sz w:val="16"/>
                <w:szCs w:val="16"/>
                <w:lang w:eastAsia="en-GB"/>
              </w:rPr>
            </w:pPr>
          </w:p>
        </w:tc>
        <w:tc>
          <w:tcPr>
            <w:tcW w:w="3458" w:type="dxa"/>
            <w:tcBorders>
              <w:bottom w:val="nil"/>
            </w:tcBorders>
            <w:vAlign w:val="center"/>
          </w:tcPr>
          <w:p w:rsidR="0060634A" w:rsidRDefault="00F76D44">
            <w:pPr>
              <w:spacing w:before="120"/>
              <w:rPr>
                <w:noProof/>
                <w:sz w:val="16"/>
                <w:szCs w:val="16"/>
                <w:lang w:val="en-GB"/>
              </w:rPr>
            </w:pPr>
            <w:r>
              <w:rPr>
                <w:noProof/>
                <w:sz w:val="16"/>
                <w:szCs w:val="16"/>
                <w:lang w:eastAsia="fr-BE"/>
              </w:rPr>
              <mc:AlternateContent>
                <mc:Choice Requires="wps">
                  <w:drawing>
                    <wp:anchor distT="0" distB="0" distL="114300" distR="114300" simplePos="0" relativeHeight="251594752"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49" name="Rectangle 49"/>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B515B" id="Rectangle 49" o:spid="_x0000_s1026" style="position:absolute;margin-left:-9.45pt;margin-top:6.1pt;width:6.35pt;height:7.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" fillcolor="#28296e" stroked="f" strokeweight="1pt">
                      <w10:wrap type="through"/>
                    </v:rect>
                  </w:pict>
                </mc:Fallback>
              </mc:AlternateContent>
            </w:r>
            <w:r>
              <w:rPr>
                <w:noProof/>
                <w:sz w:val="16"/>
                <w:szCs w:val="16"/>
                <w:lang w:val="en-GB"/>
              </w:rPr>
              <w:t>% of target achieved by the end of 2019</w:t>
            </w:r>
          </w:p>
        </w:tc>
        <w:tc>
          <w:tcPr>
            <w:tcW w:w="596" w:type="dxa"/>
            <w:tcBorders>
              <w:bottom w:val="nil"/>
            </w:tcBorders>
          </w:tcPr>
          <w:p w:rsidR="0060634A" w:rsidRDefault="0060634A">
            <w:pPr>
              <w:ind w:left="142"/>
              <w:rPr>
                <w:noProof/>
                <w:sz w:val="16"/>
                <w:szCs w:val="16"/>
                <w:lang w:val="en-GB" w:eastAsia="en-GB"/>
              </w:rPr>
            </w:pPr>
          </w:p>
        </w:tc>
        <w:tc>
          <w:tcPr>
            <w:tcW w:w="2903" w:type="dxa"/>
            <w:gridSpan w:val="2"/>
            <w:tcBorders>
              <w:bottom w:val="nil"/>
            </w:tcBorders>
            <w:vAlign w:val="center"/>
          </w:tcPr>
          <w:p w:rsidR="0060634A" w:rsidRDefault="0060634A">
            <w:pPr>
              <w:ind w:left="142"/>
              <w:rPr>
                <w:noProof/>
                <w:sz w:val="16"/>
                <w:szCs w:val="16"/>
                <w:lang w:val="en-GB"/>
              </w:rPr>
            </w:pPr>
          </w:p>
        </w:tc>
      </w:tr>
      <w:tr w:rsidR="0060634A">
        <w:trPr>
          <w:trHeight w:val="247"/>
        </w:trPr>
        <w:tc>
          <w:tcPr>
            <w:tcW w:w="10740" w:type="dxa"/>
            <w:gridSpan w:val="6"/>
            <w:tcBorders>
              <w:top w:val="nil"/>
              <w:bottom w:val="nil"/>
            </w:tcBorders>
            <w:vAlign w:val="center"/>
          </w:tcPr>
          <w:p w:rsidR="0060634A" w:rsidRDefault="0060634A">
            <w:pPr>
              <w:ind w:left="142"/>
              <w:rPr>
                <w:noProof/>
                <w:sz w:val="14"/>
                <w:szCs w:val="16"/>
                <w:lang w:val="en-GB"/>
              </w:rPr>
            </w:pPr>
          </w:p>
        </w:tc>
      </w:tr>
    </w:tbl>
    <w:p w:rsidR="0060634A" w:rsidRDefault="00F76D44">
      <w:pPr>
        <w:pStyle w:val="PPOTitle3-nospacebefore"/>
        <w:rPr>
          <w:rFonts w:eastAsiaTheme="minorEastAsia"/>
        </w:rPr>
      </w:pPr>
      <w:r>
        <w:rPr>
          <w:rFonts w:eastAsiaTheme="minorEastAsia"/>
        </w:rPr>
        <w:t>Where are we in the implementation?</w:t>
      </w:r>
    </w:p>
    <w:p w:rsidR="0060634A" w:rsidRDefault="00F76D44">
      <w:pPr>
        <w:pStyle w:val="PPOBlackBULLETS-L1"/>
        <w:rPr>
          <w:noProof/>
        </w:rPr>
      </w:pPr>
      <w:r>
        <w:rPr>
          <w:noProof/>
        </w:rPr>
        <w:t xml:space="preserve">Preliminary </w:t>
      </w:r>
      <w:r>
        <w:rPr>
          <w:noProof/>
        </w:rPr>
        <w:t>operations will begin in 2025 with the ‘first plasma phase’. The construction of ITER will continue until 2035, when testing will end and experimental operation will commence. Currently, 51.8% of all construction activities that will be required by the end</w:t>
      </w:r>
      <w:r>
        <w:rPr>
          <w:noProof/>
        </w:rPr>
        <w:t xml:space="preserve"> of construction work in 2035 have been completed. The EU’s in-kind contribution to the ITER project grew from around 34% in December 2018 to almost 42% in December 2019, and its cash contribution to the ITER Organization by the end of 2019 amounted to som</w:t>
      </w:r>
      <w:r>
        <w:rPr>
          <w:noProof/>
        </w:rPr>
        <w:t>e EUR</w:t>
      </w:r>
      <w:r>
        <w:rPr>
          <w:rFonts w:ascii="Calibri" w:hAnsi="Calibri" w:cs="Calibri"/>
          <w:noProof/>
        </w:rPr>
        <w:t> </w:t>
      </w:r>
      <w:r>
        <w:rPr>
          <w:noProof/>
        </w:rPr>
        <w:t>1</w:t>
      </w:r>
      <w:r>
        <w:rPr>
          <w:rFonts w:ascii="Calibri" w:hAnsi="Calibri" w:cs="Calibri"/>
          <w:noProof/>
        </w:rPr>
        <w:t> </w:t>
      </w:r>
      <w:r>
        <w:rPr>
          <w:noProof/>
        </w:rPr>
        <w:t>140</w:t>
      </w:r>
      <w:r>
        <w:rPr>
          <w:rFonts w:ascii="Calibri" w:hAnsi="Calibri" w:cs="Calibri"/>
          <w:noProof/>
        </w:rPr>
        <w:t> </w:t>
      </w:r>
      <w:r>
        <w:rPr>
          <w:noProof/>
        </w:rPr>
        <w:t>million (committed amounts). This represents an equivalent value of about one third of the overall cash contribution for the construction phase. ITER is continuing to move towards its assembly phase.</w:t>
      </w:r>
    </w:p>
    <w:p w:rsidR="0060634A" w:rsidRDefault="00F76D44">
      <w:pPr>
        <w:pStyle w:val="PPOBlackBULLETS-L1"/>
        <w:rPr>
          <w:noProof/>
        </w:rPr>
      </w:pPr>
      <w:r>
        <w:rPr>
          <w:noProof/>
        </w:rPr>
        <w:t>Concerning the progress at the ITER site, in</w:t>
      </w:r>
      <w:r>
        <w:rPr>
          <w:noProof/>
        </w:rPr>
        <w:t xml:space="preserve"> November 2019 the walls and floors of the Tokamak building were finished. This marked the successful completion of an important construction milestone, about 5</w:t>
      </w:r>
      <w:r>
        <w:rPr>
          <w:rFonts w:ascii="Calibri" w:hAnsi="Calibri" w:cs="Calibri"/>
          <w:noProof/>
        </w:rPr>
        <w:t> </w:t>
      </w:r>
      <w:r>
        <w:rPr>
          <w:noProof/>
        </w:rPr>
        <w:t>years from the first pouring of concrete for the basement slab. Construction is well advanced o</w:t>
      </w:r>
      <w:r>
        <w:rPr>
          <w:noProof/>
        </w:rPr>
        <w:t>n the Crane Hall, which will enlarge the Tokamak building to accommodate the cranes that will move the components during assembly. The first and second modules of its roof were lifted into place by the Fusion for Energy Joint Undertaking on 4</w:t>
      </w:r>
      <w:r>
        <w:rPr>
          <w:rFonts w:ascii="Calibri" w:hAnsi="Calibri" w:cs="Calibri"/>
          <w:noProof/>
        </w:rPr>
        <w:t> </w:t>
      </w:r>
      <w:r>
        <w:rPr>
          <w:noProof/>
        </w:rPr>
        <w:t>December 2019</w:t>
      </w:r>
      <w:r>
        <w:rPr>
          <w:noProof/>
        </w:rPr>
        <w:t>.</w:t>
      </w:r>
    </w:p>
    <w:p w:rsidR="0060634A" w:rsidRDefault="00F76D44">
      <w:pPr>
        <w:pStyle w:val="PPOBlackBULLETS-L1"/>
        <w:rPr>
          <w:noProof/>
        </w:rPr>
      </w:pPr>
      <w:r>
        <w:rPr>
          <w:noProof/>
        </w:rPr>
        <w:t>As of the end of November 2019, the work up to the ‘first plasma’ milestone (2025) was 65.9% complete. This progress corresponds to an average rate of 0.68% per month over the last 21</w:t>
      </w:r>
      <w:r>
        <w:rPr>
          <w:rFonts w:ascii="Calibri" w:hAnsi="Calibri" w:cs="Calibri"/>
          <w:noProof/>
        </w:rPr>
        <w:t> </w:t>
      </w:r>
      <w:r>
        <w:rPr>
          <w:noProof/>
        </w:rPr>
        <w:t>months. To reach first plasma, all components from the ITER members ne</w:t>
      </w:r>
      <w:r>
        <w:rPr>
          <w:noProof/>
        </w:rPr>
        <w:t>ed to be available and delivered on time to the ITER Organization, and assembled and installed in the Tokamak complex.</w:t>
      </w:r>
    </w:p>
    <w:p w:rsidR="0060634A" w:rsidRDefault="00F76D44">
      <w:pPr>
        <w:pStyle w:val="PPOBlackBULLETS-L1"/>
        <w:rPr>
          <w:noProof/>
        </w:rPr>
      </w:pPr>
      <w:r>
        <w:rPr>
          <w:noProof/>
        </w:rPr>
        <w:t>The Fusion for Energy Joint Undertaking plans to commit more than EUR</w:t>
      </w:r>
      <w:r>
        <w:rPr>
          <w:rFonts w:ascii="Calibri" w:hAnsi="Calibri" w:cs="Calibri"/>
          <w:noProof/>
        </w:rPr>
        <w:t> </w:t>
      </w:r>
      <w:r>
        <w:rPr>
          <w:noProof/>
        </w:rPr>
        <w:t>550</w:t>
      </w:r>
      <w:r>
        <w:rPr>
          <w:rFonts w:ascii="Calibri" w:hAnsi="Calibri" w:cs="Calibri"/>
          <w:noProof/>
        </w:rPr>
        <w:t> </w:t>
      </w:r>
      <w:r>
        <w:rPr>
          <w:noProof/>
        </w:rPr>
        <w:t>million to procurement contracts in 2020.</w:t>
      </w:r>
    </w:p>
    <w:p w:rsidR="0060634A" w:rsidRDefault="00F76D44">
      <w:pPr>
        <w:pStyle w:val="PPOTitle3"/>
        <w:rPr>
          <w:rFonts w:eastAsiaTheme="minorEastAsia"/>
        </w:rPr>
      </w:pPr>
      <w:r>
        <w:rPr>
          <w:rFonts w:eastAsiaTheme="minorEastAsia"/>
        </w:rPr>
        <w:t>Performance assessmen</w:t>
      </w:r>
      <w:r>
        <w:rPr>
          <w:rFonts w:eastAsiaTheme="minorEastAsia"/>
        </w:rPr>
        <w:t>t</w:t>
      </w:r>
    </w:p>
    <w:p w:rsidR="0060634A" w:rsidRDefault="00F76D44">
      <w:pPr>
        <w:pStyle w:val="PPOBlackBULLETS-L1"/>
        <w:rPr>
          <w:noProof/>
        </w:rPr>
      </w:pPr>
      <w:r>
        <w:rPr>
          <w:noProof/>
        </w:rPr>
        <w:t>The ITER project is performing well, now that the deficiencies identified at the beginning of the 2014-2020 period (such as the immaturity of the design; manufacturing challenges; management deficiencies; a lack of cooperation between domestic agencies a</w:t>
      </w:r>
      <w:r>
        <w:rPr>
          <w:noProof/>
        </w:rPr>
        <w:t>nd the ITER Organization; and schedule and cost estimates being perceived to be unreliable) have been addressed. This has improved the overall effectiveness of the project, and has thus allowed the reactor’s assembly phase to begin.</w:t>
      </w:r>
    </w:p>
    <w:p w:rsidR="0060634A" w:rsidRDefault="00F76D44">
      <w:pPr>
        <w:pStyle w:val="PPOBlackBULLETS-L1"/>
        <w:rPr>
          <w:noProof/>
        </w:rPr>
      </w:pPr>
      <w:r>
        <w:rPr>
          <w:noProof/>
        </w:rPr>
        <w:t>The ITER parties launch</w:t>
      </w:r>
      <w:r>
        <w:rPr>
          <w:noProof/>
        </w:rPr>
        <w:t>ed a major overhaul of the project in 2015, which included the appointment of new senior management personnel in the ITER Organization, along with an action plan. The action plan envisaged the complete reorganisation of the ITER Organization; close coopera</w:t>
      </w:r>
      <w:r>
        <w:rPr>
          <w:noProof/>
        </w:rPr>
        <w:t xml:space="preserve">tion with domestic agencies; the freezing of the design to allow the construction of buildings and other components; and the establishment of a reserve fund as an incentive for the ITER Organization to minimise changes as much as possible. A new, reliable </w:t>
      </w:r>
      <w:r>
        <w:rPr>
          <w:noProof/>
        </w:rPr>
        <w:t>baseline was approved in November 2016, stabilising the project and providing a realistic basis for its completion.</w:t>
      </w:r>
    </w:p>
    <w:p w:rsidR="0060634A" w:rsidRDefault="00F76D44">
      <w:pPr>
        <w:pStyle w:val="PPOBlackBULLETS-L1"/>
        <w:rPr>
          <w:noProof/>
        </w:rPr>
      </w:pPr>
      <w:r>
        <w:rPr>
          <w:noProof/>
        </w:rPr>
        <w:t xml:space="preserve">Stringent supervision and proactive management by the Commission has been put in place, in line with the supervision strategy that has been </w:t>
      </w:r>
      <w:r>
        <w:rPr>
          <w:noProof/>
        </w:rPr>
        <w:t>adopted. This includes the nomination of prominent experts for management roles and for the decision-making bodies of the ITER Organization, and rigorous monitoring of the implementation of the recommendations of the annual management assessment reports.</w:t>
      </w:r>
    </w:p>
    <w:p w:rsidR="0060634A" w:rsidRDefault="00F76D44">
      <w:pPr>
        <w:pStyle w:val="PPOTitle3"/>
        <w:rPr>
          <w:rFonts w:eastAsiaTheme="minorEastAsia"/>
        </w:rPr>
      </w:pPr>
      <w:r>
        <w:rPr>
          <w:rFonts w:eastAsiaTheme="minorEastAsia"/>
        </w:rPr>
        <w:t>Concrete examples of achievements</w:t>
      </w:r>
    </w:p>
    <w:tbl>
      <w:tblPr>
        <w:tblStyle w:val="TableGrid"/>
        <w:tblW w:w="7578" w:type="dxa"/>
        <w:jc w:val="center"/>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2526"/>
        <w:gridCol w:w="2526"/>
        <w:gridCol w:w="2526"/>
      </w:tblGrid>
      <w:tr w:rsidR="0060634A">
        <w:trPr>
          <w:trHeight w:val="135"/>
          <w:jc w:val="center"/>
        </w:trPr>
        <w:tc>
          <w:tcPr>
            <w:tcW w:w="2526" w:type="dxa"/>
            <w:shd w:val="clear" w:color="auto" w:fill="00ADDC"/>
          </w:tcPr>
          <w:p w:rsidR="0060634A" w:rsidRDefault="00F76D44">
            <w:pPr>
              <w:pStyle w:val="PPOExamplesTABLEHeader"/>
              <w:rPr>
                <w:rFonts w:eastAsiaTheme="minorEastAsia"/>
              </w:rPr>
            </w:pPr>
            <w:r>
              <w:rPr>
                <w:rFonts w:eastAsiaTheme="minorEastAsia"/>
              </w:rPr>
              <w:t>10</w:t>
            </w:r>
          </w:p>
        </w:tc>
        <w:tc>
          <w:tcPr>
            <w:tcW w:w="2526" w:type="dxa"/>
            <w:shd w:val="clear" w:color="auto" w:fill="00ADDC"/>
          </w:tcPr>
          <w:p w:rsidR="0060634A" w:rsidRDefault="00F76D44">
            <w:pPr>
              <w:pStyle w:val="PPOExamplesTABLEHeader"/>
              <w:rPr>
                <w:rFonts w:eastAsiaTheme="minorEastAsia"/>
              </w:rPr>
            </w:pPr>
            <w:r>
              <w:rPr>
                <w:rFonts w:eastAsiaTheme="minorEastAsia"/>
              </w:rPr>
              <w:t>80 000</w:t>
            </w:r>
          </w:p>
        </w:tc>
        <w:tc>
          <w:tcPr>
            <w:tcW w:w="2526" w:type="dxa"/>
            <w:shd w:val="clear" w:color="auto" w:fill="00ADDC"/>
          </w:tcPr>
          <w:p w:rsidR="0060634A" w:rsidRDefault="00F76D44">
            <w:pPr>
              <w:pStyle w:val="PPOExamplesTABLEHeader"/>
              <w:rPr>
                <w:rFonts w:eastAsiaTheme="minorEastAsia"/>
              </w:rPr>
            </w:pPr>
            <w:r>
              <w:rPr>
                <w:rFonts w:eastAsiaTheme="minorEastAsia"/>
              </w:rPr>
              <w:t>18</w:t>
            </w:r>
          </w:p>
        </w:tc>
      </w:tr>
      <w:tr w:rsidR="0060634A">
        <w:trPr>
          <w:trHeight w:val="801"/>
          <w:jc w:val="center"/>
        </w:trPr>
        <w:tc>
          <w:tcPr>
            <w:tcW w:w="2526" w:type="dxa"/>
            <w:shd w:val="clear" w:color="auto" w:fill="DCE6F2"/>
          </w:tcPr>
          <w:p w:rsidR="0060634A" w:rsidRDefault="00F76D44">
            <w:pPr>
              <w:pStyle w:val="PPOExamplesTABLEText"/>
              <w:spacing w:line="240" w:lineRule="auto"/>
              <w:rPr>
                <w:noProof/>
                <w:lang w:val="en-GB"/>
              </w:rPr>
            </w:pPr>
            <w:r>
              <w:rPr>
                <w:noProof/>
                <w:lang w:val="en-GB"/>
              </w:rPr>
              <w:t>types of concrete have been developed for use in the Tokamak building.</w:t>
            </w:r>
          </w:p>
        </w:tc>
        <w:tc>
          <w:tcPr>
            <w:tcW w:w="2526" w:type="dxa"/>
            <w:shd w:val="clear" w:color="auto" w:fill="DCE6F2"/>
          </w:tcPr>
          <w:p w:rsidR="0060634A" w:rsidRDefault="00F76D44">
            <w:pPr>
              <w:pStyle w:val="PPOExamplesTABLEText"/>
              <w:spacing w:line="240" w:lineRule="auto"/>
              <w:rPr>
                <w:noProof/>
                <w:lang w:val="en-GB"/>
              </w:rPr>
            </w:pPr>
            <w:r>
              <w:rPr>
                <w:noProof/>
                <w:lang w:val="en-GB"/>
              </w:rPr>
              <w:t>embedded plates have been anchored into the Tokamak building.</w:t>
            </w:r>
          </w:p>
        </w:tc>
        <w:tc>
          <w:tcPr>
            <w:tcW w:w="2526" w:type="dxa"/>
            <w:shd w:val="clear" w:color="auto" w:fill="DCE6F2"/>
          </w:tcPr>
          <w:p w:rsidR="0060634A" w:rsidRDefault="00F76D44">
            <w:pPr>
              <w:pStyle w:val="PPOExamplesTABLEText"/>
              <w:spacing w:line="240" w:lineRule="auto"/>
              <w:rPr>
                <w:noProof/>
                <w:lang w:val="en-GB"/>
              </w:rPr>
            </w:pPr>
            <w:r>
              <w:rPr>
                <w:noProof/>
                <w:lang w:val="en-GB"/>
              </w:rPr>
              <w:t>heavy doors weighing 70 tonnes have been installed in the Tokamak building.</w:t>
            </w:r>
          </w:p>
        </w:tc>
      </w:tr>
    </w:tbl>
    <w:p w:rsidR="0060634A" w:rsidRDefault="00F76D44">
      <w:pPr>
        <w:pStyle w:val="PPOBlackBULLETS-L1"/>
        <w:spacing w:before="240"/>
        <w:rPr>
          <w:noProof/>
        </w:rPr>
      </w:pPr>
      <w:r>
        <w:rPr>
          <w:noProof/>
        </w:rPr>
        <w:t>The pouring in November 2019 of the final concrete at the Tokamak building marked the successful completion of an important construction milestone, around 5</w:t>
      </w:r>
      <w:r>
        <w:rPr>
          <w:rFonts w:ascii="Calibri" w:hAnsi="Calibri" w:cs="Calibri"/>
          <w:noProof/>
        </w:rPr>
        <w:t> </w:t>
      </w:r>
      <w:r>
        <w:rPr>
          <w:noProof/>
        </w:rPr>
        <w:t>years on from the first pouring of concrete for the basement slab. This first-of-its-kind infrast</w:t>
      </w:r>
      <w:r>
        <w:rPr>
          <w:noProof/>
        </w:rPr>
        <w:t>ructure for a fusion device was new territory for all involved, and needed to comply with the extremely strict standards set by the French Nuclear Safety Authority. Around 10 types of concrete were developed to be used in the construction of different part</w:t>
      </w:r>
      <w:r>
        <w:rPr>
          <w:noProof/>
        </w:rPr>
        <w:t>s of the structure. The building has more than 80</w:t>
      </w:r>
      <w:r>
        <w:rPr>
          <w:rFonts w:ascii="Calibri" w:hAnsi="Calibri" w:cs="Calibri"/>
          <w:noProof/>
        </w:rPr>
        <w:t> </w:t>
      </w:r>
      <w:r>
        <w:rPr>
          <w:noProof/>
        </w:rPr>
        <w:t>000 embedded plates, anchored deep into the concrete and accurately positioned to match the location of the ITER equipment that will be installed. Moreover, 18 of the 46 heavy doors have been installed, wei</w:t>
      </w:r>
      <w:r>
        <w:rPr>
          <w:noProof/>
        </w:rPr>
        <w:t>ghing 70</w:t>
      </w:r>
      <w:r>
        <w:rPr>
          <w:rFonts w:ascii="Calibri" w:hAnsi="Calibri" w:cs="Calibri"/>
          <w:noProof/>
        </w:rPr>
        <w:t> </w:t>
      </w:r>
      <w:r>
        <w:rPr>
          <w:noProof/>
        </w:rPr>
        <w:t>tonnes each, to ensure that the radiation resulting from the fusion reaction is kept inside.</w:t>
      </w:r>
    </w:p>
    <w:p w:rsidR="0060634A" w:rsidRDefault="0060634A">
      <w:pPr>
        <w:pStyle w:val="BodyText1spaceafter"/>
        <w:ind w:left="284" w:hanging="284"/>
        <w:sectPr w:rsidR="0060634A">
          <w:headerReference w:type="even" r:id="rId75"/>
          <w:headerReference w:type="default" r:id="rId76"/>
          <w:footerReference w:type="even" r:id="rId77"/>
          <w:footerReference w:type="default" r:id="rId78"/>
          <w:headerReference w:type="first" r:id="rId79"/>
          <w:footerReference w:type="first" r:id="rId80"/>
          <w:pgSz w:w="11906" w:h="16838" w:code="9"/>
          <w:pgMar w:top="567" w:right="567" w:bottom="567" w:left="567" w:header="567" w:footer="454" w:gutter="0"/>
          <w:paperSrc w:first="15" w:other="15"/>
          <w:cols w:space="720"/>
          <w:docGrid w:linePitch="360"/>
        </w:sectPr>
      </w:pPr>
    </w:p>
    <w:p w:rsidR="0060634A" w:rsidRDefault="00F76D44">
      <w:pPr>
        <w:pStyle w:val="PPO1AsidebarTitleBlue"/>
        <w:spacing w:before="480"/>
        <w:rPr>
          <w:rFonts w:eastAsiaTheme="minorEastAsia"/>
        </w:rPr>
      </w:pPr>
      <w:r>
        <w:rPr>
          <w:rFonts w:eastAsiaTheme="minorEastAsia"/>
          <w:lang w:val="fr-BE" w:eastAsia="fr-BE"/>
        </w:rPr>
        <mc:AlternateContent>
          <mc:Choice Requires="wps">
            <w:drawing>
              <wp:anchor distT="0" distB="0" distL="0" distR="0" simplePos="0" relativeHeight="251582464" behindDoc="0" locked="1" layoutInCell="1" allowOverlap="1">
                <wp:simplePos x="0" y="0"/>
                <wp:positionH relativeFrom="page">
                  <wp:posOffset>357505</wp:posOffset>
                </wp:positionH>
                <wp:positionV relativeFrom="page">
                  <wp:posOffset>596265</wp:posOffset>
                </wp:positionV>
                <wp:extent cx="1457960" cy="866140"/>
                <wp:effectExtent l="0" t="0" r="85090" b="0"/>
                <wp:wrapTopAndBottom/>
                <wp:docPr id="60" name="Text Box 60"/>
                <wp:cNvGraphicFramePr/>
                <a:graphic xmlns:a="http://schemas.openxmlformats.org/drawingml/2006/main">
                  <a:graphicData uri="http://schemas.microsoft.com/office/word/2010/wordprocessingShape">
                    <wps:wsp>
                      <wps:cNvSpPr txBox="1"/>
                      <wps:spPr>
                        <a:xfrm>
                          <a:off x="0" y="0"/>
                          <a:ext cx="1457960" cy="866140"/>
                        </a:xfrm>
                        <a:prstGeom prst="wedgeRectCallout">
                          <a:avLst>
                            <a:gd name="adj1" fmla="val 54107"/>
                            <a:gd name="adj2" fmla="val -21878"/>
                          </a:avLst>
                        </a:prstGeom>
                        <a:solidFill>
                          <a:srgbClr val="28296E"/>
                        </a:solidFill>
                        <a:ln w="6350">
                          <a:noFill/>
                        </a:ln>
                      </wps:spPr>
                      <wps:txbx>
                        <w:txbxContent>
                          <w:p w:rsidR="0060634A" w:rsidRDefault="00F76D44">
                            <w:pPr>
                              <w:pStyle w:val="PPOsidebarLegalBasisBOXHeading"/>
                              <w:rPr>
                                <w:rFonts w:eastAsiaTheme="minorEastAsia"/>
                              </w:rPr>
                            </w:pPr>
                            <w:r>
                              <w:rPr>
                                <w:rFonts w:eastAsiaTheme="minorEastAsia"/>
                              </w:rPr>
                              <w:t>LEGAL BASIS</w:t>
                            </w:r>
                          </w:p>
                          <w:p w:rsidR="0060634A" w:rsidRDefault="00F76D44">
                            <w:pPr>
                              <w:pStyle w:val="PPOsidebarLegalBasisBOXtext"/>
                              <w:rPr>
                                <w:rFonts w:eastAsiaTheme="minorEastAsia"/>
                              </w:rPr>
                            </w:pPr>
                            <w:r>
                              <w:rPr>
                                <w:rFonts w:eastAsiaTheme="minorEastAsia"/>
                              </w:rPr>
                              <w:t xml:space="preserve">Regulation (EU) No 377/2014 of the European Parliament and of the Council and repealing Regulation (EU) No 911/2010 </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45" type="#_x0000_t61" style="position:absolute;left:0;text-align:left;margin-left:28.15pt;margin-top:46.95pt;width:114.8pt;height:68.2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" adj="22487,6074" fillcolor="#28296e" stroked="f" strokeweight=".5pt">
                <v:textbox inset="2.5mm,1.3mm,2.5mm,1.3mm">
                  <w:txbxContent>
                    <w:p w:rsidR="0060634A" w:rsidRDefault="00F76D44">
                      <w:pPr>
                        <w:pStyle w:val="PPOsidebarLegalBasisBOXHeading"/>
                        <w:rPr>
                          <w:rFonts w:eastAsiaTheme="minorEastAsia"/>
                        </w:rPr>
                      </w:pPr>
                      <w:r>
                        <w:rPr>
                          <w:rFonts w:eastAsiaTheme="minorEastAsia"/>
                        </w:rPr>
                        <w:t>LEGAL BASIS</w:t>
                      </w:r>
                    </w:p>
                    <w:p w:rsidR="0060634A" w:rsidRDefault="00F76D44">
                      <w:pPr>
                        <w:pStyle w:val="PPOsidebarLegalBasisBOXtext"/>
                        <w:rPr>
                          <w:rFonts w:eastAsiaTheme="minorEastAsia"/>
                        </w:rPr>
                      </w:pPr>
                      <w:r>
                        <w:rPr>
                          <w:rFonts w:eastAsiaTheme="minorEastAsia"/>
                        </w:rPr>
                        <w:t xml:space="preserve">Regulation (EU) No 377/2014 of the European Parliament and of the Council and repealing Regulation (EU) No 911/2010 </w:t>
                      </w:r>
                    </w:p>
                  </w:txbxContent>
                </v:textbox>
                <w10:wrap type="topAndBottom" anchorx="page" anchory="page"/>
                <w10:anchorlock/>
              </v:shape>
            </w:pict>
          </mc:Fallback>
        </mc:AlternateContent>
      </w:r>
      <w:r>
        <w:rPr>
          <w:rFonts w:eastAsiaTheme="minorEastAsia"/>
        </w:rPr>
        <w:t>MORE INFORMATION</w:t>
      </w:r>
    </w:p>
    <w:p w:rsidR="0060634A" w:rsidRDefault="00F76D44">
      <w:pPr>
        <w:pStyle w:val="PPOsidebartext"/>
        <w:rPr>
          <w:rStyle w:val="PPOChar-Hyperlink"/>
          <w:rFonts w:eastAsiaTheme="minorEastAsia"/>
        </w:rPr>
      </w:pPr>
      <w:hyperlink r:id="rId81" w:history="1">
        <w:r>
          <w:rPr>
            <w:rStyle w:val="PPOChar-Hyperlink"/>
            <w:rFonts w:eastAsiaTheme="minorEastAsia"/>
          </w:rPr>
          <w:t>http://www.copernicus.eu</w:t>
        </w:r>
      </w:hyperlink>
    </w:p>
    <w:p w:rsidR="0060634A" w:rsidRDefault="00F76D44">
      <w:pPr>
        <w:pStyle w:val="PPO1AsidebarTitleBlue"/>
        <w:spacing w:before="280"/>
        <w:rPr>
          <w:rFonts w:eastAsiaTheme="minorEastAsia"/>
        </w:rPr>
      </w:pPr>
      <w:r>
        <w:rPr>
          <w:rFonts w:eastAsiaTheme="minorEastAsia"/>
        </w:rPr>
        <w:t>FINANCIAL PROGRAMMING</w:t>
      </w:r>
    </w:p>
    <w:p w:rsidR="0060634A" w:rsidRDefault="00F76D44">
      <w:pPr>
        <w:pStyle w:val="PPO1AsidebarTablecaption"/>
      </w:pPr>
      <w:r>
        <w:t>(million EUR)</w:t>
      </w:r>
    </w:p>
    <w:tbl>
      <w:tblPr>
        <w:tblOverlap w:val="never"/>
        <w:tblW w:w="2296" w:type="dxa"/>
        <w:jc w:val="right"/>
        <w:tblLayout w:type="fixed"/>
        <w:tblCellMar>
          <w:top w:w="28" w:type="dxa"/>
          <w:left w:w="28" w:type="dxa"/>
          <w:bottom w:w="28" w:type="dxa"/>
          <w:right w:w="28" w:type="dxa"/>
        </w:tblCellMar>
        <w:tblLook w:val="0000" w:firstRow="0" w:lastRow="0" w:firstColumn="0" w:lastColumn="0" w:noHBand="0" w:noVBand="0"/>
      </w:tblPr>
      <w:tblGrid>
        <w:gridCol w:w="1134"/>
        <w:gridCol w:w="1162"/>
      </w:tblGrid>
      <w:tr w:rsidR="0060634A">
        <w:trPr>
          <w:trHeight w:hRule="exact" w:val="229"/>
          <w:jc w:val="right"/>
        </w:trPr>
        <w:tc>
          <w:tcPr>
            <w:tcW w:w="1134" w:type="dxa"/>
            <w:tcBorders>
              <w:bottom w:val="single" w:sz="6" w:space="0" w:color="FFFFFF" w:themeColor="background1"/>
            </w:tcBorders>
            <w:shd w:val="clear" w:color="auto" w:fill="DCE6F2"/>
          </w:tcPr>
          <w:p w:rsidR="0060634A" w:rsidRDefault="00F76D44">
            <w:pPr>
              <w:pStyle w:val="PPOsidebarTabletext"/>
            </w:pPr>
            <w:r>
              <w:t>2014</w:t>
            </w:r>
          </w:p>
        </w:tc>
        <w:tc>
          <w:tcPr>
            <w:tcW w:w="1162" w:type="dxa"/>
            <w:shd w:val="clear" w:color="auto" w:fill="FFFFFF"/>
          </w:tcPr>
          <w:p w:rsidR="0060634A" w:rsidRDefault="00F76D44">
            <w:pPr>
              <w:pStyle w:val="PPOsidebarTabletext"/>
            </w:pPr>
            <w:r>
              <w:t>362.9</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tcPr>
          <w:p w:rsidR="0060634A" w:rsidRDefault="00F76D44">
            <w:pPr>
              <w:pStyle w:val="PPOsidebarTabletext"/>
            </w:pPr>
            <w:r>
              <w:t>2015</w:t>
            </w:r>
          </w:p>
        </w:tc>
        <w:tc>
          <w:tcPr>
            <w:tcW w:w="1162" w:type="dxa"/>
            <w:tcBorders>
              <w:top w:val="single" w:sz="4" w:space="0" w:color="auto"/>
            </w:tcBorders>
            <w:shd w:val="clear" w:color="auto" w:fill="FFFFFF"/>
          </w:tcPr>
          <w:p w:rsidR="0060634A" w:rsidRDefault="00F76D44">
            <w:pPr>
              <w:pStyle w:val="PPOsidebarTabletext"/>
            </w:pPr>
            <w:r>
              <w:t>556.4</w:t>
            </w:r>
          </w:p>
        </w:tc>
      </w:tr>
      <w:tr w:rsidR="0060634A">
        <w:trPr>
          <w:trHeight w:hRule="exact" w:val="229"/>
          <w:jc w:val="right"/>
        </w:trPr>
        <w:tc>
          <w:tcPr>
            <w:tcW w:w="1134" w:type="dxa"/>
            <w:tcBorders>
              <w:top w:val="single" w:sz="6" w:space="0" w:color="FFFFFF" w:themeColor="background1"/>
              <w:bottom w:val="single" w:sz="6" w:space="0" w:color="FFFFFF" w:themeColor="background1"/>
            </w:tcBorders>
            <w:shd w:val="clear" w:color="auto" w:fill="DCE6F2"/>
          </w:tcPr>
          <w:p w:rsidR="0060634A" w:rsidRDefault="00F76D44">
            <w:pPr>
              <w:pStyle w:val="PPOsidebarTabletext"/>
            </w:pPr>
            <w:r>
              <w:t>2016</w:t>
            </w:r>
          </w:p>
        </w:tc>
        <w:tc>
          <w:tcPr>
            <w:tcW w:w="1162" w:type="dxa"/>
            <w:tcBorders>
              <w:top w:val="single" w:sz="4" w:space="0" w:color="auto"/>
            </w:tcBorders>
            <w:shd w:val="clear" w:color="auto" w:fill="FFFFFF"/>
          </w:tcPr>
          <w:p w:rsidR="0060634A" w:rsidRDefault="00F76D44">
            <w:pPr>
              <w:pStyle w:val="PPOsidebarTabletext"/>
            </w:pPr>
            <w:r>
              <w:t>586.2</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tcPr>
          <w:p w:rsidR="0060634A" w:rsidRDefault="00F76D44">
            <w:pPr>
              <w:pStyle w:val="PPOsidebarTabletext"/>
            </w:pPr>
            <w:r>
              <w:t>2017</w:t>
            </w:r>
          </w:p>
        </w:tc>
        <w:tc>
          <w:tcPr>
            <w:tcW w:w="1162" w:type="dxa"/>
            <w:tcBorders>
              <w:top w:val="single" w:sz="4" w:space="0" w:color="auto"/>
            </w:tcBorders>
            <w:shd w:val="clear" w:color="auto" w:fill="FFFFFF"/>
          </w:tcPr>
          <w:p w:rsidR="0060634A" w:rsidRDefault="00F76D44">
            <w:pPr>
              <w:pStyle w:val="PPOsidebarTabletext"/>
            </w:pPr>
            <w:r>
              <w:t>607.4</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tcPr>
          <w:p w:rsidR="0060634A" w:rsidRDefault="00F76D44">
            <w:pPr>
              <w:pStyle w:val="PPOsidebarTabletext"/>
            </w:pPr>
            <w:r>
              <w:t>2018</w:t>
            </w:r>
          </w:p>
        </w:tc>
        <w:tc>
          <w:tcPr>
            <w:tcW w:w="1162" w:type="dxa"/>
            <w:tcBorders>
              <w:top w:val="single" w:sz="4" w:space="0" w:color="auto"/>
            </w:tcBorders>
            <w:shd w:val="clear" w:color="auto" w:fill="FFFFFF"/>
          </w:tcPr>
          <w:p w:rsidR="0060634A" w:rsidRDefault="00F76D44">
            <w:pPr>
              <w:pStyle w:val="PPOsidebarTabletext"/>
            </w:pPr>
            <w:r>
              <w:t>630.2</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tcPr>
          <w:p w:rsidR="0060634A" w:rsidRDefault="00F76D44">
            <w:pPr>
              <w:pStyle w:val="PPOsidebarTabletext"/>
            </w:pPr>
            <w:r>
              <w:t>2019</w:t>
            </w:r>
          </w:p>
        </w:tc>
        <w:tc>
          <w:tcPr>
            <w:tcW w:w="1162" w:type="dxa"/>
            <w:tcBorders>
              <w:top w:val="single" w:sz="4" w:space="0" w:color="auto"/>
            </w:tcBorders>
            <w:shd w:val="clear" w:color="auto" w:fill="FFFFFF"/>
          </w:tcPr>
          <w:p w:rsidR="0060634A" w:rsidRDefault="00F76D44">
            <w:pPr>
              <w:pStyle w:val="PPOsidebarTabletext"/>
            </w:pPr>
            <w:r>
              <w:t>861.5</w:t>
            </w:r>
          </w:p>
        </w:tc>
      </w:tr>
      <w:tr w:rsidR="0060634A">
        <w:trPr>
          <w:trHeight w:hRule="exact" w:val="225"/>
          <w:jc w:val="right"/>
        </w:trPr>
        <w:tc>
          <w:tcPr>
            <w:tcW w:w="1134" w:type="dxa"/>
            <w:tcBorders>
              <w:top w:val="single" w:sz="6" w:space="0" w:color="FFFFFF" w:themeColor="background1"/>
            </w:tcBorders>
            <w:shd w:val="clear" w:color="auto" w:fill="DCE6F2"/>
          </w:tcPr>
          <w:p w:rsidR="0060634A" w:rsidRDefault="00F76D44">
            <w:pPr>
              <w:pStyle w:val="PPOsidebarTabletext"/>
            </w:pPr>
            <w:r>
              <w:t>2020</w:t>
            </w:r>
          </w:p>
        </w:tc>
        <w:tc>
          <w:tcPr>
            <w:tcW w:w="1162" w:type="dxa"/>
            <w:tcBorders>
              <w:top w:val="single" w:sz="4" w:space="0" w:color="auto"/>
            </w:tcBorders>
            <w:shd w:val="clear" w:color="auto" w:fill="FFFFFF"/>
          </w:tcPr>
          <w:p w:rsidR="0060634A" w:rsidRDefault="00F76D44">
            <w:pPr>
              <w:pStyle w:val="PPOsidebarTabletext"/>
            </w:pPr>
            <w:r>
              <w:t>646.9</w:t>
            </w:r>
          </w:p>
        </w:tc>
      </w:tr>
      <w:tr w:rsidR="0060634A">
        <w:trPr>
          <w:trHeight w:hRule="exact" w:val="258"/>
          <w:jc w:val="right"/>
        </w:trPr>
        <w:tc>
          <w:tcPr>
            <w:tcW w:w="1134" w:type="dxa"/>
            <w:shd w:val="clear" w:color="auto" w:fill="00ADDC"/>
          </w:tcPr>
          <w:p w:rsidR="0060634A" w:rsidRDefault="00F76D44">
            <w:pPr>
              <w:pStyle w:val="PPOsidebarTabletext"/>
            </w:pPr>
            <w:r>
              <w:t>Total</w:t>
            </w:r>
          </w:p>
        </w:tc>
        <w:tc>
          <w:tcPr>
            <w:tcW w:w="1162" w:type="dxa"/>
            <w:tcBorders>
              <w:top w:val="single" w:sz="4" w:space="0" w:color="auto"/>
            </w:tcBorders>
            <w:shd w:val="clear" w:color="auto" w:fill="FFFFFF"/>
          </w:tcPr>
          <w:p w:rsidR="0060634A" w:rsidRDefault="00F76D44">
            <w:pPr>
              <w:pStyle w:val="PPOsidebarTabletext"/>
            </w:pPr>
            <w:r>
              <w:t>4 251.5</w:t>
            </w:r>
          </w:p>
        </w:tc>
      </w:tr>
    </w:tbl>
    <w:p w:rsidR="0060634A" w:rsidRDefault="00F76D44">
      <w:pPr>
        <w:pStyle w:val="PPO1AsidebarTitleBlue"/>
        <w:spacing w:before="280"/>
        <w:rPr>
          <w:rFonts w:eastAsiaTheme="minorEastAsia"/>
        </w:rPr>
      </w:pPr>
      <w:r>
        <w:rPr>
          <w:rFonts w:asciiTheme="minorHAnsi" w:eastAsiaTheme="minorEastAsia" w:hAnsiTheme="minorHAnsi" w:cstheme="minorBidi"/>
          <w:b w:val="0"/>
          <w:bCs/>
          <w:color w:val="auto"/>
          <w:sz w:val="22"/>
          <w:szCs w:val="22"/>
          <w:lang w:val="fr-BE" w:eastAsia="fr-BE"/>
        </w:rPr>
        <mc:AlternateContent>
          <mc:Choice Requires="wps">
            <w:drawing>
              <wp:anchor distT="0" distB="0" distL="114300" distR="114300" simplePos="0" relativeHeight="251604992" behindDoc="0" locked="0" layoutInCell="1" allowOverlap="1">
                <wp:simplePos x="0" y="0"/>
                <wp:positionH relativeFrom="column">
                  <wp:posOffset>332105</wp:posOffset>
                </wp:positionH>
                <wp:positionV relativeFrom="paragraph">
                  <wp:posOffset>968396</wp:posOffset>
                </wp:positionV>
                <wp:extent cx="959062" cy="600483"/>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062" cy="600483"/>
                        </a:xfrm>
                        <a:prstGeom prst="rect">
                          <a:avLst/>
                        </a:prstGeom>
                        <a:noFill/>
                        <a:ln w="9525">
                          <a:noFill/>
                          <a:miter lim="800000"/>
                          <a:headEnd/>
                          <a:tailEnd/>
                        </a:ln>
                      </wps:spPr>
                      <wps:txbx>
                        <w:txbxContent>
                          <w:p w:rsidR="0060634A" w:rsidRDefault="00F76D44">
                            <w:pPr>
                              <w:spacing w:after="120"/>
                              <w:jc w:val="center"/>
                              <w:rPr>
                                <w:color w:val="00ADDC"/>
                              </w:rPr>
                            </w:pPr>
                            <w:r>
                              <w:rPr>
                                <w:b/>
                                <w:color w:val="00ADDC"/>
                              </w:rPr>
                              <w:t>4 251.5</w:t>
                            </w:r>
                            <w:r>
                              <w:rPr>
                                <w:color w:val="00ADDC"/>
                              </w:rPr>
                              <w:br/>
                              <w:t>million EUR</w:t>
                            </w:r>
                          </w:p>
                        </w:txbxContent>
                      </wps:txbx>
                      <wps:bodyPr rot="0" vert="horz" wrap="square" lIns="91440" tIns="45720" rIns="91440" bIns="45720" anchor="t" anchorCtr="0">
                        <a:noAutofit/>
                      </wps:bodyPr>
                    </wps:wsp>
                  </a:graphicData>
                </a:graphic>
              </wp:anchor>
            </w:drawing>
          </mc:Choice>
          <mc:Fallback>
            <w:pict>
              <v:shape id="_x0000_s1046" type="#_x0000_t202" style="position:absolute;left:0;text-align:left;margin-left:26.15pt;margin-top:76.25pt;width:75.5pt;height:47.3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" filled="f" stroked="f">
                <v:textbox>
                  <w:txbxContent>
                    <w:p w:rsidR="0060634A" w:rsidRDefault="00F76D44">
                      <w:pPr>
                        <w:spacing w:after="120"/>
                        <w:jc w:val="center"/>
                        <w:rPr>
                          <w:color w:val="00ADDC"/>
                        </w:rPr>
                      </w:pPr>
                      <w:r>
                        <w:rPr>
                          <w:b/>
                          <w:color w:val="00ADDC"/>
                        </w:rPr>
                        <w:t>4 251.5</w:t>
                      </w:r>
                      <w:r>
                        <w:rPr>
                          <w:color w:val="00ADDC"/>
                        </w:rPr>
                        <w:br/>
                        <w:t>million EUR</w:t>
                      </w:r>
                    </w:p>
                  </w:txbxContent>
                </v:textbox>
              </v:shape>
            </w:pict>
          </mc:Fallback>
        </mc:AlternateContent>
      </w:r>
      <w:r>
        <w:rPr>
          <w:rFonts w:eastAsiaTheme="minorEastAsia"/>
          <w:lang w:val="fr-BE" w:eastAsia="fr-BE"/>
        </w:rPr>
        <mc:AlternateContent>
          <mc:Choice Requires="wpg">
            <w:drawing>
              <wp:anchor distT="0" distB="0" distL="114300" distR="114300" simplePos="0" relativeHeight="251598848" behindDoc="1" locked="1" layoutInCell="1" allowOverlap="1">
                <wp:simplePos x="0" y="0"/>
                <wp:positionH relativeFrom="column">
                  <wp:posOffset>-264795</wp:posOffset>
                </wp:positionH>
                <wp:positionV relativeFrom="paragraph">
                  <wp:posOffset>517525</wp:posOffset>
                </wp:positionV>
                <wp:extent cx="1871980" cy="1454150"/>
                <wp:effectExtent l="0" t="0" r="0" b="0"/>
                <wp:wrapSquare wrapText="bothSides"/>
                <wp:docPr id="62" name="Group 62"/>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63" name="Chart 63"/>
                        <wpg:cNvFrPr/>
                        <wpg:xfrm>
                          <a:off x="461310" y="264194"/>
                          <a:ext cx="2492055" cy="1453317"/>
                        </wpg:xfrm>
                        <a:graphic>
                          <a:graphicData uri="http://schemas.openxmlformats.org/drawingml/2006/chart">
                            <c:chart xmlns:c="http://schemas.openxmlformats.org/drawingml/2006/chart" xmlns:r="http://schemas.openxmlformats.org/officeDocument/2006/relationships" r:id="rId82"/>
                          </a:graphicData>
                        </a:graphic>
                      </wpg:graphicFrame>
                      <wps:wsp>
                        <wps:cNvPr id="289" name="Text Box 2"/>
                        <wps:cNvSpPr txBox="1">
                          <a:spLocks noChangeArrowheads="1"/>
                        </wps:cNvSpPr>
                        <wps:spPr bwMode="auto">
                          <a:xfrm>
                            <a:off x="984005" y="829874"/>
                            <a:ext cx="700344" cy="229870"/>
                          </a:xfrm>
                          <a:prstGeom prst="rect">
                            <a:avLst/>
                          </a:prstGeom>
                          <a:noFill/>
                          <a:ln w="9525">
                            <a:noFill/>
                            <a:miter lim="800000"/>
                            <a:headEnd/>
                            <a:tailEnd/>
                          </a:ln>
                        </wps:spPr>
                        <wps:txbx>
                          <w:txbxContent>
                            <w:p w:rsidR="0060634A" w:rsidRDefault="00F76D44">
                              <w:pPr>
                                <w:spacing w:after="120"/>
                                <w:jc w:val="center"/>
                                <w:rPr>
                                  <w:color w:val="00ADDC"/>
                                  <w:lang w:val="fr-BE"/>
                                </w:rPr>
                              </w:pPr>
                              <w:r>
                                <w:rPr>
                                  <w:b/>
                                  <w:color w:val="00ADDC"/>
                                  <w:lang w:val="fr-BE"/>
                                </w:rPr>
                                <w:t>73%</w:t>
                              </w:r>
                            </w:p>
                          </w:txbxContent>
                        </wps:txbx>
                        <wps:bodyPr rot="0" vert="horz" wrap="square" lIns="91440" tIns="45720" rIns="91440" bIns="45720" anchor="t" anchorCtr="0">
                          <a:noAutofit/>
                        </wps:bodyPr>
                      </wps:wsp>
                      <wps:wsp>
                        <wps:cNvPr id="290" name="Text Box 2"/>
                        <wps:cNvSpPr txBox="1">
                          <a:spLocks noChangeArrowheads="1"/>
                        </wps:cNvSpPr>
                        <wps:spPr bwMode="auto">
                          <a:xfrm>
                            <a:off x="1007450" y="335942"/>
                            <a:ext cx="741153" cy="266065"/>
                          </a:xfrm>
                          <a:prstGeom prst="rect">
                            <a:avLst/>
                          </a:prstGeom>
                          <a:noFill/>
                          <a:ln w="9525">
                            <a:noFill/>
                            <a:miter lim="800000"/>
                            <a:headEnd/>
                            <a:tailEnd/>
                          </a:ln>
                        </wps:spPr>
                        <wps:txbx>
                          <w:txbxContent>
                            <w:p w:rsidR="0060634A" w:rsidRDefault="00F76D44">
                              <w:pPr>
                                <w:spacing w:after="120"/>
                                <w:jc w:val="center"/>
                                <w:rPr>
                                  <w:color w:val="28296E"/>
                                  <w:lang w:val="fr-BE"/>
                                </w:rPr>
                              </w:pPr>
                              <w:r>
                                <w:rPr>
                                  <w:b/>
                                  <w:color w:val="28296E"/>
                                  <w:lang w:val="fr-BE"/>
                                </w:rPr>
                                <w:t>85%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2" o:spid="_x0000_s1047" style="position:absolute;left:0;text-align:left;margin-left:-20.85pt;margin-top:40.75pt;width:147.4pt;height:114.5pt;z-index:-251717632;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CgAAAAAAAAAhAAIyqoe3IgAAtyIAAC0AAABk&#10;cnMvZW1iZWRkaW5ncy9NaWNyb3NvZnRfRXhjZWxfV29ya3NoZWV0Lnhsc3hQSwMEFAAGAAgAAAAh&#10;AN0ri1hsAQAAEAUAABMACAJbQ29udGVudF9UeXBlc10ueG1s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">
                <v:shape id="Chart 63" o:spid="_x0000_s1048"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">
                  <v:imagedata r:id="rId83" o:title=""/>
                  <o:lock v:ext="edit" aspectratio="f"/>
                </v:shape>
                <v:shape id="_x0000_s1049" type="#_x0000_t202" style="position:absolute;left:9840;top:8298;width:7003;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rsidR="0060634A" w:rsidRDefault="00F76D44">
                        <w:pPr>
                          <w:spacing w:after="120"/>
                          <w:jc w:val="center"/>
                          <w:rPr>
                            <w:color w:val="00ADDC"/>
                            <w:lang w:val="fr-BE"/>
                          </w:rPr>
                        </w:pPr>
                        <w:r>
                          <w:rPr>
                            <w:b/>
                            <w:color w:val="00ADDC"/>
                            <w:lang w:val="fr-BE"/>
                          </w:rPr>
                          <w:t>73%</w:t>
                        </w:r>
                      </w:p>
                    </w:txbxContent>
                  </v:textbox>
                </v:shape>
                <v:shape id="_x0000_s1050" type="#_x0000_t202" style="position:absolute;left:10074;top:3359;width:741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rsidR="0060634A" w:rsidRDefault="00F76D44">
                        <w:pPr>
                          <w:spacing w:after="120"/>
                          <w:jc w:val="center"/>
                          <w:rPr>
                            <w:color w:val="28296E"/>
                            <w:lang w:val="fr-BE"/>
                          </w:rPr>
                        </w:pPr>
                        <w:r>
                          <w:rPr>
                            <w:b/>
                            <w:color w:val="28296E"/>
                            <w:lang w:val="fr-BE"/>
                          </w:rPr>
                          <w:t>85%</w:t>
                        </w:r>
                      </w:p>
                    </w:txbxContent>
                  </v:textbox>
                </v:shape>
                <w10:wrap type="square"/>
                <w10:anchorlock/>
              </v:group>
              <o:OLEObject Type="Embed" ProgID="Excel.Chart.8" ShapeID="Chart 63" DrawAspect="Content" ObjectID="_1654495723" r:id="rId84">
                <o:FieldCodes>\s</o:FieldCodes>
              </o:OLEObject>
            </w:pict>
          </mc:Fallback>
        </mc:AlternateContent>
      </w:r>
      <w:r>
        <w:rPr>
          <w:rFonts w:eastAsiaTheme="minorEastAsia"/>
        </w:rPr>
        <w:t xml:space="preserve">OVERALL EXECUTION </w:t>
      </w:r>
      <w:r>
        <w:rPr>
          <w:rFonts w:eastAsiaTheme="minorEastAsia"/>
        </w:rPr>
        <w:br/>
        <w:t xml:space="preserve">(2014-2019) </w:t>
      </w:r>
    </w:p>
    <w:p w:rsidR="0060634A" w:rsidRDefault="00F76D44">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596800" behindDoc="0" locked="1" layoutInCell="1" allowOverlap="1">
                <wp:simplePos x="0" y="0"/>
                <wp:positionH relativeFrom="page">
                  <wp:posOffset>2242185</wp:posOffset>
                </wp:positionH>
                <wp:positionV relativeFrom="page">
                  <wp:posOffset>5358130</wp:posOffset>
                </wp:positionV>
                <wp:extent cx="2437130" cy="2273935"/>
                <wp:effectExtent l="0" t="0" r="1270" b="0"/>
                <wp:wrapTopAndBottom/>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273935"/>
                        </a:xfrm>
                        <a:prstGeom prst="rect">
                          <a:avLst/>
                        </a:prstGeom>
                        <a:solidFill>
                          <a:srgbClr val="FFFFFF"/>
                        </a:solidFill>
                        <a:ln w="9525">
                          <a:noFill/>
                          <a:miter lim="800000"/>
                          <a:headEnd/>
                          <a:tailEnd/>
                        </a:ln>
                      </wps:spPr>
                      <wps:txbx id="16">
                        <w:txbxContent>
                          <w:p w:rsidR="0060634A" w:rsidRDefault="00F76D44">
                            <w:pPr>
                              <w:pStyle w:val="PPOTitle3-nospacebefore"/>
                              <w:rPr>
                                <w:rFonts w:eastAsiaTheme="minorEastAsia"/>
                              </w:rPr>
                            </w:pPr>
                            <w:r>
                              <w:rPr>
                                <w:rFonts w:eastAsiaTheme="minorEastAsia"/>
                              </w:rPr>
                              <w:t>Why is it necessary?</w:t>
                            </w:r>
                          </w:p>
                          <w:p w:rsidR="0060634A" w:rsidRDefault="00F76D44">
                            <w:pPr>
                              <w:pStyle w:val="PPObodyText"/>
                              <w:rPr>
                                <w:noProof/>
                              </w:rPr>
                            </w:pPr>
                            <w:r>
                              <w:rPr>
                                <w:noProof/>
                              </w:rPr>
                              <w:t>The Copernicus programme has a pan-European capacity and depends on the coordinated provision of data and services throughout all the Member States, which needs to be coordinated at EU level. From an economic point of view, action at EU level also allows f</w:t>
                            </w:r>
                            <w:r>
                              <w:rPr>
                                <w:noProof/>
                              </w:rPr>
                              <w:t>or economies of scale, which benefits public spending. Copernicus (the former Global Monitoring for Environment and Security) explicitly refers to many areas of EU legislation in the areas of environment, civil protection, security, climate change, the int</w:t>
                            </w:r>
                            <w:r>
                              <w:rPr>
                                <w:noProof/>
                              </w:rPr>
                              <w:t>ernal market, transport, energy, cooperation with non-EU countries and humanitarian aid, and also covers aspects of space debris surveillance and tracking. Copernicus data and information benefit several EU policies, from agriculture to coastal surveillanc</w:t>
                            </w:r>
                            <w:r>
                              <w:rPr>
                                <w:noProof/>
                              </w:rPr>
                              <w:t xml:space="preserve">e, climate change adaptation, the information technology sector and education. </w:t>
                            </w:r>
                          </w:p>
                          <w:p w:rsidR="0060634A" w:rsidRDefault="00F76D44">
                            <w:pPr>
                              <w:pStyle w:val="PPOTitle3"/>
                              <w:rPr>
                                <w:rFonts w:eastAsiaTheme="minorEastAsia"/>
                              </w:rPr>
                            </w:pPr>
                            <w:r>
                              <w:rPr>
                                <w:rFonts w:eastAsiaTheme="minorEastAsia"/>
                              </w:rPr>
                              <w:t>Outlook for the 2021-2027 period</w:t>
                            </w:r>
                          </w:p>
                          <w:p w:rsidR="0060634A" w:rsidRDefault="00F76D44">
                            <w:pPr>
                              <w:pStyle w:val="PPObodyText"/>
                              <w:rPr>
                                <w:noProof/>
                              </w:rPr>
                            </w:pPr>
                            <w:r>
                              <w:rPr>
                                <w:noProof/>
                              </w:rPr>
                              <w:t>The Commission proposed to integrate all existing and new space activities under the umbrella of a single European space programme.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76.55pt;margin-top:421.9pt;width:191.9pt;height:179.05pt;z-index:2515968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" stroked="f">
                <v:textbox style="mso-next-textbox:#Text Box 294" inset="0">
                  <w:txbxContent>
                    <w:p w:rsidR="0060634A" w:rsidRDefault="00F76D44">
                      <w:pPr>
                        <w:pStyle w:val="PPOTitle3-nospacebefore"/>
                        <w:rPr>
                          <w:rFonts w:eastAsiaTheme="minorEastAsia"/>
                        </w:rPr>
                      </w:pPr>
                      <w:r>
                        <w:rPr>
                          <w:rFonts w:eastAsiaTheme="minorEastAsia"/>
                        </w:rPr>
                        <w:t>Why is it necessary?</w:t>
                      </w:r>
                    </w:p>
                    <w:p w:rsidR="0060634A" w:rsidRDefault="00F76D44">
                      <w:pPr>
                        <w:pStyle w:val="PPObodyText"/>
                        <w:rPr>
                          <w:noProof/>
                        </w:rPr>
                      </w:pPr>
                      <w:r>
                        <w:rPr>
                          <w:noProof/>
                        </w:rPr>
                        <w:t>The Copernicus programme has a pan-European capacity and depends on the coordinated provision of data and services throughout all the Member States, which needs to be coordinated at EU level. From an economic point of view, action at EU level also allows f</w:t>
                      </w:r>
                      <w:r>
                        <w:rPr>
                          <w:noProof/>
                        </w:rPr>
                        <w:t>or economies of scale, which benefits public spending. Copernicus (the former Global Monitoring for Environment and Security) explicitly refers to many areas of EU legislation in the areas of environment, civil protection, security, climate change, the int</w:t>
                      </w:r>
                      <w:r>
                        <w:rPr>
                          <w:noProof/>
                        </w:rPr>
                        <w:t>ernal market, transport, energy, cooperation with non-EU countries and humanitarian aid, and also covers aspects of space debris surveillance and tracking. Copernicus data and information benefit several EU policies, from agriculture to coastal surveillanc</w:t>
                      </w:r>
                      <w:r>
                        <w:rPr>
                          <w:noProof/>
                        </w:rPr>
                        <w:t xml:space="preserve">e, climate change adaptation, the information technology sector and education. </w:t>
                      </w:r>
                    </w:p>
                    <w:p w:rsidR="0060634A" w:rsidRDefault="00F76D44">
                      <w:pPr>
                        <w:pStyle w:val="PPOTitle3"/>
                        <w:rPr>
                          <w:rFonts w:eastAsiaTheme="minorEastAsia"/>
                        </w:rPr>
                      </w:pPr>
                      <w:r>
                        <w:rPr>
                          <w:rFonts w:eastAsiaTheme="minorEastAsia"/>
                        </w:rPr>
                        <w:t>Outlook for the 2021-2027 period</w:t>
                      </w:r>
                    </w:p>
                    <w:p w:rsidR="0060634A" w:rsidRDefault="00F76D44">
                      <w:pPr>
                        <w:pStyle w:val="PPObodyText"/>
                        <w:rPr>
                          <w:noProof/>
                        </w:rPr>
                      </w:pPr>
                      <w:r>
                        <w:rPr>
                          <w:noProof/>
                        </w:rPr>
                        <w:t>The Commission proposed to integrate all existing and new space activities under the umbrella of a single European space programme.</w:t>
                      </w:r>
                    </w:p>
                  </w:txbxContent>
                </v:textbox>
                <w10:wrap type="topAndBottom" anchorx="page" anchory="page"/>
                <w10:anchorlock/>
              </v:shape>
            </w:pict>
          </mc:Fallback>
        </mc:AlternateContent>
      </w:r>
    </w:p>
    <w:p w:rsidR="0060634A" w:rsidRDefault="00F76D44">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600896" behindDoc="0" locked="1" layoutInCell="1" allowOverlap="1">
                <wp:simplePos x="0" y="0"/>
                <wp:positionH relativeFrom="column">
                  <wp:posOffset>539750</wp:posOffset>
                </wp:positionH>
                <wp:positionV relativeFrom="paragraph">
                  <wp:posOffset>1270</wp:posOffset>
                </wp:positionV>
                <wp:extent cx="115200" cy="115200"/>
                <wp:effectExtent l="0" t="0" r="0" b="0"/>
                <wp:wrapNone/>
                <wp:docPr id="292" name="Oval 292"/>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00AD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59B9BA" id="Oval 292" o:spid="_x0000_s1026" style="position:absolute;margin-left:42.5pt;margin-top:.1pt;width:9.05pt;height:9.0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" fillcolor="#00addc" stroked="f" strokeweight="1pt">
                <v:stroke joinstyle="miter"/>
                <w10:anchorlock/>
              </v:oval>
            </w:pict>
          </mc:Fallback>
        </mc:AlternateContent>
      </w:r>
      <w:r>
        <w:rPr>
          <w:rFonts w:eastAsiaTheme="minorEastAsia"/>
          <w:lang w:val="fr-BE" w:eastAsia="fr-BE"/>
        </w:rPr>
        <w:drawing>
          <wp:anchor distT="0" distB="0" distL="114300" distR="114300" simplePos="0" relativeHeight="251597824" behindDoc="1" locked="1" layoutInCell="1" allowOverlap="1">
            <wp:simplePos x="0" y="0"/>
            <wp:positionH relativeFrom="page">
              <wp:posOffset>-415290</wp:posOffset>
            </wp:positionH>
            <wp:positionV relativeFrom="paragraph">
              <wp:posOffset>-1598295</wp:posOffset>
            </wp:positionV>
            <wp:extent cx="3412800" cy="1990800"/>
            <wp:effectExtent l="0" t="0" r="0" b="0"/>
            <wp:wrapNone/>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599872" behindDoc="0" locked="1" layoutInCell="1" allowOverlap="1">
                <wp:simplePos x="0" y="0"/>
                <wp:positionH relativeFrom="column">
                  <wp:posOffset>539750</wp:posOffset>
                </wp:positionH>
                <wp:positionV relativeFrom="paragraph">
                  <wp:posOffset>195580</wp:posOffset>
                </wp:positionV>
                <wp:extent cx="115200" cy="115200"/>
                <wp:effectExtent l="0" t="0" r="0" b="0"/>
                <wp:wrapNone/>
                <wp:docPr id="293" name="Oval 293"/>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0A4D7C" id="Oval 293" o:spid="_x0000_s1026" style="position:absolute;margin-left:42.5pt;margin-top:15.4pt;width:9.05pt;height:9.0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" fillcolor="#28296e" stroked="f" strokeweight="1pt">
                <v:stroke joinstyle="miter"/>
                <w10:anchorlock/>
              </v:oval>
            </w:pict>
          </mc:Fallback>
        </mc:AlternateContent>
      </w:r>
      <w:r>
        <w:rPr>
          <w:rFonts w:eastAsiaTheme="minorEastAsia"/>
        </w:rPr>
        <w:t>Payment</w:t>
      </w:r>
      <w:r>
        <w:rPr>
          <w:rFonts w:eastAsiaTheme="minorEastAsia"/>
        </w:rPr>
        <w:t>s</w:t>
      </w:r>
    </w:p>
    <w:p w:rsidR="0060634A" w:rsidRDefault="00F76D44">
      <w:pPr>
        <w:pStyle w:val="PPOsidebarchartLegends"/>
        <w:rPr>
          <w:rFonts w:eastAsiaTheme="minorEastAsia"/>
        </w:rPr>
      </w:pPr>
      <w:r>
        <w:rPr>
          <w:rFonts w:eastAsiaTheme="minorEastAsia"/>
        </w:rPr>
        <w:t>Commitments</w:t>
      </w:r>
    </w:p>
    <w:p w:rsidR="0060634A" w:rsidRDefault="00F76D44">
      <w:pPr>
        <w:pStyle w:val="PPO1AsidebarTitleLightBlue"/>
        <w:spacing w:before="240"/>
        <w:rPr>
          <w:rFonts w:eastAsiaTheme="minorEastAsia"/>
        </w:rPr>
      </w:pPr>
      <w:r>
        <w:rPr>
          <w:rFonts w:eastAsiaTheme="minorEastAsia"/>
        </w:rPr>
        <w:t>Evaluations/</w:t>
      </w:r>
      <w:r>
        <w:rPr>
          <w:rFonts w:eastAsiaTheme="minorEastAsia"/>
        </w:rPr>
        <w:br/>
        <w:t xml:space="preserve">studies conducted </w:t>
      </w:r>
    </w:p>
    <w:p w:rsidR="0060634A" w:rsidRDefault="00F76D44">
      <w:pPr>
        <w:pStyle w:val="PPOsidebartext"/>
        <w:ind w:left="-57"/>
        <w:rPr>
          <w:rFonts w:eastAsiaTheme="minorEastAsia"/>
          <w:spacing w:val="-1"/>
        </w:rPr>
      </w:pPr>
      <w:r>
        <w:rPr>
          <w:rFonts w:eastAsiaTheme="minorEastAsia"/>
          <w:spacing w:val="-1"/>
        </w:rPr>
        <w:t xml:space="preserve">The interim evaluation of Copernicus was carried out in 2017: </w:t>
      </w:r>
    </w:p>
    <w:p w:rsidR="0060634A" w:rsidRDefault="00F76D44">
      <w:pPr>
        <w:pStyle w:val="PPOsidebartext"/>
        <w:rPr>
          <w:rStyle w:val="PPOChar-Hyperlink"/>
          <w:rFonts w:eastAsiaTheme="minorEastAsia"/>
          <w:spacing w:val="-1"/>
        </w:rPr>
      </w:pPr>
      <w:hyperlink r:id="rId86" w:history="1">
        <w:r>
          <w:rPr>
            <w:rStyle w:val="PPOChar-Hyperlink"/>
            <w:rFonts w:eastAsiaTheme="minorEastAsia"/>
            <w:spacing w:val="-1"/>
          </w:rPr>
          <w:t>http://europa.eu/!GJ34Xr</w:t>
        </w:r>
      </w:hyperlink>
      <w:r>
        <w:rPr>
          <w:rStyle w:val="PPOChar-Hyperlink"/>
          <w:rFonts w:eastAsiaTheme="minorEastAsia"/>
          <w:spacing w:val="-1"/>
          <w:lang w:val="fr-BE" w:eastAsia="fr-BE"/>
        </w:rPr>
        <mc:AlternateContent>
          <mc:Choice Requires="wps">
            <w:drawing>
              <wp:anchor distT="0" distB="0" distL="114300" distR="114300" simplePos="0" relativeHeight="251601920" behindDoc="0" locked="1" layoutInCell="1" allowOverlap="1">
                <wp:simplePos x="0" y="0"/>
                <wp:positionH relativeFrom="page">
                  <wp:posOffset>4762500</wp:posOffset>
                </wp:positionH>
                <wp:positionV relativeFrom="page">
                  <wp:posOffset>5598160</wp:posOffset>
                </wp:positionV>
                <wp:extent cx="2437130" cy="1757045"/>
                <wp:effectExtent l="0" t="0" r="1270" b="0"/>
                <wp:wrapTopAndBottom/>
                <wp:docPr id="294" name="Text Box 294"/>
                <wp:cNvGraphicFramePr/>
                <a:graphic xmlns:a="http://schemas.openxmlformats.org/drawingml/2006/main">
                  <a:graphicData uri="http://schemas.microsoft.com/office/word/2010/wordprocessingShape">
                    <wps:wsp>
                      <wps:cNvSpPr txBox="1"/>
                      <wps:spPr>
                        <a:xfrm>
                          <a:off x="0" y="0"/>
                          <a:ext cx="2437130" cy="1757045"/>
                        </a:xfrm>
                        <a:prstGeom prst="rect">
                          <a:avLst/>
                        </a:prstGeom>
                        <a:solidFill>
                          <a:sysClr val="window" lastClr="FFFFFF"/>
                        </a:solidFill>
                        <a:ln w="6350">
                          <a:noFill/>
                        </a:ln>
                      </wps:spPr>
                      <wps:linkedTxbx id="16"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52" type="#_x0000_t202" style="position:absolute;left:0;text-align:left;margin-left:375pt;margin-top:440.8pt;width:191.9pt;height:138.3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" fillcolor="window" stroked="f" strokeweight=".5pt">
                <v:textbox inset=",,0">
                  <w:txbxContent/>
                </v:textbox>
                <w10:wrap type="topAndBottom" anchorx="page" anchory="page"/>
                <w10:anchorlock/>
              </v:shape>
            </w:pict>
          </mc:Fallback>
        </mc:AlternateContent>
      </w:r>
    </w:p>
    <w:p w:rsidR="0060634A" w:rsidRDefault="00F76D44">
      <w:pPr>
        <w:pStyle w:val="PPOsidebartext"/>
        <w:rPr>
          <w:rFonts w:eastAsiaTheme="minorEastAsia"/>
          <w:spacing w:val="-1"/>
        </w:rPr>
      </w:pPr>
      <w:r>
        <w:rPr>
          <w:rFonts w:eastAsiaTheme="minorEastAsia"/>
          <w:spacing w:val="-1"/>
        </w:rPr>
        <w:t>The impact assessment of the space programme of the EU and the European Union Ag</w:t>
      </w:r>
      <w:r>
        <w:rPr>
          <w:rFonts w:eastAsiaTheme="minorEastAsia"/>
          <w:spacing w:val="-1"/>
        </w:rPr>
        <w:t xml:space="preserve">ency for the Space Programme was adopted in 2018: </w:t>
      </w:r>
      <w:hyperlink r:id="rId87" w:tgtFrame="_blank" w:history="1">
        <w:r>
          <w:rPr>
            <w:rStyle w:val="PPOChar-Hyperlink"/>
            <w:rFonts w:eastAsiaTheme="minorEastAsia"/>
            <w:spacing w:val="-1"/>
          </w:rPr>
          <w:t>https://europa.eu/!XF34px</w:t>
        </w:r>
      </w:hyperlink>
    </w:p>
    <w:p w:rsidR="0060634A" w:rsidRDefault="00F76D44">
      <w:pPr>
        <w:pStyle w:val="PPOsidebartext"/>
        <w:rPr>
          <w:rFonts w:eastAsiaTheme="minorEastAsia"/>
          <w:spacing w:val="-1"/>
        </w:rPr>
      </w:pPr>
      <w:r>
        <w:rPr>
          <w:rFonts w:eastAsiaTheme="minorEastAsia"/>
          <w:spacing w:val="-1"/>
        </w:rPr>
        <w:t xml:space="preserve">The assessment of Copernicus </w:t>
      </w:r>
      <w:r>
        <w:rPr>
          <w:rFonts w:eastAsiaTheme="minorEastAsia"/>
          <w:i/>
          <w:iCs/>
          <w:spacing w:val="-1"/>
        </w:rPr>
        <w:t>ex</w:t>
      </w:r>
      <w:r>
        <w:rPr>
          <w:rFonts w:ascii="Calibri" w:eastAsiaTheme="minorEastAsia" w:hAnsi="Calibri" w:cs="Calibri"/>
          <w:i/>
          <w:iCs/>
          <w:spacing w:val="-1"/>
        </w:rPr>
        <w:t xml:space="preserve"> </w:t>
      </w:r>
      <w:r>
        <w:rPr>
          <w:rFonts w:eastAsiaTheme="minorEastAsia"/>
          <w:i/>
          <w:iCs/>
          <w:spacing w:val="-1"/>
        </w:rPr>
        <w:t>ante</w:t>
      </w:r>
      <w:r>
        <w:rPr>
          <w:rFonts w:eastAsiaTheme="minorEastAsia"/>
          <w:spacing w:val="-1"/>
        </w:rPr>
        <w:t xml:space="preserve"> benefits was adopted in 2017: </w:t>
      </w:r>
      <w:hyperlink r:id="rId88" w:history="1">
        <w:r>
          <w:rPr>
            <w:rStyle w:val="PPOChar-Hyperlink"/>
            <w:rFonts w:eastAsiaTheme="minorEastAsia"/>
            <w:spacing w:val="-1"/>
          </w:rPr>
          <w:t>https://www.copernicus.eu/sites/default/files/2018-10/Copernicus-Ex-Ante-Final-Report_0_0.pdf</w:t>
        </w:r>
      </w:hyperlink>
    </w:p>
    <w:p w:rsidR="0060634A" w:rsidRDefault="00F76D44">
      <w:pPr>
        <w:pStyle w:val="PPO1AsidebarTitleLightBlue"/>
        <w:spacing w:before="240"/>
        <w:rPr>
          <w:rFonts w:eastAsiaTheme="minorEastAsia"/>
        </w:rPr>
      </w:pPr>
      <w:r>
        <w:rPr>
          <w:rFonts w:eastAsiaTheme="minorEastAsia"/>
        </w:rPr>
        <w:t>How is it implemented?</w:t>
      </w:r>
    </w:p>
    <w:tbl>
      <w:tblPr>
        <w:tblStyle w:val="TableGrid"/>
        <w:tblpPr w:vertAnchor="page" w:horzAnchor="page" w:tblpX="3663" w:tblpY="13622"/>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60634A">
        <w:trPr>
          <w:cantSplit/>
        </w:trPr>
        <w:tc>
          <w:tcPr>
            <w:tcW w:w="7792" w:type="dxa"/>
            <w:gridSpan w:val="3"/>
            <w:vAlign w:val="center"/>
          </w:tcPr>
          <w:p w:rsidR="0060634A" w:rsidRDefault="00F76D44">
            <w:pPr>
              <w:pStyle w:val="PPOTitle3-nospacebefore"/>
              <w:ind w:left="-108"/>
              <w:rPr>
                <w:rFonts w:eastAsiaTheme="minorEastAsia"/>
                <w:lang w:val="en-GB"/>
              </w:rPr>
            </w:pPr>
            <w:r>
              <w:rPr>
                <w:rFonts w:eastAsiaTheme="minorEastAsia"/>
                <w:lang w:val="en-GB"/>
              </w:rPr>
              <w:t>Voted budget execution (in million EUR)</w:t>
            </w:r>
          </w:p>
        </w:tc>
      </w:tr>
      <w:tr w:rsidR="0060634A">
        <w:tblPrEx>
          <w:tblCellMar>
            <w:left w:w="57" w:type="dxa"/>
            <w:right w:w="57" w:type="dxa"/>
          </w:tblCellMar>
        </w:tblPrEx>
        <w:trPr>
          <w:cantSplit/>
        </w:trPr>
        <w:tc>
          <w:tcPr>
            <w:tcW w:w="3471" w:type="dxa"/>
            <w:shd w:val="clear" w:color="auto" w:fill="00ADDC"/>
            <w:vAlign w:val="center"/>
          </w:tcPr>
          <w:p w:rsidR="0060634A" w:rsidRDefault="00F76D44">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00ADDC"/>
            <w:vAlign w:val="center"/>
          </w:tcPr>
          <w:p w:rsidR="0060634A" w:rsidRDefault="0060634A">
            <w:pPr>
              <w:rPr>
                <w:noProof/>
              </w:rPr>
            </w:pPr>
          </w:p>
        </w:tc>
        <w:tc>
          <w:tcPr>
            <w:tcW w:w="3471" w:type="dxa"/>
            <w:shd w:val="clear" w:color="auto" w:fill="00ADDC"/>
            <w:vAlign w:val="center"/>
          </w:tcPr>
          <w:p w:rsidR="0060634A" w:rsidRDefault="00F76D44">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60634A">
        <w:tblPrEx>
          <w:tblCellMar>
            <w:left w:w="57" w:type="dxa"/>
            <w:right w:w="57" w:type="dxa"/>
          </w:tblCellMar>
        </w:tblPrEx>
        <w:trPr>
          <w:cantSplit/>
        </w:trPr>
        <w:tc>
          <w:tcPr>
            <w:tcW w:w="3471" w:type="dxa"/>
            <w:shd w:val="clear" w:color="auto" w:fill="DCE6F2"/>
            <w:vAlign w:val="center"/>
          </w:tcPr>
          <w:p w:rsidR="0060634A" w:rsidRDefault="00F76D44">
            <w:pPr>
              <w:spacing w:after="100" w:afterAutospacing="1"/>
              <w:jc w:val="center"/>
              <w:rPr>
                <w:noProof/>
                <w:color w:val="0070C0"/>
                <w:sz w:val="18"/>
              </w:rPr>
            </w:pPr>
            <w:r>
              <w:rPr>
                <w:noProof/>
                <w:color w:val="0070C0"/>
                <w:sz w:val="18"/>
                <w:lang w:eastAsia="fr-BE"/>
              </w:rPr>
              <w:drawing>
                <wp:inline distT="0" distB="0" distL="0" distR="0">
                  <wp:extent cx="2158365" cy="890270"/>
                  <wp:effectExtent l="0" t="0" r="0" b="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c>
          <w:tcPr>
            <w:tcW w:w="850" w:type="dxa"/>
            <w:shd w:val="clear" w:color="auto" w:fill="DCE6F2"/>
            <w:vAlign w:val="center"/>
          </w:tcPr>
          <w:p w:rsidR="0060634A" w:rsidRDefault="00F76D44">
            <w:pPr>
              <w:pStyle w:val="PPO1AVotedbudgetTABLEtextBlue"/>
              <w:framePr w:hSpace="0" w:wrap="auto" w:vAnchor="margin" w:hAnchor="text" w:xAlign="left" w:yAlign="inline"/>
              <w:suppressOverlap w:val="0"/>
              <w:rPr>
                <w:rFonts w:eastAsiaTheme="minorEastAsia"/>
              </w:rPr>
            </w:pPr>
            <w:r>
              <w:rPr>
                <w:rFonts w:eastAsiaTheme="minorEastAsia"/>
              </w:rPr>
              <w:t>2017</w:t>
            </w:r>
          </w:p>
          <w:p w:rsidR="0060634A" w:rsidRDefault="00F76D44">
            <w:pPr>
              <w:pStyle w:val="PPO1AVotedbudgetTABLEtextBlue"/>
              <w:framePr w:hSpace="0" w:wrap="auto" w:vAnchor="margin" w:hAnchor="text" w:xAlign="left" w:yAlign="inline"/>
              <w:suppressOverlap w:val="0"/>
              <w:rPr>
                <w:rFonts w:eastAsiaTheme="minorEastAsia"/>
              </w:rPr>
            </w:pPr>
            <w:r>
              <w:rPr>
                <w:rFonts w:eastAsiaTheme="minorEastAsia"/>
              </w:rPr>
              <w:t>2018</w:t>
            </w:r>
          </w:p>
          <w:p w:rsidR="0060634A" w:rsidRDefault="00F76D44">
            <w:pPr>
              <w:pStyle w:val="PPO1AVotedbudgetTABLEtextBlue"/>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DCE6F2"/>
            <w:vAlign w:val="center"/>
          </w:tcPr>
          <w:p w:rsidR="0060634A" w:rsidRDefault="00F76D44">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890270"/>
                  <wp:effectExtent l="0" t="0" r="0" b="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r>
    </w:tbl>
    <w:p w:rsidR="0060634A" w:rsidRDefault="00F76D44">
      <w:pPr>
        <w:pStyle w:val="PPOsidebartext"/>
        <w:rPr>
          <w:rFonts w:eastAsiaTheme="minorEastAsia"/>
          <w:spacing w:val="-1"/>
        </w:rPr>
      </w:pPr>
      <w:r>
        <w:rPr>
          <w:rFonts w:eastAsiaTheme="minorEastAsia"/>
          <w:spacing w:val="-1"/>
        </w:rPr>
        <w:t>The Directorate-General for Defence, Industry and Space is the lead DG for the implementation of the programme through indirect management as well as direct action</w:t>
      </w:r>
      <w:r>
        <w:rPr>
          <w:rStyle w:val="fnRef"/>
          <w:rFonts w:ascii="Calibri" w:hAnsi="Calibri" w:cs="Calibri"/>
        </w:rPr>
        <w:t> </w:t>
      </w:r>
      <w:r>
        <w:rPr>
          <w:rStyle w:val="fnRef"/>
        </w:rPr>
        <w:t>(</w:t>
      </w:r>
      <w:r>
        <w:rPr>
          <w:rStyle w:val="fnRefNo"/>
        </w:rPr>
        <w:t>89</w:t>
      </w:r>
      <w:r>
        <w:rPr>
          <w:rStyle w:val="fnRef"/>
        </w:rPr>
        <w:t>)</w:t>
      </w:r>
      <w:r>
        <w:rPr>
          <w:rFonts w:eastAsiaTheme="minorEastAsia"/>
          <w:spacing w:val="-1"/>
        </w:rPr>
        <w:t>.</w:t>
      </w:r>
    </w:p>
    <w:p w:rsidR="0060634A" w:rsidRDefault="00F76D44">
      <w:pPr>
        <w:pStyle w:val="PPO1ATitle1"/>
        <w:rPr>
          <w:rFonts w:eastAsiaTheme="minorEastAsia"/>
        </w:rPr>
      </w:pPr>
      <w:r>
        <w:rPr>
          <w:rFonts w:eastAsiaTheme="minorEastAsia"/>
        </w:rPr>
        <w:br w:type="column"/>
      </w:r>
      <w:bookmarkStart w:id="13" w:name="_Toc39583673"/>
      <w:r>
        <w:rPr>
          <w:rFonts w:eastAsiaTheme="minorEastAsia"/>
        </w:rPr>
        <w:t>COPERNICUS</w:t>
      </w:r>
      <w:bookmarkEnd w:id="13"/>
      <w:r>
        <w:rPr>
          <w:rFonts w:eastAsiaTheme="minorEastAsia"/>
        </w:rPr>
        <w:t xml:space="preserve"> </w:t>
      </w:r>
    </w:p>
    <w:p w:rsidR="0060634A" w:rsidRDefault="00F76D44">
      <w:pPr>
        <w:pStyle w:val="PPO1ATitle2"/>
        <w:rPr>
          <w:rFonts w:eastAsiaTheme="minorEastAsia"/>
        </w:rPr>
      </w:pPr>
      <w:r>
        <w:rPr>
          <w:rFonts w:eastAsiaTheme="minorEastAsia"/>
        </w:rPr>
        <w:t>THE EUROPEAN EARTH OBSERVATION PROGRAMME</w:t>
      </w:r>
    </w:p>
    <w:p w:rsidR="0060634A" w:rsidRDefault="00F76D44">
      <w:pPr>
        <w:pStyle w:val="PPOTitle3"/>
        <w:rPr>
          <w:rFonts w:eastAsiaTheme="minorEastAsia"/>
        </w:rPr>
      </w:pPr>
      <w:r>
        <w:rPr>
          <w:rFonts w:eastAsiaTheme="minorEastAsia"/>
        </w:rPr>
        <w:t xml:space="preserve">What is </w:t>
      </w:r>
      <w:r>
        <w:rPr>
          <w:rFonts w:eastAsiaTheme="minorEastAsia"/>
        </w:rPr>
        <w:t>Copernicus?</w:t>
      </w:r>
    </w:p>
    <w:p w:rsidR="0060634A" w:rsidRDefault="00F76D44">
      <w:pPr>
        <w:pStyle w:val="PPObodyText"/>
        <w:rPr>
          <w:noProof/>
        </w:rPr>
      </w:pPr>
      <w:r>
        <w:rPr>
          <w:noProof/>
        </w:rPr>
        <w:t>Copernicus is the European system for monitoring the Earth. It is a user-driven programme offering six free-of-charge services to EU, national and regional institutions, as well as to the private sector: atmosphere monitoring, marine environmen</w:t>
      </w:r>
      <w:r>
        <w:rPr>
          <w:noProof/>
        </w:rPr>
        <w:t>t monitoring, land monitoring, climate change, emergency management and security. The programme builds on the initiative on global monitoring for the environment and security launched in 1998. It aims at filling the gaps in European earth observation capac</w:t>
      </w:r>
      <w:r>
        <w:rPr>
          <w:noProof/>
        </w:rPr>
        <w:t>ities. Data is provided from space infrastructures, particularly the sentinel missions developed under the programme, other missions and in situ infrastructure supported by the Member States. Copernicus services are operated by EU bodies and agencies.</w:t>
      </w:r>
    </w:p>
    <w:p w:rsidR="0060634A" w:rsidRDefault="00F76D44">
      <w:pPr>
        <w:pStyle w:val="PPObodyText"/>
        <w:spacing w:after="280"/>
        <w:rPr>
          <w:noProof/>
        </w:rPr>
      </w:pPr>
      <w:r>
        <w:rPr>
          <w:noProof/>
        </w:rPr>
        <w:t xml:space="preserve">The </w:t>
      </w:r>
      <w:r>
        <w:rPr>
          <w:noProof/>
        </w:rPr>
        <w:t>Copernicus services transform this wealth of satellite and in situ data into value-added information by processing and analysing the data. Datasets stretching back for years and decades are made comparable and searchable, thus ensuring the monitoring of ch</w:t>
      </w:r>
      <w:r>
        <w:rPr>
          <w:noProof/>
        </w:rPr>
        <w:t>anges and their impact; patterns are examined and models are used to create better forecasts, for example of the ocean and the atmosphere. Maps are created from imagery, features and anomalies are identified and statistical information is extracted.</w:t>
      </w:r>
    </w:p>
    <w:tbl>
      <w:tblPr>
        <w:tblStyle w:val="TableGrid"/>
        <w:tblpPr w:leftFromText="181" w:rightFromText="340" w:vertAnchor="text" w:tblpX="108" w:tblpY="56"/>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7763"/>
      </w:tblGrid>
      <w:tr w:rsidR="0060634A">
        <w:trPr>
          <w:trHeight w:val="2297"/>
        </w:trPr>
        <w:tc>
          <w:tcPr>
            <w:tcW w:w="7763" w:type="dxa"/>
            <w:shd w:val="clear" w:color="auto" w:fill="F2F2F2" w:themeFill="background1" w:themeFillShade="F2"/>
          </w:tcPr>
          <w:p w:rsidR="0060634A" w:rsidRDefault="00F76D44">
            <w:pPr>
              <w:pStyle w:val="PPO1ASpecificobjectivesBOX-HeadingLightBlue"/>
              <w:rPr>
                <w:rFonts w:eastAsiaTheme="minorEastAsia"/>
              </w:rPr>
            </w:pPr>
            <w:r>
              <w:rPr>
                <w:rFonts w:eastAsiaTheme="minorEastAsia"/>
              </w:rPr>
              <w:t>Specif</w:t>
            </w:r>
            <w:r>
              <w:rPr>
                <w:rFonts w:eastAsiaTheme="minorEastAsia"/>
              </w:rPr>
              <w:t>ic objectives</w:t>
            </w:r>
            <w:r>
              <w:rPr>
                <w:rFonts w:eastAsiaTheme="minorEastAsia"/>
                <w:lang w:eastAsia="fr-BE"/>
              </w:rPr>
              <mc:AlternateContent>
                <mc:Choice Requires="wps">
                  <w:drawing>
                    <wp:anchor distT="0" distB="0" distL="114300" distR="114300" simplePos="0" relativeHeight="251603968"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2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00ADDC"/>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B2CD69C" id="Freeform 6" o:spid="_x0000_s1026" style="position:absolute;margin-left:4pt;margin-top:1.4pt;width:21.25pt;height:21.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00addc"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p>
          <w:p w:rsidR="0060634A" w:rsidRDefault="00F76D44">
            <w:pPr>
              <w:pStyle w:val="PPO1ASpecificobjectivesBOX-BulletLightBlue"/>
              <w:rPr>
                <w:rFonts w:ascii="EC Square Sans Cond Pro" w:hAnsi="EC Square Sans Cond Pro"/>
                <w:lang w:val="en-GB"/>
              </w:rPr>
            </w:pPr>
            <w:r>
              <w:rPr>
                <w:rFonts w:ascii="EC Square Sans Cond Pro" w:hAnsi="EC Square Sans Cond Pro"/>
                <w:lang w:val="en-GB"/>
              </w:rPr>
              <w:t>Delivering accurate and reliable data and information to Copernicus users, supplied on a long-term and sustainable basis enabling the services connected to the programme’s general objectives referred to in Article 4(1) of Regulation (EU) No</w:t>
            </w:r>
            <w:r>
              <w:rPr>
                <w:rFonts w:ascii="Calibri" w:hAnsi="Calibri" w:cs="Calibri"/>
                <w:lang w:val="en-GB"/>
              </w:rPr>
              <w:t> </w:t>
            </w:r>
            <w:r>
              <w:rPr>
                <w:rFonts w:ascii="EC Square Sans Cond Pro" w:hAnsi="EC Square Sans Cond Pro"/>
                <w:lang w:val="en-GB"/>
              </w:rPr>
              <w:t>377/2014  and responding to the requirements of Copernicus core users.</w:t>
            </w:r>
          </w:p>
          <w:p w:rsidR="0060634A" w:rsidRDefault="00F76D44">
            <w:pPr>
              <w:pStyle w:val="PPO1ASpecificobjectivesBOX-BulletLightBlue"/>
              <w:rPr>
                <w:rFonts w:ascii="EC Square Sans Cond Pro" w:hAnsi="EC Square Sans Cond Pro"/>
                <w:lang w:val="en-GB"/>
              </w:rPr>
            </w:pPr>
            <w:r>
              <w:rPr>
                <w:rFonts w:ascii="EC Square Sans Cond Pro" w:hAnsi="EC Square Sans Cond Pro"/>
                <w:lang w:val="en-GB"/>
              </w:rPr>
              <w:t>Providing sustainable and reliable access to spaceborne data and information from an autonomous European Earth observation capacity.</w:t>
            </w:r>
          </w:p>
          <w:p w:rsidR="0060634A" w:rsidRDefault="00F76D44">
            <w:pPr>
              <w:pStyle w:val="PPO1ASpecificobjectivesBOX-BulletLightBlue"/>
              <w:rPr>
                <w:lang w:val="en-GB"/>
              </w:rPr>
            </w:pPr>
            <w:r>
              <w:rPr>
                <w:rFonts w:ascii="EC Square Sans Cond Pro" w:hAnsi="EC Square Sans Cond Pro"/>
                <w:lang w:val="en-GB"/>
              </w:rPr>
              <w:t>Providing a sustainable and reliable access to in si</w:t>
            </w:r>
            <w:r>
              <w:rPr>
                <w:rFonts w:ascii="EC Square Sans Cond Pro" w:hAnsi="EC Square Sans Cond Pro"/>
                <w:lang w:val="en-GB"/>
              </w:rPr>
              <w:t>tu data, relying, in particular, on existing capacities operated at European and national levels, and on global observation systems and networks.</w:t>
            </w:r>
          </w:p>
        </w:tc>
      </w:tr>
    </w:tbl>
    <w:p w:rsidR="0060634A" w:rsidRDefault="0060634A">
      <w:pPr>
        <w:pStyle w:val="Hidelastparagraphafterthetable"/>
      </w:pPr>
    </w:p>
    <w:p w:rsidR="0060634A" w:rsidRDefault="0060634A">
      <w:pPr>
        <w:framePr w:w="6721" w:wrap="auto" w:hAnchor="text" w:x="3544"/>
        <w:jc w:val="both"/>
        <w:rPr>
          <w:b/>
          <w:noProof/>
          <w:color w:val="1F95A5"/>
        </w:rPr>
        <w:sectPr w:rsidR="0060634A">
          <w:headerReference w:type="even" r:id="rId91"/>
          <w:headerReference w:type="default" r:id="rId92"/>
          <w:footerReference w:type="even" r:id="rId93"/>
          <w:footerReference w:type="default" r:id="rId94"/>
          <w:headerReference w:type="first" r:id="rId95"/>
          <w:footerReference w:type="first" r:id="rId96"/>
          <w:pgSz w:w="11906" w:h="16838"/>
          <w:pgMar w:top="567" w:right="567" w:bottom="567" w:left="567" w:header="567" w:footer="454" w:gutter="0"/>
          <w:paperSrc w:first="15" w:other="15"/>
          <w:cols w:num="2" w:space="708" w:equalWidth="0">
            <w:col w:w="2269" w:space="708"/>
            <w:col w:w="7795"/>
          </w:cols>
          <w:docGrid w:linePitch="360"/>
        </w:sectPr>
      </w:pPr>
    </w:p>
    <w:p w:rsidR="0060634A" w:rsidRDefault="00F76D44">
      <w:pPr>
        <w:pStyle w:val="PPOTitle3-nospacebefore"/>
        <w:rPr>
          <w:rFonts w:eastAsiaTheme="minorEastAsia"/>
        </w:rPr>
      </w:pPr>
      <w:r>
        <w:rPr>
          <w:rFonts w:eastAsiaTheme="minorEastAsia"/>
        </w:rPr>
        <w:t xml:space="preserve">Key performance indicators </w:t>
      </w:r>
    </w:p>
    <w:tbl>
      <w:tblPr>
        <w:tblStyle w:val="TableGrid"/>
        <w:tblW w:w="10791"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Layout w:type="fixed"/>
        <w:tblCellMar>
          <w:left w:w="0" w:type="dxa"/>
          <w:right w:w="85" w:type="dxa"/>
        </w:tblCellMar>
        <w:tblLook w:val="04A0" w:firstRow="1" w:lastRow="0" w:firstColumn="1" w:lastColumn="0" w:noHBand="0" w:noVBand="1"/>
      </w:tblPr>
      <w:tblGrid>
        <w:gridCol w:w="2988"/>
        <w:gridCol w:w="880"/>
        <w:gridCol w:w="3458"/>
        <w:gridCol w:w="646"/>
        <w:gridCol w:w="2765"/>
        <w:gridCol w:w="54"/>
      </w:tblGrid>
      <w:tr w:rsidR="0060634A">
        <w:trPr>
          <w:gridAfter w:val="1"/>
          <w:wAfter w:w="54" w:type="dxa"/>
          <w:trHeight w:val="333"/>
        </w:trPr>
        <w:tc>
          <w:tcPr>
            <w:tcW w:w="2988" w:type="dxa"/>
            <w:vAlign w:val="center"/>
          </w:tcPr>
          <w:p w:rsidR="0060634A" w:rsidRDefault="0060634A">
            <w:pPr>
              <w:ind w:left="142"/>
              <w:jc w:val="right"/>
              <w:rPr>
                <w:noProof/>
                <w:sz w:val="16"/>
                <w:szCs w:val="16"/>
              </w:rPr>
            </w:pPr>
          </w:p>
        </w:tc>
        <w:tc>
          <w:tcPr>
            <w:tcW w:w="880" w:type="dxa"/>
            <w:vAlign w:val="bottom"/>
          </w:tcPr>
          <w:p w:rsidR="0060634A" w:rsidRDefault="00F76D44">
            <w:pPr>
              <w:jc w:val="center"/>
              <w:rPr>
                <w:b/>
                <w:noProof/>
                <w:color w:val="28296E"/>
                <w:sz w:val="16"/>
                <w:szCs w:val="16"/>
              </w:rPr>
            </w:pPr>
            <w:r>
              <w:rPr>
                <w:b/>
                <w:noProof/>
                <w:color w:val="28296E"/>
                <w:sz w:val="16"/>
                <w:szCs w:val="16"/>
              </w:rPr>
              <w:t>Baseline</w:t>
            </w:r>
          </w:p>
        </w:tc>
        <w:tc>
          <w:tcPr>
            <w:tcW w:w="3458" w:type="dxa"/>
            <w:vAlign w:val="center"/>
          </w:tcPr>
          <w:p w:rsidR="0060634A" w:rsidRDefault="00F76D44">
            <w:pPr>
              <w:ind w:left="142"/>
              <w:jc w:val="center"/>
              <w:rPr>
                <w:b/>
                <w:noProof/>
                <w:color w:val="28296E"/>
                <w:sz w:val="16"/>
                <w:szCs w:val="16"/>
              </w:rPr>
            </w:pPr>
            <w:r>
              <w:rPr>
                <w:b/>
                <w:noProof/>
                <w:color w:val="28296E"/>
                <w:sz w:val="16"/>
                <w:szCs w:val="16"/>
              </w:rPr>
              <w:t>PROGRESS TOWARDS THE TARGET</w:t>
            </w:r>
          </w:p>
        </w:tc>
        <w:tc>
          <w:tcPr>
            <w:tcW w:w="646" w:type="dxa"/>
            <w:vAlign w:val="bottom"/>
          </w:tcPr>
          <w:p w:rsidR="0060634A" w:rsidRDefault="00F76D44">
            <w:pPr>
              <w:jc w:val="center"/>
              <w:rPr>
                <w:b/>
                <w:noProof/>
                <w:color w:val="28296E"/>
                <w:sz w:val="16"/>
                <w:szCs w:val="16"/>
              </w:rPr>
            </w:pPr>
            <w:r>
              <w:rPr>
                <w:b/>
                <w:noProof/>
                <w:color w:val="28296E"/>
                <w:sz w:val="16"/>
                <w:szCs w:val="16"/>
              </w:rPr>
              <w:t>Target</w:t>
            </w:r>
          </w:p>
        </w:tc>
        <w:tc>
          <w:tcPr>
            <w:tcW w:w="2765" w:type="dxa"/>
            <w:vAlign w:val="bottom"/>
          </w:tcPr>
          <w:p w:rsidR="0060634A" w:rsidRDefault="00F76D44">
            <w:pPr>
              <w:jc w:val="center"/>
              <w:rPr>
                <w:b/>
                <w:noProof/>
                <w:color w:val="28296E"/>
                <w:sz w:val="16"/>
                <w:szCs w:val="16"/>
              </w:rPr>
            </w:pPr>
            <w:r>
              <w:rPr>
                <w:b/>
                <w:noProof/>
                <w:color w:val="28296E"/>
                <w:sz w:val="16"/>
                <w:szCs w:val="16"/>
              </w:rPr>
              <w:t>Results</w:t>
            </w:r>
          </w:p>
        </w:tc>
      </w:tr>
      <w:tr w:rsidR="0060634A">
        <w:tblPrEx>
          <w:tblCellMar>
            <w:left w:w="108" w:type="dxa"/>
            <w:right w:w="108" w:type="dxa"/>
          </w:tblCellMar>
        </w:tblPrEx>
        <w:trPr>
          <w:trHeight w:val="344"/>
        </w:trPr>
        <w:tc>
          <w:tcPr>
            <w:tcW w:w="2988"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Number of specific service </w:t>
            </w:r>
            <w:r>
              <w:rPr>
                <w:rFonts w:ascii="EC Square Sans Cond Pro" w:hAnsi="EC Square Sans Cond Pro" w:cs="EC Square Sans Cond Pro"/>
                <w:noProof/>
                <w:color w:val="000000"/>
                <w:sz w:val="16"/>
                <w:szCs w:val="16"/>
                <w:lang w:val="en-GB" w:eastAsia="en-GB"/>
              </w:rPr>
              <w:t>components</w:t>
            </w:r>
          </w:p>
        </w:tc>
        <w:tc>
          <w:tcPr>
            <w:tcW w:w="880" w:type="dxa"/>
            <w:vAlign w:val="center"/>
          </w:tcPr>
          <w:p w:rsidR="0060634A" w:rsidRDefault="00F76D44">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lang w:eastAsia="en-GB"/>
              </w:rPr>
              <w:t>6</w:t>
            </w:r>
          </w:p>
        </w:tc>
        <w:tc>
          <w:tcPr>
            <w:tcW w:w="3458"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c>
          <w:tcPr>
            <w:tcW w:w="646"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14</w:t>
            </w:r>
          </w:p>
        </w:tc>
        <w:tc>
          <w:tcPr>
            <w:tcW w:w="2819"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14 out of 14 service components</w:t>
            </w:r>
          </w:p>
        </w:tc>
      </w:tr>
      <w:tr w:rsidR="0060634A">
        <w:tblPrEx>
          <w:tblCellMar>
            <w:left w:w="108" w:type="dxa"/>
            <w:right w:w="108" w:type="dxa"/>
          </w:tblCellMar>
        </w:tblPrEx>
        <w:trPr>
          <w:trHeight w:val="318"/>
        </w:trPr>
        <w:tc>
          <w:tcPr>
            <w:tcW w:w="2988" w:type="dxa"/>
            <w:vAlign w:val="center"/>
          </w:tcPr>
          <w:p w:rsidR="0060634A" w:rsidRDefault="00F76D44">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Market penetration</w:t>
            </w:r>
          </w:p>
        </w:tc>
        <w:tc>
          <w:tcPr>
            <w:tcW w:w="880" w:type="dxa"/>
            <w:vAlign w:val="center"/>
          </w:tcPr>
          <w:p w:rsidR="0060634A" w:rsidRDefault="00F76D44">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lang w:eastAsia="en-GB"/>
              </w:rPr>
              <w:t>100</w:t>
            </w:r>
          </w:p>
        </w:tc>
        <w:tc>
          <w:tcPr>
            <w:tcW w:w="3458"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c>
          <w:tcPr>
            <w:tcW w:w="646"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140</w:t>
            </w:r>
          </w:p>
        </w:tc>
        <w:tc>
          <w:tcPr>
            <w:tcW w:w="2819"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195 compared to 140 index</w:t>
            </w:r>
          </w:p>
        </w:tc>
      </w:tr>
      <w:tr w:rsidR="0060634A">
        <w:tblPrEx>
          <w:tblCellMar>
            <w:left w:w="108" w:type="dxa"/>
            <w:right w:w="108" w:type="dxa"/>
          </w:tblCellMar>
        </w:tblPrEx>
        <w:trPr>
          <w:trHeight w:val="309"/>
        </w:trPr>
        <w:tc>
          <w:tcPr>
            <w:tcW w:w="2988" w:type="dxa"/>
            <w:vAlign w:val="center"/>
          </w:tcPr>
          <w:p w:rsidR="0060634A" w:rsidRDefault="00F76D44">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Engaged users</w:t>
            </w:r>
          </w:p>
        </w:tc>
        <w:tc>
          <w:tcPr>
            <w:tcW w:w="880"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10 000</w:t>
            </w:r>
          </w:p>
        </w:tc>
        <w:tc>
          <w:tcPr>
            <w:tcW w:w="3458"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305" name="Chart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c>
          <w:tcPr>
            <w:tcW w:w="646"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20 000</w:t>
            </w:r>
          </w:p>
        </w:tc>
        <w:tc>
          <w:tcPr>
            <w:tcW w:w="2819"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300 000 compared to 20 000 engaged users</w:t>
            </w:r>
          </w:p>
        </w:tc>
      </w:tr>
      <w:tr w:rsidR="0060634A">
        <w:tblPrEx>
          <w:tblCellMar>
            <w:left w:w="108" w:type="dxa"/>
            <w:right w:w="108" w:type="dxa"/>
          </w:tblCellMar>
        </w:tblPrEx>
        <w:trPr>
          <w:trHeight w:val="327"/>
        </w:trPr>
        <w:tc>
          <w:tcPr>
            <w:tcW w:w="2988" w:type="dxa"/>
            <w:vAlign w:val="center"/>
          </w:tcPr>
          <w:p w:rsidR="0060634A" w:rsidRDefault="00F76D44">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Space infrastructure</w:t>
            </w:r>
          </w:p>
        </w:tc>
        <w:tc>
          <w:tcPr>
            <w:tcW w:w="880" w:type="dxa"/>
            <w:vAlign w:val="center"/>
          </w:tcPr>
          <w:p w:rsidR="0060634A" w:rsidRDefault="0060634A">
            <w:pPr>
              <w:jc w:val="center"/>
              <w:rPr>
                <w:rFonts w:ascii="EC Square Sans Cond Pro" w:hAnsi="EC Square Sans Cond Pro"/>
                <w:noProof/>
                <w:sz w:val="16"/>
                <w:szCs w:val="16"/>
                <w:lang w:eastAsia="en-GB"/>
              </w:rPr>
            </w:pPr>
          </w:p>
        </w:tc>
        <w:tc>
          <w:tcPr>
            <w:tcW w:w="3458"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306" name="Chart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c>
          <w:tcPr>
            <w:tcW w:w="646"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8</w:t>
            </w:r>
          </w:p>
        </w:tc>
        <w:tc>
          <w:tcPr>
            <w:tcW w:w="2819"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7 out of 8 satellites deployed</w:t>
            </w:r>
          </w:p>
        </w:tc>
      </w:tr>
      <w:tr w:rsidR="0060634A">
        <w:tblPrEx>
          <w:tblCellMar>
            <w:left w:w="108" w:type="dxa"/>
            <w:right w:w="108" w:type="dxa"/>
          </w:tblCellMar>
        </w:tblPrEx>
        <w:trPr>
          <w:trHeight w:val="368"/>
        </w:trPr>
        <w:tc>
          <w:tcPr>
            <w:tcW w:w="2988" w:type="dxa"/>
            <w:vAlign w:val="center"/>
          </w:tcPr>
          <w:p w:rsidR="0060634A" w:rsidRDefault="00F76D44">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 xml:space="preserve">Availability of </w:t>
            </w:r>
            <w:r>
              <w:rPr>
                <w:rFonts w:ascii="EC Square Sans Cond Pro" w:hAnsi="EC Square Sans Cond Pro" w:cs="EC Square Sans Cond Pro"/>
                <w:noProof/>
                <w:color w:val="000000"/>
                <w:sz w:val="16"/>
                <w:szCs w:val="16"/>
                <w:lang w:eastAsia="en-GB"/>
              </w:rPr>
              <w:t>data</w:t>
            </w:r>
          </w:p>
        </w:tc>
        <w:tc>
          <w:tcPr>
            <w:tcW w:w="880" w:type="dxa"/>
            <w:vAlign w:val="center"/>
          </w:tcPr>
          <w:p w:rsidR="0060634A" w:rsidRDefault="0060634A">
            <w:pPr>
              <w:jc w:val="center"/>
              <w:rPr>
                <w:rFonts w:ascii="EC Square Sans Cond Pro" w:hAnsi="EC Square Sans Cond Pro"/>
                <w:noProof/>
                <w:sz w:val="16"/>
                <w:szCs w:val="16"/>
                <w:lang w:eastAsia="en-GB"/>
              </w:rPr>
            </w:pPr>
          </w:p>
        </w:tc>
        <w:tc>
          <w:tcPr>
            <w:tcW w:w="3458"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307" name="Chart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c>
          <w:tcPr>
            <w:tcW w:w="646"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6</w:t>
            </w:r>
          </w:p>
        </w:tc>
        <w:tc>
          <w:tcPr>
            <w:tcW w:w="2819"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6 out of 6 services</w:t>
            </w:r>
          </w:p>
        </w:tc>
      </w:tr>
      <w:tr w:rsidR="0060634A">
        <w:trPr>
          <w:trHeight w:val="247"/>
        </w:trPr>
        <w:tc>
          <w:tcPr>
            <w:tcW w:w="2988" w:type="dxa"/>
            <w:tcBorders>
              <w:bottom w:val="nil"/>
            </w:tcBorders>
            <w:vAlign w:val="center"/>
          </w:tcPr>
          <w:p w:rsidR="0060634A" w:rsidRDefault="00F76D44">
            <w:pPr>
              <w:ind w:left="142"/>
              <w:jc w:val="right"/>
              <w:rPr>
                <w:noProof/>
                <w:sz w:val="16"/>
                <w:szCs w:val="16"/>
              </w:rPr>
            </w:pPr>
            <w:r>
              <w:rPr>
                <w:noProof/>
                <w:sz w:val="16"/>
                <w:szCs w:val="16"/>
              </w:rPr>
              <w:t xml:space="preserve">    </w:t>
            </w:r>
          </w:p>
        </w:tc>
        <w:tc>
          <w:tcPr>
            <w:tcW w:w="880" w:type="dxa"/>
            <w:tcBorders>
              <w:bottom w:val="nil"/>
            </w:tcBorders>
          </w:tcPr>
          <w:p w:rsidR="0060634A" w:rsidRDefault="0060634A">
            <w:pPr>
              <w:ind w:left="142"/>
              <w:rPr>
                <w:noProof/>
                <w:sz w:val="16"/>
                <w:szCs w:val="16"/>
                <w:lang w:eastAsia="en-GB"/>
              </w:rPr>
            </w:pPr>
          </w:p>
        </w:tc>
        <w:tc>
          <w:tcPr>
            <w:tcW w:w="3458" w:type="dxa"/>
            <w:tcBorders>
              <w:bottom w:val="nil"/>
            </w:tcBorders>
            <w:vAlign w:val="center"/>
          </w:tcPr>
          <w:p w:rsidR="0060634A" w:rsidRDefault="00F76D44">
            <w:pPr>
              <w:spacing w:before="120"/>
              <w:rPr>
                <w:noProof/>
                <w:sz w:val="16"/>
                <w:szCs w:val="16"/>
                <w:lang w:val="en-GB"/>
              </w:rPr>
            </w:pPr>
            <w:r>
              <w:rPr>
                <w:noProof/>
                <w:sz w:val="16"/>
                <w:szCs w:val="16"/>
                <w:lang w:eastAsia="fr-BE"/>
              </w:rPr>
              <mc:AlternateContent>
                <mc:Choice Requires="wps">
                  <w:drawing>
                    <wp:anchor distT="0" distB="0" distL="114300" distR="114300" simplePos="0" relativeHeight="251602944"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296" name="Rectangle 296"/>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23507" id="Rectangle 296" o:spid="_x0000_s1026" style="position:absolute;margin-left:-9.45pt;margin-top:6.1pt;width:6.35pt;height:7.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" fillcolor="#28296e" stroked="f" strokeweight="1pt">
                      <w10:wrap type="through"/>
                    </v:rect>
                  </w:pict>
                </mc:Fallback>
              </mc:AlternateContent>
            </w:r>
            <w:r>
              <w:rPr>
                <w:noProof/>
                <w:sz w:val="16"/>
                <w:szCs w:val="16"/>
                <w:lang w:val="en-GB"/>
              </w:rPr>
              <w:t>% of target achieved by the end of 2018</w:t>
            </w:r>
          </w:p>
        </w:tc>
        <w:tc>
          <w:tcPr>
            <w:tcW w:w="646" w:type="dxa"/>
            <w:tcBorders>
              <w:bottom w:val="nil"/>
            </w:tcBorders>
          </w:tcPr>
          <w:p w:rsidR="0060634A" w:rsidRDefault="0060634A">
            <w:pPr>
              <w:ind w:left="142"/>
              <w:rPr>
                <w:noProof/>
                <w:sz w:val="16"/>
                <w:szCs w:val="16"/>
                <w:lang w:val="en-GB" w:eastAsia="en-GB"/>
              </w:rPr>
            </w:pPr>
          </w:p>
        </w:tc>
        <w:tc>
          <w:tcPr>
            <w:tcW w:w="2819" w:type="dxa"/>
            <w:gridSpan w:val="2"/>
            <w:tcBorders>
              <w:bottom w:val="nil"/>
            </w:tcBorders>
            <w:vAlign w:val="center"/>
          </w:tcPr>
          <w:p w:rsidR="0060634A" w:rsidRDefault="0060634A">
            <w:pPr>
              <w:ind w:left="142"/>
              <w:rPr>
                <w:noProof/>
                <w:sz w:val="16"/>
                <w:szCs w:val="16"/>
                <w:lang w:val="en-GB"/>
              </w:rPr>
            </w:pPr>
          </w:p>
        </w:tc>
      </w:tr>
      <w:tr w:rsidR="0060634A">
        <w:trPr>
          <w:trHeight w:val="247"/>
        </w:trPr>
        <w:tc>
          <w:tcPr>
            <w:tcW w:w="10788" w:type="dxa"/>
            <w:gridSpan w:val="6"/>
            <w:tcBorders>
              <w:top w:val="nil"/>
              <w:bottom w:val="nil"/>
            </w:tcBorders>
            <w:vAlign w:val="center"/>
          </w:tcPr>
          <w:p w:rsidR="0060634A" w:rsidRDefault="0060634A">
            <w:pPr>
              <w:ind w:left="142"/>
              <w:rPr>
                <w:noProof/>
                <w:sz w:val="14"/>
                <w:szCs w:val="16"/>
                <w:lang w:val="en-GB"/>
              </w:rPr>
            </w:pPr>
          </w:p>
        </w:tc>
      </w:tr>
    </w:tbl>
    <w:p w:rsidR="0060634A" w:rsidRDefault="00F76D44">
      <w:pPr>
        <w:pStyle w:val="PPOTitle3-nospacebefore"/>
        <w:rPr>
          <w:rFonts w:eastAsiaTheme="minorEastAsia"/>
        </w:rPr>
      </w:pPr>
      <w:r>
        <w:rPr>
          <w:rFonts w:eastAsiaTheme="minorEastAsia"/>
        </w:rPr>
        <w:t>Where are we in the implementation?</w:t>
      </w:r>
    </w:p>
    <w:p w:rsidR="0060634A" w:rsidRDefault="00F76D44">
      <w:pPr>
        <w:pStyle w:val="PPOBlackBULLETS-L1"/>
        <w:rPr>
          <w:noProof/>
        </w:rPr>
      </w:pPr>
      <w:r>
        <w:rPr>
          <w:noProof/>
        </w:rPr>
        <w:t xml:space="preserve">In 2017, the Sentinel 2-B and Sentinel-5p satellites were launched. The addition of Sentinel-5p is significant, as it increased </w:t>
      </w:r>
      <w:r>
        <w:rPr>
          <w:noProof/>
        </w:rPr>
        <w:t>Copernicus’s own capacity to monitor atmospheric composition, especially for polluting gases. In 2018, Sentinel 3-B was launched. In response to a great surge in registered users’ uptake (their number exceeded 200</w:t>
      </w:r>
      <w:r>
        <w:rPr>
          <w:rFonts w:ascii="Calibri" w:hAnsi="Calibri" w:cs="Calibri"/>
          <w:noProof/>
        </w:rPr>
        <w:t> </w:t>
      </w:r>
      <w:r>
        <w:rPr>
          <w:noProof/>
        </w:rPr>
        <w:t>000), five new data and information access</w:t>
      </w:r>
      <w:r>
        <w:rPr>
          <w:noProof/>
        </w:rPr>
        <w:t xml:space="preserve"> service platforms were launched and have been operational since June 2018. In 2019, all the programme’s priorities were met. Preparations for Sentinel 6A, i.e. the eighth satellite, were completed. Construction and preparations for the launch and operatio</w:t>
      </w:r>
      <w:r>
        <w:rPr>
          <w:noProof/>
        </w:rPr>
        <w:t xml:space="preserve">ns of the first Sentinel C and D units have proceeded as planned. All six core services and the seven satellites are fully operational. The stronger dissemination of Copernicus data and information means that the user base has further increased. </w:t>
      </w:r>
    </w:p>
    <w:p w:rsidR="0060634A" w:rsidRDefault="00F76D44">
      <w:pPr>
        <w:pStyle w:val="PPOBlackBULLETS-L1"/>
        <w:rPr>
          <w:noProof/>
        </w:rPr>
      </w:pPr>
      <w:r>
        <w:rPr>
          <w:noProof/>
        </w:rPr>
        <w:t>International activities were pursued with old and new agreements. These aim at: (1)</w:t>
      </w:r>
      <w:r>
        <w:rPr>
          <w:rFonts w:ascii="Calibri" w:hAnsi="Calibri" w:cs="Calibri"/>
          <w:noProof/>
        </w:rPr>
        <w:t> </w:t>
      </w:r>
      <w:r>
        <w:rPr>
          <w:noProof/>
        </w:rPr>
        <w:t>promoting the uptake of Copernicus data to maximise its value in addressing global challenges; (2)</w:t>
      </w:r>
      <w:r>
        <w:rPr>
          <w:rFonts w:ascii="Calibri" w:hAnsi="Calibri" w:cs="Calibri"/>
          <w:noProof/>
        </w:rPr>
        <w:t> </w:t>
      </w:r>
      <w:r>
        <w:rPr>
          <w:noProof/>
        </w:rPr>
        <w:t xml:space="preserve">creating the conditions – based on reciprocity – for the integration of </w:t>
      </w:r>
      <w:r>
        <w:rPr>
          <w:noProof/>
        </w:rPr>
        <w:t>data and information acquired by international partners into the European Earth Observation data management system; and (3)</w:t>
      </w:r>
      <w:r>
        <w:rPr>
          <w:rFonts w:ascii="Calibri" w:hAnsi="Calibri" w:cs="Calibri"/>
          <w:noProof/>
        </w:rPr>
        <w:t> </w:t>
      </w:r>
      <w:r>
        <w:rPr>
          <w:noProof/>
        </w:rPr>
        <w:t>facilitating international cooperation and access to international markets for European researchers and industry. As of the end of 2</w:t>
      </w:r>
      <w:r>
        <w:rPr>
          <w:noProof/>
        </w:rPr>
        <w:t>018, Copernicus cooperation arrangements had been signed with Australia, Brazil, Chile, Colombia, India, Serbia, Ukraine and the United States, and with the African Union Commission. In 2019, discussions were held on cooperation arrangements with Argentina</w:t>
      </w:r>
      <w:r>
        <w:rPr>
          <w:noProof/>
        </w:rPr>
        <w:t>, Canada, the Holy See, Japan, Panama, Thailand and Vietnam and with the Food and Agriculture Organization, the Indonesian Space Agency, the United Nations Environment Programme and the World Meteorological Organization. As a result, Copernicus’s free, ful</w:t>
      </w:r>
      <w:r>
        <w:rPr>
          <w:noProof/>
        </w:rPr>
        <w:t>l and open data access is expected to reach about 50% of the world's population via a local data hub.</w:t>
      </w:r>
    </w:p>
    <w:p w:rsidR="0060634A" w:rsidRDefault="00F76D44">
      <w:pPr>
        <w:pStyle w:val="PPOTitle3"/>
        <w:rPr>
          <w:rFonts w:eastAsiaTheme="minorEastAsia"/>
        </w:rPr>
      </w:pPr>
      <w:r>
        <w:rPr>
          <w:rFonts w:eastAsiaTheme="minorEastAsia"/>
        </w:rPr>
        <w:t>Performance assessment</w:t>
      </w:r>
    </w:p>
    <w:p w:rsidR="0060634A" w:rsidRDefault="00F76D44">
      <w:pPr>
        <w:pStyle w:val="PPOBlackBULLETS-L1"/>
        <w:rPr>
          <w:noProof/>
        </w:rPr>
      </w:pPr>
      <w:r>
        <w:rPr>
          <w:noProof/>
        </w:rPr>
        <w:t>Copernicus is delivering on its objectives. Its monitoring capacities have been successfully deployed, thus providing autonomous EU</w:t>
      </w:r>
      <w:r>
        <w:rPr>
          <w:noProof/>
        </w:rPr>
        <w:t xml:space="preserve"> access to environmental knowledge and giving the EU a major role at the international level. The six core services are all operational and provide the accurate and reliable level of geoinformation that was expected. The quality of the outputs is confirmed</w:t>
      </w:r>
      <w:r>
        <w:rPr>
          <w:noProof/>
        </w:rPr>
        <w:t xml:space="preserve"> by the consistently growing uptake by registered users. In response to this surge, capabilities have been enlarged through the data and information access services. </w:t>
      </w:r>
    </w:p>
    <w:p w:rsidR="0060634A" w:rsidRDefault="00F76D44">
      <w:pPr>
        <w:pStyle w:val="PPOBlackBULLETS-L1"/>
        <w:rPr>
          <w:noProof/>
        </w:rPr>
      </w:pPr>
      <w:r>
        <w:rPr>
          <w:noProof/>
        </w:rPr>
        <w:t>The 2019 Copernicus market report found that the programme’s estimated benefits in the do</w:t>
      </w:r>
      <w:r>
        <w:rPr>
          <w:noProof/>
        </w:rPr>
        <w:t>wnstream market were between EUR</w:t>
      </w:r>
      <w:r>
        <w:rPr>
          <w:rFonts w:ascii="Calibri" w:hAnsi="Calibri" w:cs="Calibri"/>
          <w:noProof/>
        </w:rPr>
        <w:t> </w:t>
      </w:r>
      <w:r>
        <w:rPr>
          <w:noProof/>
        </w:rPr>
        <w:t>125 and 150</w:t>
      </w:r>
      <w:r>
        <w:rPr>
          <w:rFonts w:ascii="Calibri" w:hAnsi="Calibri" w:cs="Calibri"/>
          <w:noProof/>
        </w:rPr>
        <w:t> </w:t>
      </w:r>
      <w:r>
        <w:rPr>
          <w:noProof/>
        </w:rPr>
        <w:t>million in 2018, up from EUR</w:t>
      </w:r>
      <w:r>
        <w:rPr>
          <w:rFonts w:ascii="Calibri" w:hAnsi="Calibri" w:cs="Calibri"/>
          <w:noProof/>
        </w:rPr>
        <w:t> </w:t>
      </w:r>
      <w:r>
        <w:rPr>
          <w:noProof/>
        </w:rPr>
        <w:t>54 million in 2015. They are expected to grow by an average annual increase of 15% up to the end of 2020, with a progressive adoption of Earth observation-based solutions in some ind</w:t>
      </w:r>
      <w:r>
        <w:rPr>
          <w:noProof/>
        </w:rPr>
        <w:t>ustries, such as renewable energies. Furthermore, 72% of downstream Earth observation sector enterprises use Copernicus data (an additional 6 percentage points compared to 2016).</w:t>
      </w:r>
    </w:p>
    <w:p w:rsidR="0060634A" w:rsidRDefault="00F76D44">
      <w:pPr>
        <w:pStyle w:val="PPOBlackBULLETS-L1"/>
        <w:rPr>
          <w:noProof/>
        </w:rPr>
      </w:pPr>
      <w:r>
        <w:rPr>
          <w:noProof/>
        </w:rPr>
        <w:t>Regarding the objective of a competitive European space and services industry</w:t>
      </w:r>
      <w:r>
        <w:rPr>
          <w:noProof/>
        </w:rPr>
        <w:t>, the baseline scenario assumed a 5% annual growth rate between 2013 and 2020 in the European Earth observation sector due to Copernicus. Instead, the rate achieved in 2016-2018 was 14%, demonstrating Copernicus’s positive effect.</w:t>
      </w:r>
    </w:p>
    <w:p w:rsidR="0060634A" w:rsidRDefault="00F76D44">
      <w:pPr>
        <w:pStyle w:val="PPOBlackBULLETS-L1"/>
        <w:rPr>
          <w:noProof/>
        </w:rPr>
      </w:pPr>
      <w:r>
        <w:rPr>
          <w:noProof/>
        </w:rPr>
        <w:t>The international dimensi</w:t>
      </w:r>
      <w:r>
        <w:rPr>
          <w:noProof/>
        </w:rPr>
        <w:t>on has been reinforced through international agreements. With the conventional data access infrastructure (e.g. the European Space Agency open hub) and the creation of the Copernicus data and information access services, the entire Copernicus database is a</w:t>
      </w:r>
      <w:r>
        <w:rPr>
          <w:noProof/>
        </w:rPr>
        <w:t xml:space="preserve">vailable on a free, full and open data basis to Global Earth Observation System of Systems members among others. </w:t>
      </w:r>
    </w:p>
    <w:p w:rsidR="0060634A" w:rsidRDefault="00F76D44">
      <w:pPr>
        <w:pStyle w:val="PPOBlackBULLETS-L1"/>
        <w:rPr>
          <w:noProof/>
        </w:rPr>
      </w:pPr>
      <w:r>
        <w:rPr>
          <w:noProof/>
        </w:rPr>
        <w:t>The main challenge concerns the continuity of the operation. New satellites will have to be launched, to replace those that have reached the e</w:t>
      </w:r>
      <w:r>
        <w:rPr>
          <w:noProof/>
        </w:rPr>
        <w:t xml:space="preserve">nd of their life. Services may need to expand in response to user requirements in new areas such as agriculture, the development of coastal areas and the monitoring of polar regions. </w:t>
      </w:r>
    </w:p>
    <w:p w:rsidR="0060634A" w:rsidRDefault="00F76D44">
      <w:pPr>
        <w:pStyle w:val="PPOTitle3"/>
        <w:rPr>
          <w:rFonts w:eastAsiaTheme="minorEastAsia"/>
        </w:rPr>
      </w:pPr>
      <w:r>
        <w:rPr>
          <w:rFonts w:eastAsiaTheme="minorEastAsia"/>
        </w:rP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1843"/>
        <w:gridCol w:w="1276"/>
        <w:gridCol w:w="2126"/>
        <w:gridCol w:w="2126"/>
        <w:gridCol w:w="1701"/>
        <w:gridCol w:w="1701"/>
      </w:tblGrid>
      <w:tr w:rsidR="0060634A">
        <w:trPr>
          <w:trHeight w:val="128"/>
        </w:trPr>
        <w:tc>
          <w:tcPr>
            <w:tcW w:w="1843" w:type="dxa"/>
            <w:shd w:val="clear" w:color="auto" w:fill="00ADDC"/>
          </w:tcPr>
          <w:p w:rsidR="0060634A" w:rsidRDefault="00F76D44">
            <w:pPr>
              <w:pStyle w:val="PPOExamplesTABLEHeader"/>
              <w:rPr>
                <w:rFonts w:eastAsiaTheme="minorEastAsia"/>
              </w:rPr>
            </w:pPr>
            <w:r>
              <w:rPr>
                <w:rFonts w:eastAsiaTheme="minorEastAsia"/>
              </w:rPr>
              <w:t>200 million GB</w:t>
            </w:r>
          </w:p>
        </w:tc>
        <w:tc>
          <w:tcPr>
            <w:tcW w:w="1276" w:type="dxa"/>
            <w:shd w:val="clear" w:color="auto" w:fill="00ADDC"/>
          </w:tcPr>
          <w:p w:rsidR="0060634A" w:rsidRDefault="00F76D44">
            <w:pPr>
              <w:pStyle w:val="PPOExamplesTABLEHeader"/>
              <w:rPr>
                <w:rFonts w:eastAsiaTheme="minorEastAsia"/>
              </w:rPr>
            </w:pPr>
            <w:r>
              <w:rPr>
                <w:rFonts w:eastAsiaTheme="minorEastAsia"/>
              </w:rPr>
              <w:t>18 million</w:t>
            </w:r>
          </w:p>
        </w:tc>
        <w:tc>
          <w:tcPr>
            <w:tcW w:w="2126" w:type="dxa"/>
            <w:shd w:val="clear" w:color="auto" w:fill="00ADDC"/>
          </w:tcPr>
          <w:p w:rsidR="0060634A" w:rsidRDefault="00F76D44">
            <w:pPr>
              <w:pStyle w:val="PPOExamplesTABLEHeader"/>
              <w:rPr>
                <w:rFonts w:eastAsiaTheme="minorEastAsia"/>
              </w:rPr>
            </w:pPr>
            <w:r>
              <w:rPr>
                <w:rFonts w:eastAsiaTheme="minorEastAsia"/>
              </w:rPr>
              <w:t>81</w:t>
            </w:r>
          </w:p>
        </w:tc>
        <w:tc>
          <w:tcPr>
            <w:tcW w:w="2126" w:type="dxa"/>
            <w:shd w:val="clear" w:color="auto" w:fill="00ADDC"/>
          </w:tcPr>
          <w:p w:rsidR="0060634A" w:rsidRDefault="00F76D44">
            <w:pPr>
              <w:pStyle w:val="PPOExamplesTABLEHeader"/>
              <w:rPr>
                <w:rFonts w:eastAsiaTheme="minorEastAsia"/>
              </w:rPr>
            </w:pPr>
            <w:r>
              <w:rPr>
                <w:rFonts w:eastAsiaTheme="minorEastAsia"/>
              </w:rPr>
              <w:t>23</w:t>
            </w:r>
          </w:p>
        </w:tc>
        <w:tc>
          <w:tcPr>
            <w:tcW w:w="1701" w:type="dxa"/>
            <w:shd w:val="clear" w:color="auto" w:fill="00ADDC"/>
          </w:tcPr>
          <w:p w:rsidR="0060634A" w:rsidRDefault="00F76D44">
            <w:pPr>
              <w:pStyle w:val="PPOExamplesTABLEHeader"/>
              <w:rPr>
                <w:rFonts w:eastAsiaTheme="minorEastAsia"/>
              </w:rPr>
            </w:pPr>
            <w:r>
              <w:rPr>
                <w:rFonts w:eastAsiaTheme="minorEastAsia"/>
              </w:rPr>
              <w:t>32 mil</w:t>
            </w:r>
            <w:r>
              <w:rPr>
                <w:rFonts w:eastAsiaTheme="minorEastAsia"/>
              </w:rPr>
              <w:t>lion</w:t>
            </w:r>
          </w:p>
        </w:tc>
        <w:tc>
          <w:tcPr>
            <w:tcW w:w="1701" w:type="dxa"/>
            <w:shd w:val="clear" w:color="auto" w:fill="00ADDC"/>
          </w:tcPr>
          <w:p w:rsidR="0060634A" w:rsidRDefault="00F76D44">
            <w:pPr>
              <w:pStyle w:val="PPOExamplesTABLEHeader"/>
              <w:rPr>
                <w:rFonts w:eastAsiaTheme="minorEastAsia"/>
              </w:rPr>
            </w:pPr>
            <w:r>
              <w:rPr>
                <w:rFonts w:eastAsiaTheme="minorEastAsia"/>
              </w:rPr>
              <w:t>3 972</w:t>
            </w:r>
          </w:p>
        </w:tc>
      </w:tr>
      <w:tr w:rsidR="0060634A">
        <w:trPr>
          <w:trHeight w:val="945"/>
        </w:trPr>
        <w:tc>
          <w:tcPr>
            <w:tcW w:w="1843" w:type="dxa"/>
            <w:shd w:val="clear" w:color="auto" w:fill="DCE6F2"/>
          </w:tcPr>
          <w:p w:rsidR="0060634A" w:rsidRDefault="00F76D44">
            <w:pPr>
              <w:pStyle w:val="PPOExamplesTABLEText"/>
              <w:spacing w:line="240" w:lineRule="auto"/>
              <w:rPr>
                <w:noProof/>
                <w:lang w:val="en-GB"/>
              </w:rPr>
            </w:pPr>
            <w:r>
              <w:rPr>
                <w:noProof/>
                <w:lang w:val="en-GB"/>
              </w:rPr>
              <w:t>of data has been downloaded by more than 300 000 registered users and the amount is growing.</w:t>
            </w:r>
          </w:p>
        </w:tc>
        <w:tc>
          <w:tcPr>
            <w:tcW w:w="1276" w:type="dxa"/>
            <w:shd w:val="clear" w:color="auto" w:fill="DCE6F2"/>
          </w:tcPr>
          <w:p w:rsidR="0060634A" w:rsidRDefault="00F76D44">
            <w:pPr>
              <w:pStyle w:val="PPOExamplesTABLEText"/>
              <w:spacing w:line="240" w:lineRule="auto"/>
              <w:rPr>
                <w:noProof/>
                <w:lang w:val="en-GB"/>
              </w:rPr>
            </w:pPr>
            <w:r>
              <w:rPr>
                <w:noProof/>
                <w:lang w:val="en-GB"/>
              </w:rPr>
              <w:t xml:space="preserve">Sentinel 2 products are available online for download. </w:t>
            </w:r>
          </w:p>
        </w:tc>
        <w:tc>
          <w:tcPr>
            <w:tcW w:w="2126" w:type="dxa"/>
            <w:shd w:val="clear" w:color="auto" w:fill="DCE6F2"/>
          </w:tcPr>
          <w:p w:rsidR="0060634A" w:rsidRDefault="00F76D44">
            <w:pPr>
              <w:pStyle w:val="PPOExamplesTABLEText"/>
              <w:spacing w:line="240" w:lineRule="auto"/>
              <w:rPr>
                <w:noProof/>
                <w:lang w:val="en-GB"/>
              </w:rPr>
            </w:pPr>
            <w:r>
              <w:rPr>
                <w:noProof/>
                <w:lang w:val="en-GB"/>
              </w:rPr>
              <w:t xml:space="preserve">activations of the Copernicus emergency management service’s rapid mapping component were </w:t>
            </w:r>
            <w:r>
              <w:rPr>
                <w:noProof/>
                <w:lang w:val="en-GB"/>
              </w:rPr>
              <w:t>recorded in 2019 for events including wild fires in Australia and forest fires in Greece and Italy.</w:t>
            </w:r>
          </w:p>
        </w:tc>
        <w:tc>
          <w:tcPr>
            <w:tcW w:w="2126" w:type="dxa"/>
            <w:shd w:val="clear" w:color="auto" w:fill="DCE6F2"/>
          </w:tcPr>
          <w:p w:rsidR="0060634A" w:rsidRDefault="00F76D44">
            <w:pPr>
              <w:pStyle w:val="PPOExamplesTABLEText"/>
              <w:spacing w:line="240" w:lineRule="auto"/>
              <w:rPr>
                <w:noProof/>
                <w:lang w:val="en-GB"/>
              </w:rPr>
            </w:pPr>
            <w:r>
              <w:rPr>
                <w:noProof/>
                <w:lang w:val="en-GB"/>
              </w:rPr>
              <w:t>biophysical parameters for products were delivered by the Copernicus land monitoring service to support the monitoring of vegetation, agriculture, energy, t</w:t>
            </w:r>
            <w:r>
              <w:rPr>
                <w:noProof/>
                <w:lang w:val="en-GB"/>
              </w:rPr>
              <w:t xml:space="preserve">he cryosphere and the water cycle. </w:t>
            </w:r>
          </w:p>
          <w:p w:rsidR="0060634A" w:rsidRDefault="0060634A">
            <w:pPr>
              <w:pStyle w:val="PPOExamplesTABLEText"/>
              <w:spacing w:line="240" w:lineRule="auto"/>
              <w:rPr>
                <w:noProof/>
                <w:lang w:val="en-GB"/>
              </w:rPr>
            </w:pPr>
          </w:p>
        </w:tc>
        <w:tc>
          <w:tcPr>
            <w:tcW w:w="1701" w:type="dxa"/>
            <w:shd w:val="clear" w:color="auto" w:fill="DCE6F2"/>
          </w:tcPr>
          <w:p w:rsidR="0060634A" w:rsidRDefault="00F76D44">
            <w:pPr>
              <w:pStyle w:val="PPOExamplesTABLEText"/>
              <w:spacing w:line="240" w:lineRule="auto"/>
              <w:rPr>
                <w:noProof/>
                <w:lang w:val="en-GB"/>
              </w:rPr>
            </w:pPr>
            <w:r>
              <w:rPr>
                <w:noProof/>
                <w:lang w:val="en-GB"/>
              </w:rPr>
              <w:t>television viewers on different platforms watched daily air quality bulletins from around Europe based on the Copernicus atmosphere monitoring service in 2019.</w:t>
            </w:r>
          </w:p>
        </w:tc>
        <w:tc>
          <w:tcPr>
            <w:tcW w:w="1701" w:type="dxa"/>
            <w:shd w:val="clear" w:color="auto" w:fill="DCE6F2"/>
          </w:tcPr>
          <w:p w:rsidR="0060634A" w:rsidRDefault="00F76D44">
            <w:pPr>
              <w:pStyle w:val="PPOExamplesTABLEText"/>
              <w:spacing w:line="240" w:lineRule="auto"/>
              <w:rPr>
                <w:noProof/>
                <w:lang w:val="en-GB"/>
              </w:rPr>
            </w:pPr>
            <w:r>
              <w:rPr>
                <w:noProof/>
                <w:lang w:val="en-GB"/>
              </w:rPr>
              <w:t>Earth observation services were delivered in 2019, at the r</w:t>
            </w:r>
            <w:r>
              <w:rPr>
                <w:noProof/>
                <w:lang w:val="en-GB"/>
              </w:rPr>
              <w:t>equest of Copernicus maritime surveillance service users.</w:t>
            </w:r>
          </w:p>
        </w:tc>
      </w:tr>
    </w:tbl>
    <w:p w:rsidR="0060634A" w:rsidRDefault="00F76D44">
      <w:pPr>
        <w:rPr>
          <w:noProof/>
        </w:rPr>
        <w:sectPr w:rsidR="0060634A">
          <w:headerReference w:type="even" r:id="rId102"/>
          <w:headerReference w:type="default" r:id="rId103"/>
          <w:footerReference w:type="even" r:id="rId104"/>
          <w:footerReference w:type="default" r:id="rId105"/>
          <w:headerReference w:type="first" r:id="rId106"/>
          <w:footerReference w:type="first" r:id="rId107"/>
          <w:pgSz w:w="11906" w:h="16838" w:code="9"/>
          <w:pgMar w:top="567" w:right="567" w:bottom="567" w:left="567" w:header="567" w:footer="454" w:gutter="0"/>
          <w:paperSrc w:first="15" w:other="15"/>
          <w:cols w:space="720"/>
          <w:docGrid w:linePitch="360"/>
        </w:sectPr>
      </w:pPr>
      <w:r>
        <w:rPr>
          <w:b/>
          <w:noProof/>
          <w:color w:val="005D95"/>
          <w:spacing w:val="1"/>
          <w:lang w:val="fr-BE" w:eastAsia="fr-BE"/>
        </w:rPr>
        <mc:AlternateContent>
          <mc:Choice Requires="wpg">
            <w:drawing>
              <wp:anchor distT="144145" distB="0" distL="114300" distR="114300" simplePos="0" relativeHeight="251743232" behindDoc="0" locked="0" layoutInCell="1" allowOverlap="1">
                <wp:simplePos x="0" y="0"/>
                <wp:positionH relativeFrom="column">
                  <wp:posOffset>0</wp:posOffset>
                </wp:positionH>
                <wp:positionV relativeFrom="margin">
                  <wp:align>bottom</wp:align>
                </wp:positionV>
                <wp:extent cx="6840000" cy="558000"/>
                <wp:effectExtent l="0" t="0" r="0" b="13970"/>
                <wp:wrapSquare wrapText="bothSides"/>
                <wp:docPr id="262" name="Group 262"/>
                <wp:cNvGraphicFramePr/>
                <a:graphic xmlns:a="http://schemas.openxmlformats.org/drawingml/2006/main">
                  <a:graphicData uri="http://schemas.microsoft.com/office/word/2010/wordprocessingGroup">
                    <wpg:wgp>
                      <wpg:cNvGrpSpPr/>
                      <wpg:grpSpPr>
                        <a:xfrm>
                          <a:off x="0" y="0"/>
                          <a:ext cx="6840000" cy="558000"/>
                          <a:chOff x="0" y="0"/>
                          <a:chExt cx="6840000" cy="563417"/>
                        </a:xfrm>
                      </wpg:grpSpPr>
                      <wps:wsp>
                        <wps:cNvPr id="263" name="Text Box 263"/>
                        <wps:cNvSpPr txBox="1"/>
                        <wps:spPr>
                          <a:xfrm>
                            <a:off x="0" y="54314"/>
                            <a:ext cx="6840000" cy="509103"/>
                          </a:xfrm>
                          <a:prstGeom prst="rect">
                            <a:avLst/>
                          </a:prstGeom>
                          <a:noFill/>
                          <a:ln w="6350">
                            <a:noFill/>
                          </a:ln>
                        </wps:spPr>
                        <wps:txbx>
                          <w:txbxContent>
                            <w:p w:rsidR="0060634A" w:rsidRDefault="00F76D44">
                              <w:pPr>
                                <w:pStyle w:val="FootnoteText"/>
                                <w:rPr>
                                  <w:lang w:val="en-IE"/>
                                </w:rPr>
                              </w:pPr>
                              <w:r>
                                <w:rPr>
                                  <w:rStyle w:val="fnRef"/>
                                </w:rPr>
                                <w:t>(</w:t>
                              </w:r>
                              <w:r>
                                <w:rPr>
                                  <w:rStyle w:val="fnRefNo"/>
                                </w:rPr>
                                <w:t>89</w:t>
                              </w:r>
                              <w:r>
                                <w:rPr>
                                  <w:rStyle w:val="fnRef"/>
                                </w:rPr>
                                <w:t>)</w:t>
                              </w:r>
                              <w:r>
                                <w:rPr>
                                  <w:rStyle w:val="fnRef"/>
                                </w:rPr>
                                <w:tab/>
                              </w:r>
                              <w:r>
                                <w:t xml:space="preserve">A number of delegation agreements were signed with the European Organisation for the Exploitation of Meteorological Satellites and the European Space Agency for the space infrastructure, and six delegation agreements were </w:t>
                              </w:r>
                              <w:r>
                                <w:t>signed with the European Border and Coast Guard Agency, the European Environment Agency, the European Maritime Safety Agency, the European Union Satellite Centre, the European Medium-Range Weather Forecasting Centre and Mercator-Océan for the services.</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274" name="Straight Connector 274"/>
                        <wps:cNvCnPr/>
                        <wps:spPr>
                          <a:xfrm>
                            <a:off x="0" y="0"/>
                            <a:ext cx="183197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62" o:spid="_x0000_s1053" style="position:absolute;margin-left:0;margin-top:0;width:538.6pt;height:43.95pt;z-index:251743232;mso-wrap-distance-top:11.35pt;mso-position-vertical:bottom;mso-position-vertical-relative:margin;mso-width-relative:margin;mso-height-relative:margin" coordsize="68400,5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">
                <v:shape id="Text Box 263" o:spid="_x0000_s1054" type="#_x0000_t202" style="position:absolute;top:543;width:68400;height:5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" filled="f" stroked="f" strokeweight=".5pt">
                  <v:textbox inset="0,0,0,0">
                    <w:txbxContent>
                      <w:p w:rsidR="0060634A" w:rsidRDefault="00F76D44">
                        <w:pPr>
                          <w:pStyle w:val="FootnoteText"/>
                          <w:rPr>
                            <w:lang w:val="en-IE"/>
                          </w:rPr>
                        </w:pPr>
                        <w:r>
                          <w:rPr>
                            <w:rStyle w:val="fnRef"/>
                          </w:rPr>
                          <w:t>(</w:t>
                        </w:r>
                        <w:r>
                          <w:rPr>
                            <w:rStyle w:val="fnRefNo"/>
                          </w:rPr>
                          <w:t>89</w:t>
                        </w:r>
                        <w:r>
                          <w:rPr>
                            <w:rStyle w:val="fnRef"/>
                          </w:rPr>
                          <w:t>)</w:t>
                        </w:r>
                        <w:r>
                          <w:rPr>
                            <w:rStyle w:val="fnRef"/>
                          </w:rPr>
                          <w:tab/>
                        </w:r>
                        <w:r>
                          <w:t xml:space="preserve">A number of delegation agreements were signed with the European Organisation for the Exploitation of Meteorological Satellites and the European Space Agency for the space infrastructure, and six delegation agreements were </w:t>
                        </w:r>
                        <w:r>
                          <w:t>signed with the European Border and Coast Guard Agency, the European Environment Agency, the European Maritime Safety Agency, the European Union Satellite Centre, the European Medium-Range Weather Forecasting Centre and Mercator-Océan for the services.</w:t>
                        </w:r>
                      </w:p>
                    </w:txbxContent>
                  </v:textbox>
                </v:shape>
                <v:line id="Straight Connector 274" o:spid="_x0000_s1055" style="position:absolute;visibility:visible;mso-wrap-style:square" from="0,0" to="18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" strokecolor="black [3213]" strokeweight=".25pt">
                  <v:stroke joinstyle="miter"/>
                </v:line>
                <w10:wrap type="square" anchory="margin"/>
              </v:group>
            </w:pict>
          </mc:Fallback>
        </mc:AlternateContent>
      </w:r>
    </w:p>
    <w:p w:rsidR="0060634A" w:rsidRDefault="0060634A">
      <w:pPr>
        <w:pStyle w:val="BodyText1spaceafter"/>
        <w:ind w:left="284" w:hanging="284"/>
      </w:pPr>
    </w:p>
    <w:p w:rsidR="0060634A" w:rsidRDefault="00F76D44">
      <w:pPr>
        <w:pStyle w:val="PPO1AsidebarTitleBlue"/>
        <w:rPr>
          <w:rFonts w:eastAsiaTheme="minorEastAsia"/>
        </w:rPr>
      </w:pPr>
      <w:r>
        <w:rPr>
          <w:rFonts w:eastAsiaTheme="minorEastAsia"/>
          <w:lang w:val="fr-BE" w:eastAsia="fr-BE"/>
        </w:rPr>
        <mc:AlternateContent>
          <mc:Choice Requires="wps">
            <w:drawing>
              <wp:anchor distT="0" distB="0" distL="0" distR="0" simplePos="0" relativeHeight="251612160" behindDoc="0" locked="1" layoutInCell="1" allowOverlap="1">
                <wp:simplePos x="0" y="0"/>
                <wp:positionH relativeFrom="page">
                  <wp:posOffset>358775</wp:posOffset>
                </wp:positionH>
                <wp:positionV relativeFrom="page">
                  <wp:posOffset>593090</wp:posOffset>
                </wp:positionV>
                <wp:extent cx="1457960" cy="777240"/>
                <wp:effectExtent l="0" t="0" r="85090" b="3810"/>
                <wp:wrapTopAndBottom/>
                <wp:docPr id="308" name="Text Box 308"/>
                <wp:cNvGraphicFramePr/>
                <a:graphic xmlns:a="http://schemas.openxmlformats.org/drawingml/2006/main">
                  <a:graphicData uri="http://schemas.microsoft.com/office/word/2010/wordprocessingShape">
                    <wps:wsp>
                      <wps:cNvSpPr txBox="1"/>
                      <wps:spPr>
                        <a:xfrm>
                          <a:off x="0" y="0"/>
                          <a:ext cx="1457960" cy="777240"/>
                        </a:xfrm>
                        <a:prstGeom prst="wedgeRectCallout">
                          <a:avLst>
                            <a:gd name="adj1" fmla="val 54107"/>
                            <a:gd name="adj2" fmla="val -21878"/>
                          </a:avLst>
                        </a:prstGeom>
                        <a:solidFill>
                          <a:srgbClr val="28296E"/>
                        </a:solidFill>
                        <a:ln w="6350">
                          <a:noFill/>
                        </a:ln>
                      </wps:spPr>
                      <wps:txbx>
                        <w:txbxContent>
                          <w:p w:rsidR="0060634A" w:rsidRDefault="00F76D44">
                            <w:pPr>
                              <w:pStyle w:val="PPOsidebarLegalBasisBOXHeading"/>
                              <w:rPr>
                                <w:rFonts w:eastAsiaTheme="minorEastAsia"/>
                              </w:rPr>
                            </w:pPr>
                            <w:r>
                              <w:rPr>
                                <w:rFonts w:eastAsiaTheme="minorEastAsia"/>
                              </w:rPr>
                              <w:t>LEGAL BASIS</w:t>
                            </w:r>
                          </w:p>
                          <w:p w:rsidR="0060634A" w:rsidRDefault="00F76D44">
                            <w:pPr>
                              <w:pStyle w:val="PPOsidebarLegalBasisBOXtext"/>
                              <w:rPr>
                                <w:rFonts w:eastAsiaTheme="minorEastAsia"/>
                              </w:rPr>
                            </w:pPr>
                            <w:r>
                              <w:rPr>
                                <w:rFonts w:eastAsiaTheme="minorEastAsia"/>
                              </w:rPr>
                              <w:t xml:space="preserve">Regulation (EU) 2017/2396 </w:t>
                            </w:r>
                          </w:p>
                          <w:p w:rsidR="0060634A" w:rsidRDefault="00F76D44">
                            <w:pPr>
                              <w:jc w:val="right"/>
                              <w:rPr>
                                <w:color w:val="FFFFFF" w:themeColor="background1"/>
                                <w:sz w:val="18"/>
                                <w:szCs w:val="20"/>
                              </w:rPr>
                            </w:pPr>
                            <w:r>
                              <w:rPr>
                                <w:color w:val="FFFFFF" w:themeColor="background1"/>
                                <w:sz w:val="14"/>
                                <w:szCs w:val="14"/>
                              </w:rPr>
                              <w:t xml:space="preserve"> of the European Parliament and of the Council</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056" type="#_x0000_t61" style="position:absolute;left:0;text-align:left;margin-left:28.25pt;margin-top:46.7pt;width:114.8pt;height:61.2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" adj="22487,6074" fillcolor="#28296e" stroked="f" strokeweight=".5pt">
                <v:textbox inset="2.5mm,1.3mm,2.5mm,1.3mm">
                  <w:txbxContent>
                    <w:p w:rsidR="0060634A" w:rsidRDefault="00F76D44">
                      <w:pPr>
                        <w:pStyle w:val="PPOsidebarLegalBasisBOXHeading"/>
                        <w:rPr>
                          <w:rFonts w:eastAsiaTheme="minorEastAsia"/>
                        </w:rPr>
                      </w:pPr>
                      <w:r>
                        <w:rPr>
                          <w:rFonts w:eastAsiaTheme="minorEastAsia"/>
                        </w:rPr>
                        <w:t>LEGAL BASIS</w:t>
                      </w:r>
                    </w:p>
                    <w:p w:rsidR="0060634A" w:rsidRDefault="00F76D44">
                      <w:pPr>
                        <w:pStyle w:val="PPOsidebarLegalBasisBOXtext"/>
                        <w:rPr>
                          <w:rFonts w:eastAsiaTheme="minorEastAsia"/>
                        </w:rPr>
                      </w:pPr>
                      <w:r>
                        <w:rPr>
                          <w:rFonts w:eastAsiaTheme="minorEastAsia"/>
                        </w:rPr>
                        <w:t xml:space="preserve">Regulation (EU) 2017/2396 </w:t>
                      </w:r>
                    </w:p>
                    <w:p w:rsidR="0060634A" w:rsidRDefault="00F76D44">
                      <w:pPr>
                        <w:jc w:val="right"/>
                        <w:rPr>
                          <w:color w:val="FFFFFF" w:themeColor="background1"/>
                          <w:sz w:val="18"/>
                          <w:szCs w:val="20"/>
                        </w:rPr>
                      </w:pPr>
                      <w:r>
                        <w:rPr>
                          <w:color w:val="FFFFFF" w:themeColor="background1"/>
                          <w:sz w:val="14"/>
                          <w:szCs w:val="14"/>
                        </w:rPr>
                        <w:t xml:space="preserve"> of the European Parliament and of the Council</w:t>
                      </w:r>
                    </w:p>
                  </w:txbxContent>
                </v:textbox>
                <w10:wrap type="topAndBottom" anchorx="page" anchory="page"/>
                <w10:anchorlock/>
              </v:shape>
            </w:pict>
          </mc:Fallback>
        </mc:AlternateContent>
      </w:r>
      <w:r>
        <w:rPr>
          <w:rFonts w:eastAsiaTheme="minorEastAsia"/>
        </w:rPr>
        <w:t>MORE INFORMATION</w:t>
      </w:r>
    </w:p>
    <w:p w:rsidR="0060634A" w:rsidRDefault="00F76D44">
      <w:pPr>
        <w:pStyle w:val="PPOsidebartext"/>
        <w:rPr>
          <w:rFonts w:eastAsiaTheme="minorEastAsia"/>
        </w:rPr>
      </w:pPr>
      <w:hyperlink r:id="rId108" w:history="1">
        <w:r>
          <w:rPr>
            <w:rStyle w:val="PPOChar-Hyperlink"/>
            <w:rFonts w:eastAsiaTheme="minorEastAsia"/>
          </w:rPr>
          <w:t>http://europa.eu/!kD37xn</w:t>
        </w:r>
      </w:hyperlink>
    </w:p>
    <w:p w:rsidR="0060634A" w:rsidRDefault="00F76D44">
      <w:pPr>
        <w:pStyle w:val="PPOsidebartext"/>
        <w:rPr>
          <w:rFonts w:eastAsiaTheme="minorEastAsia"/>
        </w:rPr>
      </w:pPr>
      <w:hyperlink r:id="rId109" w:history="1">
        <w:r>
          <w:rPr>
            <w:rStyle w:val="PPOChar-Hyperlink"/>
            <w:rFonts w:eastAsiaTheme="minorEastAsia"/>
          </w:rPr>
          <w:t>http://www.eib.org/efsi/index.htm</w:t>
        </w:r>
      </w:hyperlink>
    </w:p>
    <w:p w:rsidR="0060634A" w:rsidRDefault="00F76D44">
      <w:pPr>
        <w:pStyle w:val="PPO1AsidebarTitleBlue"/>
        <w:rPr>
          <w:rFonts w:eastAsiaTheme="minorEastAsia"/>
        </w:rPr>
      </w:pPr>
      <w:r>
        <w:rPr>
          <w:rFonts w:eastAsiaTheme="minorEastAsia"/>
        </w:rPr>
        <w:t>F</w:t>
      </w:r>
      <w:r>
        <w:rPr>
          <w:rFonts w:eastAsiaTheme="minorEastAsia"/>
        </w:rPr>
        <w:t>INANCIAL PROGRAMMING</w:t>
      </w:r>
    </w:p>
    <w:p w:rsidR="0060634A" w:rsidRDefault="00F76D44">
      <w:pPr>
        <w:pStyle w:val="PPO1AsidebarTablecaption"/>
      </w:pPr>
      <w:r>
        <w:t>(million EUR)</w:t>
      </w:r>
    </w:p>
    <w:tbl>
      <w:tblPr>
        <w:tblOverlap w:val="never"/>
        <w:tblW w:w="2296" w:type="dxa"/>
        <w:jc w:val="right"/>
        <w:tblLayout w:type="fixed"/>
        <w:tblCellMar>
          <w:top w:w="28" w:type="dxa"/>
          <w:left w:w="28" w:type="dxa"/>
          <w:bottom w:w="28" w:type="dxa"/>
          <w:right w:w="28" w:type="dxa"/>
        </w:tblCellMar>
        <w:tblLook w:val="0000" w:firstRow="0" w:lastRow="0" w:firstColumn="0" w:lastColumn="0" w:noHBand="0" w:noVBand="0"/>
      </w:tblPr>
      <w:tblGrid>
        <w:gridCol w:w="1134"/>
        <w:gridCol w:w="1162"/>
      </w:tblGrid>
      <w:tr w:rsidR="0060634A">
        <w:trPr>
          <w:trHeight w:hRule="exact" w:val="229"/>
          <w:jc w:val="right"/>
        </w:trPr>
        <w:tc>
          <w:tcPr>
            <w:tcW w:w="1134" w:type="dxa"/>
            <w:tcBorders>
              <w:bottom w:val="single" w:sz="6" w:space="0" w:color="FFFFFF" w:themeColor="background1"/>
            </w:tcBorders>
            <w:shd w:val="clear" w:color="auto" w:fill="DCE6F2"/>
            <w:vAlign w:val="center"/>
          </w:tcPr>
          <w:p w:rsidR="0060634A" w:rsidRDefault="00F76D44">
            <w:pPr>
              <w:pStyle w:val="PPOsidebarTabletext"/>
            </w:pPr>
            <w:r>
              <w:t>2015</w:t>
            </w:r>
          </w:p>
        </w:tc>
        <w:tc>
          <w:tcPr>
            <w:tcW w:w="1162" w:type="dxa"/>
            <w:shd w:val="clear" w:color="auto" w:fill="FFFFFF" w:themeFill="background1"/>
            <w:tcMar>
              <w:right w:w="284" w:type="dxa"/>
            </w:tcMar>
          </w:tcPr>
          <w:p w:rsidR="0060634A" w:rsidRDefault="00F76D44">
            <w:pPr>
              <w:pStyle w:val="PPOsidebarTabletext-rightaligned"/>
            </w:pPr>
            <w:r>
              <w:t>1</w:t>
            </w:r>
            <w:r>
              <w:rPr>
                <w:rFonts w:ascii="Calibri" w:hAnsi="Calibri" w:cs="Calibri"/>
              </w:rPr>
              <w:t> </w:t>
            </w:r>
            <w:r>
              <w:t>360.5</w:t>
            </w:r>
          </w:p>
        </w:tc>
      </w:tr>
      <w:tr w:rsidR="0060634A">
        <w:trPr>
          <w:trHeight w:hRule="exact" w:val="229"/>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2016</w:t>
            </w:r>
          </w:p>
        </w:tc>
        <w:tc>
          <w:tcPr>
            <w:tcW w:w="1162" w:type="dxa"/>
            <w:tcBorders>
              <w:top w:val="single" w:sz="4" w:space="0" w:color="auto"/>
            </w:tcBorders>
            <w:shd w:val="clear" w:color="auto" w:fill="FFFFFF" w:themeFill="background1"/>
            <w:tcMar>
              <w:right w:w="284" w:type="dxa"/>
            </w:tcMar>
          </w:tcPr>
          <w:p w:rsidR="0060634A" w:rsidRDefault="00F76D44">
            <w:pPr>
              <w:pStyle w:val="PPOsidebarTabletext-rightaligned"/>
            </w:pPr>
            <w:r>
              <w:t>2</w:t>
            </w:r>
            <w:r>
              <w:rPr>
                <w:rFonts w:ascii="Calibri" w:hAnsi="Calibri" w:cs="Calibri"/>
              </w:rPr>
              <w:t> </w:t>
            </w:r>
            <w:r>
              <w:t>128.9</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2017</w:t>
            </w:r>
          </w:p>
        </w:tc>
        <w:tc>
          <w:tcPr>
            <w:tcW w:w="1162" w:type="dxa"/>
            <w:tcBorders>
              <w:top w:val="single" w:sz="4" w:space="0" w:color="auto"/>
            </w:tcBorders>
            <w:shd w:val="clear" w:color="auto" w:fill="FFFFFF" w:themeFill="background1"/>
            <w:tcMar>
              <w:right w:w="284" w:type="dxa"/>
            </w:tcMar>
          </w:tcPr>
          <w:p w:rsidR="0060634A" w:rsidRDefault="00F76D44">
            <w:pPr>
              <w:pStyle w:val="PPOsidebarTabletext-rightaligned"/>
            </w:pPr>
            <w:r>
              <w:t>2</w:t>
            </w:r>
            <w:r>
              <w:rPr>
                <w:rFonts w:ascii="Calibri" w:hAnsi="Calibri" w:cs="Calibri"/>
              </w:rPr>
              <w:t> </w:t>
            </w:r>
            <w:r>
              <w:t>661.1</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2018</w:t>
            </w:r>
          </w:p>
        </w:tc>
        <w:tc>
          <w:tcPr>
            <w:tcW w:w="1162" w:type="dxa"/>
            <w:tcBorders>
              <w:top w:val="single" w:sz="4" w:space="0" w:color="auto"/>
            </w:tcBorders>
            <w:shd w:val="clear" w:color="auto" w:fill="FFFFFF" w:themeFill="background1"/>
            <w:tcMar>
              <w:right w:w="284" w:type="dxa"/>
            </w:tcMar>
          </w:tcPr>
          <w:p w:rsidR="0060634A" w:rsidRDefault="00F76D44">
            <w:pPr>
              <w:pStyle w:val="PPOsidebarTabletext-rightaligned"/>
            </w:pPr>
            <w:r>
              <w:t>2</w:t>
            </w:r>
            <w:r>
              <w:rPr>
                <w:rFonts w:ascii="Calibri" w:hAnsi="Calibri" w:cs="Calibri"/>
              </w:rPr>
              <w:t> </w:t>
            </w:r>
            <w:r>
              <w:t>038.3</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2019</w:t>
            </w:r>
          </w:p>
        </w:tc>
        <w:tc>
          <w:tcPr>
            <w:tcW w:w="1162" w:type="dxa"/>
            <w:tcBorders>
              <w:top w:val="single" w:sz="4" w:space="0" w:color="auto"/>
            </w:tcBorders>
            <w:shd w:val="clear" w:color="auto" w:fill="FFFFFF" w:themeFill="background1"/>
            <w:tcMar>
              <w:right w:w="284" w:type="dxa"/>
            </w:tcMar>
          </w:tcPr>
          <w:p w:rsidR="0060634A" w:rsidRDefault="00F76D44">
            <w:pPr>
              <w:pStyle w:val="PPOsidebarTabletext-rightaligned"/>
            </w:pPr>
            <w:r>
              <w:t>186.9</w:t>
            </w:r>
          </w:p>
        </w:tc>
      </w:tr>
      <w:tr w:rsidR="0060634A">
        <w:trPr>
          <w:trHeight w:hRule="exact" w:val="225"/>
          <w:jc w:val="right"/>
        </w:trPr>
        <w:tc>
          <w:tcPr>
            <w:tcW w:w="1134" w:type="dxa"/>
            <w:tcBorders>
              <w:top w:val="single" w:sz="6" w:space="0" w:color="FFFFFF" w:themeColor="background1"/>
            </w:tcBorders>
            <w:shd w:val="clear" w:color="auto" w:fill="DCE6F2"/>
            <w:vAlign w:val="center"/>
          </w:tcPr>
          <w:p w:rsidR="0060634A" w:rsidRDefault="00F76D44">
            <w:pPr>
              <w:pStyle w:val="PPOsidebarTabletext"/>
            </w:pPr>
            <w:r>
              <w:t>2020</w:t>
            </w:r>
          </w:p>
        </w:tc>
        <w:tc>
          <w:tcPr>
            <w:tcW w:w="1162" w:type="dxa"/>
            <w:tcBorders>
              <w:top w:val="single" w:sz="4" w:space="0" w:color="auto"/>
            </w:tcBorders>
            <w:shd w:val="clear" w:color="auto" w:fill="FFFFFF" w:themeFill="background1"/>
            <w:tcMar>
              <w:right w:w="284" w:type="dxa"/>
            </w:tcMar>
          </w:tcPr>
          <w:p w:rsidR="0060634A" w:rsidRDefault="00F76D44">
            <w:pPr>
              <w:pStyle w:val="PPOsidebarTabletext-rightaligned"/>
            </w:pPr>
            <w:r>
              <w:t>172.9</w:t>
            </w:r>
          </w:p>
        </w:tc>
      </w:tr>
      <w:tr w:rsidR="0060634A">
        <w:trPr>
          <w:trHeight w:hRule="exact" w:val="258"/>
          <w:jc w:val="right"/>
        </w:trPr>
        <w:tc>
          <w:tcPr>
            <w:tcW w:w="1134" w:type="dxa"/>
            <w:shd w:val="clear" w:color="auto" w:fill="00ADDC"/>
            <w:vAlign w:val="center"/>
          </w:tcPr>
          <w:p w:rsidR="0060634A" w:rsidRDefault="00F76D44">
            <w:pPr>
              <w:pStyle w:val="PPOsidebarTabletext"/>
            </w:pPr>
            <w:r>
              <w:t>Total</w:t>
            </w:r>
          </w:p>
        </w:tc>
        <w:tc>
          <w:tcPr>
            <w:tcW w:w="1162" w:type="dxa"/>
            <w:tcBorders>
              <w:top w:val="single" w:sz="4" w:space="0" w:color="auto"/>
            </w:tcBorders>
            <w:shd w:val="clear" w:color="auto" w:fill="FFFFFF" w:themeFill="background1"/>
            <w:tcMar>
              <w:right w:w="284" w:type="dxa"/>
            </w:tcMar>
          </w:tcPr>
          <w:p w:rsidR="0060634A" w:rsidRDefault="00F76D44">
            <w:pPr>
              <w:pStyle w:val="PPOsidebarTabletext-rightaligned"/>
            </w:pPr>
            <w:r>
              <w:t>8</w:t>
            </w:r>
            <w:r>
              <w:rPr>
                <w:rFonts w:ascii="Calibri" w:hAnsi="Calibri" w:cs="Calibri"/>
              </w:rPr>
              <w:t> </w:t>
            </w:r>
            <w:r>
              <w:t>548.5</w:t>
            </w:r>
          </w:p>
        </w:tc>
      </w:tr>
    </w:tbl>
    <w:p w:rsidR="0060634A" w:rsidRDefault="00F76D44">
      <w:pPr>
        <w:pStyle w:val="PPO1AsidebarTitleBlue"/>
        <w:rPr>
          <w:rFonts w:eastAsiaTheme="minorEastAsia"/>
        </w:rPr>
      </w:pPr>
      <w:r>
        <w:rPr>
          <w:rFonts w:eastAsiaTheme="minorEastAsia"/>
          <w:lang w:val="fr-BE" w:eastAsia="fr-BE"/>
        </w:rPr>
        <mc:AlternateContent>
          <mc:Choice Requires="wpg">
            <w:drawing>
              <wp:anchor distT="0" distB="0" distL="114300" distR="114300" simplePos="0" relativeHeight="251609088" behindDoc="1" locked="1" layoutInCell="1" allowOverlap="1">
                <wp:simplePos x="0" y="0"/>
                <wp:positionH relativeFrom="column">
                  <wp:posOffset>-264795</wp:posOffset>
                </wp:positionH>
                <wp:positionV relativeFrom="paragraph">
                  <wp:posOffset>518160</wp:posOffset>
                </wp:positionV>
                <wp:extent cx="1871980" cy="1454150"/>
                <wp:effectExtent l="0" t="0" r="0" b="0"/>
                <wp:wrapSquare wrapText="bothSides"/>
                <wp:docPr id="309" name="Group 309"/>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310" name="Chart 310"/>
                        <wpg:cNvFrPr/>
                        <wpg:xfrm>
                          <a:off x="461310" y="264194"/>
                          <a:ext cx="2492055" cy="1453317"/>
                        </wpg:xfrm>
                        <a:graphic>
                          <a:graphicData uri="http://schemas.openxmlformats.org/drawingml/2006/chart">
                            <c:chart xmlns:c="http://schemas.openxmlformats.org/drawingml/2006/chart" xmlns:r="http://schemas.openxmlformats.org/officeDocument/2006/relationships" r:id="rId110"/>
                          </a:graphicData>
                        </a:graphic>
                      </wpg:graphicFrame>
                      <wps:wsp>
                        <wps:cNvPr id="311" name="Text Box 2"/>
                        <wps:cNvSpPr txBox="1">
                          <a:spLocks noChangeArrowheads="1"/>
                        </wps:cNvSpPr>
                        <wps:spPr bwMode="auto">
                          <a:xfrm>
                            <a:off x="1269602" y="674476"/>
                            <a:ext cx="1276742" cy="600139"/>
                          </a:xfrm>
                          <a:prstGeom prst="rect">
                            <a:avLst/>
                          </a:prstGeom>
                          <a:noFill/>
                          <a:ln w="9525">
                            <a:noFill/>
                            <a:miter lim="800000"/>
                            <a:headEnd/>
                            <a:tailEnd/>
                          </a:ln>
                        </wps:spPr>
                        <wps:txbx>
                          <w:txbxContent>
                            <w:p w:rsidR="0060634A" w:rsidRDefault="00F76D44">
                              <w:pPr>
                                <w:pStyle w:val="PPO1AsidebarchartCenterText"/>
                                <w:rPr>
                                  <w:rFonts w:eastAsiaTheme="minorEastAsia"/>
                                </w:rPr>
                              </w:pPr>
                              <w:r>
                                <w:rPr>
                                  <w:rFonts w:eastAsiaTheme="minorEastAsia"/>
                                </w:rPr>
                                <w:t>EUR</w:t>
                              </w:r>
                              <w:r>
                                <w:rPr>
                                  <w:rFonts w:ascii="Calibri" w:eastAsiaTheme="minorEastAsia" w:hAnsi="Calibri" w:cs="Calibri"/>
                                </w:rPr>
                                <w:t xml:space="preserve"> </w:t>
                              </w:r>
                              <w:r>
                                <w:rPr>
                                  <w:rFonts w:ascii="Calibri" w:eastAsiaTheme="minorEastAsia" w:hAnsi="Calibri" w:cs="Calibri"/>
                                </w:rPr>
                                <w:br/>
                              </w:r>
                              <w:r>
                                <w:rPr>
                                  <w:rFonts w:eastAsiaTheme="minorEastAsia"/>
                                  <w:b/>
                                </w:rPr>
                                <w:t>8</w:t>
                              </w:r>
                              <w:r>
                                <w:rPr>
                                  <w:rFonts w:ascii="Calibri" w:eastAsiaTheme="minorEastAsia" w:hAnsi="Calibri" w:cs="Calibri"/>
                                  <w:b/>
                                </w:rPr>
                                <w:t> </w:t>
                              </w:r>
                              <w:r>
                                <w:rPr>
                                  <w:rFonts w:eastAsiaTheme="minorEastAsia"/>
                                  <w:b/>
                                </w:rPr>
                                <w:t>548.5</w:t>
                              </w:r>
                              <w:r>
                                <w:rPr>
                                  <w:rFonts w:ascii="Calibri" w:eastAsiaTheme="minorEastAsia" w:hAnsi="Calibri" w:cs="Calibri"/>
                                </w:rPr>
                                <w:t xml:space="preserve"> </w:t>
                              </w:r>
                              <w:r>
                                <w:rPr>
                                  <w:rFonts w:ascii="Calibri" w:eastAsiaTheme="minorEastAsia" w:hAnsi="Calibri" w:cs="Calibri"/>
                                </w:rPr>
                                <w:br/>
                              </w:r>
                              <w:r>
                                <w:rPr>
                                  <w:rFonts w:eastAsiaTheme="minorEastAsia"/>
                                </w:rPr>
                                <w:t>million</w:t>
                              </w:r>
                            </w:p>
                          </w:txbxContent>
                        </wps:txbx>
                        <wps:bodyPr rot="0" vert="horz" wrap="square" lIns="91440" tIns="45720" rIns="91440" bIns="45720" anchor="t" anchorCtr="0">
                          <a:noAutofit/>
                        </wps:bodyPr>
                      </wps:wsp>
                      <wps:wsp>
                        <wps:cNvPr id="312" name="Text Box 2"/>
                        <wps:cNvSpPr txBox="1">
                          <a:spLocks noChangeArrowheads="1"/>
                        </wps:cNvSpPr>
                        <wps:spPr bwMode="auto">
                          <a:xfrm>
                            <a:off x="985910" y="766059"/>
                            <a:ext cx="700344" cy="229870"/>
                          </a:xfrm>
                          <a:prstGeom prst="rect">
                            <a:avLst/>
                          </a:prstGeom>
                          <a:noFill/>
                          <a:ln w="9525">
                            <a:noFill/>
                            <a:miter lim="800000"/>
                            <a:headEnd/>
                            <a:tailEnd/>
                          </a:ln>
                        </wps:spPr>
                        <wps:txbx>
                          <w:txbxContent>
                            <w:p w:rsidR="0060634A" w:rsidRDefault="00F76D44">
                              <w:pPr>
                                <w:spacing w:after="120"/>
                                <w:jc w:val="center"/>
                                <w:rPr>
                                  <w:color w:val="00ADDC"/>
                                  <w:lang w:val="fr-BE"/>
                                </w:rPr>
                              </w:pPr>
                              <w:r>
                                <w:rPr>
                                  <w:b/>
                                  <w:color w:val="00ADDC"/>
                                  <w:lang w:val="fr-BE"/>
                                </w:rPr>
                                <w:t>76%%</w:t>
                              </w:r>
                            </w:p>
                          </w:txbxContent>
                        </wps:txbx>
                        <wps:bodyPr rot="0" vert="horz" wrap="square" lIns="91440" tIns="45720" rIns="91440" bIns="45720" anchor="t" anchorCtr="0">
                          <a:noAutofit/>
                        </wps:bodyPr>
                      </wps:wsp>
                      <wps:wsp>
                        <wps:cNvPr id="313" name="Text Box 2"/>
                        <wps:cNvSpPr txBox="1">
                          <a:spLocks noChangeArrowheads="1"/>
                        </wps:cNvSpPr>
                        <wps:spPr bwMode="auto">
                          <a:xfrm>
                            <a:off x="592853" y="1338995"/>
                            <a:ext cx="741153" cy="266066"/>
                          </a:xfrm>
                          <a:prstGeom prst="rect">
                            <a:avLst/>
                          </a:prstGeom>
                          <a:noFill/>
                          <a:ln w="9525">
                            <a:noFill/>
                            <a:miter lim="800000"/>
                            <a:headEnd/>
                            <a:tailEnd/>
                          </a:ln>
                        </wps:spPr>
                        <wps:txbx>
                          <w:txbxContent>
                            <w:p w:rsidR="0060634A" w:rsidRDefault="00F76D44">
                              <w:pPr>
                                <w:spacing w:after="120"/>
                                <w:jc w:val="center"/>
                                <w:rPr>
                                  <w:color w:val="28296E"/>
                                  <w:lang w:val="fr-BE"/>
                                </w:rPr>
                              </w:pPr>
                              <w:r>
                                <w:rPr>
                                  <w:b/>
                                  <w:color w:val="28296E"/>
                                  <w:lang w:val="fr-BE"/>
                                </w:rPr>
                                <w:t>98%%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09" o:spid="_x0000_s1057" style="position:absolute;left:0;text-align:left;margin-left:-20.85pt;margin-top:40.8pt;width:147.4pt;height:114.5pt;z-index:-251707392;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AoAAAAAAAAAIQDqlZKRtSIAALUiAAAtAAAAZHJzL2VtYmVkZGlu&#10;Z3MvTWljcm9zb2Z0X0V4Y2VsX1dvcmtzaGVldC54bHN4UEsDBBQABgAIAAAAIQDdK4tYbAEAABAF&#10;AAATAAgCW0NvbnRlbnRfVHlwZXNdLnhtbC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">
                <v:shape id="Chart 310" o:spid="_x0000_s1058"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">
                  <v:imagedata r:id="rId111" o:title=""/>
                  <o:lock v:ext="edit" aspectratio="f"/>
                </v:shape>
                <v:shape id="_x0000_s1059" type="#_x0000_t202" style="position:absolute;left:12696;top:6744;width:12767;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rsidR="0060634A" w:rsidRDefault="00F76D44">
                        <w:pPr>
                          <w:pStyle w:val="PPO1AsidebarchartCenterText"/>
                          <w:rPr>
                            <w:rFonts w:eastAsiaTheme="minorEastAsia"/>
                          </w:rPr>
                        </w:pPr>
                        <w:r>
                          <w:rPr>
                            <w:rFonts w:eastAsiaTheme="minorEastAsia"/>
                          </w:rPr>
                          <w:t>EUR</w:t>
                        </w:r>
                        <w:r>
                          <w:rPr>
                            <w:rFonts w:ascii="Calibri" w:eastAsiaTheme="minorEastAsia" w:hAnsi="Calibri" w:cs="Calibri"/>
                          </w:rPr>
                          <w:t xml:space="preserve"> </w:t>
                        </w:r>
                        <w:r>
                          <w:rPr>
                            <w:rFonts w:ascii="Calibri" w:eastAsiaTheme="minorEastAsia" w:hAnsi="Calibri" w:cs="Calibri"/>
                          </w:rPr>
                          <w:br/>
                        </w:r>
                        <w:r>
                          <w:rPr>
                            <w:rFonts w:eastAsiaTheme="minorEastAsia"/>
                            <w:b/>
                          </w:rPr>
                          <w:t>8</w:t>
                        </w:r>
                        <w:r>
                          <w:rPr>
                            <w:rFonts w:ascii="Calibri" w:eastAsiaTheme="minorEastAsia" w:hAnsi="Calibri" w:cs="Calibri"/>
                            <w:b/>
                          </w:rPr>
                          <w:t> </w:t>
                        </w:r>
                        <w:r>
                          <w:rPr>
                            <w:rFonts w:eastAsiaTheme="minorEastAsia"/>
                            <w:b/>
                          </w:rPr>
                          <w:t>548.5</w:t>
                        </w:r>
                        <w:r>
                          <w:rPr>
                            <w:rFonts w:ascii="Calibri" w:eastAsiaTheme="minorEastAsia" w:hAnsi="Calibri" w:cs="Calibri"/>
                          </w:rPr>
                          <w:t xml:space="preserve"> </w:t>
                        </w:r>
                        <w:r>
                          <w:rPr>
                            <w:rFonts w:ascii="Calibri" w:eastAsiaTheme="minorEastAsia" w:hAnsi="Calibri" w:cs="Calibri"/>
                          </w:rPr>
                          <w:br/>
                        </w:r>
                        <w:r>
                          <w:rPr>
                            <w:rFonts w:eastAsiaTheme="minorEastAsia"/>
                          </w:rPr>
                          <w:t>million</w:t>
                        </w:r>
                      </w:p>
                    </w:txbxContent>
                  </v:textbox>
                </v:shape>
                <v:shape id="_x0000_s1060" type="#_x0000_t202" style="position:absolute;left:9859;top:7660;width:7003;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rsidR="0060634A" w:rsidRDefault="00F76D44">
                        <w:pPr>
                          <w:spacing w:after="120"/>
                          <w:jc w:val="center"/>
                          <w:rPr>
                            <w:color w:val="00ADDC"/>
                            <w:lang w:val="fr-BE"/>
                          </w:rPr>
                        </w:pPr>
                        <w:r>
                          <w:rPr>
                            <w:b/>
                            <w:color w:val="00ADDC"/>
                            <w:lang w:val="fr-BE"/>
                          </w:rPr>
                          <w:t>76%%</w:t>
                        </w:r>
                      </w:p>
                    </w:txbxContent>
                  </v:textbox>
                </v:shape>
                <v:shape id="_x0000_s1061" type="#_x0000_t202" style="position:absolute;left:5928;top:13389;width:741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rsidR="0060634A" w:rsidRDefault="00F76D44">
                        <w:pPr>
                          <w:spacing w:after="120"/>
                          <w:jc w:val="center"/>
                          <w:rPr>
                            <w:color w:val="28296E"/>
                            <w:lang w:val="fr-BE"/>
                          </w:rPr>
                        </w:pPr>
                        <w:r>
                          <w:rPr>
                            <w:b/>
                            <w:color w:val="28296E"/>
                            <w:lang w:val="fr-BE"/>
                          </w:rPr>
                          <w:t>98%%</w:t>
                        </w:r>
                      </w:p>
                    </w:txbxContent>
                  </v:textbox>
                </v:shape>
                <w10:wrap type="square"/>
                <w10:anchorlock/>
              </v:group>
              <o:OLEObject Type="Embed" ProgID="Excel.Chart.8" ShapeID="Chart 310" DrawAspect="Content" ObjectID="_1654495725" r:id="rId112">
                <o:FieldCodes>\s</o:FieldCodes>
              </o:OLEObject>
            </w:pict>
          </mc:Fallback>
        </mc:AlternateContent>
      </w:r>
      <w:r>
        <w:rPr>
          <w:rFonts w:eastAsiaTheme="minorEastAsia"/>
        </w:rPr>
        <w:t xml:space="preserve">OVERALL EXECUTION </w:t>
      </w:r>
      <w:r>
        <w:rPr>
          <w:rFonts w:eastAsiaTheme="minorEastAsia"/>
        </w:rPr>
        <w:br/>
        <w:t xml:space="preserve">(2014-2019) </w:t>
      </w:r>
    </w:p>
    <w:p w:rsidR="0060634A" w:rsidRDefault="00F76D44">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611136" behindDoc="0" locked="1" layoutInCell="1" allowOverlap="1">
                <wp:simplePos x="0" y="0"/>
                <wp:positionH relativeFrom="page">
                  <wp:posOffset>2242185</wp:posOffset>
                </wp:positionH>
                <wp:positionV relativeFrom="page">
                  <wp:posOffset>6400165</wp:posOffset>
                </wp:positionV>
                <wp:extent cx="2437130" cy="2209165"/>
                <wp:effectExtent l="0" t="0" r="1270" b="635"/>
                <wp:wrapTopAndBottom/>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209165"/>
                        </a:xfrm>
                        <a:prstGeom prst="rect">
                          <a:avLst/>
                        </a:prstGeom>
                        <a:solidFill>
                          <a:srgbClr val="FFFFFF"/>
                        </a:solidFill>
                        <a:ln w="9525">
                          <a:noFill/>
                          <a:miter lim="800000"/>
                          <a:headEnd/>
                          <a:tailEnd/>
                        </a:ln>
                      </wps:spPr>
                      <wps:txbx id="22">
                        <w:txbxContent>
                          <w:p w:rsidR="0060634A" w:rsidRDefault="00F76D44">
                            <w:pPr>
                              <w:pStyle w:val="PPOTitle3-nospacebefore"/>
                            </w:pPr>
                            <w:r>
                              <w:t>Why is it necessary?</w:t>
                            </w:r>
                          </w:p>
                          <w:p w:rsidR="0060634A" w:rsidRDefault="00F76D44">
                            <w:pPr>
                              <w:pStyle w:val="PPObodyText"/>
                            </w:pPr>
                            <w:r>
                              <w:t>The investment plan for Europe focuses on removing obstacles to investment, providing visibility and technical assistance to investment projects and making smarter use of new and existing financial resources. The EFSI aims to overcome current market failur</w:t>
                            </w:r>
                            <w:r>
                              <w:t xml:space="preserve">es by addressing market gaps and mobilising private investment. Action at the EU level will allow for economies of scale in the use of the EU budget funds in combination with the European Investment Bank Group financing by catalysing private investment in </w:t>
                            </w:r>
                            <w:r>
                              <w:t>the whole of the EU and making best use of the European institutions and their expertise and knowledge for that purpose. The multiplier effect and the impact on the ground will thus be much higher than could be achieved by an investment offensive in a sing</w:t>
                            </w:r>
                            <w:r>
                              <w:t xml:space="preserve">le Member State or a group of Member States. In the past years, the EFSI has effectively increased access to financing and mobilised private capital: as of the end of December 2019, more than two thirds of investments came from private sources. </w:t>
                            </w:r>
                          </w:p>
                          <w:p w:rsidR="0060634A" w:rsidRDefault="00F76D44">
                            <w:pPr>
                              <w:pStyle w:val="PPOTitle3"/>
                            </w:pPr>
                            <w:r>
                              <w:t>Outlook fo</w:t>
                            </w:r>
                            <w:r>
                              <w:t>r the 2021-2027 period</w:t>
                            </w:r>
                          </w:p>
                          <w:p w:rsidR="0060634A" w:rsidRDefault="00F76D44">
                            <w:pPr>
                              <w:pStyle w:val="PPObodyText"/>
                            </w:pPr>
                            <w:r>
                              <w:t>Based on the positive experiences and successes of the EFSI, the Commission proposed a new investment support programme, called InvestEU. It will aim to address investment gaps for the next multiannual financial framework.</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76.55pt;margin-top:503.95pt;width:191.9pt;height:173.95pt;z-index:2516111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" stroked="f">
                <v:textbox style="mso-next-textbox:#Text Box 317" inset="0">
                  <w:txbxContent>
                    <w:p w:rsidR="0060634A" w:rsidRDefault="00F76D44">
                      <w:pPr>
                        <w:pStyle w:val="PPOTitle3-nospacebefore"/>
                      </w:pPr>
                      <w:r>
                        <w:t>Why is it necessary?</w:t>
                      </w:r>
                    </w:p>
                    <w:p w:rsidR="0060634A" w:rsidRDefault="00F76D44">
                      <w:pPr>
                        <w:pStyle w:val="PPObodyText"/>
                      </w:pPr>
                      <w:r>
                        <w:t>The investment plan for Europe focuses on removing obstacles to investment, providing visibility and technical assistance to investment projects and making smarter use of new and existing financial resources. The EFSI aims to overcome current market failur</w:t>
                      </w:r>
                      <w:r>
                        <w:t xml:space="preserve">es by addressing market gaps and mobilising private investment. Action at the EU level will allow for economies of scale in the use of the EU budget funds in combination with the European Investment Bank Group financing by catalysing private investment in </w:t>
                      </w:r>
                      <w:r>
                        <w:t>the whole of the EU and making best use of the European institutions and their expertise and knowledge for that purpose. The multiplier effect and the impact on the ground will thus be much higher than could be achieved by an investment offensive in a sing</w:t>
                      </w:r>
                      <w:r>
                        <w:t xml:space="preserve">le Member State or a group of Member States. In the past years, the EFSI has effectively increased access to financing and mobilised private capital: as of the end of December 2019, more than two thirds of investments came from private sources. </w:t>
                      </w:r>
                    </w:p>
                    <w:p w:rsidR="0060634A" w:rsidRDefault="00F76D44">
                      <w:pPr>
                        <w:pStyle w:val="PPOTitle3"/>
                      </w:pPr>
                      <w:r>
                        <w:t>Outlook fo</w:t>
                      </w:r>
                      <w:r>
                        <w:t>r the 2021-2027 period</w:t>
                      </w:r>
                    </w:p>
                    <w:p w:rsidR="0060634A" w:rsidRDefault="00F76D44">
                      <w:pPr>
                        <w:pStyle w:val="PPObodyText"/>
                      </w:pPr>
                      <w:r>
                        <w:t>Based on the positive experiences and successes of the EFSI, the Commission proposed a new investment support programme, called InvestEU. It will aim to address investment gaps for the next multiannual financial framework.</w:t>
                      </w:r>
                    </w:p>
                  </w:txbxContent>
                </v:textbox>
                <w10:wrap type="topAndBottom" anchorx="page" anchory="page"/>
                <w10:anchorlock/>
              </v:shape>
            </w:pict>
          </mc:Fallback>
        </mc:AlternateContent>
      </w:r>
    </w:p>
    <w:p w:rsidR="0060634A" w:rsidRDefault="00F76D44">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610112" behindDoc="0" locked="1" layoutInCell="1" allowOverlap="1">
                <wp:simplePos x="0" y="0"/>
                <wp:positionH relativeFrom="column">
                  <wp:posOffset>539750</wp:posOffset>
                </wp:positionH>
                <wp:positionV relativeFrom="paragraph">
                  <wp:posOffset>1270</wp:posOffset>
                </wp:positionV>
                <wp:extent cx="115200" cy="115200"/>
                <wp:effectExtent l="0" t="0" r="0" b="0"/>
                <wp:wrapNone/>
                <wp:docPr id="315" name="Oval 315"/>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00AD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CE03F2" id="Oval 315" o:spid="_x0000_s1026" style="position:absolute;margin-left:42.5pt;margin-top:.1pt;width:9.05pt;height:9.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" fillcolor="#00addc" stroked="f" strokeweight="1pt">
                <v:stroke joinstyle="miter"/>
                <w10:anchorlock/>
              </v:oval>
            </w:pict>
          </mc:Fallback>
        </mc:AlternateContent>
      </w:r>
      <w:r>
        <w:rPr>
          <w:rFonts w:eastAsiaTheme="minorEastAsia"/>
          <w:lang w:val="fr-BE" w:eastAsia="fr-BE"/>
        </w:rPr>
        <w:drawing>
          <wp:anchor distT="0" distB="0" distL="114300" distR="114300" simplePos="0" relativeHeight="251607040" behindDoc="1" locked="1" layoutInCell="1" allowOverlap="1">
            <wp:simplePos x="0" y="0"/>
            <wp:positionH relativeFrom="page">
              <wp:posOffset>-415925</wp:posOffset>
            </wp:positionH>
            <wp:positionV relativeFrom="paragraph">
              <wp:posOffset>-1602105</wp:posOffset>
            </wp:positionV>
            <wp:extent cx="3412800" cy="1990800"/>
            <wp:effectExtent l="0" t="0" r="0" b="0"/>
            <wp:wrapNone/>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608064" behindDoc="0" locked="1" layoutInCell="1" allowOverlap="1">
                <wp:simplePos x="0" y="0"/>
                <wp:positionH relativeFrom="column">
                  <wp:posOffset>539750</wp:posOffset>
                </wp:positionH>
                <wp:positionV relativeFrom="paragraph">
                  <wp:posOffset>195580</wp:posOffset>
                </wp:positionV>
                <wp:extent cx="115200" cy="115200"/>
                <wp:effectExtent l="0" t="0" r="0" b="0"/>
                <wp:wrapNone/>
                <wp:docPr id="316" name="Oval 316"/>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3F8D3E" id="Oval 316" o:spid="_x0000_s1026" style="position:absolute;margin-left:42.5pt;margin-top:15.4pt;width:9.05pt;height:9.0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" fillcolor="#28296e" stroked="f" strokeweight="1pt">
                <v:stroke joinstyle="miter"/>
                <w10:anchorlock/>
              </v:oval>
            </w:pict>
          </mc:Fallback>
        </mc:AlternateContent>
      </w:r>
      <w:r>
        <w:rPr>
          <w:rFonts w:eastAsiaTheme="minorEastAsia"/>
        </w:rPr>
        <w:t>Payments</w:t>
      </w:r>
    </w:p>
    <w:p w:rsidR="0060634A" w:rsidRDefault="00F76D44">
      <w:pPr>
        <w:pStyle w:val="PPOsidebarchartLegends"/>
        <w:rPr>
          <w:rFonts w:eastAsiaTheme="minorEastAsia"/>
        </w:rPr>
      </w:pPr>
      <w:r>
        <w:rPr>
          <w:rFonts w:eastAsiaTheme="minorEastAsia"/>
        </w:rPr>
        <w:t>Commitments</w:t>
      </w:r>
    </w:p>
    <w:p w:rsidR="0060634A" w:rsidRDefault="00F76D44">
      <w:pPr>
        <w:pStyle w:val="PPO1AsidebarTitleLightBlue"/>
        <w:rPr>
          <w:rFonts w:eastAsiaTheme="minorEastAsia"/>
        </w:rPr>
      </w:pPr>
      <w:r>
        <w:rPr>
          <w:rFonts w:eastAsiaTheme="minorEastAsia"/>
        </w:rPr>
        <w:t>Evaluations/</w:t>
      </w:r>
      <w:r>
        <w:rPr>
          <w:rFonts w:eastAsiaTheme="minorEastAsia"/>
        </w:rPr>
        <w:br/>
        <w:t xml:space="preserve">studies conducted </w:t>
      </w:r>
    </w:p>
    <w:p w:rsidR="0060634A" w:rsidRDefault="00F76D44">
      <w:pPr>
        <w:pStyle w:val="PPOsidebartext"/>
        <w:rPr>
          <w:rFonts w:eastAsiaTheme="minorEastAsia"/>
        </w:rPr>
      </w:pPr>
      <w:r>
        <w:rPr>
          <w:rFonts w:eastAsiaTheme="minorEastAsia"/>
        </w:rPr>
        <w:t xml:space="preserve">An independent evaluation of the EFSI was carried out in 2018. </w:t>
      </w:r>
    </w:p>
    <w:p w:rsidR="0060634A" w:rsidRDefault="00F76D44">
      <w:pPr>
        <w:pStyle w:val="PPOsidebartext"/>
        <w:rPr>
          <w:rFonts w:eastAsiaTheme="minorEastAsia"/>
        </w:rPr>
      </w:pPr>
      <w:r>
        <w:rPr>
          <w:rFonts w:eastAsiaTheme="minorEastAsia"/>
        </w:rPr>
        <w:t>For further information please</w:t>
      </w:r>
      <w:r>
        <w:rPr>
          <w:rFonts w:ascii="Calibri" w:eastAsiaTheme="minorEastAsia" w:hAnsi="Calibri" w:cs="Calibri"/>
        </w:rPr>
        <w:t> </w:t>
      </w:r>
      <w:r>
        <w:rPr>
          <w:rFonts w:eastAsiaTheme="minorEastAsia"/>
        </w:rPr>
        <w:t>consult:</w:t>
      </w:r>
      <w:r>
        <w:rPr>
          <w:rFonts w:eastAsiaTheme="minorEastAsia"/>
        </w:rPr>
        <w:br/>
      </w:r>
      <w:hyperlink r:id="rId114">
        <w:r>
          <w:rPr>
            <w:rStyle w:val="PPOChar-Hyperlink"/>
            <w:rFonts w:eastAsiaTheme="minorEastAsia"/>
          </w:rPr>
          <w:t>https://europa.eu/!YK63VR</w:t>
        </w:r>
      </w:hyperlink>
    </w:p>
    <w:p w:rsidR="0060634A" w:rsidRDefault="00F76D44">
      <w:pPr>
        <w:pStyle w:val="PPO1AsidebarTitleLightBlue"/>
        <w:rPr>
          <w:rFonts w:eastAsiaTheme="minorEastAsia"/>
        </w:rPr>
      </w:pPr>
      <w:r>
        <w:rPr>
          <w:rFonts w:eastAsiaTheme="minorEastAsia"/>
        </w:rPr>
        <w:t>How is it implemented?</w:t>
      </w:r>
    </w:p>
    <w:tbl>
      <w:tblPr>
        <w:tblStyle w:val="TableGrid"/>
        <w:tblpPr w:vertAnchor="page" w:horzAnchor="page" w:tblpX="3544" w:tblpY="13586"/>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bottom w:w="57" w:type="dxa"/>
          <w:right w:w="0" w:type="dxa"/>
        </w:tblCellMar>
        <w:tblLook w:val="04A0" w:firstRow="1" w:lastRow="0" w:firstColumn="1" w:lastColumn="0" w:noHBand="0" w:noVBand="1"/>
      </w:tblPr>
      <w:tblGrid>
        <w:gridCol w:w="3471"/>
        <w:gridCol w:w="850"/>
        <w:gridCol w:w="3471"/>
      </w:tblGrid>
      <w:tr w:rsidR="0060634A">
        <w:trPr>
          <w:cantSplit/>
        </w:trPr>
        <w:tc>
          <w:tcPr>
            <w:tcW w:w="7792" w:type="dxa"/>
            <w:gridSpan w:val="3"/>
            <w:vAlign w:val="center"/>
          </w:tcPr>
          <w:p w:rsidR="0060634A" w:rsidRDefault="00F76D44">
            <w:pPr>
              <w:pStyle w:val="PPOTitle3-nospacebefore"/>
              <w:rPr>
                <w:rFonts w:eastAsiaTheme="minorEastAsia"/>
                <w:lang w:val="en-GB"/>
              </w:rPr>
            </w:pPr>
            <w:r>
              <w:rPr>
                <w:rFonts w:eastAsiaTheme="minorEastAsia"/>
                <w:lang w:val="en-GB"/>
              </w:rPr>
              <w:t>Voted</w:t>
            </w:r>
            <w:r>
              <w:rPr>
                <w:rFonts w:eastAsiaTheme="minorEastAsia"/>
                <w:lang w:val="en-GB"/>
              </w:rPr>
              <w:t xml:space="preserve"> budget execution (in million EUR)</w:t>
            </w:r>
          </w:p>
        </w:tc>
      </w:tr>
      <w:tr w:rsidR="0060634A">
        <w:trPr>
          <w:cantSplit/>
        </w:trPr>
        <w:tc>
          <w:tcPr>
            <w:tcW w:w="3471" w:type="dxa"/>
            <w:shd w:val="clear" w:color="auto" w:fill="00ADDC"/>
            <w:vAlign w:val="center"/>
          </w:tcPr>
          <w:p w:rsidR="0060634A" w:rsidRDefault="00F76D44">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00ADDC"/>
            <w:vAlign w:val="center"/>
          </w:tcPr>
          <w:p w:rsidR="0060634A" w:rsidRDefault="0060634A">
            <w:pPr>
              <w:rPr>
                <w:noProof/>
              </w:rPr>
            </w:pPr>
          </w:p>
        </w:tc>
        <w:tc>
          <w:tcPr>
            <w:tcW w:w="3471" w:type="dxa"/>
            <w:shd w:val="clear" w:color="auto" w:fill="00ADDC"/>
            <w:vAlign w:val="center"/>
          </w:tcPr>
          <w:p w:rsidR="0060634A" w:rsidRDefault="00F76D44">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60634A">
        <w:trPr>
          <w:cantSplit/>
        </w:trPr>
        <w:tc>
          <w:tcPr>
            <w:tcW w:w="3471" w:type="dxa"/>
            <w:shd w:val="clear" w:color="auto" w:fill="DCE6F2"/>
            <w:vAlign w:val="center"/>
          </w:tcPr>
          <w:p w:rsidR="0060634A" w:rsidRDefault="00F76D44">
            <w:pPr>
              <w:spacing w:after="100" w:afterAutospacing="1"/>
              <w:jc w:val="center"/>
              <w:rPr>
                <w:noProof/>
                <w:color w:val="0070C0"/>
                <w:sz w:val="18"/>
              </w:rPr>
            </w:pPr>
            <w:r>
              <w:rPr>
                <w:noProof/>
                <w:color w:val="0070C0"/>
                <w:sz w:val="18"/>
                <w:lang w:eastAsia="fr-BE"/>
              </w:rPr>
              <w:drawing>
                <wp:inline distT="0" distB="0" distL="0" distR="0">
                  <wp:extent cx="2158365" cy="908685"/>
                  <wp:effectExtent l="0" t="0" r="0" b="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58365" cy="908685"/>
                          </a:xfrm>
                          <a:prstGeom prst="rect">
                            <a:avLst/>
                          </a:prstGeom>
                          <a:noFill/>
                        </pic:spPr>
                      </pic:pic>
                    </a:graphicData>
                  </a:graphic>
                </wp:inline>
              </w:drawing>
            </w:r>
          </w:p>
        </w:tc>
        <w:tc>
          <w:tcPr>
            <w:tcW w:w="850" w:type="dxa"/>
            <w:shd w:val="clear" w:color="auto" w:fill="DCE6F2"/>
            <w:vAlign w:val="center"/>
          </w:tcPr>
          <w:p w:rsidR="0060634A" w:rsidRDefault="00F76D44">
            <w:pPr>
              <w:pStyle w:val="PPO1AVotedbudgetTABLEtextBlue"/>
              <w:framePr w:hSpace="0" w:wrap="auto" w:vAnchor="margin" w:hAnchor="text" w:xAlign="left" w:yAlign="inline"/>
              <w:suppressOverlap w:val="0"/>
              <w:rPr>
                <w:rFonts w:eastAsiaTheme="minorEastAsia"/>
              </w:rPr>
            </w:pPr>
            <w:r>
              <w:rPr>
                <w:rFonts w:eastAsiaTheme="minorEastAsia"/>
              </w:rPr>
              <w:t>2017</w:t>
            </w:r>
          </w:p>
          <w:p w:rsidR="0060634A" w:rsidRDefault="00F76D44">
            <w:pPr>
              <w:pStyle w:val="PPO1AVotedbudgetTABLEtextBlue"/>
              <w:framePr w:hSpace="0" w:wrap="auto" w:vAnchor="margin" w:hAnchor="text" w:xAlign="left" w:yAlign="inline"/>
              <w:suppressOverlap w:val="0"/>
              <w:rPr>
                <w:rFonts w:eastAsiaTheme="minorEastAsia"/>
              </w:rPr>
            </w:pPr>
            <w:r>
              <w:rPr>
                <w:rFonts w:eastAsiaTheme="minorEastAsia"/>
              </w:rPr>
              <w:t>2018</w:t>
            </w:r>
          </w:p>
          <w:p w:rsidR="0060634A" w:rsidRDefault="00F76D44">
            <w:pPr>
              <w:pStyle w:val="PPO1AVotedbudgetTABLEtextBlue"/>
              <w:framePr w:hSpace="0" w:wrap="auto" w:vAnchor="margin" w:hAnchor="text" w:xAlign="left" w:yAlign="inline"/>
              <w:suppressOverlap w:val="0"/>
              <w:rPr>
                <w:rFonts w:ascii="EC Square Sans Pro" w:eastAsiaTheme="minorEastAsia" w:hAnsi="EC Square Sans Pro"/>
                <w:sz w:val="18"/>
                <w:szCs w:val="18"/>
              </w:rPr>
            </w:pPr>
            <w:r>
              <w:rPr>
                <w:rFonts w:eastAsiaTheme="minorEastAsia"/>
              </w:rPr>
              <w:t>2019</w:t>
            </w:r>
          </w:p>
        </w:tc>
        <w:tc>
          <w:tcPr>
            <w:tcW w:w="3471" w:type="dxa"/>
            <w:shd w:val="clear" w:color="auto" w:fill="DCE6F2"/>
            <w:vAlign w:val="center"/>
          </w:tcPr>
          <w:p w:rsidR="0060634A" w:rsidRDefault="00F76D44">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914400"/>
                  <wp:effectExtent l="0" t="0" r="0" b="0"/>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58365" cy="914400"/>
                          </a:xfrm>
                          <a:prstGeom prst="rect">
                            <a:avLst/>
                          </a:prstGeom>
                          <a:noFill/>
                        </pic:spPr>
                      </pic:pic>
                    </a:graphicData>
                  </a:graphic>
                </wp:inline>
              </w:drawing>
            </w:r>
          </w:p>
        </w:tc>
      </w:tr>
    </w:tbl>
    <w:p w:rsidR="0060634A" w:rsidRDefault="00F76D44">
      <w:pPr>
        <w:pStyle w:val="PPOsidebartext"/>
        <w:rPr>
          <w:rFonts w:eastAsiaTheme="minorEastAsia"/>
        </w:rPr>
      </w:pPr>
      <w:r>
        <w:rPr>
          <w:rFonts w:eastAsiaTheme="minorEastAsia"/>
        </w:rPr>
        <w:t xml:space="preserve">DG Economic and Financial Affairs is the lead DG. The EFSI is implemented by the European Investment Bank Group and projects supported by it are subject to </w:t>
      </w:r>
      <w:r>
        <w:rPr>
          <w:rFonts w:eastAsiaTheme="minorEastAsia"/>
        </w:rPr>
        <w:t>standard European Investment Bank procedures.</w:t>
      </w:r>
    </w:p>
    <w:p w:rsidR="0060634A" w:rsidRDefault="00F76D44">
      <w:pPr>
        <w:pStyle w:val="PPO1ATitle1"/>
        <w:rPr>
          <w:rFonts w:eastAsiaTheme="minorEastAsia"/>
        </w:rPr>
      </w:pPr>
      <w:r>
        <w:rPr>
          <w:rFonts w:eastAsiaTheme="minorEastAsia"/>
        </w:rPr>
        <w:br w:type="column"/>
      </w:r>
      <w:bookmarkStart w:id="14" w:name="_Toc39583674"/>
      <w:r>
        <w:rPr>
          <w:rFonts w:eastAsiaTheme="minorEastAsia"/>
        </w:rPr>
        <w:t>EFSI</w:t>
      </w:r>
      <w:bookmarkEnd w:id="14"/>
    </w:p>
    <w:p w:rsidR="0060634A" w:rsidRDefault="00F76D44">
      <w:pPr>
        <w:pStyle w:val="PPO1ATitle2"/>
        <w:rPr>
          <w:rFonts w:eastAsiaTheme="minorEastAsia"/>
        </w:rPr>
      </w:pPr>
      <w:r>
        <w:rPr>
          <w:rFonts w:eastAsiaTheme="minorEastAsia"/>
        </w:rPr>
        <w:t>EUROPEAN FUND FOR STRATEGIC INVESTMENTS</w:t>
      </w:r>
    </w:p>
    <w:p w:rsidR="0060634A" w:rsidRDefault="00F76D44">
      <w:pPr>
        <w:pStyle w:val="PPOTitle3"/>
        <w:rPr>
          <w:rFonts w:eastAsiaTheme="minorEastAsia"/>
        </w:rPr>
      </w:pPr>
      <w:r>
        <w:rPr>
          <w:rFonts w:eastAsiaTheme="minorEastAsia"/>
        </w:rPr>
        <w:t>What is EFSI?</w:t>
      </w:r>
    </w:p>
    <w:p w:rsidR="0060634A" w:rsidRDefault="00F76D44">
      <w:pPr>
        <w:pStyle w:val="PPObodyText"/>
        <w:rPr>
          <w:noProof/>
        </w:rPr>
      </w:pPr>
      <w:r>
        <w:rPr>
          <w:noProof/>
          <w:lang w:val="fr-BE" w:eastAsia="fr-BE"/>
        </w:rPr>
        <mc:AlternateContent>
          <mc:Choice Requires="wps">
            <w:drawing>
              <wp:anchor distT="0" distB="0" distL="114300" distR="114300" simplePos="0" relativeHeight="251617280" behindDoc="0" locked="1" layoutInCell="1" allowOverlap="1">
                <wp:simplePos x="0" y="0"/>
                <wp:positionH relativeFrom="page">
                  <wp:posOffset>4762500</wp:posOffset>
                </wp:positionH>
                <wp:positionV relativeFrom="page">
                  <wp:posOffset>6648450</wp:posOffset>
                </wp:positionV>
                <wp:extent cx="2437130" cy="1969770"/>
                <wp:effectExtent l="0" t="0" r="1270" b="0"/>
                <wp:wrapNone/>
                <wp:docPr id="317" name="Text Box 317"/>
                <wp:cNvGraphicFramePr/>
                <a:graphic xmlns:a="http://schemas.openxmlformats.org/drawingml/2006/main">
                  <a:graphicData uri="http://schemas.microsoft.com/office/word/2010/wordprocessingShape">
                    <wps:wsp>
                      <wps:cNvSpPr txBox="1"/>
                      <wps:spPr>
                        <a:xfrm>
                          <a:off x="0" y="0"/>
                          <a:ext cx="2437130" cy="1969770"/>
                        </a:xfrm>
                        <a:prstGeom prst="rect">
                          <a:avLst/>
                        </a:prstGeom>
                        <a:solidFill>
                          <a:schemeClr val="lt1"/>
                        </a:solidFill>
                        <a:ln w="6350">
                          <a:noFill/>
                        </a:ln>
                      </wps:spPr>
                      <wps:linkedTxbx id="22"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 o:spid="_x0000_s1063" type="#_x0000_t202" style="position:absolute;left:0;text-align:left;margin-left:375pt;margin-top:523.5pt;width:191.9pt;height:155.1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" fillcolor="white [3201]" stroked="f" strokeweight=".5pt">
                <v:textbox inset=",,0">
                  <w:txbxContent/>
                </v:textbox>
                <w10:wrap anchorx="page" anchory="page"/>
                <w10:anchorlock/>
              </v:shape>
            </w:pict>
          </mc:Fallback>
        </mc:AlternateContent>
      </w:r>
      <w:r>
        <w:rPr>
          <w:noProof/>
        </w:rPr>
        <w:t>The European Fund for Strategic Investments (EFSI) is an initiative to help overcome the current investment gap in the EU. Jointly launched by the Eu</w:t>
      </w:r>
      <w:r>
        <w:rPr>
          <w:noProof/>
        </w:rPr>
        <w:t>ropean Investment Bank Group and the European Commission, it aims to mobilise private investment in projects which are strategically important.</w:t>
      </w:r>
    </w:p>
    <w:p w:rsidR="0060634A" w:rsidRDefault="00F76D44">
      <w:pPr>
        <w:pStyle w:val="PPObodyText"/>
        <w:rPr>
          <w:noProof/>
        </w:rPr>
      </w:pPr>
      <w:r>
        <w:rPr>
          <w:noProof/>
        </w:rPr>
        <w:t>The EFSI is one of the three pillars of the investment plan for Europe that aims to revive investment in strateg</w:t>
      </w:r>
      <w:r>
        <w:rPr>
          <w:noProof/>
        </w:rPr>
        <w:t>ic projects around the continent to ensure that money reaches the real economy. The Juncker plan also includes the European Investment Advisory Hub and the European Investment Project Portal. The European Investment Advisory Hub offers a single access poin</w:t>
      </w:r>
      <w:r>
        <w:rPr>
          <w:noProof/>
        </w:rPr>
        <w:t>t to a 360-degree offer of advisory and technical assistance services to identify, prepare and develop investment projects across the European Union. The European Investment Project Portal is a meeting place for project promoters and investors providing vi</w:t>
      </w:r>
      <w:r>
        <w:rPr>
          <w:noProof/>
        </w:rPr>
        <w:t xml:space="preserve">sibility for investment projects. With EFSI support, the European Investment Bank Group is providing funding for economically viable projects, especially for projects with a higher risk profile than usually taken on by the Bank. The focus is on sectors of </w:t>
      </w:r>
      <w:r>
        <w:rPr>
          <w:noProof/>
        </w:rPr>
        <w:t>key importance for the European economy, including:</w:t>
      </w:r>
    </w:p>
    <w:p w:rsidR="0060634A" w:rsidRDefault="00F76D44">
      <w:pPr>
        <w:pStyle w:val="PPOBlackBULLETS-L1"/>
        <w:rPr>
          <w:noProof/>
        </w:rPr>
      </w:pPr>
      <w:r>
        <w:rPr>
          <w:noProof/>
        </w:rPr>
        <w:t xml:space="preserve">strategic infrastructure, including digital, transport and energy; </w:t>
      </w:r>
    </w:p>
    <w:p w:rsidR="0060634A" w:rsidRDefault="00F76D44">
      <w:pPr>
        <w:pStyle w:val="PPOBlackBULLETS-L1"/>
        <w:rPr>
          <w:noProof/>
        </w:rPr>
      </w:pPr>
      <w:r>
        <w:rPr>
          <w:noProof/>
        </w:rPr>
        <w:t xml:space="preserve">education, research, development and innovation; </w:t>
      </w:r>
    </w:p>
    <w:p w:rsidR="0060634A" w:rsidRDefault="00F76D44">
      <w:pPr>
        <w:pStyle w:val="PPOBlackBULLETS-L1"/>
        <w:rPr>
          <w:noProof/>
        </w:rPr>
      </w:pPr>
      <w:r>
        <w:rPr>
          <w:noProof/>
        </w:rPr>
        <w:t xml:space="preserve">renewable energy and resource efficiency; </w:t>
      </w:r>
    </w:p>
    <w:p w:rsidR="0060634A" w:rsidRDefault="00F76D44">
      <w:pPr>
        <w:pStyle w:val="PPOBlackBULLETS-L1"/>
        <w:rPr>
          <w:noProof/>
        </w:rPr>
      </w:pPr>
      <w:r>
        <w:rPr>
          <w:noProof/>
        </w:rPr>
        <w:t xml:space="preserve">support for small to medium-sized </w:t>
      </w:r>
      <w:r>
        <w:rPr>
          <w:noProof/>
        </w:rPr>
        <w:t>enterprises.</w:t>
      </w:r>
    </w:p>
    <w:p w:rsidR="0060634A" w:rsidRDefault="00F76D44">
      <w:pPr>
        <w:pStyle w:val="PPObodyText"/>
        <w:spacing w:before="160" w:after="120"/>
        <w:rPr>
          <w:noProof/>
        </w:rPr>
      </w:pPr>
      <w:r>
        <w:rPr>
          <w:noProof/>
        </w:rPr>
        <w:t>The EFSI started as a EUR</w:t>
      </w:r>
      <w:r>
        <w:rPr>
          <w:rFonts w:ascii="Calibri" w:hAnsi="Calibri" w:cs="Calibri"/>
          <w:noProof/>
        </w:rPr>
        <w:t> </w:t>
      </w:r>
      <w:r>
        <w:rPr>
          <w:noProof/>
        </w:rPr>
        <w:t>16</w:t>
      </w:r>
      <w:r>
        <w:rPr>
          <w:rFonts w:ascii="Calibri" w:hAnsi="Calibri" w:cs="Calibri"/>
          <w:noProof/>
        </w:rPr>
        <w:t> </w:t>
      </w:r>
      <w:r>
        <w:rPr>
          <w:noProof/>
        </w:rPr>
        <w:t>billion guarantee from the EU budget, complemented by a EUR</w:t>
      </w:r>
      <w:r>
        <w:rPr>
          <w:rFonts w:ascii="Calibri" w:hAnsi="Calibri" w:cs="Calibri"/>
          <w:noProof/>
        </w:rPr>
        <w:t> </w:t>
      </w:r>
      <w:r>
        <w:rPr>
          <w:noProof/>
        </w:rPr>
        <w:t>5</w:t>
      </w:r>
      <w:r>
        <w:rPr>
          <w:rFonts w:ascii="Calibri" w:hAnsi="Calibri" w:cs="Calibri"/>
          <w:noProof/>
        </w:rPr>
        <w:t> </w:t>
      </w:r>
      <w:r>
        <w:rPr>
          <w:noProof/>
        </w:rPr>
        <w:t>billion allocation of the European Investment Bank’s own capital. These amounts were increased to EUR</w:t>
      </w:r>
      <w:r>
        <w:rPr>
          <w:rFonts w:ascii="Calibri" w:hAnsi="Calibri" w:cs="Calibri"/>
          <w:noProof/>
        </w:rPr>
        <w:t> </w:t>
      </w:r>
      <w:r>
        <w:rPr>
          <w:noProof/>
        </w:rPr>
        <w:t>26</w:t>
      </w:r>
      <w:r>
        <w:rPr>
          <w:rFonts w:ascii="Calibri" w:hAnsi="Calibri" w:cs="Calibri"/>
          <w:noProof/>
        </w:rPr>
        <w:t> </w:t>
      </w:r>
      <w:r>
        <w:rPr>
          <w:noProof/>
        </w:rPr>
        <w:t>billion and EUR</w:t>
      </w:r>
      <w:r>
        <w:rPr>
          <w:rFonts w:ascii="Calibri" w:hAnsi="Calibri" w:cs="Calibri"/>
          <w:noProof/>
        </w:rPr>
        <w:t> </w:t>
      </w:r>
      <w:r>
        <w:rPr>
          <w:noProof/>
        </w:rPr>
        <w:t>7.5</w:t>
      </w:r>
      <w:r>
        <w:rPr>
          <w:rFonts w:ascii="Calibri" w:hAnsi="Calibri" w:cs="Calibri"/>
          <w:noProof/>
        </w:rPr>
        <w:t> </w:t>
      </w:r>
      <w:r>
        <w:rPr>
          <w:noProof/>
        </w:rPr>
        <w:t>billion, respectively, by t</w:t>
      </w:r>
      <w:r>
        <w:rPr>
          <w:noProof/>
        </w:rPr>
        <w:t>he EFSI 2.0 regulation. The total amount of EUR</w:t>
      </w:r>
      <w:r>
        <w:rPr>
          <w:rFonts w:ascii="Calibri" w:hAnsi="Calibri" w:cs="Calibri"/>
          <w:noProof/>
        </w:rPr>
        <w:t> </w:t>
      </w:r>
      <w:r>
        <w:rPr>
          <w:noProof/>
        </w:rPr>
        <w:t>33.5</w:t>
      </w:r>
      <w:r>
        <w:rPr>
          <w:rFonts w:ascii="Calibri" w:hAnsi="Calibri" w:cs="Calibri"/>
          <w:noProof/>
        </w:rPr>
        <w:t> </w:t>
      </w:r>
      <w:r>
        <w:rPr>
          <w:noProof/>
        </w:rPr>
        <w:t>billion aims to unlock an additional investment of at least EUR</w:t>
      </w:r>
      <w:r>
        <w:rPr>
          <w:rFonts w:ascii="Calibri" w:hAnsi="Calibri" w:cs="Calibri"/>
          <w:noProof/>
        </w:rPr>
        <w:t> </w:t>
      </w:r>
      <w:r>
        <w:rPr>
          <w:noProof/>
        </w:rPr>
        <w:t>500</w:t>
      </w:r>
      <w:r>
        <w:rPr>
          <w:rFonts w:ascii="Calibri" w:hAnsi="Calibri" w:cs="Calibri"/>
          <w:noProof/>
        </w:rPr>
        <w:t> </w:t>
      </w:r>
      <w:r>
        <w:rPr>
          <w:noProof/>
        </w:rPr>
        <w:t>billion by the end of 2020.</w:t>
      </w:r>
    </w:p>
    <w:tbl>
      <w:tblPr>
        <w:tblStyle w:val="TableGrid"/>
        <w:tblpPr w:leftFromText="181" w:rightFromText="340" w:vertAnchor="text" w:tblpX="109" w:tblpY="137"/>
        <w:tblW w:w="7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7802"/>
      </w:tblGrid>
      <w:tr w:rsidR="0060634A">
        <w:trPr>
          <w:trHeight w:val="1742"/>
        </w:trPr>
        <w:tc>
          <w:tcPr>
            <w:tcW w:w="7802" w:type="dxa"/>
            <w:shd w:val="clear" w:color="auto" w:fill="F2F2F2" w:themeFill="background1" w:themeFillShade="F2"/>
          </w:tcPr>
          <w:p w:rsidR="0060634A" w:rsidRDefault="00F76D44">
            <w:pPr>
              <w:pStyle w:val="PPO1ASpecificobjectivesBOX-HeadingLightBlue"/>
              <w:rPr>
                <w:rFonts w:eastAsiaTheme="minorEastAsia"/>
              </w:rPr>
            </w:pPr>
            <w:r>
              <w:rPr>
                <w:rFonts w:eastAsiaTheme="minorEastAsia"/>
                <w:lang w:eastAsia="fr-BE"/>
              </w:rPr>
              <mc:AlternateContent>
                <mc:Choice Requires="wps">
                  <w:drawing>
                    <wp:anchor distT="0" distB="0" distL="114300" distR="114300" simplePos="0" relativeHeight="251614208"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2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00ADDC"/>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0021421" id="Freeform 6" o:spid="_x0000_s1026" style="position:absolute;margin-left:4pt;margin-top:1.4pt;width:21.25pt;height:21.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00addc"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rFonts w:eastAsiaTheme="minorEastAsia"/>
              </w:rPr>
              <w:t>Specific objectives</w:t>
            </w:r>
          </w:p>
          <w:p w:rsidR="0060634A" w:rsidRDefault="00F76D44">
            <w:pPr>
              <w:pStyle w:val="PPO1ASpecificobjectivesBOX-BulletLightBlue"/>
              <w:rPr>
                <w:rFonts w:ascii="EC Square Sans Cond Pro" w:hAnsi="EC Square Sans Cond Pro"/>
                <w:lang w:val="en-GB"/>
              </w:rPr>
            </w:pPr>
            <w:r>
              <w:rPr>
                <w:rFonts w:ascii="EC Square Sans Cond Pro" w:hAnsi="EC Square Sans Cond Pro"/>
                <w:lang w:val="en-GB"/>
              </w:rPr>
              <w:t xml:space="preserve">To increase the volume of European Investment Bank Group financing and investment operations in priority areas. </w:t>
            </w:r>
          </w:p>
          <w:p w:rsidR="0060634A" w:rsidRDefault="00F76D44">
            <w:pPr>
              <w:pStyle w:val="PPO1ASpecificobjectivesBOX-BulletLightBlue"/>
              <w:rPr>
                <w:rFonts w:ascii="EC Square Sans Cond Pro" w:hAnsi="EC Square Sans Cond Pro"/>
                <w:lang w:val="en-GB"/>
              </w:rPr>
            </w:pPr>
            <w:r>
              <w:rPr>
                <w:rFonts w:ascii="EC Square Sans Cond Pro" w:hAnsi="EC Square Sans Cond Pro"/>
                <w:lang w:val="en-GB"/>
              </w:rPr>
              <w:t>To provide advisory support for investment project identification, preparation and development to public and private counterparts, not necessar</w:t>
            </w:r>
            <w:r>
              <w:rPr>
                <w:rFonts w:ascii="EC Square Sans Cond Pro" w:hAnsi="EC Square Sans Cond Pro"/>
                <w:lang w:val="en-GB"/>
              </w:rPr>
              <w:t>ily linked to EFSI operations, through the European Investment Advisory Hub.</w:t>
            </w:r>
          </w:p>
          <w:p w:rsidR="0060634A" w:rsidRDefault="00F76D44">
            <w:pPr>
              <w:pStyle w:val="PPO1ASpecificobjectivesBOX-BulletLightBlue"/>
              <w:rPr>
                <w:lang w:val="en-GB"/>
              </w:rPr>
            </w:pPr>
            <w:r>
              <w:rPr>
                <w:rFonts w:ascii="EC Square Sans Cond Pro" w:hAnsi="EC Square Sans Cond Pro"/>
                <w:lang w:val="en-GB"/>
              </w:rPr>
              <w:t>To create a publicly available web portal where EU-based project promoters will be given the opportunity to boost the visibility of their projects to potential international inves</w:t>
            </w:r>
            <w:r>
              <w:rPr>
                <w:rFonts w:ascii="EC Square Sans Cond Pro" w:hAnsi="EC Square Sans Cond Pro"/>
                <w:lang w:val="en-GB"/>
              </w:rPr>
              <w:t xml:space="preserve">tors. </w:t>
            </w:r>
          </w:p>
        </w:tc>
      </w:tr>
    </w:tbl>
    <w:p w:rsidR="0060634A" w:rsidRDefault="0060634A">
      <w:pPr>
        <w:framePr w:w="6721" w:wrap="auto" w:hAnchor="text" w:x="3544"/>
        <w:jc w:val="both"/>
        <w:rPr>
          <w:b/>
          <w:noProof/>
          <w:color w:val="1F95A5"/>
        </w:rPr>
        <w:sectPr w:rsidR="0060634A">
          <w:headerReference w:type="even" r:id="rId117"/>
          <w:headerReference w:type="default" r:id="rId118"/>
          <w:footerReference w:type="even" r:id="rId119"/>
          <w:footerReference w:type="default" r:id="rId120"/>
          <w:headerReference w:type="first" r:id="rId121"/>
          <w:footerReference w:type="first" r:id="rId122"/>
          <w:pgSz w:w="11906" w:h="16838"/>
          <w:pgMar w:top="567" w:right="567" w:bottom="567" w:left="567" w:header="567" w:footer="454" w:gutter="0"/>
          <w:paperSrc w:first="15" w:other="15"/>
          <w:cols w:num="2" w:space="708" w:equalWidth="0">
            <w:col w:w="2269" w:space="708"/>
            <w:col w:w="7795"/>
          </w:cols>
          <w:docGrid w:linePitch="360"/>
        </w:sectPr>
      </w:pPr>
    </w:p>
    <w:p w:rsidR="0060634A" w:rsidRDefault="00F76D44">
      <w:pPr>
        <w:pStyle w:val="PPOTitle3-pagebreakbefore"/>
        <w:rPr>
          <w:rFonts w:eastAsiaTheme="minorEastAsia"/>
        </w:rPr>
      </w:pPr>
      <w:r>
        <w:rPr>
          <w:rFonts w:eastAsiaTheme="minorEastAsia"/>
        </w:rPr>
        <w:t xml:space="preserve">Key performance indicators </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97"/>
        <w:gridCol w:w="707"/>
        <w:gridCol w:w="3420"/>
        <w:gridCol w:w="596"/>
        <w:gridCol w:w="2864"/>
        <w:gridCol w:w="56"/>
      </w:tblGrid>
      <w:tr w:rsidR="0060634A">
        <w:trPr>
          <w:gridAfter w:val="1"/>
          <w:wAfter w:w="56" w:type="dxa"/>
          <w:trHeight w:val="333"/>
        </w:trPr>
        <w:tc>
          <w:tcPr>
            <w:tcW w:w="3097" w:type="dxa"/>
            <w:vAlign w:val="center"/>
          </w:tcPr>
          <w:p w:rsidR="0060634A" w:rsidRDefault="0060634A">
            <w:pPr>
              <w:ind w:left="142"/>
              <w:jc w:val="right"/>
              <w:rPr>
                <w:noProof/>
                <w:sz w:val="16"/>
                <w:szCs w:val="16"/>
              </w:rPr>
            </w:pPr>
          </w:p>
        </w:tc>
        <w:tc>
          <w:tcPr>
            <w:tcW w:w="707" w:type="dxa"/>
            <w:vAlign w:val="bottom"/>
          </w:tcPr>
          <w:p w:rsidR="0060634A" w:rsidRDefault="00F76D44">
            <w:pPr>
              <w:jc w:val="center"/>
              <w:rPr>
                <w:b/>
                <w:bCs/>
                <w:noProof/>
                <w:color w:val="28296E"/>
                <w:sz w:val="16"/>
                <w:szCs w:val="16"/>
              </w:rPr>
            </w:pPr>
            <w:r>
              <w:rPr>
                <w:b/>
                <w:bCs/>
                <w:noProof/>
                <w:color w:val="28296E"/>
                <w:sz w:val="16"/>
                <w:szCs w:val="16"/>
              </w:rPr>
              <w:t>Baseline</w:t>
            </w:r>
          </w:p>
        </w:tc>
        <w:tc>
          <w:tcPr>
            <w:tcW w:w="3420" w:type="dxa"/>
            <w:vAlign w:val="center"/>
          </w:tcPr>
          <w:p w:rsidR="0060634A" w:rsidRDefault="00F76D44">
            <w:pPr>
              <w:ind w:left="142"/>
              <w:jc w:val="center"/>
              <w:rPr>
                <w:b/>
                <w:bCs/>
                <w:noProof/>
                <w:color w:val="28296E"/>
                <w:sz w:val="16"/>
                <w:szCs w:val="16"/>
              </w:rPr>
            </w:pPr>
            <w:r>
              <w:rPr>
                <w:b/>
                <w:bCs/>
                <w:noProof/>
                <w:color w:val="28296E"/>
                <w:sz w:val="16"/>
                <w:szCs w:val="16"/>
              </w:rPr>
              <w:t>PROGRESS TOWARDS THE TARGET</w:t>
            </w:r>
          </w:p>
        </w:tc>
        <w:tc>
          <w:tcPr>
            <w:tcW w:w="596" w:type="dxa"/>
            <w:vAlign w:val="bottom"/>
          </w:tcPr>
          <w:p w:rsidR="0060634A" w:rsidRDefault="00F76D44">
            <w:pPr>
              <w:jc w:val="center"/>
              <w:rPr>
                <w:b/>
                <w:bCs/>
                <w:noProof/>
                <w:color w:val="28296E"/>
                <w:sz w:val="16"/>
                <w:szCs w:val="16"/>
              </w:rPr>
            </w:pPr>
            <w:r>
              <w:rPr>
                <w:b/>
                <w:bCs/>
                <w:noProof/>
                <w:color w:val="28296E"/>
                <w:sz w:val="16"/>
                <w:szCs w:val="16"/>
              </w:rPr>
              <w:t>Target</w:t>
            </w:r>
          </w:p>
        </w:tc>
        <w:tc>
          <w:tcPr>
            <w:tcW w:w="2864" w:type="dxa"/>
            <w:vAlign w:val="bottom"/>
          </w:tcPr>
          <w:p w:rsidR="0060634A" w:rsidRDefault="00F76D44">
            <w:pPr>
              <w:jc w:val="center"/>
              <w:rPr>
                <w:b/>
                <w:bCs/>
                <w:noProof/>
                <w:color w:val="28296E"/>
                <w:sz w:val="16"/>
                <w:szCs w:val="16"/>
              </w:rPr>
            </w:pPr>
            <w:r>
              <w:rPr>
                <w:b/>
                <w:bCs/>
                <w:noProof/>
                <w:color w:val="28296E"/>
                <w:sz w:val="16"/>
                <w:szCs w:val="16"/>
              </w:rPr>
              <w:t>Results</w:t>
            </w:r>
          </w:p>
        </w:tc>
      </w:tr>
      <w:tr w:rsidR="0060634A">
        <w:trPr>
          <w:trHeight w:val="369"/>
        </w:trPr>
        <w:tc>
          <w:tcPr>
            <w:tcW w:w="3097"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Cumulative volume of investment mobilised under the EFSI (in billion</w:t>
            </w:r>
            <w:r>
              <w:rPr>
                <w:rFonts w:cs="Calibri"/>
                <w:noProof/>
                <w:color w:val="000000"/>
                <w:sz w:val="16"/>
                <w:szCs w:val="16"/>
                <w:lang w:val="en-GB" w:eastAsia="en-GB"/>
              </w:rPr>
              <w:t> </w:t>
            </w:r>
            <w:r>
              <w:rPr>
                <w:rFonts w:ascii="EC Square Sans Cond Pro" w:hAnsi="EC Square Sans Cond Pro" w:cs="EC Square Sans Cond Pro"/>
                <w:noProof/>
                <w:color w:val="000000"/>
                <w:sz w:val="16"/>
                <w:szCs w:val="16"/>
                <w:lang w:val="en-GB" w:eastAsia="en-GB"/>
              </w:rPr>
              <w:t>EUR)</w:t>
            </w:r>
          </w:p>
        </w:tc>
        <w:tc>
          <w:tcPr>
            <w:tcW w:w="707" w:type="dxa"/>
            <w:vAlign w:val="center"/>
          </w:tcPr>
          <w:p w:rsidR="0060634A" w:rsidRDefault="0060634A">
            <w:pPr>
              <w:jc w:val="center"/>
              <w:rPr>
                <w:rFonts w:ascii="EC Square Sans Cond Pro" w:hAnsi="EC Square Sans Cond Pro"/>
                <w:noProof/>
                <w:sz w:val="16"/>
                <w:szCs w:val="16"/>
                <w:lang w:val="en-GB" w:eastAsia="en-GB"/>
              </w:rPr>
            </w:pPr>
          </w:p>
        </w:tc>
        <w:tc>
          <w:tcPr>
            <w:tcW w:w="3420"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99"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c>
        <w:tc>
          <w:tcPr>
            <w:tcW w:w="596"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500B</w:t>
            </w:r>
          </w:p>
        </w:tc>
        <w:tc>
          <w:tcPr>
            <w:tcW w:w="2920"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458 out of EUR 500 billion</w:t>
            </w:r>
          </w:p>
        </w:tc>
      </w:tr>
      <w:tr w:rsidR="0060634A">
        <w:trPr>
          <w:trHeight w:val="369"/>
        </w:trPr>
        <w:tc>
          <w:tcPr>
            <w:tcW w:w="3097"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Number of projects to receive support under EFSI initiative</w:t>
            </w:r>
          </w:p>
        </w:tc>
        <w:tc>
          <w:tcPr>
            <w:tcW w:w="707" w:type="dxa"/>
            <w:vAlign w:val="center"/>
          </w:tcPr>
          <w:p w:rsidR="0060634A" w:rsidRDefault="0060634A">
            <w:pPr>
              <w:jc w:val="center"/>
              <w:rPr>
                <w:rFonts w:ascii="EC Square Sans Cond Pro" w:hAnsi="EC Square Sans Cond Pro"/>
                <w:noProof/>
                <w:sz w:val="16"/>
                <w:szCs w:val="16"/>
                <w:lang w:val="en-GB" w:eastAsia="en-GB"/>
              </w:rPr>
            </w:pPr>
          </w:p>
        </w:tc>
        <w:tc>
          <w:tcPr>
            <w:tcW w:w="3420"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c>
        <w:tc>
          <w:tcPr>
            <w:tcW w:w="596"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1</w:t>
            </w:r>
            <w:r>
              <w:rPr>
                <w:rFonts w:ascii="EC Square Sans Cond Pro" w:hAnsi="EC Square Sans Cond Pro" w:cs="EC Square Sans Cond Pro"/>
                <w:noProof/>
                <w:color w:val="000000"/>
                <w:sz w:val="16"/>
                <w:szCs w:val="16"/>
                <w:lang w:val="en-US"/>
              </w:rPr>
              <w:t xml:space="preserve"> 000</w:t>
            </w:r>
          </w:p>
        </w:tc>
        <w:tc>
          <w:tcPr>
            <w:tcW w:w="2920" w:type="dxa"/>
            <w:gridSpan w:val="2"/>
            <w:vAlign w:val="center"/>
          </w:tcPr>
          <w:p w:rsidR="0060634A" w:rsidRDefault="00F76D44">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1</w:t>
            </w:r>
            <w:r>
              <w:rPr>
                <w:rFonts w:cs="Calibri"/>
                <w:noProof/>
                <w:color w:val="000000"/>
                <w:sz w:val="16"/>
                <w:szCs w:val="16"/>
                <w:lang w:val="en-GB" w:eastAsia="en-GB"/>
              </w:rPr>
              <w:t> </w:t>
            </w:r>
            <w:r>
              <w:rPr>
                <w:rFonts w:ascii="EC Square Sans Cond Pro" w:hAnsi="EC Square Sans Cond Pro" w:cs="EC Square Sans Cond Pro"/>
                <w:noProof/>
                <w:color w:val="000000"/>
                <w:sz w:val="16"/>
                <w:szCs w:val="16"/>
                <w:lang w:val="en-GB" w:eastAsia="en-GB"/>
              </w:rPr>
              <w:t>269 projects compared to a target of 1</w:t>
            </w:r>
            <w:r>
              <w:rPr>
                <w:rFonts w:cs="Calibri"/>
                <w:noProof/>
                <w:color w:val="000000"/>
                <w:sz w:val="16"/>
                <w:szCs w:val="16"/>
                <w:lang w:val="en-GB" w:eastAsia="en-GB"/>
              </w:rPr>
              <w:t> </w:t>
            </w:r>
            <w:r>
              <w:rPr>
                <w:rFonts w:ascii="EC Square Sans Cond Pro" w:hAnsi="EC Square Sans Cond Pro" w:cs="EC Square Sans Cond Pro"/>
                <w:noProof/>
                <w:color w:val="000000"/>
                <w:sz w:val="16"/>
                <w:szCs w:val="16"/>
                <w:lang w:val="en-GB" w:eastAsia="en-GB"/>
              </w:rPr>
              <w:t>000</w:t>
            </w:r>
          </w:p>
        </w:tc>
      </w:tr>
      <w:tr w:rsidR="0060634A">
        <w:trPr>
          <w:trHeight w:val="369"/>
        </w:trPr>
        <w:tc>
          <w:tcPr>
            <w:tcW w:w="3097"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Cumulative number of Member States receiving European Investment Bank Group</w:t>
            </w:r>
            <w:r>
              <w:rPr>
                <w:rFonts w:ascii="EC Square Sans Cond Pro" w:hAnsi="EC Square Sans Cond Pro" w:cs="EC Square Sans Cond Pro"/>
                <w:noProof/>
                <w:color w:val="000000"/>
                <w:sz w:val="16"/>
                <w:szCs w:val="16"/>
                <w:lang w:val="en-GB" w:eastAsia="en-GB"/>
              </w:rPr>
              <w:t xml:space="preserve"> financing under EFSI</w:t>
            </w:r>
          </w:p>
        </w:tc>
        <w:tc>
          <w:tcPr>
            <w:tcW w:w="707" w:type="dxa"/>
            <w:vAlign w:val="center"/>
          </w:tcPr>
          <w:p w:rsidR="0060634A" w:rsidRDefault="0060634A">
            <w:pPr>
              <w:jc w:val="center"/>
              <w:rPr>
                <w:rFonts w:ascii="EC Square Sans Cond Pro" w:hAnsi="EC Square Sans Cond Pro"/>
                <w:noProof/>
                <w:sz w:val="16"/>
                <w:szCs w:val="16"/>
                <w:lang w:val="en-GB"/>
              </w:rPr>
            </w:pPr>
          </w:p>
        </w:tc>
        <w:tc>
          <w:tcPr>
            <w:tcW w:w="3420"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c>
        <w:tc>
          <w:tcPr>
            <w:tcW w:w="596"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28</w:t>
            </w:r>
          </w:p>
        </w:tc>
        <w:tc>
          <w:tcPr>
            <w:tcW w:w="2920"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28 out of 28 Member</w:t>
            </w:r>
            <w:r>
              <w:rPr>
                <w:rFonts w:ascii="EC Square Sans Cond Pro" w:hAnsi="EC Square Sans Cond Pro" w:cs="EC Square Sans Cond Pro"/>
                <w:noProof/>
                <w:color w:val="000000"/>
                <w:sz w:val="16"/>
                <w:szCs w:val="16"/>
                <w:lang w:eastAsia="en-GB"/>
              </w:rPr>
              <w:t xml:space="preserve"> States</w:t>
            </w:r>
          </w:p>
        </w:tc>
      </w:tr>
      <w:tr w:rsidR="0060634A">
        <w:trPr>
          <w:trHeight w:val="369"/>
        </w:trPr>
        <w:tc>
          <w:tcPr>
            <w:tcW w:w="3097" w:type="dxa"/>
            <w:vAlign w:val="center"/>
          </w:tcPr>
          <w:p w:rsidR="0060634A" w:rsidRDefault="00F76D44">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Multiplier effect</w:t>
            </w:r>
          </w:p>
        </w:tc>
        <w:tc>
          <w:tcPr>
            <w:tcW w:w="707" w:type="dxa"/>
            <w:vAlign w:val="center"/>
          </w:tcPr>
          <w:p w:rsidR="0060634A" w:rsidRDefault="0060634A">
            <w:pPr>
              <w:jc w:val="center"/>
              <w:rPr>
                <w:rFonts w:ascii="EC Square Sans Cond Pro" w:hAnsi="EC Square Sans Cond Pro"/>
                <w:noProof/>
                <w:sz w:val="16"/>
                <w:szCs w:val="16"/>
                <w:lang w:eastAsia="en-GB"/>
              </w:rPr>
            </w:pPr>
          </w:p>
        </w:tc>
        <w:tc>
          <w:tcPr>
            <w:tcW w:w="3420"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02" name="Chart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c>
        <w:tc>
          <w:tcPr>
            <w:tcW w:w="596"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15</w:t>
            </w:r>
          </w:p>
        </w:tc>
        <w:tc>
          <w:tcPr>
            <w:tcW w:w="2920" w:type="dxa"/>
            <w:gridSpan w:val="2"/>
            <w:vAlign w:val="center"/>
          </w:tcPr>
          <w:p w:rsidR="0060634A" w:rsidRDefault="00F76D44">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16 compared to a target of 15</w:t>
            </w:r>
          </w:p>
        </w:tc>
      </w:tr>
      <w:tr w:rsidR="0060634A">
        <w:trPr>
          <w:trHeight w:val="369"/>
        </w:trPr>
        <w:tc>
          <w:tcPr>
            <w:tcW w:w="3097"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Share of EFSI </w:t>
            </w:r>
            <w:r>
              <w:rPr>
                <w:rFonts w:ascii="EC Square Sans Cond Pro" w:hAnsi="EC Square Sans Cond Pro" w:cs="EC Square Sans Cond Pro"/>
                <w:noProof/>
                <w:color w:val="000000"/>
                <w:sz w:val="16"/>
                <w:szCs w:val="16"/>
                <w:lang w:val="en-GB" w:eastAsia="en-GB"/>
              </w:rPr>
              <w:t>financing under the infrastructure and innovation window (project components that contribute to climate action)</w:t>
            </w:r>
          </w:p>
        </w:tc>
        <w:tc>
          <w:tcPr>
            <w:tcW w:w="707" w:type="dxa"/>
            <w:vAlign w:val="center"/>
          </w:tcPr>
          <w:p w:rsidR="0060634A" w:rsidRDefault="0060634A">
            <w:pPr>
              <w:jc w:val="center"/>
              <w:rPr>
                <w:rFonts w:ascii="EC Square Sans Cond Pro" w:hAnsi="EC Square Sans Cond Pro"/>
                <w:noProof/>
                <w:sz w:val="16"/>
                <w:szCs w:val="16"/>
                <w:lang w:val="en-GB" w:eastAsia="en-GB"/>
              </w:rPr>
            </w:pPr>
          </w:p>
        </w:tc>
        <w:tc>
          <w:tcPr>
            <w:tcW w:w="3420"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c>
        <w:tc>
          <w:tcPr>
            <w:tcW w:w="596"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40%</w:t>
            </w:r>
          </w:p>
        </w:tc>
        <w:tc>
          <w:tcPr>
            <w:tcW w:w="2920"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40% out of 40%</w:t>
            </w:r>
          </w:p>
        </w:tc>
      </w:tr>
      <w:tr w:rsidR="0060634A">
        <w:trPr>
          <w:trHeight w:val="369"/>
        </w:trPr>
        <w:tc>
          <w:tcPr>
            <w:tcW w:w="3097"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Projects for which European Investment Advisory</w:t>
            </w:r>
            <w:r>
              <w:rPr>
                <w:rFonts w:ascii="EC Square Sans Cond Pro" w:hAnsi="EC Square Sans Cond Pro" w:cs="EC Square Sans Cond Pro"/>
                <w:noProof/>
                <w:color w:val="000000"/>
                <w:sz w:val="16"/>
                <w:szCs w:val="16"/>
                <w:lang w:val="en-GB" w:eastAsia="en-GB"/>
              </w:rPr>
              <w:t xml:space="preserve"> Hub support has been requested</w:t>
            </w:r>
            <w:r>
              <w:rPr>
                <w:rFonts w:ascii="EC Square Sans Cond Pro" w:hAnsi="EC Square Sans Cond Pro" w:cs="EC Square Sans Cond Pro"/>
                <w:noProof/>
                <w:color w:val="000000"/>
                <w:sz w:val="16"/>
                <w:szCs w:val="16"/>
                <w:lang w:val="en-US"/>
              </w:rPr>
              <w:t xml:space="preserve"> has been requested</w:t>
            </w:r>
            <w:r>
              <w:rPr>
                <w:rFonts w:cs="Calibri"/>
                <w:noProof/>
                <w:color w:val="000000"/>
                <w:sz w:val="16"/>
                <w:szCs w:val="16"/>
                <w:lang w:val="en-US"/>
              </w:rPr>
              <w:t> </w:t>
            </w:r>
            <w:r>
              <w:rPr>
                <w:rFonts w:ascii="EC Square Sans Cond Pro" w:hAnsi="EC Square Sans Cond Pro" w:cs="EC Square Sans Cond Pro"/>
                <w:noProof/>
                <w:color w:val="000000"/>
                <w:sz w:val="16"/>
                <w:szCs w:val="16"/>
                <w:lang w:val="en-US"/>
              </w:rPr>
              <w:t>(</w:t>
            </w:r>
            <w:r>
              <w:rPr>
                <w:rFonts w:ascii="EC Square Sans Cond Pro" w:hAnsi="EC Square Sans Cond Pro"/>
                <w:noProof/>
                <w:sz w:val="16"/>
                <w:szCs w:val="16"/>
                <w:vertAlign w:val="superscript"/>
                <w:lang w:val="en-GB"/>
              </w:rPr>
              <w:t>1</w:t>
            </w:r>
            <w:r>
              <w:rPr>
                <w:rFonts w:ascii="EC Square Sans Cond Pro" w:hAnsi="EC Square Sans Cond Pro"/>
                <w:noProof/>
                <w:sz w:val="16"/>
                <w:szCs w:val="16"/>
                <w:lang w:val="en-GB"/>
              </w:rPr>
              <w:t>)</w:t>
            </w:r>
          </w:p>
        </w:tc>
        <w:tc>
          <w:tcPr>
            <w:tcW w:w="707" w:type="dxa"/>
            <w:vAlign w:val="center"/>
          </w:tcPr>
          <w:p w:rsidR="0060634A" w:rsidRDefault="0060634A">
            <w:pPr>
              <w:jc w:val="center"/>
              <w:rPr>
                <w:rFonts w:ascii="EC Square Sans Cond Pro" w:hAnsi="EC Square Sans Cond Pro"/>
                <w:noProof/>
                <w:sz w:val="16"/>
                <w:szCs w:val="16"/>
                <w:lang w:val="en-GB"/>
              </w:rPr>
            </w:pPr>
          </w:p>
        </w:tc>
        <w:tc>
          <w:tcPr>
            <w:tcW w:w="3420"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c>
        <w:tc>
          <w:tcPr>
            <w:tcW w:w="596"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1 000</w:t>
            </w:r>
          </w:p>
        </w:tc>
        <w:tc>
          <w:tcPr>
            <w:tcW w:w="2920" w:type="dxa"/>
            <w:gridSpan w:val="2"/>
            <w:vAlign w:val="center"/>
          </w:tcPr>
          <w:p w:rsidR="0060634A" w:rsidRDefault="00F76D44">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1</w:t>
            </w:r>
            <w:r>
              <w:rPr>
                <w:rFonts w:cs="Calibri"/>
                <w:noProof/>
                <w:color w:val="000000"/>
                <w:sz w:val="16"/>
                <w:szCs w:val="16"/>
                <w:lang w:val="en-GB" w:eastAsia="en-GB"/>
              </w:rPr>
              <w:t> </w:t>
            </w:r>
            <w:r>
              <w:rPr>
                <w:rFonts w:ascii="EC Square Sans Cond Pro" w:hAnsi="EC Square Sans Cond Pro" w:cs="EC Square Sans Cond Pro"/>
                <w:noProof/>
                <w:color w:val="000000"/>
                <w:sz w:val="16"/>
                <w:szCs w:val="16"/>
                <w:lang w:val="en-GB" w:eastAsia="en-GB"/>
              </w:rPr>
              <w:t xml:space="preserve">547 </w:t>
            </w:r>
            <w:r>
              <w:rPr>
                <w:rFonts w:ascii="EC Square Sans Cond Pro" w:hAnsi="EC Square Sans Cond Pro" w:cs="EC Square Sans Cond Pro"/>
                <w:noProof/>
                <w:color w:val="000000"/>
                <w:sz w:val="16"/>
                <w:szCs w:val="16"/>
                <w:lang w:val="en-GB" w:eastAsia="en-GB"/>
              </w:rPr>
              <w:t>projects compared to a target of 1</w:t>
            </w:r>
            <w:r>
              <w:rPr>
                <w:rFonts w:cs="Calibri"/>
                <w:noProof/>
                <w:color w:val="000000"/>
                <w:sz w:val="16"/>
                <w:szCs w:val="16"/>
                <w:lang w:val="en-GB" w:eastAsia="en-GB"/>
              </w:rPr>
              <w:t> </w:t>
            </w:r>
            <w:r>
              <w:rPr>
                <w:rFonts w:ascii="EC Square Sans Cond Pro" w:hAnsi="EC Square Sans Cond Pro" w:cs="EC Square Sans Cond Pro"/>
                <w:noProof/>
                <w:color w:val="000000"/>
                <w:sz w:val="16"/>
                <w:szCs w:val="16"/>
                <w:lang w:val="en-GB" w:eastAsia="en-GB"/>
              </w:rPr>
              <w:t>000</w:t>
            </w:r>
          </w:p>
        </w:tc>
      </w:tr>
      <w:tr w:rsidR="0060634A">
        <w:trPr>
          <w:trHeight w:val="369"/>
        </w:trPr>
        <w:tc>
          <w:tcPr>
            <w:tcW w:w="3097"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Number of projects receiving European Investment Advisory Hub support</w:t>
            </w:r>
            <w:r>
              <w:rPr>
                <w:rFonts w:cs="Calibri"/>
                <w:noProof/>
                <w:sz w:val="16"/>
                <w:szCs w:val="16"/>
                <w:lang w:val="en-GB"/>
              </w:rPr>
              <w:t> </w:t>
            </w:r>
            <w:r>
              <w:rPr>
                <w:rFonts w:ascii="EC Square Sans Cond Pro" w:hAnsi="EC Square Sans Cond Pro" w:cs="EC Square Sans Cond Pro"/>
                <w:noProof/>
                <w:color w:val="000000"/>
                <w:sz w:val="16"/>
                <w:szCs w:val="16"/>
                <w:lang w:val="en-US"/>
              </w:rPr>
              <w:t>(</w:t>
            </w:r>
            <w:r>
              <w:rPr>
                <w:rFonts w:ascii="EC Square Sans Cond Pro" w:hAnsi="EC Square Sans Cond Pro"/>
                <w:noProof/>
                <w:sz w:val="16"/>
                <w:szCs w:val="16"/>
                <w:vertAlign w:val="superscript"/>
                <w:lang w:val="en-GB"/>
              </w:rPr>
              <w:t>1</w:t>
            </w:r>
            <w:r>
              <w:rPr>
                <w:rFonts w:ascii="EC Square Sans Cond Pro" w:hAnsi="EC Square Sans Cond Pro"/>
                <w:noProof/>
                <w:sz w:val="16"/>
                <w:szCs w:val="16"/>
                <w:lang w:val="en-GB"/>
              </w:rPr>
              <w:t>)</w:t>
            </w:r>
          </w:p>
        </w:tc>
        <w:tc>
          <w:tcPr>
            <w:tcW w:w="707" w:type="dxa"/>
            <w:vAlign w:val="center"/>
          </w:tcPr>
          <w:p w:rsidR="0060634A" w:rsidRDefault="0060634A">
            <w:pPr>
              <w:jc w:val="center"/>
              <w:rPr>
                <w:rFonts w:ascii="EC Square Sans Cond Pro" w:hAnsi="EC Square Sans Cond Pro"/>
                <w:noProof/>
                <w:sz w:val="16"/>
                <w:szCs w:val="16"/>
                <w:lang w:val="en-GB"/>
              </w:rPr>
            </w:pPr>
          </w:p>
        </w:tc>
        <w:tc>
          <w:tcPr>
            <w:tcW w:w="3420"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c>
        <w:tc>
          <w:tcPr>
            <w:tcW w:w="596"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395</w:t>
            </w:r>
          </w:p>
        </w:tc>
        <w:tc>
          <w:tcPr>
            <w:tcW w:w="2920" w:type="dxa"/>
            <w:gridSpan w:val="2"/>
            <w:vAlign w:val="center"/>
          </w:tcPr>
          <w:p w:rsidR="0060634A" w:rsidRDefault="00F76D44">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482 projects compared to a target of 395</w:t>
            </w:r>
          </w:p>
        </w:tc>
      </w:tr>
      <w:tr w:rsidR="0060634A">
        <w:trPr>
          <w:trHeight w:val="369"/>
        </w:trPr>
        <w:tc>
          <w:tcPr>
            <w:tcW w:w="3097"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Number of projects published on the European Investment Project Portal</w:t>
            </w:r>
          </w:p>
        </w:tc>
        <w:tc>
          <w:tcPr>
            <w:tcW w:w="707" w:type="dxa"/>
            <w:vAlign w:val="center"/>
          </w:tcPr>
          <w:p w:rsidR="0060634A" w:rsidRDefault="0060634A">
            <w:pPr>
              <w:jc w:val="center"/>
              <w:rPr>
                <w:rFonts w:ascii="EC Square Sans Cond Pro" w:hAnsi="EC Square Sans Cond Pro"/>
                <w:noProof/>
                <w:sz w:val="16"/>
                <w:szCs w:val="16"/>
                <w:lang w:val="en-GB"/>
              </w:rPr>
            </w:pPr>
          </w:p>
        </w:tc>
        <w:tc>
          <w:tcPr>
            <w:tcW w:w="3420"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c>
        <w:tc>
          <w:tcPr>
            <w:tcW w:w="596"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500</w:t>
            </w:r>
          </w:p>
        </w:tc>
        <w:tc>
          <w:tcPr>
            <w:tcW w:w="2920" w:type="dxa"/>
            <w:gridSpan w:val="2"/>
            <w:vAlign w:val="center"/>
          </w:tcPr>
          <w:p w:rsidR="0060634A" w:rsidRDefault="00F76D44">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956 projects </w:t>
            </w:r>
            <w:r>
              <w:rPr>
                <w:rFonts w:ascii="EC Square Sans Cond Pro" w:hAnsi="EC Square Sans Cond Pro" w:cs="EC Square Sans Cond Pro"/>
                <w:noProof/>
                <w:color w:val="000000"/>
                <w:sz w:val="16"/>
                <w:szCs w:val="16"/>
                <w:lang w:val="en-GB" w:eastAsia="en-GB"/>
              </w:rPr>
              <w:t>compared to a target of 500</w:t>
            </w:r>
          </w:p>
        </w:tc>
      </w:tr>
      <w:tr w:rsidR="0060634A">
        <w:trPr>
          <w:trHeight w:val="369"/>
        </w:trPr>
        <w:tc>
          <w:tcPr>
            <w:tcW w:w="3097"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Member States represented on the</w:t>
            </w:r>
            <w:r>
              <w:rPr>
                <w:rFonts w:ascii="EC Square Sans Cond Pro" w:hAnsi="EC Square Sans Cond Pro" w:cs="EC Square Sans Cond Pro"/>
                <w:noProof/>
                <w:color w:val="000000"/>
                <w:sz w:val="16"/>
                <w:szCs w:val="16"/>
                <w:lang w:val="en-GB" w:eastAsia="en-GB"/>
              </w:rPr>
              <w:t xml:space="preserve"> European Investment Project Portal</w:t>
            </w:r>
          </w:p>
        </w:tc>
        <w:tc>
          <w:tcPr>
            <w:tcW w:w="707" w:type="dxa"/>
            <w:vAlign w:val="center"/>
          </w:tcPr>
          <w:p w:rsidR="0060634A" w:rsidRDefault="0060634A">
            <w:pPr>
              <w:jc w:val="center"/>
              <w:rPr>
                <w:rFonts w:ascii="EC Square Sans Cond Pro" w:hAnsi="EC Square Sans Cond Pro"/>
                <w:noProof/>
                <w:sz w:val="16"/>
                <w:szCs w:val="16"/>
                <w:lang w:val="en-GB"/>
              </w:rPr>
            </w:pPr>
          </w:p>
        </w:tc>
        <w:tc>
          <w:tcPr>
            <w:tcW w:w="3420"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c>
        <w:tc>
          <w:tcPr>
            <w:tcW w:w="596"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28</w:t>
            </w:r>
          </w:p>
        </w:tc>
        <w:tc>
          <w:tcPr>
            <w:tcW w:w="2920"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28 out of 28 Member States</w:t>
            </w:r>
          </w:p>
        </w:tc>
      </w:tr>
      <w:tr w:rsidR="0060634A">
        <w:trPr>
          <w:trHeight w:val="294"/>
        </w:trPr>
        <w:tc>
          <w:tcPr>
            <w:tcW w:w="3097" w:type="dxa"/>
            <w:tcBorders>
              <w:bottom w:val="nil"/>
            </w:tcBorders>
            <w:vAlign w:val="center"/>
          </w:tcPr>
          <w:p w:rsidR="0060634A" w:rsidRDefault="00F76D44">
            <w:pPr>
              <w:ind w:left="142"/>
              <w:jc w:val="right"/>
              <w:rPr>
                <w:noProof/>
                <w:sz w:val="16"/>
                <w:szCs w:val="16"/>
              </w:rPr>
            </w:pPr>
            <w:r>
              <w:rPr>
                <w:noProof/>
                <w:sz w:val="16"/>
                <w:szCs w:val="16"/>
              </w:rPr>
              <w:t xml:space="preserve">    </w:t>
            </w:r>
          </w:p>
        </w:tc>
        <w:tc>
          <w:tcPr>
            <w:tcW w:w="707" w:type="dxa"/>
            <w:tcBorders>
              <w:bottom w:val="nil"/>
            </w:tcBorders>
          </w:tcPr>
          <w:p w:rsidR="0060634A" w:rsidRDefault="0060634A">
            <w:pPr>
              <w:ind w:left="142"/>
              <w:rPr>
                <w:noProof/>
                <w:sz w:val="16"/>
                <w:szCs w:val="16"/>
                <w:lang w:eastAsia="en-GB"/>
              </w:rPr>
            </w:pPr>
          </w:p>
        </w:tc>
        <w:tc>
          <w:tcPr>
            <w:tcW w:w="3420" w:type="dxa"/>
            <w:tcBorders>
              <w:bottom w:val="nil"/>
            </w:tcBorders>
            <w:vAlign w:val="center"/>
          </w:tcPr>
          <w:p w:rsidR="0060634A" w:rsidRDefault="00F76D44">
            <w:pPr>
              <w:spacing w:before="120"/>
              <w:rPr>
                <w:noProof/>
                <w:sz w:val="16"/>
                <w:szCs w:val="16"/>
                <w:lang w:val="en-GB"/>
              </w:rPr>
            </w:pPr>
            <w:r>
              <w:rPr>
                <w:noProof/>
                <w:sz w:val="16"/>
                <w:szCs w:val="16"/>
                <w:lang w:eastAsia="fr-BE"/>
              </w:rPr>
              <mc:AlternateContent>
                <mc:Choice Requires="wps">
                  <w:drawing>
                    <wp:anchor distT="0" distB="0" distL="114300" distR="114300" simplePos="0" relativeHeight="251613184"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319" name="Rectangle 319"/>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048A5" id="Rectangle 319" o:spid="_x0000_s1026" style="position:absolute;margin-left:-9.45pt;margin-top:6.1pt;width:6.35pt;height:7.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" fillcolor="#28296e" stroked="f" strokeweight="1pt">
                      <w10:wrap type="through"/>
                    </v:rect>
                  </w:pict>
                </mc:Fallback>
              </mc:AlternateContent>
            </w:r>
            <w:r>
              <w:rPr>
                <w:noProof/>
                <w:sz w:val="16"/>
                <w:szCs w:val="16"/>
                <w:lang w:val="en-GB"/>
              </w:rPr>
              <w:t>% of target achieved by the end of 2019</w:t>
            </w:r>
          </w:p>
        </w:tc>
        <w:tc>
          <w:tcPr>
            <w:tcW w:w="596" w:type="dxa"/>
            <w:tcBorders>
              <w:bottom w:val="nil"/>
            </w:tcBorders>
          </w:tcPr>
          <w:p w:rsidR="0060634A" w:rsidRDefault="0060634A">
            <w:pPr>
              <w:ind w:left="142"/>
              <w:rPr>
                <w:noProof/>
                <w:sz w:val="16"/>
                <w:szCs w:val="16"/>
                <w:lang w:val="en-GB" w:eastAsia="en-GB"/>
              </w:rPr>
            </w:pPr>
          </w:p>
        </w:tc>
        <w:tc>
          <w:tcPr>
            <w:tcW w:w="2920" w:type="dxa"/>
            <w:gridSpan w:val="2"/>
            <w:tcBorders>
              <w:bottom w:val="nil"/>
            </w:tcBorders>
            <w:vAlign w:val="center"/>
          </w:tcPr>
          <w:p w:rsidR="0060634A" w:rsidRDefault="0060634A">
            <w:pPr>
              <w:ind w:left="142"/>
              <w:rPr>
                <w:noProof/>
                <w:sz w:val="16"/>
                <w:szCs w:val="16"/>
                <w:lang w:val="en-GB"/>
              </w:rPr>
            </w:pPr>
          </w:p>
        </w:tc>
      </w:tr>
      <w:tr w:rsidR="0060634A">
        <w:trPr>
          <w:trHeight w:val="369"/>
        </w:trPr>
        <w:tc>
          <w:tcPr>
            <w:tcW w:w="10740" w:type="dxa"/>
            <w:gridSpan w:val="6"/>
            <w:tcBorders>
              <w:top w:val="nil"/>
              <w:bottom w:val="nil"/>
            </w:tcBorders>
            <w:vAlign w:val="center"/>
          </w:tcPr>
          <w:p w:rsidR="0060634A" w:rsidRDefault="00F76D44">
            <w:pPr>
              <w:ind w:left="142"/>
              <w:rPr>
                <w:noProof/>
                <w:sz w:val="16"/>
                <w:szCs w:val="16"/>
                <w:lang w:val="en-GB"/>
              </w:rPr>
            </w:pPr>
            <w:r>
              <w:rPr>
                <w:noProof/>
                <w:sz w:val="14"/>
                <w:szCs w:val="14"/>
                <w:lang w:val="en-GB"/>
              </w:rPr>
              <w:t>(</w:t>
            </w:r>
            <w:r>
              <w:rPr>
                <w:noProof/>
                <w:sz w:val="14"/>
                <w:szCs w:val="14"/>
                <w:vertAlign w:val="superscript"/>
                <w:lang w:val="en-GB"/>
              </w:rPr>
              <w:t>1</w:t>
            </w:r>
            <w:r>
              <w:rPr>
                <w:noProof/>
                <w:sz w:val="14"/>
                <w:szCs w:val="14"/>
                <w:lang w:val="en-GB"/>
              </w:rPr>
              <w:t>)</w:t>
            </w:r>
            <w:r>
              <w:rPr>
                <w:rFonts w:cs="Calibri"/>
                <w:noProof/>
                <w:sz w:val="14"/>
                <w:szCs w:val="14"/>
                <w:lang w:val="en-GB"/>
              </w:rPr>
              <w:t> </w:t>
            </w:r>
            <w:r>
              <w:rPr>
                <w:noProof/>
                <w:sz w:val="14"/>
                <w:szCs w:val="14"/>
                <w:lang w:val="en-GB"/>
              </w:rPr>
              <w:t xml:space="preserve">Cumulative results for 2014-2019 compared to cumulative milestones for </w:t>
            </w:r>
            <w:r>
              <w:rPr>
                <w:noProof/>
                <w:sz w:val="14"/>
                <w:szCs w:val="14"/>
                <w:lang w:val="en-GB"/>
              </w:rPr>
              <w:t>2014-2020.</w:t>
            </w:r>
          </w:p>
        </w:tc>
      </w:tr>
    </w:tbl>
    <w:p w:rsidR="0060634A" w:rsidRDefault="00F76D44">
      <w:pPr>
        <w:pStyle w:val="PPOTitle3"/>
      </w:pPr>
      <w:r>
        <w:t>Where are we in the implementation?</w:t>
      </w:r>
    </w:p>
    <w:p w:rsidR="0060634A" w:rsidRDefault="00F76D44">
      <w:pPr>
        <w:pStyle w:val="PPOBlackBULLETS-L1"/>
        <w:rPr>
          <w:noProof/>
        </w:rPr>
      </w:pPr>
      <w:r>
        <w:rPr>
          <w:noProof/>
        </w:rPr>
        <w:t>On 30</w:t>
      </w:r>
      <w:r>
        <w:rPr>
          <w:rFonts w:ascii="Calibri" w:hAnsi="Calibri" w:cs="Calibri"/>
          <w:noProof/>
        </w:rPr>
        <w:t> </w:t>
      </w:r>
      <w:r>
        <w:rPr>
          <w:noProof/>
        </w:rPr>
        <w:t>December 2017 the regulation to extend and enhance the EFSI (EFSI 2.0) entered in force, extending the EFSI’s lifetime to the end of 2020 and raising its investment target to EUR</w:t>
      </w:r>
      <w:r>
        <w:rPr>
          <w:rFonts w:ascii="Calibri" w:hAnsi="Calibri" w:cs="Calibri"/>
          <w:noProof/>
        </w:rPr>
        <w:t> </w:t>
      </w:r>
      <w:r>
        <w:rPr>
          <w:noProof/>
        </w:rPr>
        <w:t>500</w:t>
      </w:r>
      <w:r>
        <w:rPr>
          <w:rFonts w:ascii="Calibri" w:hAnsi="Calibri" w:cs="Calibri"/>
          <w:noProof/>
        </w:rPr>
        <w:t> </w:t>
      </w:r>
      <w:r>
        <w:rPr>
          <w:noProof/>
        </w:rPr>
        <w:t xml:space="preserve">billion. </w:t>
      </w:r>
    </w:p>
    <w:p w:rsidR="0060634A" w:rsidRDefault="00F76D44">
      <w:pPr>
        <w:pStyle w:val="PPOBlackBULLETS-L1"/>
        <w:rPr>
          <w:noProof/>
        </w:rPr>
      </w:pPr>
      <w:r>
        <w:rPr>
          <w:noProof/>
        </w:rPr>
        <w:t>As of 31</w:t>
      </w:r>
      <w:r>
        <w:rPr>
          <w:rFonts w:ascii="Calibri" w:hAnsi="Calibri" w:cs="Calibri"/>
          <w:noProof/>
        </w:rPr>
        <w:t> </w:t>
      </w:r>
      <w:r>
        <w:rPr>
          <w:noProof/>
        </w:rPr>
        <w:t>December 2019, 1</w:t>
      </w:r>
      <w:r>
        <w:rPr>
          <w:rFonts w:ascii="Calibri" w:hAnsi="Calibri" w:cs="Calibri"/>
          <w:noProof/>
        </w:rPr>
        <w:t> </w:t>
      </w:r>
      <w:r>
        <w:rPr>
          <w:noProof/>
        </w:rPr>
        <w:t>269 EFSI projects have been approved by the European Investment Bank Group for a total investment value of EUR</w:t>
      </w:r>
      <w:r>
        <w:rPr>
          <w:rFonts w:ascii="Calibri" w:hAnsi="Calibri" w:cs="Calibri"/>
          <w:noProof/>
        </w:rPr>
        <w:t> </w:t>
      </w:r>
      <w:r>
        <w:rPr>
          <w:noProof/>
        </w:rPr>
        <w:t>458</w:t>
      </w:r>
      <w:r>
        <w:rPr>
          <w:rFonts w:ascii="Calibri" w:hAnsi="Calibri" w:cs="Calibri"/>
          <w:noProof/>
        </w:rPr>
        <w:t> </w:t>
      </w:r>
      <w:r>
        <w:rPr>
          <w:noProof/>
        </w:rPr>
        <w:t>billion. Therefore, of the target investment volume of EUR</w:t>
      </w:r>
      <w:r>
        <w:rPr>
          <w:rFonts w:ascii="Calibri" w:hAnsi="Calibri" w:cs="Calibri"/>
          <w:noProof/>
        </w:rPr>
        <w:t> </w:t>
      </w:r>
      <w:r>
        <w:rPr>
          <w:noProof/>
        </w:rPr>
        <w:t>500</w:t>
      </w:r>
      <w:r>
        <w:rPr>
          <w:rFonts w:ascii="Calibri" w:hAnsi="Calibri" w:cs="Calibri"/>
          <w:noProof/>
        </w:rPr>
        <w:t> </w:t>
      </w:r>
      <w:r>
        <w:rPr>
          <w:noProof/>
        </w:rPr>
        <w:t>billion by the end of 2020, 92% had already been mobilised by</w:t>
      </w:r>
      <w:r>
        <w:rPr>
          <w:noProof/>
        </w:rPr>
        <w:t xml:space="preserve"> the end of 2019. </w:t>
      </w:r>
    </w:p>
    <w:p w:rsidR="0060634A" w:rsidRDefault="00F76D44">
      <w:pPr>
        <w:pStyle w:val="PPOBlackBULLETS-L1"/>
        <w:rPr>
          <w:noProof/>
        </w:rPr>
      </w:pPr>
      <w:r>
        <w:rPr>
          <w:noProof/>
        </w:rPr>
        <w:t>Under the EFSI, the EU provides funding support through an EU guarantee of EUR</w:t>
      </w:r>
      <w:r>
        <w:rPr>
          <w:rFonts w:ascii="Calibri" w:hAnsi="Calibri" w:cs="Calibri"/>
          <w:noProof/>
        </w:rPr>
        <w:t> </w:t>
      </w:r>
      <w:r>
        <w:rPr>
          <w:noProof/>
        </w:rPr>
        <w:t>26</w:t>
      </w:r>
      <w:r>
        <w:rPr>
          <w:rFonts w:ascii="Calibri" w:hAnsi="Calibri" w:cs="Calibri"/>
          <w:noProof/>
        </w:rPr>
        <w:t> </w:t>
      </w:r>
      <w:r>
        <w:rPr>
          <w:noProof/>
        </w:rPr>
        <w:t>billion covering potential losses to the European Investment Bank. Cumulative provisioning amounts to EUR</w:t>
      </w:r>
      <w:r>
        <w:rPr>
          <w:rFonts w:ascii="Calibri" w:hAnsi="Calibri" w:cs="Calibri"/>
          <w:noProof/>
        </w:rPr>
        <w:t> </w:t>
      </w:r>
      <w:r>
        <w:rPr>
          <w:noProof/>
        </w:rPr>
        <w:t>8.4</w:t>
      </w:r>
      <w:r>
        <w:rPr>
          <w:rFonts w:ascii="Calibri" w:hAnsi="Calibri" w:cs="Calibri"/>
          <w:noProof/>
        </w:rPr>
        <w:t> </w:t>
      </w:r>
      <w:r>
        <w:rPr>
          <w:noProof/>
        </w:rPr>
        <w:t>billion at the end of 2019 with new commitmen</w:t>
      </w:r>
      <w:r>
        <w:rPr>
          <w:noProof/>
        </w:rPr>
        <w:t>ts of EUR</w:t>
      </w:r>
      <w:r>
        <w:rPr>
          <w:rFonts w:ascii="Calibri" w:hAnsi="Calibri" w:cs="Calibri"/>
          <w:noProof/>
        </w:rPr>
        <w:t> </w:t>
      </w:r>
      <w:r>
        <w:rPr>
          <w:noProof/>
        </w:rPr>
        <w:t>187</w:t>
      </w:r>
      <w:r>
        <w:rPr>
          <w:rFonts w:ascii="Calibri" w:hAnsi="Calibri" w:cs="Calibri"/>
          <w:noProof/>
        </w:rPr>
        <w:t> </w:t>
      </w:r>
      <w:r>
        <w:rPr>
          <w:noProof/>
        </w:rPr>
        <w:t>million in 2019, which is low compared to previous years because the portfolio is now largely established.</w:t>
      </w:r>
    </w:p>
    <w:p w:rsidR="0060634A" w:rsidRDefault="00F76D44">
      <w:pPr>
        <w:pStyle w:val="PPOBlackBULLETS-L1"/>
        <w:rPr>
          <w:noProof/>
        </w:rPr>
      </w:pPr>
      <w:r>
        <w:rPr>
          <w:noProof/>
        </w:rPr>
        <w:t>The EFSI is now coming close to the end of its investment period for approvals of operations that will end by 31</w:t>
      </w:r>
      <w:r>
        <w:rPr>
          <w:rFonts w:ascii="Calibri" w:hAnsi="Calibri" w:cs="Calibri"/>
          <w:noProof/>
        </w:rPr>
        <w:t> </w:t>
      </w:r>
      <w:r>
        <w:rPr>
          <w:noProof/>
        </w:rPr>
        <w:t>December 2020. Given t</w:t>
      </w:r>
      <w:r>
        <w:rPr>
          <w:noProof/>
        </w:rPr>
        <w:t xml:space="preserve">he long-term nature of support under the EFSI, EU guarantee coverage and operational monitoring will continue until repayment of all supported financing and investment operations is complete. </w:t>
      </w:r>
    </w:p>
    <w:p w:rsidR="0060634A" w:rsidRDefault="00F76D44">
      <w:pPr>
        <w:pStyle w:val="PPOTitle3"/>
        <w:rPr>
          <w:rFonts w:eastAsiaTheme="minorEastAsia"/>
        </w:rPr>
      </w:pPr>
      <w:r>
        <w:rPr>
          <w:rFonts w:eastAsiaTheme="minorEastAsia"/>
        </w:rPr>
        <w:t>Performance assessment</w:t>
      </w:r>
    </w:p>
    <w:p w:rsidR="0060634A" w:rsidRDefault="00F76D44">
      <w:pPr>
        <w:pStyle w:val="PPOBlackBULLETS-L1"/>
        <w:rPr>
          <w:noProof/>
        </w:rPr>
      </w:pPr>
      <w:r>
        <w:rPr>
          <w:noProof/>
        </w:rPr>
        <w:t>The EFSI has supported investments by pr</w:t>
      </w:r>
      <w:r>
        <w:rPr>
          <w:noProof/>
        </w:rPr>
        <w:t>oviding additional risk-bearing capacity to increase the volume of European Investment Bank financing and investment operations in priority areas, and for small to medium-sized enterprises. The EFSI is fully on track to meet the end-of-2020 target of unloc</w:t>
      </w:r>
      <w:r>
        <w:rPr>
          <w:noProof/>
        </w:rPr>
        <w:t>king additional investment of at least EUR</w:t>
      </w:r>
      <w:r>
        <w:rPr>
          <w:rFonts w:ascii="Calibri" w:hAnsi="Calibri" w:cs="Calibri"/>
          <w:noProof/>
        </w:rPr>
        <w:t> </w:t>
      </w:r>
      <w:r>
        <w:rPr>
          <w:noProof/>
        </w:rPr>
        <w:t>500</w:t>
      </w:r>
      <w:r>
        <w:rPr>
          <w:rFonts w:ascii="Calibri" w:hAnsi="Calibri" w:cs="Calibri"/>
          <w:noProof/>
        </w:rPr>
        <w:t> </w:t>
      </w:r>
      <w:r>
        <w:rPr>
          <w:noProof/>
        </w:rPr>
        <w:t>billion, and about 1</w:t>
      </w:r>
      <w:r>
        <w:rPr>
          <w:rFonts w:ascii="Calibri" w:hAnsi="Calibri" w:cs="Calibri"/>
          <w:noProof/>
        </w:rPr>
        <w:t> </w:t>
      </w:r>
      <w:r>
        <w:rPr>
          <w:noProof/>
        </w:rPr>
        <w:t>125</w:t>
      </w:r>
      <w:r>
        <w:rPr>
          <w:rFonts w:ascii="Calibri" w:hAnsi="Calibri" w:cs="Calibri"/>
          <w:noProof/>
        </w:rPr>
        <w:t> </w:t>
      </w:r>
      <w:r>
        <w:rPr>
          <w:noProof/>
        </w:rPr>
        <w:t>000 small to medium-sized enterprises are expected to benefit from it.</w:t>
      </w:r>
    </w:p>
    <w:p w:rsidR="0060634A" w:rsidRDefault="00F76D44">
      <w:pPr>
        <w:pStyle w:val="PPOBlackBULLETS-L1"/>
        <w:rPr>
          <w:noProof/>
        </w:rPr>
      </w:pPr>
      <w:r>
        <w:rPr>
          <w:noProof/>
        </w:rPr>
        <w:t>The EFSI is providing EU added value by addressing market failures and by supporting riskier operations, which co</w:t>
      </w:r>
      <w:r>
        <w:rPr>
          <w:noProof/>
        </w:rPr>
        <w:t xml:space="preserve">uld not have not been carried out otherwise, or not to the same extent, by the European Investment Bank or under existing EU financial instruments. While financial market conditions have improved over the last few years, evidence suggests that significant </w:t>
      </w:r>
      <w:r>
        <w:rPr>
          <w:noProof/>
        </w:rPr>
        <w:t>market gaps and suboptimal investment situations remain. In particular, there are substantial market gaps for financing of small to medium-sized enterprises in terms of cost of finance and collateral requirements, and in areas related to climate action and</w:t>
      </w:r>
      <w:r>
        <w:rPr>
          <w:noProof/>
        </w:rPr>
        <w:t xml:space="preserve"> sustainability. In addition, EFSI intervention in 2020 and beyond will be crucial due to the devastating economic impact of the COVID-19 crisis.</w:t>
      </w:r>
    </w:p>
    <w:p w:rsidR="0060634A" w:rsidRDefault="00F76D44">
      <w:pPr>
        <w:pStyle w:val="PPOBlackBULLETS-L1"/>
        <w:rPr>
          <w:noProof/>
        </w:rPr>
      </w:pPr>
      <w:r>
        <w:rPr>
          <w:noProof/>
        </w:rPr>
        <w:t xml:space="preserve">The EFSI has achieved its objectives using a limited amount of resources. The EFSI effective multiplier ratio </w:t>
      </w:r>
      <w:r>
        <w:rPr>
          <w:noProof/>
        </w:rPr>
        <w:t>until 2019 is around 16: EUR</w:t>
      </w:r>
      <w:r>
        <w:rPr>
          <w:rFonts w:ascii="Calibri" w:hAnsi="Calibri" w:cs="Calibri"/>
          <w:noProof/>
        </w:rPr>
        <w:t> </w:t>
      </w:r>
      <w:r>
        <w:rPr>
          <w:noProof/>
        </w:rPr>
        <w:t>1 of the EU guarantee under this initiative generates approximately EUR</w:t>
      </w:r>
      <w:r>
        <w:rPr>
          <w:rFonts w:ascii="Calibri" w:hAnsi="Calibri" w:cs="Calibri"/>
          <w:noProof/>
        </w:rPr>
        <w:t> </w:t>
      </w:r>
      <w:r>
        <w:rPr>
          <w:noProof/>
        </w:rPr>
        <w:t>16 of investment in projects.</w:t>
      </w:r>
    </w:p>
    <w:p w:rsidR="0060634A" w:rsidRDefault="00F76D44">
      <w:pPr>
        <w:pStyle w:val="PPOBlackBULLETS-L1"/>
        <w:rPr>
          <w:noProof/>
        </w:rPr>
      </w:pPr>
      <w:r>
        <w:rPr>
          <w:noProof/>
        </w:rPr>
        <w:t>The EFSI has slightly surpassed the 40% objective for climate action under the infrastructure and innovation window: as of th</w:t>
      </w:r>
      <w:r>
        <w:rPr>
          <w:noProof/>
        </w:rPr>
        <w:t>e end of 2019, 40.2% of operations signed under the infrastructure and innovation window in 2019 contributed to climate action, providing focused support for climate-related projects like renewable energy and energy efficiency.</w:t>
      </w:r>
    </w:p>
    <w:p w:rsidR="0060634A" w:rsidRDefault="00F76D44">
      <w:pPr>
        <w:pStyle w:val="PPOBlackBULLETS-L1"/>
        <w:rPr>
          <w:noProof/>
        </w:rPr>
      </w:pPr>
      <w:r>
        <w:rPr>
          <w:noProof/>
        </w:rPr>
        <w:t>One of the recommendations o</w:t>
      </w:r>
      <w:r>
        <w:rPr>
          <w:noProof/>
        </w:rPr>
        <w:t>f the performance audit published by the European Court of Auditors in January 2019 was to improve the assessment of whether potential EFSI projects could be financed by other sources, in order to ensure that investment mobilised by EFSI is additional. The</w:t>
      </w:r>
      <w:r>
        <w:rPr>
          <w:noProof/>
        </w:rPr>
        <w:t xml:space="preserve"> EFSI 2.0 regulation strengthens the criteria for ensuring the investment is additional by including a qualitative assessment of additionality by the European Investment</w:t>
      </w:r>
      <w:r>
        <w:rPr>
          <w:rFonts w:ascii="Calibri" w:hAnsi="Calibri" w:cs="Calibri"/>
          <w:noProof/>
        </w:rPr>
        <w:t> </w:t>
      </w:r>
      <w:r>
        <w:rPr>
          <w:noProof/>
        </w:rPr>
        <w:t>Bank.</w:t>
      </w:r>
    </w:p>
    <w:p w:rsidR="0060634A" w:rsidRDefault="00F76D44">
      <w:pPr>
        <w:pStyle w:val="PPOBlackBULLETS-L1"/>
        <w:rPr>
          <w:noProof/>
        </w:rPr>
      </w:pPr>
      <w:r>
        <w:rPr>
          <w:noProof/>
        </w:rPr>
        <w:t>In terms of geographical spread, as of 31</w:t>
      </w:r>
      <w:r>
        <w:rPr>
          <w:rFonts w:ascii="Calibri" w:hAnsi="Calibri" w:cs="Calibri"/>
          <w:noProof/>
        </w:rPr>
        <w:t> </w:t>
      </w:r>
      <w:r>
        <w:rPr>
          <w:noProof/>
        </w:rPr>
        <w:t>December 2019, the share of the top th</w:t>
      </w:r>
      <w:r>
        <w:rPr>
          <w:noProof/>
        </w:rPr>
        <w:t>ree Member States (France, Italy and Spain) accounted for 48% of signed EFSI financing and for 46% of investment mobilised by approvals. Both metrics are slightly above the indicative limit of 45% set out in the strategic orientation. A set of actions will</w:t>
      </w:r>
      <w:r>
        <w:rPr>
          <w:noProof/>
        </w:rPr>
        <w:t xml:space="preserve"> be implemented until the end of 2020 to improve this situation, including the analysis of the specific situation of underrepresented Member States, and more targeted awareness-raising activities.</w:t>
      </w:r>
    </w:p>
    <w:p w:rsidR="0060634A" w:rsidRDefault="00F76D44">
      <w:pPr>
        <w:pStyle w:val="PPOTitle3"/>
        <w:rPr>
          <w:rFonts w:eastAsiaTheme="minorEastAsia"/>
        </w:rPr>
      </w:pPr>
      <w:r>
        <w:rPr>
          <w:rFonts w:eastAsiaTheme="minorEastAsia"/>
        </w:rPr>
        <w:t>Concrete examples of achievements</w:t>
      </w:r>
    </w:p>
    <w:tbl>
      <w:tblPr>
        <w:tblStyle w:val="TableGrid"/>
        <w:tblW w:w="10808"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1559"/>
        <w:gridCol w:w="1560"/>
        <w:gridCol w:w="2055"/>
        <w:gridCol w:w="2056"/>
        <w:gridCol w:w="1789"/>
        <w:gridCol w:w="1789"/>
      </w:tblGrid>
      <w:tr w:rsidR="0060634A">
        <w:trPr>
          <w:trHeight w:val="143"/>
        </w:trPr>
        <w:tc>
          <w:tcPr>
            <w:tcW w:w="1559" w:type="dxa"/>
            <w:shd w:val="clear" w:color="auto" w:fill="00ADDC"/>
          </w:tcPr>
          <w:p w:rsidR="0060634A" w:rsidRDefault="00F76D44">
            <w:pPr>
              <w:pStyle w:val="PPOExamplesTABLEHeader"/>
              <w:rPr>
                <w:rFonts w:eastAsiaTheme="minorEastAsia"/>
              </w:rPr>
            </w:pPr>
            <w:r>
              <w:rPr>
                <w:rFonts w:eastAsiaTheme="minorEastAsia"/>
              </w:rPr>
              <w:t>8.5 million</w:t>
            </w:r>
          </w:p>
        </w:tc>
        <w:tc>
          <w:tcPr>
            <w:tcW w:w="1560" w:type="dxa"/>
            <w:shd w:val="clear" w:color="auto" w:fill="00ADDC"/>
          </w:tcPr>
          <w:p w:rsidR="0060634A" w:rsidRDefault="00F76D44">
            <w:pPr>
              <w:pStyle w:val="PPOExamplesTABLEHeader"/>
              <w:rPr>
                <w:rFonts w:eastAsiaTheme="minorEastAsia"/>
              </w:rPr>
            </w:pPr>
            <w:r>
              <w:rPr>
                <w:rFonts w:eastAsiaTheme="minorEastAsia"/>
              </w:rPr>
              <w:t>531 000</w:t>
            </w:r>
          </w:p>
        </w:tc>
        <w:tc>
          <w:tcPr>
            <w:tcW w:w="2055" w:type="dxa"/>
            <w:shd w:val="clear" w:color="auto" w:fill="00ADDC"/>
          </w:tcPr>
          <w:p w:rsidR="0060634A" w:rsidRDefault="00F76D44">
            <w:pPr>
              <w:pStyle w:val="PPOExamplesTABLEHeader"/>
              <w:rPr>
                <w:rFonts w:eastAsiaTheme="minorEastAsia"/>
              </w:rPr>
            </w:pPr>
            <w:r>
              <w:rPr>
                <w:rFonts w:eastAsiaTheme="minorEastAsia"/>
              </w:rPr>
              <w:t>10 mi</w:t>
            </w:r>
            <w:r>
              <w:rPr>
                <w:rFonts w:eastAsiaTheme="minorEastAsia"/>
              </w:rPr>
              <w:t>llion</w:t>
            </w:r>
          </w:p>
        </w:tc>
        <w:tc>
          <w:tcPr>
            <w:tcW w:w="2056" w:type="dxa"/>
            <w:shd w:val="clear" w:color="auto" w:fill="00ADDC"/>
          </w:tcPr>
          <w:p w:rsidR="0060634A" w:rsidRDefault="00F76D44">
            <w:pPr>
              <w:pStyle w:val="PPOExamplesTABLEHeader"/>
              <w:rPr>
                <w:rFonts w:eastAsiaTheme="minorEastAsia"/>
              </w:rPr>
            </w:pPr>
            <w:r>
              <w:rPr>
                <w:rFonts w:eastAsiaTheme="minorEastAsia"/>
              </w:rPr>
              <w:t>31 million</w:t>
            </w:r>
          </w:p>
        </w:tc>
        <w:tc>
          <w:tcPr>
            <w:tcW w:w="1789" w:type="dxa"/>
            <w:shd w:val="clear" w:color="auto" w:fill="00ADDC"/>
          </w:tcPr>
          <w:p w:rsidR="0060634A" w:rsidRDefault="00F76D44">
            <w:pPr>
              <w:pStyle w:val="PPOExamplesTABLEHeader"/>
              <w:rPr>
                <w:rFonts w:eastAsiaTheme="minorEastAsia"/>
              </w:rPr>
            </w:pPr>
            <w:r>
              <w:rPr>
                <w:rFonts w:eastAsiaTheme="minorEastAsia"/>
              </w:rPr>
              <w:t>95 million</w:t>
            </w:r>
          </w:p>
        </w:tc>
        <w:tc>
          <w:tcPr>
            <w:tcW w:w="1789" w:type="dxa"/>
            <w:shd w:val="clear" w:color="auto" w:fill="00ADDC"/>
          </w:tcPr>
          <w:p w:rsidR="0060634A" w:rsidRDefault="00F76D44">
            <w:pPr>
              <w:pStyle w:val="PPOExamplesTABLEHeader"/>
              <w:rPr>
                <w:rFonts w:eastAsiaTheme="minorEastAsia"/>
              </w:rPr>
            </w:pPr>
            <w:r>
              <w:rPr>
                <w:rFonts w:eastAsiaTheme="minorEastAsia"/>
              </w:rPr>
              <w:t>15 million</w:t>
            </w:r>
          </w:p>
        </w:tc>
      </w:tr>
      <w:tr w:rsidR="0060634A">
        <w:trPr>
          <w:trHeight w:val="831"/>
        </w:trPr>
        <w:tc>
          <w:tcPr>
            <w:tcW w:w="1559" w:type="dxa"/>
            <w:shd w:val="clear" w:color="auto" w:fill="DCE6F2"/>
          </w:tcPr>
          <w:p w:rsidR="0060634A" w:rsidRDefault="00F76D44">
            <w:pPr>
              <w:pStyle w:val="PPOExamplesTABLEText"/>
              <w:spacing w:line="240" w:lineRule="auto"/>
              <w:rPr>
                <w:noProof/>
                <w:lang w:val="en-GB"/>
              </w:rPr>
            </w:pPr>
            <w:r>
              <w:rPr>
                <w:noProof/>
                <w:lang w:val="en-GB"/>
              </w:rPr>
              <w:t>jobs sustained and supported by help from the EFSI.</w:t>
            </w:r>
          </w:p>
        </w:tc>
        <w:tc>
          <w:tcPr>
            <w:tcW w:w="1560" w:type="dxa"/>
            <w:shd w:val="clear" w:color="auto" w:fill="DCE6F2"/>
          </w:tcPr>
          <w:p w:rsidR="0060634A" w:rsidRDefault="00F76D44">
            <w:pPr>
              <w:pStyle w:val="PPOExamplesTABLEText"/>
              <w:spacing w:line="240" w:lineRule="auto"/>
              <w:rPr>
                <w:noProof/>
                <w:lang w:val="en-GB"/>
              </w:rPr>
            </w:pPr>
            <w:r>
              <w:rPr>
                <w:noProof/>
                <w:lang w:val="en-GB"/>
              </w:rPr>
              <w:t>affordable flats built or renovated through EFSI investments.</w:t>
            </w:r>
          </w:p>
        </w:tc>
        <w:tc>
          <w:tcPr>
            <w:tcW w:w="2055" w:type="dxa"/>
            <w:shd w:val="clear" w:color="auto" w:fill="DCE6F2"/>
          </w:tcPr>
          <w:p w:rsidR="0060634A" w:rsidRDefault="00F76D44">
            <w:pPr>
              <w:pStyle w:val="PPOExamplesTABLEText"/>
              <w:spacing w:line="240" w:lineRule="auto"/>
              <w:rPr>
                <w:noProof/>
                <w:lang w:val="en-GB"/>
              </w:rPr>
            </w:pPr>
            <w:r>
              <w:rPr>
                <w:noProof/>
                <w:lang w:val="en-GB"/>
              </w:rPr>
              <w:t>additional households being powered by renewable energy through investments in generation.</w:t>
            </w:r>
          </w:p>
        </w:tc>
        <w:tc>
          <w:tcPr>
            <w:tcW w:w="2056" w:type="dxa"/>
            <w:shd w:val="clear" w:color="auto" w:fill="DCE6F2"/>
          </w:tcPr>
          <w:p w:rsidR="0060634A" w:rsidRDefault="00F76D44">
            <w:pPr>
              <w:pStyle w:val="PPOExamplesTABLEText"/>
              <w:spacing w:line="240" w:lineRule="auto"/>
              <w:rPr>
                <w:noProof/>
                <w:lang w:val="en-GB"/>
              </w:rPr>
            </w:pPr>
            <w:r>
              <w:rPr>
                <w:noProof/>
                <w:lang w:val="en-GB"/>
              </w:rPr>
              <w:t xml:space="preserve">people </w:t>
            </w:r>
            <w:r>
              <w:rPr>
                <w:noProof/>
                <w:lang w:val="en-GB"/>
              </w:rPr>
              <w:t>receiving better healthcare through improved health facilities and support for medical research.</w:t>
            </w:r>
          </w:p>
        </w:tc>
        <w:tc>
          <w:tcPr>
            <w:tcW w:w="1789" w:type="dxa"/>
            <w:shd w:val="clear" w:color="auto" w:fill="DCE6F2"/>
          </w:tcPr>
          <w:p w:rsidR="0060634A" w:rsidRDefault="00F76D44">
            <w:pPr>
              <w:pStyle w:val="PPOExamplesTABLEText"/>
              <w:spacing w:line="240" w:lineRule="auto"/>
              <w:rPr>
                <w:noProof/>
                <w:lang w:val="en-GB"/>
              </w:rPr>
            </w:pPr>
            <w:r>
              <w:rPr>
                <w:noProof/>
                <w:lang w:val="en-GB"/>
              </w:rPr>
              <w:t>passengers benefiting from improved transport through infrastructure investments.</w:t>
            </w:r>
          </w:p>
        </w:tc>
        <w:tc>
          <w:tcPr>
            <w:tcW w:w="1789" w:type="dxa"/>
            <w:shd w:val="clear" w:color="auto" w:fill="DCE6F2"/>
          </w:tcPr>
          <w:p w:rsidR="0060634A" w:rsidRDefault="00F76D44">
            <w:pPr>
              <w:pStyle w:val="PPOExamplesTABLEText"/>
              <w:spacing w:line="240" w:lineRule="auto"/>
              <w:rPr>
                <w:noProof/>
                <w:lang w:val="en-GB"/>
              </w:rPr>
            </w:pPr>
            <w:r>
              <w:rPr>
                <w:noProof/>
                <w:lang w:val="en-GB"/>
              </w:rPr>
              <w:t>additional households with high-speed internet.</w:t>
            </w:r>
          </w:p>
        </w:tc>
      </w:tr>
    </w:tbl>
    <w:p w:rsidR="0060634A" w:rsidRDefault="0060634A">
      <w:pPr>
        <w:pStyle w:val="Hidelastparagraphafterthetable"/>
      </w:pPr>
    </w:p>
    <w:p w:rsidR="0060634A" w:rsidRDefault="0060634A">
      <w:pPr>
        <w:pStyle w:val="BodyText1spaceafter"/>
        <w:ind w:left="284" w:hanging="284"/>
        <w:sectPr w:rsidR="0060634A">
          <w:headerReference w:type="even" r:id="rId132"/>
          <w:headerReference w:type="default" r:id="rId133"/>
          <w:footerReference w:type="even" r:id="rId134"/>
          <w:footerReference w:type="default" r:id="rId135"/>
          <w:headerReference w:type="first" r:id="rId136"/>
          <w:footerReference w:type="first" r:id="rId137"/>
          <w:pgSz w:w="11906" w:h="16838" w:code="9"/>
          <w:pgMar w:top="567" w:right="567" w:bottom="567" w:left="567" w:header="567" w:footer="454" w:gutter="0"/>
          <w:paperSrc w:first="15" w:other="15"/>
          <w:cols w:space="720"/>
          <w:docGrid w:linePitch="360"/>
        </w:sectPr>
      </w:pPr>
    </w:p>
    <w:p w:rsidR="0060634A" w:rsidRDefault="00F76D44">
      <w:pPr>
        <w:pStyle w:val="PPO1AsidebarTitleBlue"/>
        <w:rPr>
          <w:rFonts w:eastAsiaTheme="minorEastAsia"/>
        </w:rPr>
      </w:pPr>
      <w:r>
        <w:rPr>
          <w:rFonts w:eastAsiaTheme="minorEastAsia"/>
          <w:lang w:val="fr-BE" w:eastAsia="fr-BE"/>
        </w:rPr>
        <mc:AlternateContent>
          <mc:Choice Requires="wps">
            <w:drawing>
              <wp:anchor distT="0" distB="0" distL="0" distR="0" simplePos="0" relativeHeight="251583488" behindDoc="0" locked="1" layoutInCell="1" allowOverlap="1">
                <wp:simplePos x="0" y="0"/>
                <wp:positionH relativeFrom="page">
                  <wp:posOffset>359410</wp:posOffset>
                </wp:positionH>
                <wp:positionV relativeFrom="page">
                  <wp:posOffset>593090</wp:posOffset>
                </wp:positionV>
                <wp:extent cx="1457960" cy="777240"/>
                <wp:effectExtent l="0" t="0" r="85090" b="3810"/>
                <wp:wrapTopAndBottom/>
                <wp:docPr id="333" name="Text Box 333"/>
                <wp:cNvGraphicFramePr/>
                <a:graphic xmlns:a="http://schemas.openxmlformats.org/drawingml/2006/main">
                  <a:graphicData uri="http://schemas.microsoft.com/office/word/2010/wordprocessingShape">
                    <wps:wsp>
                      <wps:cNvSpPr txBox="1"/>
                      <wps:spPr>
                        <a:xfrm>
                          <a:off x="0" y="0"/>
                          <a:ext cx="1457960" cy="777240"/>
                        </a:xfrm>
                        <a:prstGeom prst="wedgeRectCallout">
                          <a:avLst>
                            <a:gd name="adj1" fmla="val 54107"/>
                            <a:gd name="adj2" fmla="val -21878"/>
                          </a:avLst>
                        </a:prstGeom>
                        <a:solidFill>
                          <a:srgbClr val="28296E"/>
                        </a:solidFill>
                        <a:ln w="6350">
                          <a:noFill/>
                        </a:ln>
                      </wps:spPr>
                      <wps:txbx>
                        <w:txbxContent>
                          <w:p w:rsidR="0060634A" w:rsidRDefault="00F76D44">
                            <w:pPr>
                              <w:jc w:val="right"/>
                              <w:rPr>
                                <w:b/>
                                <w:color w:val="FFFFFF" w:themeColor="background1"/>
                                <w:sz w:val="16"/>
                                <w:szCs w:val="16"/>
                              </w:rPr>
                            </w:pPr>
                            <w:r>
                              <w:rPr>
                                <w:b/>
                                <w:color w:val="FFFFFF" w:themeColor="background1"/>
                                <w:sz w:val="16"/>
                                <w:szCs w:val="16"/>
                              </w:rPr>
                              <w:t>LEGAL BASIS</w:t>
                            </w:r>
                          </w:p>
                          <w:p w:rsidR="0060634A" w:rsidRDefault="00F76D44">
                            <w:pPr>
                              <w:jc w:val="right"/>
                              <w:rPr>
                                <w:color w:val="FFFFFF" w:themeColor="background1"/>
                                <w:sz w:val="18"/>
                                <w:szCs w:val="20"/>
                              </w:rPr>
                            </w:pPr>
                            <w:r>
                              <w:rPr>
                                <w:color w:val="FFFFFF" w:themeColor="background1"/>
                                <w:sz w:val="14"/>
                                <w:szCs w:val="14"/>
                              </w:rPr>
                              <w:t>Council Regulation (Euratom) No</w:t>
                            </w:r>
                            <w:r>
                              <w:rPr>
                                <w:rFonts w:ascii="Calibri" w:hAnsi="Calibri" w:cs="Calibri"/>
                                <w:color w:val="FFFFFF" w:themeColor="background1"/>
                                <w:sz w:val="14"/>
                                <w:szCs w:val="14"/>
                              </w:rPr>
                              <w:t> </w:t>
                            </w:r>
                            <w:r>
                              <w:rPr>
                                <w:color w:val="FFFFFF" w:themeColor="background1"/>
                                <w:sz w:val="14"/>
                                <w:szCs w:val="14"/>
                              </w:rPr>
                              <w:t xml:space="preserve">1368/2013 </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3" o:spid="_x0000_s1064" type="#_x0000_t61" style="position:absolute;left:0;text-align:left;margin-left:28.3pt;margin-top:46.7pt;width:114.8pt;height:61.2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" adj="22487,6074" fillcolor="#28296e" stroked="f" strokeweight=".5pt">
                <v:textbox inset="2.5mm,1.3mm,2.5mm,1.3mm">
                  <w:txbxContent>
                    <w:p w:rsidR="0060634A" w:rsidRDefault="00F76D44">
                      <w:pPr>
                        <w:jc w:val="right"/>
                        <w:rPr>
                          <w:b/>
                          <w:color w:val="FFFFFF" w:themeColor="background1"/>
                          <w:sz w:val="16"/>
                          <w:szCs w:val="16"/>
                        </w:rPr>
                      </w:pPr>
                      <w:r>
                        <w:rPr>
                          <w:b/>
                          <w:color w:val="FFFFFF" w:themeColor="background1"/>
                          <w:sz w:val="16"/>
                          <w:szCs w:val="16"/>
                        </w:rPr>
                        <w:t>LEGAL BASIS</w:t>
                      </w:r>
                    </w:p>
                    <w:p w:rsidR="0060634A" w:rsidRDefault="00F76D44">
                      <w:pPr>
                        <w:jc w:val="right"/>
                        <w:rPr>
                          <w:color w:val="FFFFFF" w:themeColor="background1"/>
                          <w:sz w:val="18"/>
                          <w:szCs w:val="20"/>
                        </w:rPr>
                      </w:pPr>
                      <w:r>
                        <w:rPr>
                          <w:color w:val="FFFFFF" w:themeColor="background1"/>
                          <w:sz w:val="14"/>
                          <w:szCs w:val="14"/>
                        </w:rPr>
                        <w:t>Council Regulation (Euratom) No</w:t>
                      </w:r>
                      <w:r>
                        <w:rPr>
                          <w:rFonts w:ascii="Calibri" w:hAnsi="Calibri" w:cs="Calibri"/>
                          <w:color w:val="FFFFFF" w:themeColor="background1"/>
                          <w:sz w:val="14"/>
                          <w:szCs w:val="14"/>
                        </w:rPr>
                        <w:t> </w:t>
                      </w:r>
                      <w:r>
                        <w:rPr>
                          <w:color w:val="FFFFFF" w:themeColor="background1"/>
                          <w:sz w:val="14"/>
                          <w:szCs w:val="14"/>
                        </w:rPr>
                        <w:t xml:space="preserve">1368/2013 </w:t>
                      </w:r>
                    </w:p>
                  </w:txbxContent>
                </v:textbox>
                <w10:wrap type="topAndBottom" anchorx="page" anchory="page"/>
                <w10:anchorlock/>
              </v:shape>
            </w:pict>
          </mc:Fallback>
        </mc:AlternateContent>
      </w:r>
      <w:r>
        <w:rPr>
          <w:rFonts w:eastAsiaTheme="minorEastAsia"/>
        </w:rPr>
        <w:t>MORE</w:t>
      </w:r>
      <w:r>
        <w:rPr>
          <w:rFonts w:eastAsiaTheme="minorEastAsia"/>
        </w:rPr>
        <w:t xml:space="preserve"> INFORMATION</w:t>
      </w:r>
    </w:p>
    <w:p w:rsidR="0060634A" w:rsidRDefault="00F76D44">
      <w:pPr>
        <w:pStyle w:val="PPOsidebartext"/>
        <w:rPr>
          <w:rFonts w:eastAsiaTheme="minorEastAsia"/>
        </w:rPr>
      </w:pPr>
      <w:hyperlink r:id="rId138" w:history="1">
        <w:r>
          <w:rPr>
            <w:rStyle w:val="PPOChar-Hyperlink"/>
            <w:rFonts w:eastAsiaTheme="minorEastAsia"/>
          </w:rPr>
          <w:t>https://europa.eu/!bC66CU</w:t>
        </w:r>
      </w:hyperlink>
    </w:p>
    <w:p w:rsidR="0060634A" w:rsidRDefault="00F76D44">
      <w:pPr>
        <w:pStyle w:val="PPO1AsidebarTitleBlue"/>
        <w:rPr>
          <w:rFonts w:eastAsiaTheme="minorEastAsia"/>
        </w:rPr>
      </w:pPr>
      <w:r>
        <w:rPr>
          <w:rFonts w:eastAsiaTheme="minorEastAsia"/>
        </w:rPr>
        <w:t>FINANCIAL PROGRAMMING</w:t>
      </w:r>
    </w:p>
    <w:p w:rsidR="0060634A" w:rsidRDefault="00F76D44">
      <w:pPr>
        <w:pStyle w:val="PPO1AsidebarTablecaption"/>
      </w:pPr>
      <w:r>
        <w:t xml:space="preserve"> (million EUR)</w:t>
      </w:r>
    </w:p>
    <w:tbl>
      <w:tblPr>
        <w:tblOverlap w:val="never"/>
        <w:tblW w:w="2296" w:type="dxa"/>
        <w:jc w:val="right"/>
        <w:tblLayout w:type="fixed"/>
        <w:tblCellMar>
          <w:top w:w="28" w:type="dxa"/>
          <w:left w:w="28" w:type="dxa"/>
          <w:bottom w:w="28" w:type="dxa"/>
          <w:right w:w="28" w:type="dxa"/>
        </w:tblCellMar>
        <w:tblLook w:val="0000" w:firstRow="0" w:lastRow="0" w:firstColumn="0" w:lastColumn="0" w:noHBand="0" w:noVBand="0"/>
      </w:tblPr>
      <w:tblGrid>
        <w:gridCol w:w="1134"/>
        <w:gridCol w:w="1162"/>
      </w:tblGrid>
      <w:tr w:rsidR="0060634A">
        <w:trPr>
          <w:trHeight w:hRule="exact" w:val="229"/>
          <w:jc w:val="right"/>
        </w:trPr>
        <w:tc>
          <w:tcPr>
            <w:tcW w:w="1134" w:type="dxa"/>
            <w:tcBorders>
              <w:bottom w:val="single" w:sz="6" w:space="0" w:color="FFFFFF" w:themeColor="background1"/>
            </w:tcBorders>
            <w:shd w:val="clear" w:color="auto" w:fill="DCE6F2"/>
            <w:vAlign w:val="center"/>
          </w:tcPr>
          <w:p w:rsidR="0060634A" w:rsidRDefault="00F76D44">
            <w:pPr>
              <w:pStyle w:val="PPOsidebarTabletext"/>
            </w:pPr>
            <w:r>
              <w:t>2014</w:t>
            </w:r>
          </w:p>
        </w:tc>
        <w:tc>
          <w:tcPr>
            <w:tcW w:w="1162" w:type="dxa"/>
            <w:shd w:val="clear" w:color="auto" w:fill="FFFFFF"/>
          </w:tcPr>
          <w:p w:rsidR="0060634A" w:rsidRDefault="00F76D44">
            <w:pPr>
              <w:pStyle w:val="PPOsidebarTabletext"/>
            </w:pPr>
            <w:r>
              <w:t>69.7</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2015</w:t>
            </w:r>
          </w:p>
        </w:tc>
        <w:tc>
          <w:tcPr>
            <w:tcW w:w="1162" w:type="dxa"/>
            <w:tcBorders>
              <w:top w:val="single" w:sz="4" w:space="0" w:color="auto"/>
            </w:tcBorders>
            <w:shd w:val="clear" w:color="auto" w:fill="FFFFFF"/>
          </w:tcPr>
          <w:p w:rsidR="0060634A" w:rsidRDefault="00F76D44">
            <w:pPr>
              <w:pStyle w:val="PPOsidebarTabletext"/>
            </w:pPr>
            <w:r>
              <w:t>71.1</w:t>
            </w:r>
          </w:p>
        </w:tc>
      </w:tr>
      <w:tr w:rsidR="0060634A">
        <w:trPr>
          <w:trHeight w:hRule="exact" w:val="229"/>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2016</w:t>
            </w:r>
          </w:p>
        </w:tc>
        <w:tc>
          <w:tcPr>
            <w:tcW w:w="1162" w:type="dxa"/>
            <w:tcBorders>
              <w:top w:val="single" w:sz="4" w:space="0" w:color="auto"/>
            </w:tcBorders>
            <w:shd w:val="clear" w:color="auto" w:fill="FFFFFF"/>
          </w:tcPr>
          <w:p w:rsidR="0060634A" w:rsidRDefault="00F76D44">
            <w:pPr>
              <w:pStyle w:val="PPOsidebarTabletext"/>
            </w:pPr>
            <w:r>
              <w:t>72.6</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2017</w:t>
            </w:r>
          </w:p>
        </w:tc>
        <w:tc>
          <w:tcPr>
            <w:tcW w:w="1162" w:type="dxa"/>
            <w:tcBorders>
              <w:top w:val="single" w:sz="4" w:space="0" w:color="auto"/>
            </w:tcBorders>
            <w:shd w:val="clear" w:color="auto" w:fill="FFFFFF"/>
          </w:tcPr>
          <w:p w:rsidR="0060634A" w:rsidRDefault="00F76D44">
            <w:pPr>
              <w:pStyle w:val="PPOsidebarTabletext"/>
            </w:pPr>
            <w:r>
              <w:t>74.0</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2018</w:t>
            </w:r>
          </w:p>
        </w:tc>
        <w:tc>
          <w:tcPr>
            <w:tcW w:w="1162" w:type="dxa"/>
            <w:tcBorders>
              <w:top w:val="single" w:sz="4" w:space="0" w:color="auto"/>
            </w:tcBorders>
            <w:shd w:val="clear" w:color="auto" w:fill="FFFFFF"/>
          </w:tcPr>
          <w:p w:rsidR="0060634A" w:rsidRDefault="00F76D44">
            <w:pPr>
              <w:pStyle w:val="PPOsidebarTabletext"/>
            </w:pPr>
            <w:r>
              <w:t>75.5</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2019</w:t>
            </w:r>
          </w:p>
        </w:tc>
        <w:tc>
          <w:tcPr>
            <w:tcW w:w="1162" w:type="dxa"/>
            <w:tcBorders>
              <w:top w:val="single" w:sz="4" w:space="0" w:color="auto"/>
            </w:tcBorders>
            <w:shd w:val="clear" w:color="auto" w:fill="FFFFFF"/>
          </w:tcPr>
          <w:p w:rsidR="0060634A" w:rsidRDefault="00F76D44">
            <w:pPr>
              <w:pStyle w:val="PPOsidebarTabletext"/>
            </w:pPr>
            <w:r>
              <w:t>77.0</w:t>
            </w:r>
          </w:p>
        </w:tc>
      </w:tr>
      <w:tr w:rsidR="0060634A">
        <w:trPr>
          <w:trHeight w:hRule="exact" w:val="225"/>
          <w:jc w:val="right"/>
        </w:trPr>
        <w:tc>
          <w:tcPr>
            <w:tcW w:w="1134" w:type="dxa"/>
            <w:tcBorders>
              <w:top w:val="single" w:sz="6" w:space="0" w:color="FFFFFF" w:themeColor="background1"/>
            </w:tcBorders>
            <w:shd w:val="clear" w:color="auto" w:fill="DCE6F2"/>
            <w:vAlign w:val="center"/>
          </w:tcPr>
          <w:p w:rsidR="0060634A" w:rsidRDefault="00F76D44">
            <w:pPr>
              <w:pStyle w:val="PPOsidebarTabletext"/>
            </w:pPr>
            <w:r>
              <w:t>2020</w:t>
            </w:r>
          </w:p>
        </w:tc>
        <w:tc>
          <w:tcPr>
            <w:tcW w:w="1162" w:type="dxa"/>
            <w:tcBorders>
              <w:top w:val="single" w:sz="4" w:space="0" w:color="auto"/>
            </w:tcBorders>
            <w:shd w:val="clear" w:color="auto" w:fill="FFFFFF"/>
          </w:tcPr>
          <w:p w:rsidR="0060634A" w:rsidRDefault="00F76D44">
            <w:pPr>
              <w:pStyle w:val="PPOsidebarTabletext"/>
            </w:pPr>
            <w:r>
              <w:t>78.5</w:t>
            </w:r>
          </w:p>
        </w:tc>
      </w:tr>
      <w:tr w:rsidR="0060634A">
        <w:trPr>
          <w:trHeight w:hRule="exact" w:val="258"/>
          <w:jc w:val="right"/>
        </w:trPr>
        <w:tc>
          <w:tcPr>
            <w:tcW w:w="1134" w:type="dxa"/>
            <w:shd w:val="clear" w:color="auto" w:fill="00ADDC"/>
            <w:vAlign w:val="center"/>
          </w:tcPr>
          <w:p w:rsidR="0060634A" w:rsidRDefault="00F76D44">
            <w:pPr>
              <w:pStyle w:val="PPOsidebarTabletext"/>
            </w:pPr>
            <w:r>
              <w:t>Total</w:t>
            </w:r>
          </w:p>
        </w:tc>
        <w:tc>
          <w:tcPr>
            <w:tcW w:w="1162" w:type="dxa"/>
            <w:tcBorders>
              <w:top w:val="single" w:sz="4" w:space="0" w:color="auto"/>
            </w:tcBorders>
            <w:shd w:val="clear" w:color="auto" w:fill="FFFFFF"/>
          </w:tcPr>
          <w:p w:rsidR="0060634A" w:rsidRDefault="00F76D44">
            <w:pPr>
              <w:pStyle w:val="PPOsidebarTabletext"/>
            </w:pPr>
            <w:r>
              <w:t>518.4</w:t>
            </w:r>
          </w:p>
        </w:tc>
      </w:tr>
    </w:tbl>
    <w:p w:rsidR="0060634A" w:rsidRDefault="00F76D44">
      <w:pPr>
        <w:pStyle w:val="PPO1AsidebarTitleBlue"/>
        <w:rPr>
          <w:rFonts w:eastAsiaTheme="minorEastAsia"/>
        </w:rPr>
      </w:pPr>
      <w:r>
        <w:rPr>
          <w:rFonts w:eastAsiaTheme="minorEastAsia"/>
          <w:lang w:val="fr-BE" w:eastAsia="fr-BE"/>
        </w:rPr>
        <mc:AlternateContent>
          <mc:Choice Requires="wpg">
            <w:drawing>
              <wp:anchor distT="0" distB="0" distL="114300" distR="114300" simplePos="0" relativeHeight="251616256" behindDoc="1" locked="1" layoutInCell="1" allowOverlap="1">
                <wp:simplePos x="0" y="0"/>
                <wp:positionH relativeFrom="column">
                  <wp:posOffset>-271145</wp:posOffset>
                </wp:positionH>
                <wp:positionV relativeFrom="paragraph">
                  <wp:posOffset>548640</wp:posOffset>
                </wp:positionV>
                <wp:extent cx="1871980" cy="1454150"/>
                <wp:effectExtent l="0" t="0" r="0" b="0"/>
                <wp:wrapSquare wrapText="bothSides"/>
                <wp:docPr id="334" name="Group 334"/>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335" name="Chart 335"/>
                        <wpg:cNvFrPr/>
                        <wpg:xfrm>
                          <a:off x="461310" y="264194"/>
                          <a:ext cx="2492055" cy="1453317"/>
                        </wpg:xfrm>
                        <a:graphic>
                          <a:graphicData uri="http://schemas.openxmlformats.org/drawingml/2006/chart">
                            <c:chart xmlns:c="http://schemas.openxmlformats.org/drawingml/2006/chart" xmlns:r="http://schemas.openxmlformats.org/officeDocument/2006/relationships" r:id="rId139"/>
                          </a:graphicData>
                        </a:graphic>
                      </wpg:graphicFrame>
                      <wps:wsp>
                        <wps:cNvPr id="336" name="Text Box 2"/>
                        <wps:cNvSpPr txBox="1">
                          <a:spLocks noChangeArrowheads="1"/>
                        </wps:cNvSpPr>
                        <wps:spPr bwMode="auto">
                          <a:xfrm>
                            <a:off x="1271308" y="766760"/>
                            <a:ext cx="1276742" cy="600139"/>
                          </a:xfrm>
                          <a:prstGeom prst="rect">
                            <a:avLst/>
                          </a:prstGeom>
                          <a:noFill/>
                          <a:ln w="9525">
                            <a:noFill/>
                            <a:miter lim="800000"/>
                            <a:headEnd/>
                            <a:tailEnd/>
                          </a:ln>
                        </wps:spPr>
                        <wps:txbx>
                          <w:txbxContent>
                            <w:p w:rsidR="0060634A" w:rsidRDefault="00F76D44">
                              <w:pPr>
                                <w:pStyle w:val="PPO1AsidebarchartCenterText"/>
                                <w:rPr>
                                  <w:rFonts w:eastAsiaTheme="minorEastAsia"/>
                                </w:rPr>
                              </w:pPr>
                              <w:r>
                                <w:rPr>
                                  <w:rFonts w:eastAsiaTheme="minorEastAsia"/>
                                </w:rPr>
                                <w:t>EUR</w:t>
                              </w:r>
                              <w:r>
                                <w:rPr>
                                  <w:rFonts w:eastAsiaTheme="minorEastAsia"/>
                                  <w:b/>
                                </w:rPr>
                                <w:t xml:space="preserve"> 518.4</w:t>
                              </w:r>
                              <w:r>
                                <w:rPr>
                                  <w:rFonts w:eastAsiaTheme="minorEastAsia"/>
                                </w:rPr>
                                <w:br/>
                                <w:t>million</w:t>
                              </w:r>
                            </w:p>
                          </w:txbxContent>
                        </wps:txbx>
                        <wps:bodyPr rot="0" vert="horz" wrap="square" lIns="91440" tIns="45720" rIns="91440" bIns="45720" anchor="t" anchorCtr="0">
                          <a:noAutofit/>
                        </wps:bodyPr>
                      </wps:wsp>
                      <wps:wsp>
                        <wps:cNvPr id="337" name="Text Box 2"/>
                        <wps:cNvSpPr txBox="1">
                          <a:spLocks noChangeArrowheads="1"/>
                        </wps:cNvSpPr>
                        <wps:spPr bwMode="auto">
                          <a:xfrm>
                            <a:off x="1605993" y="1366899"/>
                            <a:ext cx="700344" cy="229870"/>
                          </a:xfrm>
                          <a:prstGeom prst="rect">
                            <a:avLst/>
                          </a:prstGeom>
                          <a:noFill/>
                          <a:ln w="9525">
                            <a:noFill/>
                            <a:miter lim="800000"/>
                            <a:headEnd/>
                            <a:tailEnd/>
                          </a:ln>
                        </wps:spPr>
                        <wps:txbx>
                          <w:txbxContent>
                            <w:p w:rsidR="0060634A" w:rsidRDefault="00F76D44">
                              <w:pPr>
                                <w:spacing w:after="120"/>
                                <w:jc w:val="center"/>
                                <w:rPr>
                                  <w:color w:val="00ADDC"/>
                                  <w:lang w:val="fr-BE"/>
                                </w:rPr>
                              </w:pPr>
                              <w:r>
                                <w:rPr>
                                  <w:b/>
                                  <w:color w:val="00ADDC"/>
                                  <w:lang w:val="fr-BE"/>
                                </w:rPr>
                                <w:t>44%%</w:t>
                              </w:r>
                            </w:p>
                          </w:txbxContent>
                        </wps:txbx>
                        <wps:bodyPr rot="0" vert="horz" wrap="square" lIns="91440" tIns="45720" rIns="91440" bIns="45720" anchor="t" anchorCtr="0">
                          <a:noAutofit/>
                        </wps:bodyPr>
                      </wps:wsp>
                      <wps:wsp>
                        <wps:cNvPr id="338" name="Text Box 2"/>
                        <wps:cNvSpPr txBox="1">
                          <a:spLocks noChangeArrowheads="1"/>
                        </wps:cNvSpPr>
                        <wps:spPr bwMode="auto">
                          <a:xfrm>
                            <a:off x="1018903" y="409887"/>
                            <a:ext cx="741153" cy="266065"/>
                          </a:xfrm>
                          <a:prstGeom prst="rect">
                            <a:avLst/>
                          </a:prstGeom>
                          <a:noFill/>
                          <a:ln w="9525">
                            <a:noFill/>
                            <a:miter lim="800000"/>
                            <a:headEnd/>
                            <a:tailEnd/>
                          </a:ln>
                        </wps:spPr>
                        <wps:txbx>
                          <w:txbxContent>
                            <w:p w:rsidR="0060634A" w:rsidRDefault="00F76D44">
                              <w:pPr>
                                <w:spacing w:after="120"/>
                                <w:jc w:val="center"/>
                                <w:rPr>
                                  <w:color w:val="28296E"/>
                                  <w:lang w:val="fr-BE"/>
                                </w:rPr>
                              </w:pPr>
                              <w:r>
                                <w:rPr>
                                  <w:b/>
                                  <w:color w:val="28296E"/>
                                  <w:lang w:val="fr-BE"/>
                                </w:rPr>
                                <w:t>85%%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34" o:spid="_x0000_s1065" style="position:absolute;left:0;text-align:left;margin-left:-21.35pt;margin-top:43.2pt;width:147.4pt;height:114.5pt;z-index:-251700224;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&#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AoAAAAAAAAAIQBB4wxhuSIAALkiAAAtAAAAZHJzL2VtYmVk&#10;ZGluZ3MvTWljcm9zb2Z0X0V4Y2VsX1dvcmtzaGVldC54bHN4UEsDBBQABgAIAAAAIQDdK4tYbAEA&#10;ABAFAAATAAgCW0NvbnRlbnRfVHlwZXNdLnhtbC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">
                <v:shape id="Chart 335" o:spid="_x0000_s1066"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">
                  <v:imagedata r:id="rId140" o:title=""/>
                  <o:lock v:ext="edit" aspectratio="f"/>
                </v:shape>
                <v:shape id="_x0000_s1067" type="#_x0000_t202" style="position:absolute;left:12713;top:7667;width:12767;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rsidR="0060634A" w:rsidRDefault="00F76D44">
                        <w:pPr>
                          <w:pStyle w:val="PPO1AsidebarchartCenterText"/>
                          <w:rPr>
                            <w:rFonts w:eastAsiaTheme="minorEastAsia"/>
                          </w:rPr>
                        </w:pPr>
                        <w:r>
                          <w:rPr>
                            <w:rFonts w:eastAsiaTheme="minorEastAsia"/>
                          </w:rPr>
                          <w:t>EUR</w:t>
                        </w:r>
                        <w:r>
                          <w:rPr>
                            <w:rFonts w:eastAsiaTheme="minorEastAsia"/>
                            <w:b/>
                          </w:rPr>
                          <w:t xml:space="preserve"> 518.4</w:t>
                        </w:r>
                        <w:r>
                          <w:rPr>
                            <w:rFonts w:eastAsiaTheme="minorEastAsia"/>
                          </w:rPr>
                          <w:br/>
                          <w:t>million</w:t>
                        </w:r>
                      </w:p>
                    </w:txbxContent>
                  </v:textbox>
                </v:shape>
                <v:shape id="_x0000_s1068" type="#_x0000_t202" style="position:absolute;left:16059;top:13668;width:7004;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w:txbxContent>
                      <w:p w:rsidR="0060634A" w:rsidRDefault="00F76D44">
                        <w:pPr>
                          <w:spacing w:after="120"/>
                          <w:jc w:val="center"/>
                          <w:rPr>
                            <w:color w:val="00ADDC"/>
                            <w:lang w:val="fr-BE"/>
                          </w:rPr>
                        </w:pPr>
                        <w:r>
                          <w:rPr>
                            <w:b/>
                            <w:color w:val="00ADDC"/>
                            <w:lang w:val="fr-BE"/>
                          </w:rPr>
                          <w:t>44%%</w:t>
                        </w:r>
                      </w:p>
                    </w:txbxContent>
                  </v:textbox>
                </v:shape>
                <v:shape id="_x0000_s1069" type="#_x0000_t202" style="position:absolute;left:10189;top:4098;width:741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" filled="f" stroked="f">
                  <v:textbox>
                    <w:txbxContent>
                      <w:p w:rsidR="0060634A" w:rsidRDefault="00F76D44">
                        <w:pPr>
                          <w:spacing w:after="120"/>
                          <w:jc w:val="center"/>
                          <w:rPr>
                            <w:color w:val="28296E"/>
                            <w:lang w:val="fr-BE"/>
                          </w:rPr>
                        </w:pPr>
                        <w:r>
                          <w:rPr>
                            <w:b/>
                            <w:color w:val="28296E"/>
                            <w:lang w:val="fr-BE"/>
                          </w:rPr>
                          <w:t>85%%</w:t>
                        </w:r>
                      </w:p>
                    </w:txbxContent>
                  </v:textbox>
                </v:shape>
                <w10:wrap type="square"/>
                <w10:anchorlock/>
              </v:group>
              <o:OLEObject Type="Embed" ProgID="Excel.Chart.8" ShapeID="Chart 335" DrawAspect="Content" ObjectID="_1654495726" r:id="rId141">
                <o:FieldCodes>\s</o:FieldCodes>
              </o:OLEObject>
            </w:pict>
          </mc:Fallback>
        </mc:AlternateContent>
      </w:r>
      <w:r>
        <w:rPr>
          <w:rFonts w:eastAsiaTheme="minorEastAsia"/>
        </w:rPr>
        <w:t xml:space="preserve">OVERALL EXECUTION </w:t>
      </w:r>
      <w:r>
        <w:rPr>
          <w:rFonts w:eastAsiaTheme="minorEastAsia"/>
        </w:rPr>
        <w:br/>
        <w:t xml:space="preserve">(2014-2019) </w:t>
      </w:r>
    </w:p>
    <w:p w:rsidR="0060634A" w:rsidRDefault="00F76D44">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619328" behindDoc="0" locked="1" layoutInCell="1" allowOverlap="1">
                <wp:simplePos x="0" y="0"/>
                <wp:positionH relativeFrom="page">
                  <wp:posOffset>2242185</wp:posOffset>
                </wp:positionH>
                <wp:positionV relativeFrom="page">
                  <wp:posOffset>5462270</wp:posOffset>
                </wp:positionV>
                <wp:extent cx="2437130" cy="2210435"/>
                <wp:effectExtent l="0" t="0" r="1270" b="0"/>
                <wp:wrapTopAndBottom/>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210435"/>
                        </a:xfrm>
                        <a:prstGeom prst="rect">
                          <a:avLst/>
                        </a:prstGeom>
                        <a:solidFill>
                          <a:srgbClr val="FFFFFF"/>
                        </a:solidFill>
                        <a:ln w="9525">
                          <a:noFill/>
                          <a:miter lim="800000"/>
                          <a:headEnd/>
                          <a:tailEnd/>
                        </a:ln>
                      </wps:spPr>
                      <wps:txbx id="27">
                        <w:txbxContent>
                          <w:p w:rsidR="0060634A" w:rsidRDefault="00F76D44">
                            <w:pPr>
                              <w:pStyle w:val="PPOTitle3-nospacebefore"/>
                            </w:pPr>
                            <w:r>
                              <w:t>Why is it necessary?</w:t>
                            </w:r>
                          </w:p>
                          <w:p w:rsidR="0060634A" w:rsidRDefault="00F76D44">
                            <w:pPr>
                              <w:pStyle w:val="PPObodyText"/>
                            </w:pPr>
                            <w:r>
                              <w:t>Due to the early closure of their plants, it was not possible for Bulgaria and Slovakia to accumulate sufficient funds from operation of the plants. It is therefore in the interests of the EU to provi</w:t>
                            </w:r>
                            <w:r>
                              <w:t>de financial support for the seamless continuation of decommissioning in order to progress towards the decommissioning end state, in accordance with approved plans, while keeping the highest level of safety. This will contribute to providing substantial an</w:t>
                            </w:r>
                            <w:r>
                              <w:t xml:space="preserve">d sustained support for the health of workers and the general public, preventing environmental degradation and providing for real progress in nuclear safety and security. </w:t>
                            </w:r>
                          </w:p>
                          <w:p w:rsidR="0060634A" w:rsidRDefault="00F76D44">
                            <w:pPr>
                              <w:pStyle w:val="PPOTitle3-nospacebefore"/>
                            </w:pPr>
                            <w:r>
                              <w:t>Outlook for the 2021-2027 period</w:t>
                            </w:r>
                          </w:p>
                          <w:p w:rsidR="0060634A" w:rsidRDefault="00F76D44">
                            <w:pPr>
                              <w:pStyle w:val="PPObodyText"/>
                            </w:pPr>
                            <w:r>
                              <w:t>The Commission proposed a continuation of the progr</w:t>
                            </w:r>
                            <w:r>
                              <w:t>amme for the next multiannual financial framework.</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76.55pt;margin-top:430.1pt;width:191.9pt;height:174.05pt;z-index:25161932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" stroked="f">
                <v:textbox style="mso-next-textbox:#Text Box 342" inset="0">
                  <w:txbxContent>
                    <w:p w:rsidR="0060634A" w:rsidRDefault="00F76D44">
                      <w:pPr>
                        <w:pStyle w:val="PPOTitle3-nospacebefore"/>
                      </w:pPr>
                      <w:r>
                        <w:t>Why is it necessary?</w:t>
                      </w:r>
                    </w:p>
                    <w:p w:rsidR="0060634A" w:rsidRDefault="00F76D44">
                      <w:pPr>
                        <w:pStyle w:val="PPObodyText"/>
                      </w:pPr>
                      <w:r>
                        <w:t>Due to the early closure of their plants, it was not possible for Bulgaria and Slovakia to accumulate sufficient funds from operation of the plants. It is therefore in the interests of the EU to provi</w:t>
                      </w:r>
                      <w:r>
                        <w:t>de financial support for the seamless continuation of decommissioning in order to progress towards the decommissioning end state, in accordance with approved plans, while keeping the highest level of safety. This will contribute to providing substantial an</w:t>
                      </w:r>
                      <w:r>
                        <w:t xml:space="preserve">d sustained support for the health of workers and the general public, preventing environmental degradation and providing for real progress in nuclear safety and security. </w:t>
                      </w:r>
                    </w:p>
                    <w:p w:rsidR="0060634A" w:rsidRDefault="00F76D44">
                      <w:pPr>
                        <w:pStyle w:val="PPOTitle3-nospacebefore"/>
                      </w:pPr>
                      <w:r>
                        <w:t>Outlook for the 2021-2027 period</w:t>
                      </w:r>
                    </w:p>
                    <w:p w:rsidR="0060634A" w:rsidRDefault="00F76D44">
                      <w:pPr>
                        <w:pStyle w:val="PPObodyText"/>
                      </w:pPr>
                      <w:r>
                        <w:t>The Commission proposed a continuation of the progr</w:t>
                      </w:r>
                      <w:r>
                        <w:t>amme for the next multiannual financial framework.</w:t>
                      </w:r>
                    </w:p>
                  </w:txbxContent>
                </v:textbox>
                <w10:wrap type="topAndBottom" anchorx="page" anchory="page"/>
                <w10:anchorlock/>
              </v:shape>
            </w:pict>
          </mc:Fallback>
        </mc:AlternateContent>
      </w:r>
    </w:p>
    <w:p w:rsidR="0060634A" w:rsidRDefault="00F76D44">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621376" behindDoc="0" locked="1" layoutInCell="1" allowOverlap="1">
                <wp:simplePos x="0" y="0"/>
                <wp:positionH relativeFrom="column">
                  <wp:posOffset>539750</wp:posOffset>
                </wp:positionH>
                <wp:positionV relativeFrom="paragraph">
                  <wp:posOffset>1270</wp:posOffset>
                </wp:positionV>
                <wp:extent cx="115200" cy="115200"/>
                <wp:effectExtent l="0" t="0" r="0" b="0"/>
                <wp:wrapNone/>
                <wp:docPr id="340" name="Oval 340"/>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00AD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493F55" id="Oval 340" o:spid="_x0000_s1026" style="position:absolute;margin-left:42.5pt;margin-top:.1pt;width:9.05pt;height:9.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" fillcolor="#00addc" stroked="f" strokeweight="1pt">
                <v:stroke joinstyle="miter"/>
                <w10:anchorlock/>
              </v:oval>
            </w:pict>
          </mc:Fallback>
        </mc:AlternateContent>
      </w:r>
      <w:r>
        <w:rPr>
          <w:rFonts w:eastAsiaTheme="minorEastAsia"/>
          <w:lang w:val="fr-BE" w:eastAsia="fr-BE"/>
        </w:rPr>
        <w:drawing>
          <wp:anchor distT="0" distB="0" distL="114300" distR="114300" simplePos="0" relativeHeight="251615232" behindDoc="1" locked="1" layoutInCell="1" allowOverlap="1">
            <wp:simplePos x="0" y="0"/>
            <wp:positionH relativeFrom="page">
              <wp:posOffset>-415925</wp:posOffset>
            </wp:positionH>
            <wp:positionV relativeFrom="paragraph">
              <wp:posOffset>-1602105</wp:posOffset>
            </wp:positionV>
            <wp:extent cx="3412490" cy="1990725"/>
            <wp:effectExtent l="0" t="0" r="0" b="0"/>
            <wp:wrapNone/>
            <wp:docPr id="347" name="Chart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620352" behindDoc="0" locked="1" layoutInCell="1" allowOverlap="1">
                <wp:simplePos x="0" y="0"/>
                <wp:positionH relativeFrom="column">
                  <wp:posOffset>539750</wp:posOffset>
                </wp:positionH>
                <wp:positionV relativeFrom="paragraph">
                  <wp:posOffset>195580</wp:posOffset>
                </wp:positionV>
                <wp:extent cx="115200" cy="115200"/>
                <wp:effectExtent l="0" t="0" r="0" b="0"/>
                <wp:wrapNone/>
                <wp:docPr id="341" name="Oval 341"/>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711E62" id="Oval 341" o:spid="_x0000_s1026" style="position:absolute;margin-left:42.5pt;margin-top:15.4pt;width:9.05pt;height:9.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" fillcolor="#28296e" stroked="f" strokeweight="1pt">
                <v:stroke joinstyle="miter"/>
                <w10:anchorlock/>
              </v:oval>
            </w:pict>
          </mc:Fallback>
        </mc:AlternateContent>
      </w:r>
      <w:r>
        <w:rPr>
          <w:rFonts w:eastAsiaTheme="minorEastAsia"/>
        </w:rPr>
        <w:t>Payments</w:t>
      </w:r>
    </w:p>
    <w:p w:rsidR="0060634A" w:rsidRDefault="00F76D44">
      <w:pPr>
        <w:pStyle w:val="PPOsidebarchartLegends"/>
        <w:rPr>
          <w:rFonts w:eastAsiaTheme="minorEastAsia"/>
        </w:rPr>
      </w:pPr>
      <w:r>
        <w:rPr>
          <w:rFonts w:eastAsiaTheme="minorEastAsia"/>
        </w:rPr>
        <w:t>Commitments</w:t>
      </w:r>
    </w:p>
    <w:p w:rsidR="0060634A" w:rsidRDefault="00F76D44">
      <w:pPr>
        <w:pStyle w:val="PPO1AsidebarTitleLightBlue"/>
        <w:rPr>
          <w:rFonts w:eastAsiaTheme="minorEastAsia"/>
        </w:rPr>
      </w:pPr>
      <w:r>
        <w:rPr>
          <w:rFonts w:eastAsiaTheme="minorEastAsia"/>
        </w:rPr>
        <w:t>Evaluations/</w:t>
      </w:r>
      <w:r>
        <w:rPr>
          <w:rFonts w:eastAsiaTheme="minorEastAsia"/>
        </w:rPr>
        <w:br/>
        <w:t>studies conducted</w:t>
      </w:r>
    </w:p>
    <w:p w:rsidR="0060634A" w:rsidRDefault="00F76D44">
      <w:pPr>
        <w:pStyle w:val="PPOsidebartext"/>
        <w:rPr>
          <w:rFonts w:eastAsiaTheme="minorEastAsia"/>
        </w:rPr>
      </w:pPr>
      <w:r>
        <w:rPr>
          <w:rFonts w:eastAsiaTheme="minorEastAsia"/>
        </w:rPr>
        <w:t xml:space="preserve">The midterm evaluation was carried out in 2018. For further information, please consult: </w:t>
      </w:r>
      <w:hyperlink r:id="rId143" w:history="1">
        <w:r>
          <w:rPr>
            <w:rStyle w:val="PPOChar-Hyperlink"/>
            <w:rFonts w:eastAsiaTheme="minorEastAsia"/>
          </w:rPr>
          <w:t>https://europa.eu/!TN67UQ</w:t>
        </w:r>
      </w:hyperlink>
    </w:p>
    <w:p w:rsidR="0060634A" w:rsidRDefault="00F76D44">
      <w:pPr>
        <w:pStyle w:val="PPO1AsidebarTitleLightBlue"/>
        <w:rPr>
          <w:rFonts w:eastAsiaTheme="minorEastAsia"/>
        </w:rPr>
      </w:pPr>
      <w:r>
        <w:rPr>
          <w:rFonts w:eastAsiaTheme="minorEastAsia"/>
        </w:rPr>
        <w:t>How is it implemented?</w:t>
      </w:r>
    </w:p>
    <w:tbl>
      <w:tblPr>
        <w:tblStyle w:val="TableGrid"/>
        <w:tblpPr w:vertAnchor="page" w:horzAnchor="page" w:tblpX="3599" w:tblpY="13579"/>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3471"/>
        <w:gridCol w:w="850"/>
        <w:gridCol w:w="3471"/>
      </w:tblGrid>
      <w:tr w:rsidR="0060634A">
        <w:trPr>
          <w:cantSplit/>
        </w:trPr>
        <w:tc>
          <w:tcPr>
            <w:tcW w:w="7792" w:type="dxa"/>
            <w:gridSpan w:val="3"/>
            <w:vAlign w:val="center"/>
          </w:tcPr>
          <w:p w:rsidR="0060634A" w:rsidRDefault="00F76D44">
            <w:pPr>
              <w:pStyle w:val="PPOTitle3-nospacebefore"/>
              <w:rPr>
                <w:rFonts w:eastAsiaTheme="minorEastAsia"/>
                <w:lang w:val="en-GB"/>
              </w:rPr>
            </w:pPr>
            <w:r>
              <w:rPr>
                <w:rFonts w:eastAsiaTheme="minorEastAsia"/>
                <w:lang w:val="en-GB"/>
              </w:rPr>
              <w:t>Voted budget execution (in million EUR)</w:t>
            </w:r>
          </w:p>
        </w:tc>
      </w:tr>
      <w:tr w:rsidR="0060634A">
        <w:trPr>
          <w:cantSplit/>
        </w:trPr>
        <w:tc>
          <w:tcPr>
            <w:tcW w:w="3471" w:type="dxa"/>
            <w:shd w:val="clear" w:color="auto" w:fill="00ADDC"/>
            <w:vAlign w:val="center"/>
          </w:tcPr>
          <w:p w:rsidR="0060634A" w:rsidRDefault="00F76D44">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00ADDC"/>
            <w:vAlign w:val="center"/>
          </w:tcPr>
          <w:p w:rsidR="0060634A" w:rsidRDefault="0060634A">
            <w:pPr>
              <w:rPr>
                <w:noProof/>
              </w:rPr>
            </w:pPr>
          </w:p>
        </w:tc>
        <w:tc>
          <w:tcPr>
            <w:tcW w:w="3471" w:type="dxa"/>
            <w:shd w:val="clear" w:color="auto" w:fill="00ADDC"/>
            <w:vAlign w:val="center"/>
          </w:tcPr>
          <w:p w:rsidR="0060634A" w:rsidRDefault="00F76D44">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60634A">
        <w:tblPrEx>
          <w:tblCellMar>
            <w:left w:w="108" w:type="dxa"/>
            <w:right w:w="108" w:type="dxa"/>
          </w:tblCellMar>
        </w:tblPrEx>
        <w:trPr>
          <w:cantSplit/>
        </w:trPr>
        <w:tc>
          <w:tcPr>
            <w:tcW w:w="3471" w:type="dxa"/>
            <w:shd w:val="clear" w:color="auto" w:fill="DCE6F2"/>
            <w:vAlign w:val="center"/>
          </w:tcPr>
          <w:p w:rsidR="0060634A" w:rsidRDefault="00F76D44">
            <w:pPr>
              <w:spacing w:after="100" w:afterAutospacing="1"/>
              <w:jc w:val="center"/>
              <w:rPr>
                <w:noProof/>
                <w:color w:val="0070C0"/>
                <w:sz w:val="18"/>
              </w:rPr>
            </w:pPr>
            <w:r>
              <w:rPr>
                <w:noProof/>
                <w:color w:val="0070C0"/>
                <w:sz w:val="18"/>
                <w:lang w:eastAsia="fr-BE"/>
              </w:rPr>
              <w:drawing>
                <wp:inline distT="0" distB="0" distL="0" distR="0">
                  <wp:extent cx="2158365" cy="890270"/>
                  <wp:effectExtent l="0" t="0" r="0" b="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c>
          <w:tcPr>
            <w:tcW w:w="850" w:type="dxa"/>
            <w:shd w:val="clear" w:color="auto" w:fill="DCE6F2"/>
            <w:vAlign w:val="center"/>
          </w:tcPr>
          <w:p w:rsidR="0060634A" w:rsidRDefault="00F76D44">
            <w:pPr>
              <w:pStyle w:val="PPO1AVotedbudgetTABLEtextBlue"/>
              <w:framePr w:hSpace="0" w:wrap="auto" w:vAnchor="margin" w:hAnchor="text" w:xAlign="left" w:yAlign="inline"/>
              <w:suppressOverlap w:val="0"/>
              <w:rPr>
                <w:rFonts w:eastAsiaTheme="minorEastAsia"/>
              </w:rPr>
            </w:pPr>
            <w:r>
              <w:rPr>
                <w:rFonts w:eastAsiaTheme="minorEastAsia"/>
              </w:rPr>
              <w:t>2017</w:t>
            </w:r>
          </w:p>
          <w:p w:rsidR="0060634A" w:rsidRDefault="00F76D44">
            <w:pPr>
              <w:pStyle w:val="PPO1AVotedbudgetTABLEtextBlue"/>
              <w:framePr w:hSpace="0" w:wrap="auto" w:vAnchor="margin" w:hAnchor="text" w:xAlign="left" w:yAlign="inline"/>
              <w:suppressOverlap w:val="0"/>
              <w:rPr>
                <w:rFonts w:eastAsiaTheme="minorEastAsia"/>
              </w:rPr>
            </w:pPr>
            <w:r>
              <w:rPr>
                <w:rFonts w:eastAsiaTheme="minorEastAsia"/>
              </w:rPr>
              <w:t>2018</w:t>
            </w:r>
          </w:p>
          <w:p w:rsidR="0060634A" w:rsidRDefault="00F76D44">
            <w:pPr>
              <w:pStyle w:val="PPO1AVotedbudgetTABLEtextBlue"/>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DCE6F2"/>
            <w:vAlign w:val="center"/>
          </w:tcPr>
          <w:p w:rsidR="0060634A" w:rsidRDefault="00F76D44">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914400"/>
                  <wp:effectExtent l="0" t="0" r="0" b="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58365" cy="914400"/>
                          </a:xfrm>
                          <a:prstGeom prst="rect">
                            <a:avLst/>
                          </a:prstGeom>
                          <a:noFill/>
                        </pic:spPr>
                      </pic:pic>
                    </a:graphicData>
                  </a:graphic>
                </wp:inline>
              </w:drawing>
            </w:r>
          </w:p>
        </w:tc>
      </w:tr>
    </w:tbl>
    <w:p w:rsidR="0060634A" w:rsidRDefault="00F76D44">
      <w:pPr>
        <w:pStyle w:val="PPOsidebartext"/>
        <w:rPr>
          <w:rFonts w:eastAsiaTheme="minorEastAsia"/>
        </w:rPr>
      </w:pPr>
      <w:r>
        <w:rPr>
          <w:rFonts w:eastAsiaTheme="minorEastAsia"/>
        </w:rPr>
        <w:t xml:space="preserve">The Directorate-General for Energy is the lead DG for the implementation of the programme. The programme </w:t>
      </w:r>
      <w:r>
        <w:rPr>
          <w:rFonts w:eastAsiaTheme="minorEastAsia"/>
        </w:rPr>
        <w:t>is managed through the European Bank for Reconstruction and Development and the Member State national agencies.</w:t>
      </w:r>
    </w:p>
    <w:p w:rsidR="0060634A" w:rsidRDefault="00F76D44">
      <w:pPr>
        <w:pStyle w:val="PPO1ATitle1"/>
        <w:rPr>
          <w:rFonts w:eastAsiaTheme="minorEastAsia"/>
        </w:rPr>
      </w:pPr>
      <w:r>
        <w:rPr>
          <w:rFonts w:eastAsiaTheme="minorEastAsia"/>
        </w:rPr>
        <w:br w:type="column"/>
      </w:r>
      <w:bookmarkStart w:id="15" w:name="_Toc39583675"/>
      <w:r>
        <w:rPr>
          <w:rFonts w:eastAsiaTheme="minorEastAsia"/>
        </w:rPr>
        <w:t xml:space="preserve">NUCLEAR DECOMMISSIONING </w:t>
      </w:r>
      <w:r>
        <w:rPr>
          <w:rFonts w:eastAsiaTheme="minorEastAsia"/>
        </w:rPr>
        <w:br/>
        <w:t>(BG AND SK)</w:t>
      </w:r>
      <w:bookmarkEnd w:id="15"/>
    </w:p>
    <w:p w:rsidR="0060634A" w:rsidRDefault="00F76D44">
      <w:pPr>
        <w:pStyle w:val="PPO1ATitle2"/>
        <w:rPr>
          <w:rFonts w:eastAsiaTheme="minorEastAsia"/>
        </w:rPr>
      </w:pPr>
      <w:r>
        <w:rPr>
          <w:rFonts w:eastAsiaTheme="minorEastAsia"/>
        </w:rPr>
        <w:t>NUCLEAR DECOMMISSIONING ASSISTANCE PROGRAMMES IN BULGARIA AND SLOVAKIA</w:t>
      </w:r>
    </w:p>
    <w:p w:rsidR="0060634A" w:rsidRDefault="00F76D44">
      <w:pPr>
        <w:pStyle w:val="PPOTitle3"/>
        <w:rPr>
          <w:rFonts w:eastAsiaTheme="minorEastAsia"/>
        </w:rPr>
      </w:pPr>
      <w:r>
        <w:rPr>
          <w:rFonts w:eastAsiaTheme="minorEastAsia"/>
        </w:rPr>
        <w:t xml:space="preserve">What is nuclear decommissioning in </w:t>
      </w:r>
      <w:r>
        <w:rPr>
          <w:rFonts w:eastAsiaTheme="minorEastAsia"/>
        </w:rPr>
        <w:t>Bulgaria and Slovakia?</w:t>
      </w:r>
    </w:p>
    <w:p w:rsidR="0060634A" w:rsidRDefault="00F76D44">
      <w:pPr>
        <w:pStyle w:val="PPObodyText"/>
        <w:spacing w:after="480"/>
        <w:rPr>
          <w:noProof/>
        </w:rPr>
      </w:pPr>
      <w:r>
        <w:rPr>
          <w:noProof/>
          <w:lang w:val="fr-BE" w:eastAsia="fr-BE"/>
        </w:rPr>
        <mc:AlternateContent>
          <mc:Choice Requires="wps">
            <w:drawing>
              <wp:anchor distT="0" distB="0" distL="114300" distR="114300" simplePos="0" relativeHeight="251622400" behindDoc="0" locked="1" layoutInCell="1" allowOverlap="1">
                <wp:simplePos x="0" y="0"/>
                <wp:positionH relativeFrom="page">
                  <wp:posOffset>4762500</wp:posOffset>
                </wp:positionH>
                <wp:positionV relativeFrom="page">
                  <wp:posOffset>5462270</wp:posOffset>
                </wp:positionV>
                <wp:extent cx="2437130" cy="2179320"/>
                <wp:effectExtent l="0" t="0" r="1270" b="0"/>
                <wp:wrapTopAndBottom/>
                <wp:docPr id="342" name="Text Box 342"/>
                <wp:cNvGraphicFramePr/>
                <a:graphic xmlns:a="http://schemas.openxmlformats.org/drawingml/2006/main">
                  <a:graphicData uri="http://schemas.microsoft.com/office/word/2010/wordprocessingShape">
                    <wps:wsp>
                      <wps:cNvSpPr txBox="1"/>
                      <wps:spPr>
                        <a:xfrm>
                          <a:off x="0" y="0"/>
                          <a:ext cx="2437130" cy="2179320"/>
                        </a:xfrm>
                        <a:prstGeom prst="rect">
                          <a:avLst/>
                        </a:prstGeom>
                        <a:solidFill>
                          <a:schemeClr val="lt1"/>
                        </a:solidFill>
                        <a:ln w="6350">
                          <a:noFill/>
                        </a:ln>
                      </wps:spPr>
                      <wps:linkedTxbx id="27"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2" o:spid="_x0000_s1071" type="#_x0000_t202" style="position:absolute;left:0;text-align:left;margin-left:375pt;margin-top:430.1pt;width:191.9pt;height:171.6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" fillcolor="white [3201]" stroked="f" strokeweight=".5pt">
                <v:textbox inset=",,0">
                  <w:txbxContent/>
                </v:textbox>
                <w10:wrap type="topAndBottom" anchorx="page" anchory="page"/>
                <w10:anchorlock/>
              </v:shape>
            </w:pict>
          </mc:Fallback>
        </mc:AlternateContent>
      </w:r>
      <w:r>
        <w:rPr>
          <w:noProof/>
        </w:rPr>
        <w:t xml:space="preserve">When Bulgaria and Slovakia were candidates to join the European Union, the closure and subsequent decommissioning of six Soviet-designed, first-generation nuclear reactors at two nuclear power plant sites was made a condition for </w:t>
      </w:r>
      <w:r>
        <w:rPr>
          <w:noProof/>
        </w:rPr>
        <w:t>their accession. As part of the agreements, the EU declared its willingness to provide financial aid. The nuclear decommissioning assistance programmes were established to assist the Member States concerned in implementing the decommissioning of Kozloduy u</w:t>
      </w:r>
      <w:r>
        <w:rPr>
          <w:noProof/>
        </w:rPr>
        <w:t>nits 1 to 4 (Bulgaria) and Bohunice V1 units 1 and 2 (Slovakia) in accordance with their respective decommissioning plans, while maintaining the highest level of safety.</w:t>
      </w:r>
    </w:p>
    <w:tbl>
      <w:tblPr>
        <w:tblStyle w:val="TableGrid"/>
        <w:tblpPr w:leftFromText="181" w:rightFromText="340" w:vertAnchor="text" w:tblpX="108" w:tblpY="1"/>
        <w:tblW w:w="7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7790"/>
      </w:tblGrid>
      <w:tr w:rsidR="0060634A">
        <w:trPr>
          <w:trHeight w:val="2735"/>
        </w:trPr>
        <w:tc>
          <w:tcPr>
            <w:tcW w:w="7790" w:type="dxa"/>
            <w:shd w:val="clear" w:color="auto" w:fill="F2F2F2" w:themeFill="background1" w:themeFillShade="F2"/>
          </w:tcPr>
          <w:p w:rsidR="0060634A" w:rsidRDefault="00F76D44">
            <w:pPr>
              <w:pStyle w:val="PPO1ASpecificobjectivesBOX-HeadingLightBlue"/>
              <w:rPr>
                <w:rFonts w:eastAsiaTheme="minorEastAsia"/>
              </w:rPr>
            </w:pPr>
            <w:r>
              <w:rPr>
                <w:rFonts w:eastAsiaTheme="minorEastAsia"/>
                <w:lang w:eastAsia="fr-BE"/>
              </w:rPr>
              <mc:AlternateContent>
                <mc:Choice Requires="wps">
                  <w:drawing>
                    <wp:anchor distT="0" distB="0" distL="114300" distR="114300" simplePos="0" relativeHeight="251618304"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2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00ADDC"/>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8BF56B7" id="Freeform 6" o:spid="_x0000_s1026" style="position:absolute;margin-left:4pt;margin-top:1.4pt;width:21.25pt;height:21.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00addc"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rFonts w:eastAsiaTheme="minorEastAsia"/>
              </w:rPr>
              <w:t>Specific objectives</w:t>
            </w:r>
          </w:p>
          <w:p w:rsidR="0060634A" w:rsidRDefault="00F76D44">
            <w:pPr>
              <w:pStyle w:val="PPO1ASpecificobjectivesBOX-BulletLightBlue"/>
              <w:rPr>
                <w:lang w:val="en-GB"/>
              </w:rPr>
            </w:pPr>
            <w:r>
              <w:rPr>
                <w:b/>
                <w:lang w:val="en-GB"/>
              </w:rPr>
              <w:t>Kozloduy.</w:t>
            </w:r>
            <w:r>
              <w:rPr>
                <w:lang w:val="en-GB"/>
              </w:rPr>
              <w:t xml:space="preserve"> Performing dismantling in the turbine halls of units 1 </w:t>
            </w:r>
            <w:r>
              <w:rPr>
                <w:lang w:val="en-GB"/>
              </w:rPr>
              <w:t>to 4 and in auxiliary buildings.</w:t>
            </w:r>
          </w:p>
          <w:p w:rsidR="0060634A" w:rsidRDefault="00F76D44">
            <w:pPr>
              <w:pStyle w:val="PPO1ASpecificobjectivesBOX-BulletLightBlue"/>
              <w:rPr>
                <w:spacing w:val="-2"/>
                <w:lang w:val="en-GB"/>
              </w:rPr>
            </w:pPr>
            <w:r>
              <w:rPr>
                <w:b/>
                <w:lang w:val="en-GB"/>
              </w:rPr>
              <w:t>Kozloduy.</w:t>
            </w:r>
            <w:r>
              <w:rPr>
                <w:lang w:val="en-GB"/>
              </w:rPr>
              <w:t xml:space="preserve"> </w:t>
            </w:r>
            <w:r>
              <w:rPr>
                <w:spacing w:val="-2"/>
                <w:lang w:val="en-GB"/>
              </w:rPr>
              <w:t>Dismantling of large components and equipment in the reactor buildings of units 1 to 4.</w:t>
            </w:r>
          </w:p>
          <w:p w:rsidR="0060634A" w:rsidRDefault="00F76D44">
            <w:pPr>
              <w:pStyle w:val="PPO1ASpecificobjectivesBOX-BulletLightBlue"/>
              <w:rPr>
                <w:lang w:val="en-GB"/>
              </w:rPr>
            </w:pPr>
            <w:r>
              <w:rPr>
                <w:b/>
                <w:lang w:val="en-GB"/>
              </w:rPr>
              <w:t>Kozloduy.</w:t>
            </w:r>
            <w:r>
              <w:rPr>
                <w:lang w:val="en-GB"/>
              </w:rPr>
              <w:t xml:space="preserve"> Safely managing the decommissioning waste in accordance with a detailed waste management plan.</w:t>
            </w:r>
          </w:p>
          <w:p w:rsidR="0060634A" w:rsidRDefault="00F76D44">
            <w:pPr>
              <w:pStyle w:val="PPO1ASpecificobjectivesBOX-BulletLightBlue"/>
              <w:rPr>
                <w:lang w:val="en-GB"/>
              </w:rPr>
            </w:pPr>
            <w:r>
              <w:rPr>
                <w:b/>
                <w:lang w:val="en-GB"/>
              </w:rPr>
              <w:t>Bohunice.</w:t>
            </w:r>
            <w:r>
              <w:rPr>
                <w:lang w:val="en-GB"/>
              </w:rPr>
              <w:t xml:space="preserve"> Performing</w:t>
            </w:r>
            <w:r>
              <w:rPr>
                <w:lang w:val="en-GB"/>
              </w:rPr>
              <w:t xml:space="preserve"> dismantling in the turbine hall and auxiliary buildings of reactor V1.</w:t>
            </w:r>
          </w:p>
          <w:p w:rsidR="0060634A" w:rsidRDefault="00F76D44">
            <w:pPr>
              <w:pStyle w:val="PPO1ASpecificobjectivesBOX-BulletLightBlue"/>
              <w:rPr>
                <w:lang w:val="en-GB"/>
              </w:rPr>
            </w:pPr>
            <w:r>
              <w:rPr>
                <w:b/>
                <w:lang w:val="en-GB"/>
              </w:rPr>
              <w:t>Bohunice.</w:t>
            </w:r>
            <w:r>
              <w:rPr>
                <w:lang w:val="en-GB"/>
              </w:rPr>
              <w:t xml:space="preserve"> Dismantling of large components and equipment in the V1 reactor buildings.</w:t>
            </w:r>
          </w:p>
          <w:p w:rsidR="0060634A" w:rsidRDefault="00F76D44">
            <w:pPr>
              <w:pStyle w:val="PPO1ASpecificobjectivesBOX-BulletLightBlue"/>
              <w:rPr>
                <w:lang w:val="en-GB"/>
              </w:rPr>
            </w:pPr>
            <w:r>
              <w:rPr>
                <w:b/>
                <w:lang w:val="en-GB"/>
              </w:rPr>
              <w:t>Bohunice.</w:t>
            </w:r>
            <w:r>
              <w:rPr>
                <w:lang w:val="en-GB"/>
              </w:rPr>
              <w:t xml:space="preserve"> Safely managing the decommissioning waste in accordance with a detailed waste management </w:t>
            </w:r>
            <w:r>
              <w:rPr>
                <w:lang w:val="en-GB"/>
              </w:rPr>
              <w:t>plan.</w:t>
            </w:r>
          </w:p>
        </w:tc>
      </w:tr>
    </w:tbl>
    <w:p w:rsidR="0060634A" w:rsidRDefault="0060634A">
      <w:pPr>
        <w:pStyle w:val="Hidelastparagraphafterthetable"/>
      </w:pPr>
    </w:p>
    <w:p w:rsidR="0060634A" w:rsidRDefault="0060634A">
      <w:pPr>
        <w:rPr>
          <w:noProof/>
        </w:rPr>
        <w:sectPr w:rsidR="0060634A">
          <w:headerReference w:type="even" r:id="rId146"/>
          <w:headerReference w:type="default" r:id="rId147"/>
          <w:footerReference w:type="even" r:id="rId148"/>
          <w:footerReference w:type="default" r:id="rId149"/>
          <w:headerReference w:type="first" r:id="rId150"/>
          <w:footerReference w:type="first" r:id="rId151"/>
          <w:pgSz w:w="11906" w:h="16838"/>
          <w:pgMar w:top="567" w:right="567" w:bottom="567" w:left="567" w:header="567" w:footer="454" w:gutter="0"/>
          <w:paperSrc w:first="15" w:other="15"/>
          <w:cols w:num="2" w:space="708" w:equalWidth="0">
            <w:col w:w="2269" w:space="708"/>
            <w:col w:w="7795"/>
          </w:cols>
          <w:docGrid w:linePitch="360"/>
        </w:sectPr>
      </w:pPr>
    </w:p>
    <w:p w:rsidR="0060634A" w:rsidRDefault="00F76D44">
      <w:pPr>
        <w:pStyle w:val="PPOTitle3-pagebreakbefore"/>
        <w:rPr>
          <w:rFonts w:eastAsiaTheme="minorEastAsia"/>
          <w:color w:val="000000"/>
        </w:rPr>
      </w:pPr>
      <w:r>
        <w:rPr>
          <w:rFonts w:eastAsiaTheme="minorEastAsia"/>
        </w:rPr>
        <w:t xml:space="preserve">Key performance </w:t>
      </w:r>
      <w:r>
        <w:rPr>
          <w:rFonts w:eastAsiaTheme="minorEastAsia"/>
        </w:rPr>
        <w:t>indicators</w:t>
      </w:r>
    </w:p>
    <w:tbl>
      <w:tblPr>
        <w:tblStyle w:val="TableGrid"/>
        <w:tblW w:w="10818"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77"/>
        <w:gridCol w:w="707"/>
        <w:gridCol w:w="3458"/>
        <w:gridCol w:w="730"/>
        <w:gridCol w:w="2846"/>
      </w:tblGrid>
      <w:tr w:rsidR="0060634A">
        <w:trPr>
          <w:trHeight w:val="333"/>
        </w:trPr>
        <w:tc>
          <w:tcPr>
            <w:tcW w:w="3077" w:type="dxa"/>
            <w:vAlign w:val="center"/>
          </w:tcPr>
          <w:p w:rsidR="0060634A" w:rsidRDefault="0060634A">
            <w:pPr>
              <w:ind w:left="142"/>
              <w:jc w:val="right"/>
              <w:rPr>
                <w:noProof/>
                <w:sz w:val="16"/>
                <w:szCs w:val="16"/>
              </w:rPr>
            </w:pPr>
          </w:p>
        </w:tc>
        <w:tc>
          <w:tcPr>
            <w:tcW w:w="707" w:type="dxa"/>
            <w:vAlign w:val="bottom"/>
          </w:tcPr>
          <w:p w:rsidR="0060634A" w:rsidRDefault="00F76D44">
            <w:pPr>
              <w:jc w:val="center"/>
              <w:rPr>
                <w:b/>
                <w:noProof/>
                <w:color w:val="28296E"/>
                <w:sz w:val="16"/>
                <w:szCs w:val="16"/>
              </w:rPr>
            </w:pPr>
            <w:r>
              <w:rPr>
                <w:b/>
                <w:noProof/>
                <w:color w:val="28296E"/>
                <w:sz w:val="16"/>
                <w:szCs w:val="16"/>
              </w:rPr>
              <w:t>Baseline</w:t>
            </w:r>
          </w:p>
        </w:tc>
        <w:tc>
          <w:tcPr>
            <w:tcW w:w="3458" w:type="dxa"/>
            <w:vAlign w:val="center"/>
          </w:tcPr>
          <w:p w:rsidR="0060634A" w:rsidRDefault="00F76D44">
            <w:pPr>
              <w:ind w:left="142"/>
              <w:jc w:val="center"/>
              <w:rPr>
                <w:b/>
                <w:noProof/>
                <w:color w:val="28296E"/>
                <w:sz w:val="16"/>
                <w:szCs w:val="16"/>
              </w:rPr>
            </w:pPr>
            <w:r>
              <w:rPr>
                <w:b/>
                <w:noProof/>
                <w:color w:val="28296E"/>
                <w:sz w:val="16"/>
                <w:szCs w:val="16"/>
              </w:rPr>
              <w:t>PROGRESS TOWARDS THE TARGET</w:t>
            </w:r>
          </w:p>
        </w:tc>
        <w:tc>
          <w:tcPr>
            <w:tcW w:w="730" w:type="dxa"/>
            <w:vAlign w:val="bottom"/>
          </w:tcPr>
          <w:p w:rsidR="0060634A" w:rsidRDefault="00F76D44">
            <w:pPr>
              <w:jc w:val="center"/>
              <w:rPr>
                <w:b/>
                <w:noProof/>
                <w:color w:val="28296E"/>
                <w:sz w:val="16"/>
                <w:szCs w:val="16"/>
              </w:rPr>
            </w:pPr>
            <w:r>
              <w:rPr>
                <w:b/>
                <w:noProof/>
                <w:color w:val="28296E"/>
                <w:sz w:val="16"/>
                <w:szCs w:val="16"/>
              </w:rPr>
              <w:t>Target</w:t>
            </w:r>
          </w:p>
        </w:tc>
        <w:tc>
          <w:tcPr>
            <w:tcW w:w="2846" w:type="dxa"/>
            <w:vAlign w:val="bottom"/>
          </w:tcPr>
          <w:p w:rsidR="0060634A" w:rsidRDefault="00F76D44">
            <w:pPr>
              <w:jc w:val="center"/>
              <w:rPr>
                <w:b/>
                <w:noProof/>
                <w:color w:val="28296E"/>
                <w:sz w:val="16"/>
                <w:szCs w:val="16"/>
              </w:rPr>
            </w:pPr>
            <w:r>
              <w:rPr>
                <w:b/>
                <w:noProof/>
                <w:color w:val="28296E"/>
                <w:sz w:val="16"/>
                <w:szCs w:val="16"/>
              </w:rPr>
              <w:t>Results</w:t>
            </w:r>
          </w:p>
        </w:tc>
      </w:tr>
      <w:tr w:rsidR="0060634A">
        <w:tblPrEx>
          <w:tblCellMar>
            <w:left w:w="108" w:type="dxa"/>
            <w:right w:w="108" w:type="dxa"/>
          </w:tblCellMar>
        </w:tblPrEx>
        <w:trPr>
          <w:trHeight w:val="344"/>
        </w:trPr>
        <w:tc>
          <w:tcPr>
            <w:tcW w:w="3077"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Kozloduy – metal from dismantling in reactor buildings (in tonnes)</w:t>
            </w:r>
          </w:p>
        </w:tc>
        <w:tc>
          <w:tcPr>
            <w:tcW w:w="707" w:type="dxa"/>
            <w:vAlign w:val="center"/>
          </w:tcPr>
          <w:p w:rsidR="0060634A" w:rsidRDefault="0060634A">
            <w:pPr>
              <w:jc w:val="center"/>
              <w:rPr>
                <w:rFonts w:ascii="EC Square Sans Cond Pro" w:hAnsi="EC Square Sans Cond Pro"/>
                <w:noProof/>
                <w:sz w:val="16"/>
                <w:szCs w:val="16"/>
                <w:lang w:val="en-GB" w:eastAsia="en-GB"/>
              </w:rPr>
            </w:pPr>
          </w:p>
        </w:tc>
        <w:tc>
          <w:tcPr>
            <w:tcW w:w="3458"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350" name="Chart 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tc>
        <w:tc>
          <w:tcPr>
            <w:tcW w:w="730"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1 200</w:t>
            </w:r>
          </w:p>
        </w:tc>
        <w:tc>
          <w:tcPr>
            <w:tcW w:w="2846" w:type="dxa"/>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rPr>
              <w:t>723 out of 1 200</w:t>
            </w:r>
          </w:p>
        </w:tc>
      </w:tr>
      <w:tr w:rsidR="0060634A">
        <w:tblPrEx>
          <w:tblCellMar>
            <w:left w:w="108" w:type="dxa"/>
            <w:right w:w="108" w:type="dxa"/>
          </w:tblCellMar>
        </w:tblPrEx>
        <w:trPr>
          <w:trHeight w:val="318"/>
        </w:trPr>
        <w:tc>
          <w:tcPr>
            <w:tcW w:w="3077"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Kozloduy – quantity and type of safely conditioned waste (in tonnes)</w:t>
            </w:r>
          </w:p>
        </w:tc>
        <w:tc>
          <w:tcPr>
            <w:tcW w:w="707" w:type="dxa"/>
            <w:vAlign w:val="center"/>
          </w:tcPr>
          <w:p w:rsidR="0060634A" w:rsidRDefault="0060634A">
            <w:pPr>
              <w:jc w:val="center"/>
              <w:rPr>
                <w:rFonts w:ascii="EC Square Sans Cond Pro" w:hAnsi="EC Square Sans Cond Pro"/>
                <w:noProof/>
                <w:sz w:val="16"/>
                <w:szCs w:val="16"/>
                <w:lang w:val="en-GB" w:eastAsia="en-GB"/>
              </w:rPr>
            </w:pPr>
          </w:p>
        </w:tc>
        <w:tc>
          <w:tcPr>
            <w:tcW w:w="3458"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351" name="Chart 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c>
        <w:tc>
          <w:tcPr>
            <w:tcW w:w="730"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43 860</w:t>
            </w:r>
          </w:p>
        </w:tc>
        <w:tc>
          <w:tcPr>
            <w:tcW w:w="2846" w:type="dxa"/>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rPr>
              <w:t xml:space="preserve">34 678 out of 43 </w:t>
            </w:r>
            <w:r>
              <w:rPr>
                <w:rFonts w:ascii="EC Square Sans Cond Pro" w:hAnsi="EC Square Sans Cond Pro" w:cs="EC Square Sans Cond Pro"/>
                <w:noProof/>
                <w:color w:val="000000"/>
                <w:sz w:val="16"/>
                <w:szCs w:val="16"/>
              </w:rPr>
              <w:t>860</w:t>
            </w:r>
          </w:p>
        </w:tc>
      </w:tr>
      <w:tr w:rsidR="0060634A">
        <w:tblPrEx>
          <w:tblCellMar>
            <w:left w:w="108" w:type="dxa"/>
            <w:right w:w="108" w:type="dxa"/>
          </w:tblCellMar>
        </w:tblPrEx>
        <w:trPr>
          <w:trHeight w:val="309"/>
        </w:trPr>
        <w:tc>
          <w:tcPr>
            <w:tcW w:w="3077"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Bohunice – quantity and type of safely conditioned waste (in tonnes)</w:t>
            </w:r>
          </w:p>
        </w:tc>
        <w:tc>
          <w:tcPr>
            <w:tcW w:w="707" w:type="dxa"/>
            <w:vAlign w:val="center"/>
          </w:tcPr>
          <w:p w:rsidR="0060634A" w:rsidRDefault="0060634A">
            <w:pPr>
              <w:jc w:val="center"/>
              <w:rPr>
                <w:rFonts w:ascii="EC Square Sans Cond Pro" w:hAnsi="EC Square Sans Cond Pro"/>
                <w:noProof/>
                <w:sz w:val="16"/>
                <w:szCs w:val="16"/>
                <w:lang w:val="en-GB"/>
              </w:rPr>
            </w:pPr>
          </w:p>
        </w:tc>
        <w:tc>
          <w:tcPr>
            <w:tcW w:w="3458"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352" name="Chart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tc>
        <w:tc>
          <w:tcPr>
            <w:tcW w:w="730"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149 297</w:t>
            </w:r>
          </w:p>
        </w:tc>
        <w:tc>
          <w:tcPr>
            <w:tcW w:w="2846" w:type="dxa"/>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rPr>
              <w:t>131 736 out of 149 297</w:t>
            </w:r>
          </w:p>
        </w:tc>
      </w:tr>
      <w:tr w:rsidR="0060634A">
        <w:trPr>
          <w:trHeight w:val="247"/>
        </w:trPr>
        <w:tc>
          <w:tcPr>
            <w:tcW w:w="3077" w:type="dxa"/>
            <w:tcBorders>
              <w:bottom w:val="nil"/>
            </w:tcBorders>
            <w:vAlign w:val="center"/>
          </w:tcPr>
          <w:p w:rsidR="0060634A" w:rsidRDefault="00F76D44">
            <w:pPr>
              <w:ind w:left="142"/>
              <w:jc w:val="right"/>
              <w:rPr>
                <w:noProof/>
                <w:sz w:val="16"/>
                <w:szCs w:val="16"/>
              </w:rPr>
            </w:pPr>
            <w:r>
              <w:rPr>
                <w:noProof/>
                <w:sz w:val="16"/>
                <w:szCs w:val="16"/>
              </w:rPr>
              <w:t xml:space="preserve">    </w:t>
            </w:r>
          </w:p>
        </w:tc>
        <w:tc>
          <w:tcPr>
            <w:tcW w:w="707" w:type="dxa"/>
            <w:tcBorders>
              <w:bottom w:val="nil"/>
            </w:tcBorders>
          </w:tcPr>
          <w:p w:rsidR="0060634A" w:rsidRDefault="0060634A">
            <w:pPr>
              <w:ind w:left="142"/>
              <w:rPr>
                <w:noProof/>
                <w:sz w:val="16"/>
                <w:szCs w:val="16"/>
                <w:lang w:eastAsia="en-GB"/>
              </w:rPr>
            </w:pPr>
          </w:p>
        </w:tc>
        <w:tc>
          <w:tcPr>
            <w:tcW w:w="3458" w:type="dxa"/>
            <w:tcBorders>
              <w:bottom w:val="nil"/>
            </w:tcBorders>
            <w:vAlign w:val="center"/>
          </w:tcPr>
          <w:p w:rsidR="0060634A" w:rsidRDefault="00F76D44">
            <w:pPr>
              <w:spacing w:before="120"/>
              <w:rPr>
                <w:noProof/>
                <w:sz w:val="16"/>
                <w:szCs w:val="16"/>
                <w:lang w:val="en-GB"/>
              </w:rPr>
            </w:pPr>
            <w:r>
              <w:rPr>
                <w:noProof/>
                <w:sz w:val="16"/>
                <w:szCs w:val="16"/>
                <w:lang w:eastAsia="fr-BE"/>
              </w:rPr>
              <mc:AlternateContent>
                <mc:Choice Requires="wps">
                  <w:drawing>
                    <wp:anchor distT="0" distB="0" distL="114300" distR="114300" simplePos="0" relativeHeight="251623424"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344" name="Rectangle 344"/>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D997D" id="Rectangle 344" o:spid="_x0000_s1026" style="position:absolute;margin-left:-9.45pt;margin-top:6.1pt;width:6.35pt;height: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" fillcolor="#28296e" stroked="f" strokeweight="1pt">
                      <w10:wrap type="through"/>
                    </v:rect>
                  </w:pict>
                </mc:Fallback>
              </mc:AlternateContent>
            </w:r>
            <w:r>
              <w:rPr>
                <w:noProof/>
                <w:sz w:val="16"/>
                <w:szCs w:val="16"/>
                <w:lang w:val="en-GB"/>
              </w:rPr>
              <w:t>% of target achieved by the end of 2019</w:t>
            </w:r>
          </w:p>
        </w:tc>
        <w:tc>
          <w:tcPr>
            <w:tcW w:w="730" w:type="dxa"/>
            <w:tcBorders>
              <w:bottom w:val="nil"/>
            </w:tcBorders>
          </w:tcPr>
          <w:p w:rsidR="0060634A" w:rsidRDefault="0060634A">
            <w:pPr>
              <w:ind w:left="142"/>
              <w:rPr>
                <w:noProof/>
                <w:sz w:val="16"/>
                <w:szCs w:val="16"/>
                <w:lang w:val="en-GB" w:eastAsia="en-GB"/>
              </w:rPr>
            </w:pPr>
          </w:p>
        </w:tc>
        <w:tc>
          <w:tcPr>
            <w:tcW w:w="2846" w:type="dxa"/>
            <w:tcBorders>
              <w:bottom w:val="nil"/>
            </w:tcBorders>
            <w:vAlign w:val="center"/>
          </w:tcPr>
          <w:p w:rsidR="0060634A" w:rsidRDefault="0060634A">
            <w:pPr>
              <w:ind w:left="142"/>
              <w:rPr>
                <w:noProof/>
                <w:sz w:val="16"/>
                <w:szCs w:val="16"/>
                <w:lang w:val="en-GB"/>
              </w:rPr>
            </w:pPr>
          </w:p>
        </w:tc>
      </w:tr>
    </w:tbl>
    <w:p w:rsidR="0060634A" w:rsidRDefault="00F76D44">
      <w:pPr>
        <w:pStyle w:val="PPOTitle3"/>
        <w:rPr>
          <w:rFonts w:eastAsiaTheme="minorEastAsia"/>
        </w:rPr>
      </w:pPr>
      <w:r>
        <w:rPr>
          <w:rFonts w:eastAsiaTheme="minorEastAsia"/>
        </w:rPr>
        <w:t>Where are we in the implementation?</w:t>
      </w:r>
    </w:p>
    <w:p w:rsidR="0060634A" w:rsidRDefault="00F76D44">
      <w:pPr>
        <w:pStyle w:val="PPOBlackBULLETS-L1"/>
        <w:rPr>
          <w:noProof/>
        </w:rPr>
      </w:pPr>
      <w:r>
        <w:rPr>
          <w:noProof/>
        </w:rPr>
        <w:t>EUR</w:t>
      </w:r>
      <w:r>
        <w:rPr>
          <w:rFonts w:ascii="Calibri" w:hAnsi="Calibri" w:cs="Calibri"/>
          <w:noProof/>
        </w:rPr>
        <w:t> </w:t>
      </w:r>
      <w:r>
        <w:rPr>
          <w:noProof/>
        </w:rPr>
        <w:t>77</w:t>
      </w:r>
      <w:r>
        <w:rPr>
          <w:rFonts w:ascii="Calibri" w:hAnsi="Calibri" w:cs="Calibri"/>
          <w:noProof/>
        </w:rPr>
        <w:t> </w:t>
      </w:r>
      <w:r>
        <w:rPr>
          <w:noProof/>
        </w:rPr>
        <w:t xml:space="preserve">million was made available in 2019 for the </w:t>
      </w:r>
      <w:r>
        <w:rPr>
          <w:noProof/>
        </w:rPr>
        <w:t>implementation of the actions in Bulgaria and Slovakia.</w:t>
      </w:r>
    </w:p>
    <w:p w:rsidR="0060634A" w:rsidRDefault="00F76D44">
      <w:pPr>
        <w:pStyle w:val="PPOBlackBULLETS-L1"/>
        <w:rPr>
          <w:noProof/>
        </w:rPr>
      </w:pPr>
      <w:r>
        <w:rPr>
          <w:noProof/>
        </w:rPr>
        <w:t>In total, EUR</w:t>
      </w:r>
      <w:r>
        <w:rPr>
          <w:rFonts w:ascii="Calibri" w:hAnsi="Calibri" w:cs="Calibri"/>
          <w:noProof/>
        </w:rPr>
        <w:t> </w:t>
      </w:r>
      <w:r>
        <w:rPr>
          <w:noProof/>
        </w:rPr>
        <w:t>364.4</w:t>
      </w:r>
      <w:r>
        <w:rPr>
          <w:rFonts w:ascii="Calibri" w:hAnsi="Calibri" w:cs="Calibri"/>
          <w:noProof/>
        </w:rPr>
        <w:t> </w:t>
      </w:r>
      <w:r>
        <w:rPr>
          <w:noProof/>
        </w:rPr>
        <w:t>million was allocated from 2014 to 2019.</w:t>
      </w:r>
    </w:p>
    <w:p w:rsidR="0060634A" w:rsidRDefault="00F76D44">
      <w:pPr>
        <w:pStyle w:val="PPOTitle3"/>
      </w:pPr>
      <w:r>
        <w:t>Performance assessment</w:t>
      </w:r>
    </w:p>
    <w:p w:rsidR="0060634A" w:rsidRDefault="00F76D44">
      <w:pPr>
        <w:pStyle w:val="PPOBlackBULLETS-L1"/>
        <w:rPr>
          <w:noProof/>
        </w:rPr>
      </w:pPr>
      <w:r>
        <w:rPr>
          <w:noProof/>
        </w:rPr>
        <w:t>The overall progress of the nuclear decommissioning objectives is satisfactory so far, and shows an ongoing upward t</w:t>
      </w:r>
      <w:r>
        <w:rPr>
          <w:noProof/>
        </w:rPr>
        <w:t>rend based on indicator results.</w:t>
      </w:r>
    </w:p>
    <w:p w:rsidR="0060634A" w:rsidRDefault="00F76D44">
      <w:pPr>
        <w:pStyle w:val="PPOBlackBULLETS-L1"/>
        <w:rPr>
          <w:noProof/>
        </w:rPr>
      </w:pPr>
      <w:r>
        <w:rPr>
          <w:noProof/>
        </w:rPr>
        <w:t>Synergy effects and knowledge dissemination between the two decommissioning sites have become more important, leading to increased efficiencies and savings. For example, in 2019 the feasibility of decontaminating the primar</w:t>
      </w:r>
      <w:r>
        <w:rPr>
          <w:noProof/>
        </w:rPr>
        <w:t>y circuits at Kozloduy was confirmed on the basis of experience from Bohunice. The transportation to Kozloduy of decontamination equipment used at Bohunice was then prepared with a view to decontaminating the primary circuits in 2020.</w:t>
      </w:r>
    </w:p>
    <w:p w:rsidR="0060634A" w:rsidRDefault="00F76D44">
      <w:pPr>
        <w:pStyle w:val="PPOBlackBULLETS-L1"/>
        <w:rPr>
          <w:noProof/>
        </w:rPr>
      </w:pPr>
      <w:r>
        <w:rPr>
          <w:noProof/>
        </w:rPr>
        <w:t>Decommissioning of th</w:t>
      </w:r>
      <w:r>
        <w:rPr>
          <w:noProof/>
        </w:rPr>
        <w:t>e Kozloduy power plant in Bulgaria has shown largely satisfactory progress.</w:t>
      </w:r>
    </w:p>
    <w:p w:rsidR="0060634A" w:rsidRDefault="00F76D44">
      <w:pPr>
        <w:pStyle w:val="PPOBlackBULLETS-L2"/>
        <w:rPr>
          <w:noProof/>
        </w:rPr>
      </w:pPr>
      <w:r>
        <w:rPr>
          <w:noProof/>
        </w:rPr>
        <w:t>The dismantling of equipment in the turbine hall, a major milestone of the first specific objective, was completed in August 2019, a year earlier than scheduled.</w:t>
      </w:r>
    </w:p>
    <w:p w:rsidR="0060634A" w:rsidRDefault="00F76D44">
      <w:pPr>
        <w:pStyle w:val="PPOBlackBULLETS-L2"/>
        <w:rPr>
          <w:noProof/>
        </w:rPr>
      </w:pPr>
      <w:r>
        <w:rPr>
          <w:noProof/>
        </w:rPr>
        <w:t>The plasma melting</w:t>
      </w:r>
      <w:r>
        <w:rPr>
          <w:noProof/>
        </w:rPr>
        <w:t xml:space="preserve"> facility, a first-of-its-kind facility for the high</w:t>
      </w:r>
      <w:r>
        <w:rPr>
          <w:noProof/>
        </w:rPr>
        <w:noBreakHyphen/>
        <w:t>performance volume reduction of radioactive waste, began operations in November 2018, and continued with the support of the system provider until the end of 2019.</w:t>
      </w:r>
    </w:p>
    <w:p w:rsidR="0060634A" w:rsidRDefault="00F76D44">
      <w:pPr>
        <w:pStyle w:val="PPOBlackBULLETS-L2"/>
        <w:rPr>
          <w:noProof/>
        </w:rPr>
      </w:pPr>
      <w:r>
        <w:rPr>
          <w:noProof/>
        </w:rPr>
        <w:t>The dismantling of large components in t</w:t>
      </w:r>
      <w:r>
        <w:rPr>
          <w:noProof/>
        </w:rPr>
        <w:t>he reactor building, where the nuclear core was housed, remains behind schedule due to the delay in the 2015-2017 period. This impacts the corresponding indicator, but progress as measured by recent results in 2018 and 2019 is showing a positive trend.</w:t>
      </w:r>
    </w:p>
    <w:p w:rsidR="0060634A" w:rsidRDefault="00F76D44">
      <w:pPr>
        <w:pStyle w:val="PPOBlackBULLETS-L1"/>
        <w:rPr>
          <w:noProof/>
        </w:rPr>
      </w:pPr>
      <w:r>
        <w:rPr>
          <w:noProof/>
        </w:rPr>
        <w:t>The</w:t>
      </w:r>
      <w:r>
        <w:rPr>
          <w:noProof/>
        </w:rPr>
        <w:t xml:space="preserve"> Bohunice programme in Slovakia progressed very well.</w:t>
      </w:r>
    </w:p>
    <w:p w:rsidR="0060634A" w:rsidRDefault="00F76D44">
      <w:pPr>
        <w:pStyle w:val="PPOBlackBULLETS-L2"/>
        <w:rPr>
          <w:noProof/>
        </w:rPr>
      </w:pPr>
      <w:r>
        <w:rPr>
          <w:noProof/>
        </w:rPr>
        <w:t>An important milestone was reached in the decommissioning programme as the dismantling of large components in the reactor building began in 2019.</w:t>
      </w:r>
    </w:p>
    <w:p w:rsidR="0060634A" w:rsidRDefault="00F76D44">
      <w:pPr>
        <w:pStyle w:val="PPOBlackBULLETS-L2"/>
        <w:rPr>
          <w:noProof/>
        </w:rPr>
      </w:pPr>
      <w:r>
        <w:rPr>
          <w:noProof/>
        </w:rPr>
        <w:t>Dismantling in the turbine halls and auxiliary buildings</w:t>
      </w:r>
      <w:r>
        <w:rPr>
          <w:noProof/>
        </w:rPr>
        <w:t xml:space="preserve"> was completed under budget.</w:t>
      </w:r>
    </w:p>
    <w:p w:rsidR="0060634A" w:rsidRDefault="00F76D44">
      <w:pPr>
        <w:pStyle w:val="PPOBlackBULLETS-L2"/>
        <w:rPr>
          <w:noProof/>
        </w:rPr>
      </w:pPr>
      <w:r>
        <w:rPr>
          <w:noProof/>
        </w:rPr>
        <w:t xml:space="preserve">Far-reaching mitigating measures were taken to maintain the programme’s end date at 2025, overcoming a 10-month delay in starting major contracts caused by difficulties in developing specifications suited to a concentrated </w:t>
      </w:r>
      <w:r>
        <w:rPr>
          <w:noProof/>
        </w:rPr>
        <w:t>decommissioning market. The most important measure consists of further optimising the planning of the demolition of the buildings on-site, which is the final stage in the decommissioning process.</w:t>
      </w:r>
    </w:p>
    <w:p w:rsidR="0060634A" w:rsidRDefault="00F76D44">
      <w:pPr>
        <w:pStyle w:val="PPOBlackBULLETS-L1"/>
        <w:rPr>
          <w:noProof/>
        </w:rPr>
      </w:pPr>
      <w:r>
        <w:rPr>
          <w:noProof/>
        </w:rPr>
        <w:t xml:space="preserve">Technical challenges remain for both locations, for example </w:t>
      </w:r>
      <w:r>
        <w:rPr>
          <w:noProof/>
        </w:rPr>
        <w:t>due to physical interfaces between concurrent projects imposed by the limited space available in the reactor hall. Further, delays had increased during regulatory approval processes in both countries (Bulgaria and Slovakia). However, the programmes' critic</w:t>
      </w:r>
      <w:r>
        <w:rPr>
          <w:noProof/>
        </w:rPr>
        <w:t>al path is monitored with the highest level of attention. When risks are identified, mitigating actions like the parallel execution of tasks or working in several shifts are proposed, so that at this point in time the end dates for both locations (Kozloduy</w:t>
      </w:r>
      <w:r>
        <w:rPr>
          <w:noProof/>
        </w:rPr>
        <w:t xml:space="preserve"> 2030, Bohunice 2025) remain the same.</w:t>
      </w:r>
    </w:p>
    <w:p w:rsidR="0060634A" w:rsidRDefault="00F76D44">
      <w:pPr>
        <w:pStyle w:val="PPOTitle3"/>
        <w:rPr>
          <w:rFonts w:eastAsiaTheme="minorEastAsia"/>
        </w:rPr>
      </w:pPr>
      <w:r>
        <w:rPr>
          <w:rFonts w:eastAsiaTheme="minorEastAsia"/>
        </w:rP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5103"/>
        <w:gridCol w:w="5670"/>
      </w:tblGrid>
      <w:tr w:rsidR="0060634A">
        <w:trPr>
          <w:trHeight w:val="128"/>
        </w:trPr>
        <w:tc>
          <w:tcPr>
            <w:tcW w:w="5103" w:type="dxa"/>
            <w:shd w:val="clear" w:color="auto" w:fill="00ADDC"/>
          </w:tcPr>
          <w:p w:rsidR="0060634A" w:rsidRDefault="00F76D44">
            <w:pPr>
              <w:pStyle w:val="PPOExamplesTABLEHeader"/>
              <w:rPr>
                <w:rFonts w:eastAsiaTheme="minorEastAsia"/>
              </w:rPr>
            </w:pPr>
            <w:r>
              <w:rPr>
                <w:rFonts w:eastAsiaTheme="minorEastAsia"/>
              </w:rPr>
              <w:t>At Kozloduy</w:t>
            </w:r>
          </w:p>
        </w:tc>
        <w:tc>
          <w:tcPr>
            <w:tcW w:w="5670" w:type="dxa"/>
            <w:shd w:val="clear" w:color="auto" w:fill="00ADDC"/>
          </w:tcPr>
          <w:p w:rsidR="0060634A" w:rsidRDefault="00F76D44">
            <w:pPr>
              <w:pStyle w:val="PPOExamplesTABLEHeader"/>
              <w:rPr>
                <w:rFonts w:eastAsiaTheme="minorEastAsia"/>
              </w:rPr>
            </w:pPr>
            <w:r>
              <w:rPr>
                <w:rFonts w:eastAsiaTheme="minorEastAsia"/>
              </w:rPr>
              <w:t>At Bohunice</w:t>
            </w:r>
          </w:p>
        </w:tc>
      </w:tr>
      <w:tr w:rsidR="0060634A">
        <w:trPr>
          <w:trHeight w:val="945"/>
        </w:trPr>
        <w:tc>
          <w:tcPr>
            <w:tcW w:w="5103" w:type="dxa"/>
            <w:shd w:val="clear" w:color="auto" w:fill="DCE6F2"/>
          </w:tcPr>
          <w:p w:rsidR="0060634A" w:rsidRDefault="00F76D44">
            <w:pPr>
              <w:pStyle w:val="PPOExamplesTABLEText"/>
              <w:spacing w:line="240" w:lineRule="auto"/>
              <w:rPr>
                <w:noProof/>
                <w:lang w:val="en-GB"/>
              </w:rPr>
            </w:pPr>
            <w:r>
              <w:rPr>
                <w:noProof/>
                <w:lang w:val="en-GB"/>
              </w:rPr>
              <w:t>the dismantling of the turbine hall was completed in August 2019, a year earlier than expected.</w:t>
            </w:r>
          </w:p>
          <w:p w:rsidR="0060634A" w:rsidRDefault="00F76D44">
            <w:pPr>
              <w:pStyle w:val="PPOExamplesTABLEText"/>
              <w:spacing w:line="240" w:lineRule="auto"/>
              <w:rPr>
                <w:noProof/>
                <w:lang w:val="en-GB"/>
              </w:rPr>
            </w:pPr>
            <w:r>
              <w:rPr>
                <w:noProof/>
                <w:lang w:val="en-GB"/>
              </w:rPr>
              <w:t>The operator finalised the first operational campaign of the p</w:t>
            </w:r>
            <w:r>
              <w:rPr>
                <w:noProof/>
                <w:lang w:val="en-GB"/>
              </w:rPr>
              <w:t>lasma melting facility, a first-of-its-kind facility for the high-performance volume reduction of radioactive waste.</w:t>
            </w:r>
          </w:p>
        </w:tc>
        <w:tc>
          <w:tcPr>
            <w:tcW w:w="5670" w:type="dxa"/>
            <w:shd w:val="clear" w:color="auto" w:fill="DCE6F2"/>
          </w:tcPr>
          <w:p w:rsidR="0060634A" w:rsidRDefault="00F76D44">
            <w:pPr>
              <w:pStyle w:val="PPOExamplesTABLEText"/>
              <w:spacing w:line="240" w:lineRule="auto"/>
              <w:rPr>
                <w:noProof/>
                <w:lang w:val="en-GB"/>
              </w:rPr>
            </w:pPr>
            <w:r>
              <w:rPr>
                <w:noProof/>
                <w:lang w:val="en-GB"/>
              </w:rPr>
              <w:t>all 12 steam generators, weighing 145 tonnes each, have been removed from the reactor building and prepared for dismantling, with the press</w:t>
            </w:r>
            <w:r>
              <w:rPr>
                <w:noProof/>
                <w:lang w:val="en-GB"/>
              </w:rPr>
              <w:t>urisers cut up by the end of 2019. With the exception of the nuclear reactor vessel itself, they are the biggest pieces of equipment present in the plant.</w:t>
            </w:r>
          </w:p>
          <w:p w:rsidR="0060634A" w:rsidRDefault="00F76D44">
            <w:pPr>
              <w:pStyle w:val="PPOExamplesTABLEText"/>
              <w:spacing w:line="240" w:lineRule="auto"/>
              <w:rPr>
                <w:noProof/>
                <w:lang w:val="en-GB"/>
              </w:rPr>
            </w:pPr>
            <w:r>
              <w:rPr>
                <w:noProof/>
                <w:lang w:val="en-GB"/>
              </w:rPr>
              <w:t>Disposal capacity for low-level waste, representing over 90% of total radioactive waste by volume, wa</w:t>
            </w:r>
            <w:r>
              <w:rPr>
                <w:noProof/>
                <w:lang w:val="en-GB"/>
              </w:rPr>
              <w:t>s extended by around 30%.</w:t>
            </w:r>
          </w:p>
        </w:tc>
      </w:tr>
    </w:tbl>
    <w:p w:rsidR="0060634A" w:rsidRDefault="0060634A">
      <w:pPr>
        <w:pStyle w:val="PPObodyText"/>
        <w:rPr>
          <w:noProof/>
        </w:rPr>
        <w:sectPr w:rsidR="0060634A">
          <w:headerReference w:type="even" r:id="rId155"/>
          <w:headerReference w:type="default" r:id="rId156"/>
          <w:footerReference w:type="even" r:id="rId157"/>
          <w:footerReference w:type="default" r:id="rId158"/>
          <w:headerReference w:type="first" r:id="rId159"/>
          <w:footerReference w:type="first" r:id="rId160"/>
          <w:pgSz w:w="11906" w:h="16838" w:code="9"/>
          <w:pgMar w:top="567" w:right="567" w:bottom="567" w:left="567" w:header="567" w:footer="454" w:gutter="0"/>
          <w:paperSrc w:first="15" w:other="15"/>
          <w:cols w:space="720"/>
          <w:docGrid w:linePitch="360"/>
        </w:sectPr>
      </w:pPr>
    </w:p>
    <w:p w:rsidR="0060634A" w:rsidRDefault="00F76D44">
      <w:pPr>
        <w:pStyle w:val="PPO1AsidebarTitleBlue"/>
        <w:rPr>
          <w:rFonts w:eastAsiaTheme="minorEastAsia"/>
        </w:rPr>
      </w:pPr>
      <w:r>
        <w:rPr>
          <w:rFonts w:eastAsiaTheme="minorEastAsia"/>
          <w:lang w:val="fr-BE" w:eastAsia="fr-BE"/>
        </w:rPr>
        <mc:AlternateContent>
          <mc:Choice Requires="wps">
            <w:drawing>
              <wp:anchor distT="0" distB="0" distL="0" distR="0" simplePos="0" relativeHeight="251584512" behindDoc="0" locked="1" layoutInCell="1" allowOverlap="1">
                <wp:simplePos x="0" y="0"/>
                <wp:positionH relativeFrom="page">
                  <wp:posOffset>361950</wp:posOffset>
                </wp:positionH>
                <wp:positionV relativeFrom="page">
                  <wp:posOffset>607695</wp:posOffset>
                </wp:positionV>
                <wp:extent cx="1457960" cy="777240"/>
                <wp:effectExtent l="0" t="0" r="85090" b="3810"/>
                <wp:wrapTopAndBottom/>
                <wp:docPr id="357" name="Text Box 357"/>
                <wp:cNvGraphicFramePr/>
                <a:graphic xmlns:a="http://schemas.openxmlformats.org/drawingml/2006/main">
                  <a:graphicData uri="http://schemas.microsoft.com/office/word/2010/wordprocessingShape">
                    <wps:wsp>
                      <wps:cNvSpPr txBox="1"/>
                      <wps:spPr>
                        <a:xfrm>
                          <a:off x="0" y="0"/>
                          <a:ext cx="1457960" cy="777240"/>
                        </a:xfrm>
                        <a:prstGeom prst="wedgeRectCallout">
                          <a:avLst>
                            <a:gd name="adj1" fmla="val 54107"/>
                            <a:gd name="adj2" fmla="val -21878"/>
                          </a:avLst>
                        </a:prstGeom>
                        <a:solidFill>
                          <a:srgbClr val="28296E"/>
                        </a:solidFill>
                        <a:ln w="6350">
                          <a:noFill/>
                        </a:ln>
                      </wps:spPr>
                      <wps:txbx>
                        <w:txbxContent>
                          <w:p w:rsidR="0060634A" w:rsidRDefault="00F76D44">
                            <w:pPr>
                              <w:pStyle w:val="PPOsidebarLegalBasisBOXHeading"/>
                              <w:rPr>
                                <w:rFonts w:eastAsiaTheme="minorEastAsia"/>
                              </w:rPr>
                            </w:pPr>
                            <w:r>
                              <w:rPr>
                                <w:rFonts w:eastAsiaTheme="minorEastAsia"/>
                              </w:rPr>
                              <w:t xml:space="preserve">LEGAL </w:t>
                            </w:r>
                            <w:r>
                              <w:rPr>
                                <w:rFonts w:eastAsiaTheme="minorEastAsia"/>
                              </w:rPr>
                              <w:t>BASIS</w:t>
                            </w:r>
                          </w:p>
                          <w:p w:rsidR="0060634A" w:rsidRDefault="00F76D44">
                            <w:pPr>
                              <w:pStyle w:val="PPOsidebarLegalBasisBOXtext"/>
                              <w:rPr>
                                <w:rFonts w:eastAsiaTheme="minorEastAsia"/>
                              </w:rPr>
                            </w:pPr>
                            <w:r>
                              <w:rPr>
                                <w:rFonts w:eastAsiaTheme="minorEastAsia"/>
                              </w:rPr>
                              <w:t>Council Regulation (EU) No</w:t>
                            </w:r>
                            <w:r>
                              <w:rPr>
                                <w:rFonts w:ascii="Calibri" w:eastAsiaTheme="minorEastAsia" w:hAnsi="Calibri" w:cs="Calibri"/>
                              </w:rPr>
                              <w:t> </w:t>
                            </w:r>
                            <w:r>
                              <w:rPr>
                                <w:rFonts w:eastAsiaTheme="minorEastAsia"/>
                              </w:rPr>
                              <w:t>1369/2013 and repealing Regulation (EC) No</w:t>
                            </w:r>
                            <w:r>
                              <w:rPr>
                                <w:rFonts w:ascii="Calibri" w:eastAsiaTheme="minorEastAsia" w:hAnsi="Calibri" w:cs="Calibri"/>
                              </w:rPr>
                              <w:t> </w:t>
                            </w:r>
                            <w:r>
                              <w:rPr>
                                <w:rFonts w:eastAsiaTheme="minorEastAsia"/>
                              </w:rPr>
                              <w:t>1990/2006</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7" o:spid="_x0000_s1072" type="#_x0000_t61" style="position:absolute;left:0;text-align:left;margin-left:28.5pt;margin-top:47.85pt;width:114.8pt;height:61.2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" adj="22487,6074" fillcolor="#28296e" stroked="f" strokeweight=".5pt">
                <v:textbox inset="2.5mm,1.3mm,2.5mm,1.3mm">
                  <w:txbxContent>
                    <w:p w:rsidR="0060634A" w:rsidRDefault="00F76D44">
                      <w:pPr>
                        <w:pStyle w:val="PPOsidebarLegalBasisBOXHeading"/>
                        <w:rPr>
                          <w:rFonts w:eastAsiaTheme="minorEastAsia"/>
                        </w:rPr>
                      </w:pPr>
                      <w:r>
                        <w:rPr>
                          <w:rFonts w:eastAsiaTheme="minorEastAsia"/>
                        </w:rPr>
                        <w:t xml:space="preserve">LEGAL </w:t>
                      </w:r>
                      <w:r>
                        <w:rPr>
                          <w:rFonts w:eastAsiaTheme="minorEastAsia"/>
                        </w:rPr>
                        <w:t>BASIS</w:t>
                      </w:r>
                    </w:p>
                    <w:p w:rsidR="0060634A" w:rsidRDefault="00F76D44">
                      <w:pPr>
                        <w:pStyle w:val="PPOsidebarLegalBasisBOXtext"/>
                        <w:rPr>
                          <w:rFonts w:eastAsiaTheme="minorEastAsia"/>
                        </w:rPr>
                      </w:pPr>
                      <w:r>
                        <w:rPr>
                          <w:rFonts w:eastAsiaTheme="minorEastAsia"/>
                        </w:rPr>
                        <w:t>Council Regulation (EU) No</w:t>
                      </w:r>
                      <w:r>
                        <w:rPr>
                          <w:rFonts w:ascii="Calibri" w:eastAsiaTheme="minorEastAsia" w:hAnsi="Calibri" w:cs="Calibri"/>
                        </w:rPr>
                        <w:t> </w:t>
                      </w:r>
                      <w:r>
                        <w:rPr>
                          <w:rFonts w:eastAsiaTheme="minorEastAsia"/>
                        </w:rPr>
                        <w:t>1369/2013 and repealing Regulation (EC) No</w:t>
                      </w:r>
                      <w:r>
                        <w:rPr>
                          <w:rFonts w:ascii="Calibri" w:eastAsiaTheme="minorEastAsia" w:hAnsi="Calibri" w:cs="Calibri"/>
                        </w:rPr>
                        <w:t> </w:t>
                      </w:r>
                      <w:r>
                        <w:rPr>
                          <w:rFonts w:eastAsiaTheme="minorEastAsia"/>
                        </w:rPr>
                        <w:t>1990/2006</w:t>
                      </w:r>
                    </w:p>
                  </w:txbxContent>
                </v:textbox>
                <w10:wrap type="topAndBottom" anchorx="page" anchory="page"/>
                <w10:anchorlock/>
              </v:shape>
            </w:pict>
          </mc:Fallback>
        </mc:AlternateContent>
      </w:r>
      <w:r>
        <w:rPr>
          <w:rFonts w:eastAsiaTheme="minorEastAsia"/>
        </w:rPr>
        <w:t>MORE INFORMATION</w:t>
      </w:r>
    </w:p>
    <w:p w:rsidR="0060634A" w:rsidRDefault="00F76D44">
      <w:pPr>
        <w:pStyle w:val="PPOsidebartext"/>
        <w:rPr>
          <w:rFonts w:eastAsiaTheme="minorEastAsia"/>
        </w:rPr>
      </w:pPr>
      <w:hyperlink r:id="rId161" w:history="1">
        <w:r>
          <w:rPr>
            <w:rStyle w:val="PPOChar-Hyperlink"/>
            <w:rFonts w:eastAsiaTheme="minorEastAsia"/>
          </w:rPr>
          <w:t>http://europa.eu/!jw46Rk</w:t>
        </w:r>
      </w:hyperlink>
    </w:p>
    <w:p w:rsidR="0060634A" w:rsidRDefault="00F76D44">
      <w:pPr>
        <w:pStyle w:val="PPO1AsidebarTitleBlue"/>
        <w:rPr>
          <w:rFonts w:eastAsiaTheme="minorEastAsia"/>
        </w:rPr>
      </w:pPr>
      <w:r>
        <w:rPr>
          <w:rFonts w:eastAsiaTheme="minorEastAsia"/>
        </w:rPr>
        <w:t>FINANCIAL PROGRAMMING</w:t>
      </w:r>
    </w:p>
    <w:p w:rsidR="0060634A" w:rsidRDefault="00F76D44">
      <w:pPr>
        <w:pStyle w:val="PPO1AsidebarTablecaption"/>
      </w:pPr>
      <w:r>
        <w:t>(million EUR)</w:t>
      </w:r>
    </w:p>
    <w:tbl>
      <w:tblPr>
        <w:tblOverlap w:val="never"/>
        <w:tblW w:w="2296" w:type="dxa"/>
        <w:jc w:val="right"/>
        <w:tblLayout w:type="fixed"/>
        <w:tblCellMar>
          <w:top w:w="28" w:type="dxa"/>
          <w:left w:w="28" w:type="dxa"/>
          <w:bottom w:w="28" w:type="dxa"/>
          <w:right w:w="28" w:type="dxa"/>
        </w:tblCellMar>
        <w:tblLook w:val="0000" w:firstRow="0" w:lastRow="0" w:firstColumn="0" w:lastColumn="0" w:noHBand="0" w:noVBand="0"/>
      </w:tblPr>
      <w:tblGrid>
        <w:gridCol w:w="1134"/>
        <w:gridCol w:w="1162"/>
      </w:tblGrid>
      <w:tr w:rsidR="0060634A">
        <w:trPr>
          <w:trHeight w:hRule="exact" w:val="229"/>
          <w:jc w:val="right"/>
        </w:trPr>
        <w:tc>
          <w:tcPr>
            <w:tcW w:w="1134" w:type="dxa"/>
            <w:tcBorders>
              <w:bottom w:val="single" w:sz="6" w:space="0" w:color="FFFFFF" w:themeColor="background1"/>
            </w:tcBorders>
            <w:shd w:val="clear" w:color="auto" w:fill="DCE6F2"/>
            <w:vAlign w:val="center"/>
          </w:tcPr>
          <w:p w:rsidR="0060634A" w:rsidRDefault="00F76D44">
            <w:pPr>
              <w:pStyle w:val="PPOsidebarTabletext"/>
            </w:pPr>
            <w:r>
              <w:t>2014</w:t>
            </w:r>
          </w:p>
        </w:tc>
        <w:tc>
          <w:tcPr>
            <w:tcW w:w="1162" w:type="dxa"/>
            <w:shd w:val="clear" w:color="auto" w:fill="FFFFFF"/>
            <w:vAlign w:val="center"/>
          </w:tcPr>
          <w:p w:rsidR="0060634A" w:rsidRDefault="00F76D44">
            <w:pPr>
              <w:pStyle w:val="PPOsidebarTabletext"/>
            </w:pPr>
            <w:r>
              <w:t>60.6</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2015</w:t>
            </w:r>
          </w:p>
        </w:tc>
        <w:tc>
          <w:tcPr>
            <w:tcW w:w="1162" w:type="dxa"/>
            <w:tcBorders>
              <w:top w:val="single" w:sz="4" w:space="0" w:color="auto"/>
            </w:tcBorders>
            <w:shd w:val="clear" w:color="auto" w:fill="FFFFFF"/>
            <w:vAlign w:val="center"/>
          </w:tcPr>
          <w:p w:rsidR="0060634A" w:rsidRDefault="00F76D44">
            <w:pPr>
              <w:pStyle w:val="PPOsidebarTabletext"/>
            </w:pPr>
            <w:r>
              <w:t>61.9</w:t>
            </w:r>
          </w:p>
        </w:tc>
      </w:tr>
      <w:tr w:rsidR="0060634A">
        <w:trPr>
          <w:trHeight w:hRule="exact" w:val="229"/>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2016</w:t>
            </w:r>
          </w:p>
        </w:tc>
        <w:tc>
          <w:tcPr>
            <w:tcW w:w="1162" w:type="dxa"/>
            <w:tcBorders>
              <w:top w:val="single" w:sz="4" w:space="0" w:color="auto"/>
            </w:tcBorders>
            <w:shd w:val="clear" w:color="auto" w:fill="FFFFFF"/>
            <w:vAlign w:val="center"/>
          </w:tcPr>
          <w:p w:rsidR="0060634A" w:rsidRDefault="00F76D44">
            <w:pPr>
              <w:pStyle w:val="PPOsidebarTabletext"/>
            </w:pPr>
            <w:r>
              <w:t>63.1</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2017</w:t>
            </w:r>
          </w:p>
        </w:tc>
        <w:tc>
          <w:tcPr>
            <w:tcW w:w="1162" w:type="dxa"/>
            <w:tcBorders>
              <w:top w:val="single" w:sz="4" w:space="0" w:color="auto"/>
            </w:tcBorders>
            <w:shd w:val="clear" w:color="auto" w:fill="FFFFFF"/>
            <w:vAlign w:val="center"/>
          </w:tcPr>
          <w:p w:rsidR="0060634A" w:rsidRDefault="00F76D44">
            <w:pPr>
              <w:pStyle w:val="PPOsidebarTabletext"/>
            </w:pPr>
            <w:r>
              <w:t>64.4</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2018</w:t>
            </w:r>
          </w:p>
        </w:tc>
        <w:tc>
          <w:tcPr>
            <w:tcW w:w="1162" w:type="dxa"/>
            <w:tcBorders>
              <w:top w:val="single" w:sz="4" w:space="0" w:color="auto"/>
            </w:tcBorders>
            <w:shd w:val="clear" w:color="auto" w:fill="FFFFFF"/>
            <w:vAlign w:val="center"/>
          </w:tcPr>
          <w:p w:rsidR="0060634A" w:rsidRDefault="00F76D44">
            <w:pPr>
              <w:pStyle w:val="PPOsidebarTabletext"/>
            </w:pPr>
            <w:r>
              <w:t>65.6</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2019</w:t>
            </w:r>
          </w:p>
        </w:tc>
        <w:tc>
          <w:tcPr>
            <w:tcW w:w="1162" w:type="dxa"/>
            <w:tcBorders>
              <w:top w:val="single" w:sz="4" w:space="0" w:color="auto"/>
            </w:tcBorders>
            <w:shd w:val="clear" w:color="auto" w:fill="FFFFFF"/>
            <w:vAlign w:val="center"/>
          </w:tcPr>
          <w:p w:rsidR="0060634A" w:rsidRDefault="00F76D44">
            <w:pPr>
              <w:pStyle w:val="PPOsidebarTabletext"/>
            </w:pPr>
            <w:r>
              <w:t>67.0</w:t>
            </w:r>
          </w:p>
        </w:tc>
      </w:tr>
      <w:tr w:rsidR="0060634A">
        <w:trPr>
          <w:trHeight w:hRule="exact" w:val="225"/>
          <w:jc w:val="right"/>
        </w:trPr>
        <w:tc>
          <w:tcPr>
            <w:tcW w:w="1134" w:type="dxa"/>
            <w:tcBorders>
              <w:top w:val="single" w:sz="6" w:space="0" w:color="FFFFFF" w:themeColor="background1"/>
            </w:tcBorders>
            <w:shd w:val="clear" w:color="auto" w:fill="DCE6F2"/>
            <w:vAlign w:val="center"/>
          </w:tcPr>
          <w:p w:rsidR="0060634A" w:rsidRDefault="00F76D44">
            <w:pPr>
              <w:pStyle w:val="PPOsidebarTabletext"/>
            </w:pPr>
            <w:r>
              <w:t>2020</w:t>
            </w:r>
          </w:p>
        </w:tc>
        <w:tc>
          <w:tcPr>
            <w:tcW w:w="1162" w:type="dxa"/>
            <w:tcBorders>
              <w:top w:val="single" w:sz="4" w:space="0" w:color="auto"/>
            </w:tcBorders>
            <w:shd w:val="clear" w:color="auto" w:fill="FFFFFF"/>
            <w:vAlign w:val="center"/>
          </w:tcPr>
          <w:p w:rsidR="0060634A" w:rsidRDefault="00F76D44">
            <w:pPr>
              <w:pStyle w:val="PPOsidebarTabletext"/>
            </w:pPr>
            <w:r>
              <w:t>68.3</w:t>
            </w:r>
          </w:p>
        </w:tc>
      </w:tr>
      <w:tr w:rsidR="0060634A">
        <w:trPr>
          <w:trHeight w:hRule="exact" w:val="258"/>
          <w:jc w:val="right"/>
        </w:trPr>
        <w:tc>
          <w:tcPr>
            <w:tcW w:w="1134" w:type="dxa"/>
            <w:shd w:val="clear" w:color="auto" w:fill="00ADDC"/>
            <w:vAlign w:val="center"/>
          </w:tcPr>
          <w:p w:rsidR="0060634A" w:rsidRDefault="00F76D44">
            <w:pPr>
              <w:pStyle w:val="PPOsidebarTabletext"/>
            </w:pPr>
            <w:r>
              <w:t>Total</w:t>
            </w:r>
          </w:p>
        </w:tc>
        <w:tc>
          <w:tcPr>
            <w:tcW w:w="1162" w:type="dxa"/>
            <w:tcBorders>
              <w:top w:val="single" w:sz="4" w:space="0" w:color="auto"/>
            </w:tcBorders>
            <w:shd w:val="clear" w:color="auto" w:fill="FFFFFF"/>
            <w:vAlign w:val="center"/>
          </w:tcPr>
          <w:p w:rsidR="0060634A" w:rsidRDefault="00F76D44">
            <w:pPr>
              <w:pStyle w:val="PPOsidebarTabletext"/>
            </w:pPr>
            <w:r>
              <w:t>450.8</w:t>
            </w:r>
          </w:p>
        </w:tc>
      </w:tr>
    </w:tbl>
    <w:p w:rsidR="0060634A" w:rsidRDefault="00F76D44">
      <w:pPr>
        <w:pStyle w:val="PPO1AsidebarTitleBlue"/>
        <w:rPr>
          <w:rFonts w:eastAsiaTheme="minorEastAsia"/>
        </w:rPr>
      </w:pPr>
      <w:r>
        <w:rPr>
          <w:rFonts w:eastAsiaTheme="minorEastAsia"/>
          <w:lang w:val="fr-BE" w:eastAsia="fr-BE"/>
        </w:rPr>
        <mc:AlternateContent>
          <mc:Choice Requires="wpg">
            <w:drawing>
              <wp:anchor distT="0" distB="0" distL="114300" distR="114300" simplePos="0" relativeHeight="251629568" behindDoc="1" locked="1" layoutInCell="1" allowOverlap="1">
                <wp:simplePos x="0" y="0"/>
                <wp:positionH relativeFrom="column">
                  <wp:posOffset>-268605</wp:posOffset>
                </wp:positionH>
                <wp:positionV relativeFrom="paragraph">
                  <wp:posOffset>581025</wp:posOffset>
                </wp:positionV>
                <wp:extent cx="1871980" cy="1454150"/>
                <wp:effectExtent l="0" t="0" r="0" b="0"/>
                <wp:wrapSquare wrapText="bothSides"/>
                <wp:docPr id="358" name="Group 358"/>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359" name="Chart 359"/>
                        <wpg:cNvFrPr/>
                        <wpg:xfrm>
                          <a:off x="461310" y="264194"/>
                          <a:ext cx="2492055" cy="1453317"/>
                        </wpg:xfrm>
                        <a:graphic>
                          <a:graphicData uri="http://schemas.openxmlformats.org/drawingml/2006/chart">
                            <c:chart xmlns:c="http://schemas.openxmlformats.org/drawingml/2006/chart" xmlns:r="http://schemas.openxmlformats.org/officeDocument/2006/relationships" r:id="rId162"/>
                          </a:graphicData>
                        </a:graphic>
                      </wpg:graphicFrame>
                      <wps:wsp>
                        <wps:cNvPr id="360" name="Text Box 2"/>
                        <wps:cNvSpPr txBox="1">
                          <a:spLocks noChangeArrowheads="1"/>
                        </wps:cNvSpPr>
                        <wps:spPr bwMode="auto">
                          <a:xfrm>
                            <a:off x="1287117" y="723786"/>
                            <a:ext cx="1276742" cy="600139"/>
                          </a:xfrm>
                          <a:prstGeom prst="rect">
                            <a:avLst/>
                          </a:prstGeom>
                          <a:noFill/>
                          <a:ln w="9525">
                            <a:noFill/>
                            <a:miter lim="800000"/>
                            <a:headEnd/>
                            <a:tailEnd/>
                          </a:ln>
                        </wps:spPr>
                        <wps:txbx>
                          <w:txbxContent>
                            <w:p w:rsidR="0060634A" w:rsidRDefault="00F76D44">
                              <w:pPr>
                                <w:spacing w:after="120"/>
                                <w:jc w:val="center"/>
                                <w:rPr>
                                  <w:color w:val="00ADDC"/>
                                </w:rPr>
                              </w:pPr>
                              <w:r>
                                <w:rPr>
                                  <w:b/>
                                  <w:color w:val="00ADDC"/>
                                </w:rPr>
                                <w:t>EUR 450.8</w:t>
                              </w:r>
                              <w:r>
                                <w:rPr>
                                  <w:color w:val="00ADDC"/>
                                </w:rPr>
                                <w:br/>
                                <w:t>million</w:t>
                              </w:r>
                            </w:p>
                          </w:txbxContent>
                        </wps:txbx>
                        <wps:bodyPr rot="0" vert="horz" wrap="square" lIns="91440" tIns="45720" rIns="91440" bIns="45720" anchor="t" anchorCtr="0">
                          <a:noAutofit/>
                        </wps:bodyPr>
                      </wps:wsp>
                      <wps:wsp>
                        <wps:cNvPr id="361" name="Text Box 2"/>
                        <wps:cNvSpPr txBox="1">
                          <a:spLocks noChangeArrowheads="1"/>
                        </wps:cNvSpPr>
                        <wps:spPr bwMode="auto">
                          <a:xfrm>
                            <a:off x="2072619" y="567257"/>
                            <a:ext cx="700344" cy="229870"/>
                          </a:xfrm>
                          <a:prstGeom prst="rect">
                            <a:avLst/>
                          </a:prstGeom>
                          <a:noFill/>
                          <a:ln w="9525">
                            <a:noFill/>
                            <a:miter lim="800000"/>
                            <a:headEnd/>
                            <a:tailEnd/>
                          </a:ln>
                        </wps:spPr>
                        <wps:txbx>
                          <w:txbxContent>
                            <w:p w:rsidR="0060634A" w:rsidRDefault="00F76D44">
                              <w:pPr>
                                <w:spacing w:after="120"/>
                                <w:jc w:val="center"/>
                                <w:rPr>
                                  <w:color w:val="00ADDC"/>
                                  <w:lang w:val="fr-BE"/>
                                </w:rPr>
                              </w:pPr>
                              <w:r>
                                <w:rPr>
                                  <w:b/>
                                  <w:color w:val="00ADDC"/>
                                  <w:lang w:val="fr-BE"/>
                                </w:rPr>
                                <w:t>10%</w:t>
                              </w:r>
                            </w:p>
                          </w:txbxContent>
                        </wps:txbx>
                        <wps:bodyPr rot="0" vert="horz" wrap="square" lIns="91440" tIns="45720" rIns="91440" bIns="45720" anchor="t" anchorCtr="0">
                          <a:noAutofit/>
                        </wps:bodyPr>
                      </wps:wsp>
                      <wps:wsp>
                        <wps:cNvPr id="362" name="Text Box 2"/>
                        <wps:cNvSpPr txBox="1">
                          <a:spLocks noChangeArrowheads="1"/>
                        </wps:cNvSpPr>
                        <wps:spPr bwMode="auto">
                          <a:xfrm>
                            <a:off x="1017638" y="394656"/>
                            <a:ext cx="741153" cy="266065"/>
                          </a:xfrm>
                          <a:prstGeom prst="rect">
                            <a:avLst/>
                          </a:prstGeom>
                          <a:noFill/>
                          <a:ln w="9525">
                            <a:noFill/>
                            <a:miter lim="800000"/>
                            <a:headEnd/>
                            <a:tailEnd/>
                          </a:ln>
                        </wps:spPr>
                        <wps:txbx>
                          <w:txbxContent>
                            <w:p w:rsidR="0060634A" w:rsidRDefault="00F76D44">
                              <w:pPr>
                                <w:spacing w:after="120"/>
                                <w:jc w:val="center"/>
                                <w:rPr>
                                  <w:color w:val="28296E"/>
                                  <w:lang w:val="fr-BE"/>
                                </w:rPr>
                              </w:pPr>
                              <w:r>
                                <w:rPr>
                                  <w:b/>
                                  <w:color w:val="28296E"/>
                                  <w:lang w:val="fr-BE"/>
                                </w:rPr>
                                <w:t>85%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58" o:spid="_x0000_s1073" style="position:absolute;left:0;text-align:left;margin-left:-21.15pt;margin-top:45.75pt;width:147.4pt;height:114.5pt;z-index:-251686912;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AoAAAAAAAAAIQD4vs91tCIAALQiAAAtAAAAZHJzL2Vt&#10;YmVkZGluZ3MvTWljcm9zb2Z0X0V4Y2VsX1dvcmtzaGVldC54bHN4UEsDBBQABgAIAAAAIQDdK4tY&#10;bAEAABAFAAATAAgCW0NvbnRlbnRfVHlwZXNdLnhtbC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">
                <v:shape id="Chart 359" o:spid="_x0000_s1074"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">
                  <v:imagedata r:id="rId163" o:title=""/>
                  <o:lock v:ext="edit" aspectratio="f"/>
                </v:shape>
                <v:shape id="_x0000_s1075" type="#_x0000_t202" style="position:absolute;left:12871;top:7237;width:12767;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rsidR="0060634A" w:rsidRDefault="00F76D44">
                        <w:pPr>
                          <w:spacing w:after="120"/>
                          <w:jc w:val="center"/>
                          <w:rPr>
                            <w:color w:val="00ADDC"/>
                          </w:rPr>
                        </w:pPr>
                        <w:r>
                          <w:rPr>
                            <w:b/>
                            <w:color w:val="00ADDC"/>
                          </w:rPr>
                          <w:t>EUR 450.8</w:t>
                        </w:r>
                        <w:r>
                          <w:rPr>
                            <w:color w:val="00ADDC"/>
                          </w:rPr>
                          <w:br/>
                          <w:t>million</w:t>
                        </w:r>
                      </w:p>
                    </w:txbxContent>
                  </v:textbox>
                </v:shape>
                <v:shape id="_x0000_s1076" type="#_x0000_t202" style="position:absolute;left:20726;top:5672;width:7003;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rsidR="0060634A" w:rsidRDefault="00F76D44">
                        <w:pPr>
                          <w:spacing w:after="120"/>
                          <w:jc w:val="center"/>
                          <w:rPr>
                            <w:color w:val="00ADDC"/>
                            <w:lang w:val="fr-BE"/>
                          </w:rPr>
                        </w:pPr>
                        <w:r>
                          <w:rPr>
                            <w:b/>
                            <w:color w:val="00ADDC"/>
                            <w:lang w:val="fr-BE"/>
                          </w:rPr>
                          <w:t>10%</w:t>
                        </w:r>
                      </w:p>
                    </w:txbxContent>
                  </v:textbox>
                </v:shape>
                <v:shape id="_x0000_s1077" type="#_x0000_t202" style="position:absolute;left:10176;top:3946;width:741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rsidR="0060634A" w:rsidRDefault="00F76D44">
                        <w:pPr>
                          <w:spacing w:after="120"/>
                          <w:jc w:val="center"/>
                          <w:rPr>
                            <w:color w:val="28296E"/>
                            <w:lang w:val="fr-BE"/>
                          </w:rPr>
                        </w:pPr>
                        <w:r>
                          <w:rPr>
                            <w:b/>
                            <w:color w:val="28296E"/>
                            <w:lang w:val="fr-BE"/>
                          </w:rPr>
                          <w:t>85%</w:t>
                        </w:r>
                      </w:p>
                    </w:txbxContent>
                  </v:textbox>
                </v:shape>
                <w10:wrap type="square"/>
                <w10:anchorlock/>
              </v:group>
              <o:OLEObject Type="Embed" ProgID="Excel.Chart.8" ShapeID="Chart 359" DrawAspect="Content" ObjectID="_1654495727" r:id="rId164">
                <o:FieldCodes>\s</o:FieldCodes>
              </o:OLEObject>
            </w:pict>
          </mc:Fallback>
        </mc:AlternateContent>
      </w:r>
      <w:r>
        <w:rPr>
          <w:rFonts w:eastAsiaTheme="minorEastAsia"/>
        </w:rPr>
        <w:t>OVERALL EXECUTION</w:t>
      </w:r>
      <w:r>
        <w:rPr>
          <w:rFonts w:eastAsiaTheme="minorEastAsia"/>
        </w:rPr>
        <w:br/>
        <w:t>(2014-2019)</w:t>
      </w:r>
    </w:p>
    <w:p w:rsidR="0060634A" w:rsidRDefault="00F76D44">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626496" behindDoc="0" locked="1" layoutInCell="1" allowOverlap="1">
                <wp:simplePos x="0" y="0"/>
                <wp:positionH relativeFrom="page">
                  <wp:posOffset>2242185</wp:posOffset>
                </wp:positionH>
                <wp:positionV relativeFrom="page">
                  <wp:posOffset>4342765</wp:posOffset>
                </wp:positionV>
                <wp:extent cx="2437130" cy="2210435"/>
                <wp:effectExtent l="0" t="0" r="1270" b="0"/>
                <wp:wrapTopAndBottom/>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210435"/>
                        </a:xfrm>
                        <a:prstGeom prst="rect">
                          <a:avLst/>
                        </a:prstGeom>
                        <a:solidFill>
                          <a:srgbClr val="FFFFFF"/>
                        </a:solidFill>
                        <a:ln w="9525">
                          <a:noFill/>
                          <a:miter lim="800000"/>
                          <a:headEnd/>
                          <a:tailEnd/>
                        </a:ln>
                      </wps:spPr>
                      <wps:txbx id="32">
                        <w:txbxContent>
                          <w:p w:rsidR="0060634A" w:rsidRDefault="00F76D44">
                            <w:pPr>
                              <w:pStyle w:val="PPOTitle3-nospacebefore"/>
                            </w:pPr>
                            <w:r>
                              <w:t>Why is it necessary?</w:t>
                            </w:r>
                          </w:p>
                          <w:p w:rsidR="0060634A" w:rsidRDefault="00F76D44">
                            <w:pPr>
                              <w:pStyle w:val="PPObodyText"/>
                            </w:pPr>
                            <w:r>
                              <w:t>Due to the early closure of its plants, it was not possible for Lithuania to accumulate sufficient funds from the operation of the plant. It is therefore in the EU’s interests to provide further financial support for the seamless continuation of decommissi</w:t>
                            </w:r>
                            <w:r>
                              <w:t>oning in order to progress towards the so-called decommissioning end state, in accordance with approved plans, while maintaining the highest level of safety. This will help to provide substantial and sustained support for the health of workers and the gene</w:t>
                            </w:r>
                            <w:r>
                              <w:t xml:space="preserve">ral public, prevent environmental degradation and enable real progress in nuclear safety and security. </w:t>
                            </w:r>
                          </w:p>
                          <w:p w:rsidR="0060634A" w:rsidRDefault="00F76D44">
                            <w:pPr>
                              <w:pStyle w:val="PPOTitle3-nospacebefore"/>
                            </w:pPr>
                            <w:r>
                              <w:t>Outlook for the 2021-2027 period</w:t>
                            </w:r>
                          </w:p>
                          <w:p w:rsidR="0060634A" w:rsidRDefault="00F76D44">
                            <w:pPr>
                              <w:pStyle w:val="PPObodyText"/>
                            </w:pPr>
                            <w:r>
                              <w:t>The Commission proposed a continuation of the programme for the next multiannual financial framework.</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176.55pt;margin-top:341.95pt;width:191.9pt;height:174.05pt;z-index:25162649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" stroked="f">
                <v:textbox style="mso-next-textbox:#Text Box 366" inset="0">
                  <w:txbxContent>
                    <w:p w:rsidR="0060634A" w:rsidRDefault="00F76D44">
                      <w:pPr>
                        <w:pStyle w:val="PPOTitle3-nospacebefore"/>
                      </w:pPr>
                      <w:r>
                        <w:t>Why is it necessary?</w:t>
                      </w:r>
                    </w:p>
                    <w:p w:rsidR="0060634A" w:rsidRDefault="00F76D44">
                      <w:pPr>
                        <w:pStyle w:val="PPObodyText"/>
                      </w:pPr>
                      <w:r>
                        <w:t>Due to the early closure of its plants, it was not possible for Lithuania to accumulate sufficient funds from the operation of the plant. It is therefore in the EU’s interests to provide further financial support for the seamless continuation of decommissi</w:t>
                      </w:r>
                      <w:r>
                        <w:t>oning in order to progress towards the so-called decommissioning end state, in accordance with approved plans, while maintaining the highest level of safety. This will help to provide substantial and sustained support for the health of workers and the gene</w:t>
                      </w:r>
                      <w:r>
                        <w:t xml:space="preserve">ral public, prevent environmental degradation and enable real progress in nuclear safety and security. </w:t>
                      </w:r>
                    </w:p>
                    <w:p w:rsidR="0060634A" w:rsidRDefault="00F76D44">
                      <w:pPr>
                        <w:pStyle w:val="PPOTitle3-nospacebefore"/>
                      </w:pPr>
                      <w:r>
                        <w:t>Outlook for the 2021-2027 period</w:t>
                      </w:r>
                    </w:p>
                    <w:p w:rsidR="0060634A" w:rsidRDefault="00F76D44">
                      <w:pPr>
                        <w:pStyle w:val="PPObodyText"/>
                      </w:pPr>
                      <w:r>
                        <w:t>The Commission proposed a continuation of the programme for the next multiannual financial framework.</w:t>
                      </w:r>
                    </w:p>
                  </w:txbxContent>
                </v:textbox>
                <w10:wrap type="topAndBottom" anchorx="page" anchory="page"/>
                <w10:anchorlock/>
              </v:shape>
            </w:pict>
          </mc:Fallback>
        </mc:AlternateContent>
      </w:r>
    </w:p>
    <w:p w:rsidR="0060634A" w:rsidRDefault="00F76D44">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627520" behindDoc="0" locked="1" layoutInCell="1" allowOverlap="1">
                <wp:simplePos x="0" y="0"/>
                <wp:positionH relativeFrom="column">
                  <wp:posOffset>539750</wp:posOffset>
                </wp:positionH>
                <wp:positionV relativeFrom="paragraph">
                  <wp:posOffset>1270</wp:posOffset>
                </wp:positionV>
                <wp:extent cx="115200" cy="115200"/>
                <wp:effectExtent l="0" t="0" r="0" b="0"/>
                <wp:wrapNone/>
                <wp:docPr id="364" name="Oval 364"/>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00AD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9B2452" id="Oval 364" o:spid="_x0000_s1026" style="position:absolute;margin-left:42.5pt;margin-top:.1pt;width:9.05pt;height:9.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" fillcolor="#00addc" stroked="f" strokeweight="1pt">
                <v:stroke joinstyle="miter"/>
                <w10:anchorlock/>
              </v:oval>
            </w:pict>
          </mc:Fallback>
        </mc:AlternateContent>
      </w:r>
      <w:r>
        <w:rPr>
          <w:rFonts w:eastAsiaTheme="minorEastAsia"/>
          <w:lang w:val="fr-BE" w:eastAsia="fr-BE"/>
        </w:rPr>
        <w:drawing>
          <wp:anchor distT="0" distB="0" distL="114300" distR="114300" simplePos="0" relativeHeight="251624448" behindDoc="1" locked="1" layoutInCell="1" allowOverlap="1">
            <wp:simplePos x="0" y="0"/>
            <wp:positionH relativeFrom="page">
              <wp:posOffset>-415925</wp:posOffset>
            </wp:positionH>
            <wp:positionV relativeFrom="paragraph">
              <wp:posOffset>-1605915</wp:posOffset>
            </wp:positionV>
            <wp:extent cx="3412800" cy="1990800"/>
            <wp:effectExtent l="0" t="0" r="0" b="0"/>
            <wp:wrapNone/>
            <wp:docPr id="371" name="Chart 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625472" behindDoc="0" locked="1" layoutInCell="1" allowOverlap="1">
                <wp:simplePos x="0" y="0"/>
                <wp:positionH relativeFrom="column">
                  <wp:posOffset>539750</wp:posOffset>
                </wp:positionH>
                <wp:positionV relativeFrom="paragraph">
                  <wp:posOffset>195580</wp:posOffset>
                </wp:positionV>
                <wp:extent cx="115200" cy="115200"/>
                <wp:effectExtent l="0" t="0" r="0" b="0"/>
                <wp:wrapNone/>
                <wp:docPr id="365" name="Oval 365"/>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3EBE11" id="Oval 365" o:spid="_x0000_s1026" style="position:absolute;margin-left:42.5pt;margin-top:15.4pt;width:9.05pt;height:9.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" fillcolor="#28296e" stroked="f" strokeweight="1pt">
                <v:stroke joinstyle="miter"/>
                <w10:anchorlock/>
              </v:oval>
            </w:pict>
          </mc:Fallback>
        </mc:AlternateContent>
      </w:r>
      <w:r>
        <w:rPr>
          <w:rFonts w:eastAsiaTheme="minorEastAsia"/>
        </w:rPr>
        <w:t>Payments</w:t>
      </w:r>
    </w:p>
    <w:p w:rsidR="0060634A" w:rsidRDefault="00F76D44">
      <w:pPr>
        <w:pStyle w:val="PPOsidebarchartLegends"/>
        <w:rPr>
          <w:rFonts w:eastAsiaTheme="minorEastAsia"/>
        </w:rPr>
      </w:pPr>
      <w:r>
        <w:rPr>
          <w:rFonts w:eastAsiaTheme="minorEastAsia"/>
        </w:rPr>
        <w:t>Comm</w:t>
      </w:r>
      <w:r>
        <w:rPr>
          <w:rFonts w:eastAsiaTheme="minorEastAsia"/>
        </w:rPr>
        <w:t>itments</w:t>
      </w:r>
    </w:p>
    <w:p w:rsidR="0060634A" w:rsidRDefault="00F76D44">
      <w:pPr>
        <w:pStyle w:val="PPO1AsidebarTitleLightBlue"/>
        <w:rPr>
          <w:rFonts w:eastAsiaTheme="minorEastAsia"/>
        </w:rPr>
      </w:pPr>
      <w:r>
        <w:rPr>
          <w:rFonts w:eastAsiaTheme="minorEastAsia"/>
        </w:rPr>
        <w:t>Evaluations/</w:t>
      </w:r>
      <w:r>
        <w:rPr>
          <w:rFonts w:eastAsiaTheme="minorEastAsia"/>
        </w:rPr>
        <w:br/>
        <w:t>studies conducted</w:t>
      </w:r>
    </w:p>
    <w:p w:rsidR="0060634A" w:rsidRDefault="00F76D44">
      <w:pPr>
        <w:pStyle w:val="PPOsidebartext"/>
        <w:rPr>
          <w:rFonts w:eastAsiaTheme="minorEastAsia"/>
        </w:rPr>
      </w:pPr>
      <w:r>
        <w:rPr>
          <w:rFonts w:eastAsiaTheme="minorEastAsia"/>
        </w:rPr>
        <w:t xml:space="preserve">The mid-term evaluation was carried out in 2018. For further information, please consult: </w:t>
      </w:r>
      <w:hyperlink r:id="rId166" w:history="1">
        <w:r>
          <w:rPr>
            <w:rStyle w:val="PPOChar-Hyperlink"/>
            <w:rFonts w:eastAsiaTheme="minorEastAsia"/>
          </w:rPr>
          <w:t>https://europa.eu/!TN67UQ</w:t>
        </w:r>
      </w:hyperlink>
    </w:p>
    <w:p w:rsidR="0060634A" w:rsidRDefault="00F76D44">
      <w:pPr>
        <w:pStyle w:val="PPO1AsidebarTitleLightBlue"/>
        <w:rPr>
          <w:rFonts w:eastAsiaTheme="minorEastAsia"/>
        </w:rPr>
      </w:pPr>
      <w:r>
        <w:rPr>
          <w:rFonts w:eastAsiaTheme="minorEastAsia"/>
        </w:rPr>
        <w:t>How is it implemented?</w:t>
      </w:r>
    </w:p>
    <w:tbl>
      <w:tblPr>
        <w:tblStyle w:val="TableGrid"/>
        <w:tblpPr w:vertAnchor="page" w:horzAnchor="page" w:tblpX="3599" w:tblpY="13536"/>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3471"/>
        <w:gridCol w:w="850"/>
        <w:gridCol w:w="3471"/>
      </w:tblGrid>
      <w:tr w:rsidR="0060634A">
        <w:trPr>
          <w:cantSplit/>
        </w:trPr>
        <w:tc>
          <w:tcPr>
            <w:tcW w:w="7792" w:type="dxa"/>
            <w:gridSpan w:val="3"/>
            <w:vAlign w:val="center"/>
          </w:tcPr>
          <w:p w:rsidR="0060634A" w:rsidRDefault="00F76D44">
            <w:pPr>
              <w:pStyle w:val="PPOTitle3-nospacebefore"/>
              <w:rPr>
                <w:rFonts w:eastAsiaTheme="minorEastAsia"/>
                <w:lang w:val="en-GB"/>
              </w:rPr>
            </w:pPr>
            <w:r>
              <w:rPr>
                <w:rFonts w:eastAsiaTheme="minorEastAsia"/>
                <w:lang w:val="en-GB"/>
              </w:rPr>
              <w:t xml:space="preserve">Voted budget execution (in million </w:t>
            </w:r>
            <w:r>
              <w:rPr>
                <w:rFonts w:eastAsiaTheme="minorEastAsia"/>
                <w:lang w:val="en-GB"/>
              </w:rPr>
              <w:t>EUR)</w:t>
            </w:r>
          </w:p>
        </w:tc>
      </w:tr>
      <w:tr w:rsidR="0060634A">
        <w:trPr>
          <w:cantSplit/>
        </w:trPr>
        <w:tc>
          <w:tcPr>
            <w:tcW w:w="3471" w:type="dxa"/>
            <w:shd w:val="clear" w:color="auto" w:fill="00ADDC"/>
            <w:vAlign w:val="center"/>
          </w:tcPr>
          <w:p w:rsidR="0060634A" w:rsidRDefault="00F76D44">
            <w:pPr>
              <w:pStyle w:val="PPOVotedbudgetTABLEHeaderLeftcol"/>
              <w:framePr w:hSpace="0" w:wrap="auto" w:vAnchor="margin" w:hAnchor="text" w:xAlign="left" w:yAlign="inline"/>
              <w:ind w:left="193"/>
              <w:suppressOverlap w:val="0"/>
              <w:rPr>
                <w:rFonts w:eastAsiaTheme="minorEastAsia"/>
              </w:rPr>
            </w:pPr>
            <w:r>
              <w:rPr>
                <w:rFonts w:eastAsiaTheme="minorEastAsia"/>
              </w:rPr>
              <w:t>EXECUTED COMMITMENTS</w:t>
            </w:r>
          </w:p>
        </w:tc>
        <w:tc>
          <w:tcPr>
            <w:tcW w:w="850" w:type="dxa"/>
            <w:shd w:val="clear" w:color="auto" w:fill="00ADDC"/>
            <w:vAlign w:val="center"/>
          </w:tcPr>
          <w:p w:rsidR="0060634A" w:rsidRDefault="0060634A">
            <w:pPr>
              <w:spacing w:afterAutospacing="1"/>
              <w:rPr>
                <w:noProof/>
              </w:rPr>
            </w:pPr>
          </w:p>
        </w:tc>
        <w:tc>
          <w:tcPr>
            <w:tcW w:w="3471" w:type="dxa"/>
            <w:shd w:val="clear" w:color="auto" w:fill="00ADDC"/>
            <w:vAlign w:val="center"/>
          </w:tcPr>
          <w:p w:rsidR="0060634A" w:rsidRDefault="00F76D44">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60634A">
        <w:tblPrEx>
          <w:tblCellMar>
            <w:left w:w="108" w:type="dxa"/>
            <w:right w:w="108" w:type="dxa"/>
          </w:tblCellMar>
        </w:tblPrEx>
        <w:trPr>
          <w:cantSplit/>
        </w:trPr>
        <w:tc>
          <w:tcPr>
            <w:tcW w:w="3471" w:type="dxa"/>
            <w:shd w:val="clear" w:color="auto" w:fill="DCE6F2"/>
            <w:vAlign w:val="center"/>
          </w:tcPr>
          <w:p w:rsidR="0060634A" w:rsidRDefault="00F76D44">
            <w:pPr>
              <w:spacing w:after="100" w:afterAutospacing="1"/>
              <w:jc w:val="center"/>
              <w:rPr>
                <w:noProof/>
                <w:color w:val="0070C0"/>
                <w:sz w:val="18"/>
              </w:rPr>
            </w:pPr>
            <w:r>
              <w:rPr>
                <w:noProof/>
                <w:color w:val="0070C0"/>
                <w:sz w:val="18"/>
                <w:lang w:eastAsia="fr-BE"/>
              </w:rPr>
              <w:drawing>
                <wp:inline distT="0" distB="0" distL="0" distR="0">
                  <wp:extent cx="2158365" cy="94488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158365" cy="944880"/>
                          </a:xfrm>
                          <a:prstGeom prst="rect">
                            <a:avLst/>
                          </a:prstGeom>
                          <a:noFill/>
                        </pic:spPr>
                      </pic:pic>
                    </a:graphicData>
                  </a:graphic>
                </wp:inline>
              </w:drawing>
            </w:r>
          </w:p>
        </w:tc>
        <w:tc>
          <w:tcPr>
            <w:tcW w:w="850" w:type="dxa"/>
            <w:shd w:val="clear" w:color="auto" w:fill="DCE6F2"/>
            <w:vAlign w:val="center"/>
          </w:tcPr>
          <w:p w:rsidR="0060634A" w:rsidRDefault="00F76D44">
            <w:pPr>
              <w:spacing w:after="60"/>
              <w:jc w:val="center"/>
              <w:rPr>
                <w:noProof/>
                <w:color w:val="0070C0"/>
              </w:rPr>
            </w:pPr>
            <w:r>
              <w:rPr>
                <w:noProof/>
                <w:color w:val="0070C0"/>
              </w:rPr>
              <w:t>2017</w:t>
            </w:r>
          </w:p>
          <w:p w:rsidR="0060634A" w:rsidRDefault="00F76D44">
            <w:pPr>
              <w:spacing w:after="60"/>
              <w:jc w:val="center"/>
              <w:rPr>
                <w:noProof/>
                <w:color w:val="0070C0"/>
              </w:rPr>
            </w:pPr>
            <w:r>
              <w:rPr>
                <w:noProof/>
                <w:color w:val="0070C0"/>
              </w:rPr>
              <w:t>2018</w:t>
            </w:r>
          </w:p>
          <w:p w:rsidR="0060634A" w:rsidRDefault="00F76D44">
            <w:pPr>
              <w:spacing w:after="60"/>
              <w:jc w:val="center"/>
              <w:rPr>
                <w:noProof/>
                <w:sz w:val="18"/>
              </w:rPr>
            </w:pPr>
            <w:r>
              <w:rPr>
                <w:noProof/>
                <w:color w:val="0070C0"/>
              </w:rPr>
              <w:t>2019</w:t>
            </w:r>
          </w:p>
        </w:tc>
        <w:tc>
          <w:tcPr>
            <w:tcW w:w="3471" w:type="dxa"/>
            <w:shd w:val="clear" w:color="auto" w:fill="DCE6F2"/>
            <w:vAlign w:val="center"/>
          </w:tcPr>
          <w:p w:rsidR="0060634A" w:rsidRDefault="00F76D44">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91440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158365" cy="914400"/>
                          </a:xfrm>
                          <a:prstGeom prst="rect">
                            <a:avLst/>
                          </a:prstGeom>
                          <a:noFill/>
                        </pic:spPr>
                      </pic:pic>
                    </a:graphicData>
                  </a:graphic>
                </wp:inline>
              </w:drawing>
            </w:r>
          </w:p>
        </w:tc>
      </w:tr>
    </w:tbl>
    <w:p w:rsidR="0060634A" w:rsidRDefault="00F76D44">
      <w:pPr>
        <w:pStyle w:val="PPOsidebartext"/>
        <w:rPr>
          <w:rFonts w:eastAsiaTheme="minorEastAsia"/>
        </w:rPr>
      </w:pPr>
      <w:r>
        <w:rPr>
          <w:rFonts w:eastAsiaTheme="minorEastAsia"/>
        </w:rPr>
        <w:t xml:space="preserve">The Directorate-General for Energy is the lead DG for the implementation of the programme. The programme is managed through the European Bank for Reconstruction and Development and the </w:t>
      </w:r>
      <w:r>
        <w:rPr>
          <w:rFonts w:eastAsiaTheme="minorEastAsia"/>
        </w:rPr>
        <w:t>Member State’s national</w:t>
      </w:r>
      <w:r>
        <w:rPr>
          <w:rFonts w:ascii="Calibri" w:eastAsiaTheme="minorEastAsia" w:hAnsi="Calibri" w:cs="Calibri"/>
        </w:rPr>
        <w:t> </w:t>
      </w:r>
      <w:r>
        <w:rPr>
          <w:rFonts w:eastAsiaTheme="minorEastAsia"/>
        </w:rPr>
        <w:t>agency.</w:t>
      </w:r>
    </w:p>
    <w:p w:rsidR="0060634A" w:rsidRDefault="00F76D44">
      <w:pPr>
        <w:pStyle w:val="PPO1ATitle1"/>
        <w:rPr>
          <w:rFonts w:eastAsiaTheme="minorEastAsia"/>
        </w:rPr>
      </w:pPr>
      <w:r>
        <w:rPr>
          <w:rFonts w:eastAsiaTheme="minorEastAsia"/>
        </w:rPr>
        <w:br w:type="column"/>
      </w:r>
      <w:bookmarkStart w:id="16" w:name="_Toc39583676"/>
      <w:r>
        <w:rPr>
          <w:rFonts w:eastAsiaTheme="minorEastAsia"/>
        </w:rPr>
        <w:t>NUCLEAR DECOMMISSIONING LT</w:t>
      </w:r>
      <w:bookmarkEnd w:id="16"/>
    </w:p>
    <w:p w:rsidR="0060634A" w:rsidRDefault="00F76D44">
      <w:pPr>
        <w:pStyle w:val="PPO1ATitle2"/>
        <w:rPr>
          <w:rFonts w:eastAsiaTheme="minorEastAsia"/>
        </w:rPr>
      </w:pPr>
      <w:r>
        <w:rPr>
          <w:rFonts w:eastAsiaTheme="minorEastAsia"/>
        </w:rPr>
        <w:t>NUCLEAR DECOMMISSIONING ASSISTANCE PROGRAMME IN LITHUANIA</w:t>
      </w:r>
    </w:p>
    <w:p w:rsidR="0060634A" w:rsidRDefault="00F76D44">
      <w:pPr>
        <w:pStyle w:val="PPOTitle3"/>
        <w:rPr>
          <w:rFonts w:eastAsiaTheme="minorEastAsia"/>
        </w:rPr>
      </w:pPr>
      <w:r>
        <w:rPr>
          <w:rFonts w:eastAsiaTheme="minorEastAsia"/>
        </w:rPr>
        <w:t>What is nuclear decommissioning in Lithuania?</w:t>
      </w:r>
    </w:p>
    <w:p w:rsidR="0060634A" w:rsidRDefault="00F76D44">
      <w:pPr>
        <w:pStyle w:val="PPObodyText"/>
        <w:spacing w:after="480"/>
        <w:rPr>
          <w:noProof/>
        </w:rPr>
      </w:pPr>
      <w:r>
        <w:rPr>
          <w:noProof/>
          <w:lang w:val="fr-BE" w:eastAsia="fr-BE"/>
        </w:rPr>
        <mc:AlternateContent>
          <mc:Choice Requires="wps">
            <w:drawing>
              <wp:anchor distT="0" distB="0" distL="114300" distR="114300" simplePos="0" relativeHeight="251630592" behindDoc="0" locked="1" layoutInCell="1" allowOverlap="1">
                <wp:simplePos x="0" y="0"/>
                <wp:positionH relativeFrom="page">
                  <wp:posOffset>4762500</wp:posOffset>
                </wp:positionH>
                <wp:positionV relativeFrom="page">
                  <wp:posOffset>4342765</wp:posOffset>
                </wp:positionV>
                <wp:extent cx="2437130" cy="2179320"/>
                <wp:effectExtent l="0" t="0" r="1270" b="0"/>
                <wp:wrapTopAndBottom/>
                <wp:docPr id="366" name="Text Box 366"/>
                <wp:cNvGraphicFramePr/>
                <a:graphic xmlns:a="http://schemas.openxmlformats.org/drawingml/2006/main">
                  <a:graphicData uri="http://schemas.microsoft.com/office/word/2010/wordprocessingShape">
                    <wps:wsp>
                      <wps:cNvSpPr txBox="1"/>
                      <wps:spPr>
                        <a:xfrm>
                          <a:off x="0" y="0"/>
                          <a:ext cx="2437130" cy="2179320"/>
                        </a:xfrm>
                        <a:prstGeom prst="rect">
                          <a:avLst/>
                        </a:prstGeom>
                        <a:solidFill>
                          <a:schemeClr val="lt1"/>
                        </a:solidFill>
                        <a:ln w="6350">
                          <a:noFill/>
                        </a:ln>
                      </wps:spPr>
                      <wps:linkedTxbx id="32"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6" o:spid="_x0000_s1079" type="#_x0000_t202" style="position:absolute;left:0;text-align:left;margin-left:375pt;margin-top:341.95pt;width:191.9pt;height:171.6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" fillcolor="white [3201]" stroked="f" strokeweight=".5pt">
                <v:textbox inset=",,0">
                  <w:txbxContent/>
                </v:textbox>
                <w10:wrap type="topAndBottom" anchorx="page" anchory="page"/>
                <w10:anchorlock/>
              </v:shape>
            </w:pict>
          </mc:Fallback>
        </mc:AlternateContent>
      </w:r>
      <w:r>
        <w:rPr>
          <w:noProof/>
        </w:rPr>
        <w:t xml:space="preserve">When Lithuania was a candidate country to join the EU, the closure and subsequent </w:t>
      </w:r>
      <w:r>
        <w:rPr>
          <w:noProof/>
        </w:rPr>
        <w:t>decommissioning of two Soviet-designed, first generation nuclear reactors at Ignalina was made a condition for its accession. As part of the agreement, the EU declared its willingness to continue to provide adequate additional Community assistance to Lithu</w:t>
      </w:r>
      <w:r>
        <w:rPr>
          <w:noProof/>
        </w:rPr>
        <w:t>ania’s decommissioning efforts. The nuclear decommissioning assistance programme was established to assist Lithuania in implementing the decommissioning of Ignalina units 1 and 2 in accordance with an approved decommissioning plan, whilst maintaining the h</w:t>
      </w:r>
      <w:r>
        <w:rPr>
          <w:noProof/>
        </w:rPr>
        <w:t>ighest level of safety.</w:t>
      </w:r>
    </w:p>
    <w:tbl>
      <w:tblPr>
        <w:tblStyle w:val="TableGrid"/>
        <w:tblpPr w:leftFromText="181" w:rightFromText="340" w:vertAnchor="text" w:tblpX="108" w:tblpY="1"/>
        <w:tblW w:w="78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7829"/>
      </w:tblGrid>
      <w:tr w:rsidR="0060634A">
        <w:trPr>
          <w:trHeight w:val="1864"/>
        </w:trPr>
        <w:tc>
          <w:tcPr>
            <w:tcW w:w="7829" w:type="dxa"/>
            <w:shd w:val="clear" w:color="auto" w:fill="F2F2F2" w:themeFill="background1" w:themeFillShade="F2"/>
          </w:tcPr>
          <w:p w:rsidR="0060634A" w:rsidRDefault="00F76D44">
            <w:pPr>
              <w:pStyle w:val="PPO1ASpecificobjectivesBOX-HeadingLightBlue"/>
              <w:rPr>
                <w:rFonts w:eastAsiaTheme="minorEastAsia"/>
              </w:rPr>
            </w:pPr>
            <w:r>
              <w:rPr>
                <w:rFonts w:eastAsiaTheme="minorEastAsia"/>
                <w:lang w:eastAsia="fr-BE"/>
              </w:rPr>
              <mc:AlternateContent>
                <mc:Choice Requires="wps">
                  <w:drawing>
                    <wp:anchor distT="0" distB="0" distL="114300" distR="114300" simplePos="0" relativeHeight="251628544"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2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00ADDC"/>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1FFC2B" id="Freeform 6" o:spid="_x0000_s1026" style="position:absolute;margin-left:4pt;margin-top:1.4pt;width:21.25pt;height:21.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00addc"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rFonts w:eastAsiaTheme="minorEastAsia"/>
              </w:rPr>
              <w:t>Specific objectives</w:t>
            </w:r>
          </w:p>
          <w:p w:rsidR="0060634A" w:rsidRDefault="00F76D44">
            <w:pPr>
              <w:pStyle w:val="PPO1ASpecificobjectivesBOX-BulletLightBlue"/>
              <w:rPr>
                <w:rFonts w:ascii="EC Square Sans Cond Pro" w:hAnsi="EC Square Sans Cond Pro"/>
                <w:lang w:val="en-GB"/>
              </w:rPr>
            </w:pPr>
            <w:r>
              <w:rPr>
                <w:rFonts w:ascii="EC Square Sans Cond Pro" w:hAnsi="EC Square Sans Cond Pro"/>
                <w:lang w:val="en-GB"/>
              </w:rPr>
              <w:t>Defueling of the reactor core of unit 2 and the reactor fuel ponds of units 1 and 2 into the dry spent fuel storage facility.</w:t>
            </w:r>
          </w:p>
          <w:p w:rsidR="0060634A" w:rsidRDefault="00F76D44">
            <w:pPr>
              <w:pStyle w:val="PPO1ASpecificobjectivesBOX-BulletLightBlue"/>
              <w:rPr>
                <w:rFonts w:ascii="EC Square Sans Cond Pro" w:hAnsi="EC Square Sans Cond Pro"/>
                <w:lang w:val="en-GB"/>
              </w:rPr>
            </w:pPr>
            <w:r>
              <w:rPr>
                <w:rFonts w:ascii="EC Square Sans Cond Pro" w:hAnsi="EC Square Sans Cond Pro"/>
                <w:lang w:val="en-GB"/>
              </w:rPr>
              <w:t>Safely maintaining the reactor units.</w:t>
            </w:r>
          </w:p>
          <w:p w:rsidR="0060634A" w:rsidRDefault="00F76D44">
            <w:pPr>
              <w:pStyle w:val="PPO1ASpecificobjectivesBOX-BulletLightBlue"/>
              <w:rPr>
                <w:lang w:val="en-GB"/>
              </w:rPr>
            </w:pPr>
            <w:r>
              <w:rPr>
                <w:rFonts w:ascii="EC Square Sans Cond Pro" w:hAnsi="EC Square Sans Cond Pro"/>
                <w:lang w:val="en-GB"/>
              </w:rPr>
              <w:t xml:space="preserve">Performing dismantling in the turbine hall and </w:t>
            </w:r>
            <w:r>
              <w:rPr>
                <w:rFonts w:ascii="EC Square Sans Cond Pro" w:hAnsi="EC Square Sans Cond Pro"/>
                <w:lang w:val="en-GB"/>
              </w:rPr>
              <w:t xml:space="preserve">other auxiliary buildings and safely managing the decommissioning waste in accordance with a detailed waste management plan. </w:t>
            </w:r>
          </w:p>
        </w:tc>
      </w:tr>
    </w:tbl>
    <w:p w:rsidR="0060634A" w:rsidRDefault="0060634A">
      <w:pPr>
        <w:rPr>
          <w:noProof/>
          <w:sz w:val="2"/>
          <w:szCs w:val="2"/>
        </w:rPr>
      </w:pPr>
    </w:p>
    <w:p w:rsidR="0060634A" w:rsidRDefault="0060634A">
      <w:pPr>
        <w:framePr w:w="6721" w:wrap="auto" w:hAnchor="text" w:x="3544"/>
        <w:jc w:val="both"/>
        <w:rPr>
          <w:b/>
          <w:noProof/>
          <w:color w:val="1F95A5"/>
        </w:rPr>
        <w:sectPr w:rsidR="0060634A">
          <w:headerReference w:type="even" r:id="rId169"/>
          <w:headerReference w:type="default" r:id="rId170"/>
          <w:footerReference w:type="even" r:id="rId171"/>
          <w:footerReference w:type="default" r:id="rId172"/>
          <w:headerReference w:type="first" r:id="rId173"/>
          <w:footerReference w:type="first" r:id="rId174"/>
          <w:pgSz w:w="11906" w:h="16838"/>
          <w:pgMar w:top="567" w:right="567" w:bottom="567" w:left="567" w:header="567" w:footer="454" w:gutter="0"/>
          <w:paperSrc w:first="15" w:other="15"/>
          <w:cols w:num="2" w:space="708" w:equalWidth="0">
            <w:col w:w="2269" w:space="708"/>
            <w:col w:w="7795"/>
          </w:cols>
          <w:docGrid w:linePitch="360"/>
        </w:sectPr>
      </w:pPr>
    </w:p>
    <w:p w:rsidR="0060634A" w:rsidRDefault="00F76D44">
      <w:pPr>
        <w:pStyle w:val="PPOTitle3-pagebreakbefore"/>
        <w:rPr>
          <w:rFonts w:eastAsiaTheme="minorEastAsia"/>
        </w:rPr>
      </w:pPr>
      <w:r>
        <w:rPr>
          <w:rFonts w:eastAsiaTheme="minorEastAsia"/>
        </w:rPr>
        <w:t xml:space="preserve">Key performance indicators </w:t>
      </w:r>
    </w:p>
    <w:tbl>
      <w:tblPr>
        <w:tblStyle w:val="TableGrid"/>
        <w:tblW w:w="10665"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97"/>
        <w:gridCol w:w="707"/>
        <w:gridCol w:w="3420"/>
        <w:gridCol w:w="748"/>
        <w:gridCol w:w="2693"/>
      </w:tblGrid>
      <w:tr w:rsidR="0060634A">
        <w:trPr>
          <w:trHeight w:val="333"/>
        </w:trPr>
        <w:tc>
          <w:tcPr>
            <w:tcW w:w="3097" w:type="dxa"/>
            <w:vAlign w:val="center"/>
          </w:tcPr>
          <w:p w:rsidR="0060634A" w:rsidRDefault="0060634A">
            <w:pPr>
              <w:ind w:left="142"/>
              <w:jc w:val="right"/>
              <w:rPr>
                <w:noProof/>
                <w:sz w:val="16"/>
                <w:szCs w:val="16"/>
              </w:rPr>
            </w:pPr>
          </w:p>
        </w:tc>
        <w:tc>
          <w:tcPr>
            <w:tcW w:w="707" w:type="dxa"/>
            <w:vAlign w:val="bottom"/>
          </w:tcPr>
          <w:p w:rsidR="0060634A" w:rsidRDefault="00F76D44">
            <w:pPr>
              <w:jc w:val="center"/>
              <w:rPr>
                <w:b/>
                <w:noProof/>
                <w:color w:val="28296E"/>
                <w:sz w:val="16"/>
                <w:szCs w:val="16"/>
              </w:rPr>
            </w:pPr>
            <w:r>
              <w:rPr>
                <w:b/>
                <w:noProof/>
                <w:color w:val="28296E"/>
                <w:sz w:val="16"/>
                <w:szCs w:val="16"/>
              </w:rPr>
              <w:t>Baseline</w:t>
            </w:r>
          </w:p>
        </w:tc>
        <w:tc>
          <w:tcPr>
            <w:tcW w:w="3420" w:type="dxa"/>
            <w:vAlign w:val="center"/>
          </w:tcPr>
          <w:p w:rsidR="0060634A" w:rsidRDefault="00F76D44">
            <w:pPr>
              <w:ind w:left="142"/>
              <w:jc w:val="center"/>
              <w:rPr>
                <w:b/>
                <w:noProof/>
                <w:color w:val="28296E"/>
                <w:sz w:val="16"/>
                <w:szCs w:val="16"/>
              </w:rPr>
            </w:pPr>
            <w:r>
              <w:rPr>
                <w:b/>
                <w:noProof/>
                <w:color w:val="28296E"/>
                <w:sz w:val="16"/>
                <w:szCs w:val="16"/>
              </w:rPr>
              <w:t>PROGRESS TOWARDS THE TARGET</w:t>
            </w:r>
          </w:p>
        </w:tc>
        <w:tc>
          <w:tcPr>
            <w:tcW w:w="748" w:type="dxa"/>
            <w:vAlign w:val="bottom"/>
          </w:tcPr>
          <w:p w:rsidR="0060634A" w:rsidRDefault="00F76D44">
            <w:pPr>
              <w:jc w:val="center"/>
              <w:rPr>
                <w:b/>
                <w:noProof/>
                <w:color w:val="28296E"/>
                <w:sz w:val="16"/>
                <w:szCs w:val="16"/>
              </w:rPr>
            </w:pPr>
            <w:r>
              <w:rPr>
                <w:b/>
                <w:noProof/>
                <w:color w:val="28296E"/>
                <w:sz w:val="16"/>
                <w:szCs w:val="16"/>
              </w:rPr>
              <w:t>Target</w:t>
            </w:r>
          </w:p>
        </w:tc>
        <w:tc>
          <w:tcPr>
            <w:tcW w:w="2693" w:type="dxa"/>
            <w:vAlign w:val="bottom"/>
          </w:tcPr>
          <w:p w:rsidR="0060634A" w:rsidRDefault="00F76D44">
            <w:pPr>
              <w:jc w:val="center"/>
              <w:rPr>
                <w:b/>
                <w:noProof/>
                <w:color w:val="28296E"/>
                <w:sz w:val="16"/>
                <w:szCs w:val="16"/>
              </w:rPr>
            </w:pPr>
            <w:r>
              <w:rPr>
                <w:b/>
                <w:noProof/>
                <w:color w:val="28296E"/>
                <w:sz w:val="16"/>
                <w:szCs w:val="16"/>
              </w:rPr>
              <w:t>Results</w:t>
            </w:r>
          </w:p>
        </w:tc>
      </w:tr>
      <w:tr w:rsidR="0060634A">
        <w:tblPrEx>
          <w:tblCellMar>
            <w:left w:w="108" w:type="dxa"/>
            <w:right w:w="108" w:type="dxa"/>
          </w:tblCellMar>
        </w:tblPrEx>
        <w:trPr>
          <w:trHeight w:val="344"/>
        </w:trPr>
        <w:tc>
          <w:tcPr>
            <w:tcW w:w="3097"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Fuel assemblies transported to dry interim storage (in tonnes)</w:t>
            </w:r>
          </w:p>
        </w:tc>
        <w:tc>
          <w:tcPr>
            <w:tcW w:w="707" w:type="dxa"/>
            <w:vAlign w:val="center"/>
          </w:tcPr>
          <w:p w:rsidR="0060634A" w:rsidRDefault="0060634A">
            <w:pPr>
              <w:jc w:val="center"/>
              <w:rPr>
                <w:rFonts w:ascii="EC Square Sans Cond Pro" w:hAnsi="EC Square Sans Cond Pro" w:cs="Calibri"/>
                <w:noProof/>
                <w:color w:val="000000"/>
                <w:sz w:val="16"/>
                <w:lang w:val="en-GB"/>
              </w:rPr>
            </w:pPr>
          </w:p>
        </w:tc>
        <w:tc>
          <w:tcPr>
            <w:tcW w:w="3420" w:type="dxa"/>
            <w:vAlign w:val="center"/>
          </w:tcPr>
          <w:p w:rsidR="0060634A" w:rsidRDefault="00F76D44">
            <w:pPr>
              <w:rPr>
                <w:rFonts w:ascii="EC Square Sans Cond Pro" w:hAnsi="EC Square Sans Cond Pro"/>
                <w:noProof/>
                <w:sz w:val="16"/>
                <w:szCs w:val="16"/>
              </w:rPr>
            </w:pPr>
            <w:r>
              <w:rPr>
                <w:noProof/>
                <w:lang w:eastAsia="fr-BE"/>
              </w:rPr>
              <w:drawing>
                <wp:inline distT="0" distB="0" distL="0" distR="0">
                  <wp:extent cx="1968500" cy="127000"/>
                  <wp:effectExtent l="0" t="0" r="0" b="6350"/>
                  <wp:docPr id="374" name="Chart 3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tc>
        <w:tc>
          <w:tcPr>
            <w:tcW w:w="748"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13 984</w:t>
            </w:r>
          </w:p>
        </w:tc>
        <w:tc>
          <w:tcPr>
            <w:tcW w:w="2693" w:type="dxa"/>
            <w:vAlign w:val="center"/>
          </w:tcPr>
          <w:p w:rsidR="0060634A" w:rsidRDefault="00F76D44">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12</w:t>
            </w:r>
            <w:r>
              <w:rPr>
                <w:rFonts w:ascii="EC Square Sans Cond Pro" w:hAnsi="EC Square Sans Cond Pro" w:cs="EC Square Sans Cond Pro"/>
                <w:noProof/>
                <w:color w:val="000000"/>
                <w:sz w:val="16"/>
                <w:szCs w:val="16"/>
                <w:lang w:val="en-US"/>
              </w:rPr>
              <w:t xml:space="preserve"> 255 out of 13 984 number of assemblies</w:t>
            </w:r>
          </w:p>
        </w:tc>
      </w:tr>
      <w:tr w:rsidR="0060634A">
        <w:tblPrEx>
          <w:tblCellMar>
            <w:left w:w="108" w:type="dxa"/>
            <w:right w:w="108" w:type="dxa"/>
          </w:tblCellMar>
        </w:tblPrEx>
        <w:trPr>
          <w:trHeight w:val="318"/>
        </w:trPr>
        <w:tc>
          <w:tcPr>
            <w:tcW w:w="3097"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Unloaded fuel assemblies from reactor core of unit 2</w:t>
            </w:r>
          </w:p>
        </w:tc>
        <w:tc>
          <w:tcPr>
            <w:tcW w:w="707" w:type="dxa"/>
            <w:vAlign w:val="center"/>
          </w:tcPr>
          <w:p w:rsidR="0060634A" w:rsidRDefault="0060634A">
            <w:pPr>
              <w:jc w:val="center"/>
              <w:rPr>
                <w:rFonts w:ascii="EC Square Sans Cond Pro" w:hAnsi="EC Square Sans Cond Pro" w:cs="Calibri"/>
                <w:noProof/>
                <w:color w:val="000000"/>
                <w:sz w:val="16"/>
                <w:lang w:val="en-GB"/>
              </w:rPr>
            </w:pPr>
          </w:p>
        </w:tc>
        <w:tc>
          <w:tcPr>
            <w:tcW w:w="3420" w:type="dxa"/>
            <w:vAlign w:val="center"/>
          </w:tcPr>
          <w:p w:rsidR="0060634A" w:rsidRDefault="00F76D44">
            <w:pPr>
              <w:rPr>
                <w:rFonts w:ascii="EC Square Sans Cond Pro" w:hAnsi="EC Square Sans Cond Pro"/>
                <w:noProof/>
                <w:sz w:val="16"/>
                <w:szCs w:val="16"/>
              </w:rPr>
            </w:pPr>
            <w:r>
              <w:rPr>
                <w:rFonts w:ascii="EC Square Sans Cond Pro" w:hAnsi="EC Square Sans Cond Pro"/>
                <w:noProof/>
                <w:sz w:val="16"/>
                <w:szCs w:val="16"/>
                <w:lang w:eastAsia="fr-BE"/>
              </w:rPr>
              <w:drawing>
                <wp:inline distT="0" distB="0" distL="0" distR="0">
                  <wp:extent cx="1968500" cy="127000"/>
                  <wp:effectExtent l="0" t="0" r="0" b="6350"/>
                  <wp:docPr id="375" name="Chart 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tc>
        <w:tc>
          <w:tcPr>
            <w:tcW w:w="748"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1 134</w:t>
            </w:r>
          </w:p>
        </w:tc>
        <w:tc>
          <w:tcPr>
            <w:tcW w:w="2693" w:type="dxa"/>
            <w:vAlign w:val="center"/>
          </w:tcPr>
          <w:p w:rsidR="0060634A" w:rsidRDefault="00F76D44">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1 134 out of 1 134 number of assemblies</w:t>
            </w:r>
          </w:p>
        </w:tc>
      </w:tr>
      <w:tr w:rsidR="0060634A">
        <w:tblPrEx>
          <w:tblCellMar>
            <w:left w:w="108" w:type="dxa"/>
            <w:right w:w="108" w:type="dxa"/>
          </w:tblCellMar>
        </w:tblPrEx>
        <w:trPr>
          <w:trHeight w:val="309"/>
        </w:trPr>
        <w:tc>
          <w:tcPr>
            <w:tcW w:w="3097" w:type="dxa"/>
            <w:vAlign w:val="center"/>
          </w:tcPr>
          <w:p w:rsidR="0060634A" w:rsidRDefault="00F76D44">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Registered incidents</w:t>
            </w:r>
          </w:p>
        </w:tc>
        <w:tc>
          <w:tcPr>
            <w:tcW w:w="707" w:type="dxa"/>
            <w:vAlign w:val="center"/>
          </w:tcPr>
          <w:p w:rsidR="0060634A" w:rsidRDefault="0060634A">
            <w:pPr>
              <w:jc w:val="center"/>
              <w:rPr>
                <w:rFonts w:ascii="EC Square Sans Cond Pro" w:hAnsi="EC Square Sans Cond Pro" w:cs="Calibri"/>
                <w:noProof/>
                <w:color w:val="000000"/>
                <w:sz w:val="16"/>
              </w:rPr>
            </w:pPr>
          </w:p>
        </w:tc>
        <w:tc>
          <w:tcPr>
            <w:tcW w:w="3420" w:type="dxa"/>
            <w:vAlign w:val="center"/>
          </w:tcPr>
          <w:p w:rsidR="0060634A" w:rsidRDefault="00F76D44">
            <w:pPr>
              <w:rPr>
                <w:rFonts w:ascii="EC Square Sans Cond Pro" w:hAnsi="EC Square Sans Cond Pro"/>
                <w:noProof/>
                <w:sz w:val="16"/>
                <w:szCs w:val="16"/>
              </w:rPr>
            </w:pPr>
            <w:r>
              <w:rPr>
                <w:noProof/>
                <w:lang w:eastAsia="fr-BE"/>
              </w:rPr>
              <w:drawing>
                <wp:inline distT="0" distB="0" distL="0" distR="0">
                  <wp:extent cx="1968500" cy="127000"/>
                  <wp:effectExtent l="0" t="0" r="0" b="6350"/>
                  <wp:docPr id="376" name="Chart 3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tc>
        <w:tc>
          <w:tcPr>
            <w:tcW w:w="748"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0</w:t>
            </w:r>
          </w:p>
        </w:tc>
        <w:tc>
          <w:tcPr>
            <w:tcW w:w="2693" w:type="dxa"/>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0 incidents</w:t>
            </w:r>
          </w:p>
        </w:tc>
      </w:tr>
      <w:tr w:rsidR="0060634A">
        <w:tblPrEx>
          <w:tblCellMar>
            <w:left w:w="108" w:type="dxa"/>
            <w:right w:w="108" w:type="dxa"/>
          </w:tblCellMar>
        </w:tblPrEx>
        <w:trPr>
          <w:trHeight w:val="309"/>
        </w:trPr>
        <w:tc>
          <w:tcPr>
            <w:tcW w:w="3097" w:type="dxa"/>
            <w:vAlign w:val="center"/>
          </w:tcPr>
          <w:p w:rsidR="0060634A" w:rsidRDefault="00F76D44">
            <w:pPr>
              <w:ind w:left="142"/>
              <w:jc w:val="right"/>
              <w:rPr>
                <w:rFonts w:ascii="EC Square Sans Cond Pro" w:hAnsi="EC Square Sans Cond Pro"/>
                <w:noProof/>
                <w:sz w:val="16"/>
                <w:lang w:val="en-GB"/>
              </w:rPr>
            </w:pPr>
            <w:r>
              <w:rPr>
                <w:rFonts w:ascii="EC Square Sans Cond Pro" w:hAnsi="EC Square Sans Cond Pro" w:cs="EC Square Sans Cond Pro"/>
                <w:noProof/>
                <w:color w:val="000000"/>
                <w:sz w:val="16"/>
                <w:szCs w:val="16"/>
                <w:lang w:val="en-US"/>
              </w:rPr>
              <w:t xml:space="preserve">Auxiliary system dismantled and safely conditioned waste - dismantled </w:t>
            </w:r>
            <w:r>
              <w:rPr>
                <w:rFonts w:ascii="EC Square Sans Cond Pro" w:hAnsi="EC Square Sans Cond Pro" w:cs="EC Square Sans Cond Pro"/>
                <w:noProof/>
                <w:color w:val="000000"/>
                <w:sz w:val="16"/>
                <w:szCs w:val="16"/>
                <w:lang w:val="en-US"/>
              </w:rPr>
              <w:t>equipment (in tonnes)</w:t>
            </w:r>
          </w:p>
        </w:tc>
        <w:tc>
          <w:tcPr>
            <w:tcW w:w="707" w:type="dxa"/>
            <w:vAlign w:val="center"/>
          </w:tcPr>
          <w:p w:rsidR="0060634A" w:rsidRDefault="0060634A">
            <w:pPr>
              <w:jc w:val="center"/>
              <w:rPr>
                <w:rFonts w:ascii="EC Square Sans Cond Pro" w:hAnsi="EC Square Sans Cond Pro" w:cs="Calibri"/>
                <w:noProof/>
                <w:color w:val="000000"/>
                <w:sz w:val="16"/>
                <w:lang w:val="en-GB"/>
              </w:rPr>
            </w:pPr>
          </w:p>
        </w:tc>
        <w:tc>
          <w:tcPr>
            <w:tcW w:w="3420" w:type="dxa"/>
            <w:vAlign w:val="center"/>
          </w:tcPr>
          <w:p w:rsidR="0060634A" w:rsidRDefault="00F76D44">
            <w:pPr>
              <w:rPr>
                <w:rFonts w:ascii="EC Square Sans Cond Pro" w:hAnsi="EC Square Sans Cond Pro"/>
                <w:noProof/>
                <w:sz w:val="16"/>
                <w:szCs w:val="16"/>
              </w:rPr>
            </w:pPr>
            <w:r>
              <w:rPr>
                <w:noProof/>
                <w:lang w:val="en-GB" w:eastAsia="en-GB"/>
              </w:rPr>
              <w:t xml:space="preserve"> </w:t>
            </w:r>
            <w:r>
              <w:rPr>
                <w:noProof/>
                <w:lang w:eastAsia="fr-BE"/>
              </w:rPr>
              <w:drawing>
                <wp:inline distT="0" distB="0" distL="0" distR="0">
                  <wp:extent cx="1934271" cy="127000"/>
                  <wp:effectExtent l="0" t="0" r="8890" b="635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tc>
        <w:tc>
          <w:tcPr>
            <w:tcW w:w="748" w:type="dxa"/>
            <w:vAlign w:val="center"/>
          </w:tcPr>
          <w:p w:rsidR="0060634A" w:rsidRDefault="00F76D44">
            <w:pPr>
              <w:jc w:val="center"/>
              <w:rPr>
                <w:rFonts w:ascii="EC Square Sans Cond Pro" w:hAnsi="EC Square Sans Cond Pro" w:cs="Calibri"/>
                <w:noProof/>
                <w:color w:val="000000"/>
                <w:sz w:val="16"/>
              </w:rPr>
            </w:pPr>
            <w:r>
              <w:rPr>
                <w:rFonts w:ascii="EC Square Sans Cond Pro" w:hAnsi="EC Square Sans Cond Pro" w:cs="EC Square Sans Cond Pro"/>
                <w:noProof/>
                <w:color w:val="000000"/>
                <w:sz w:val="16"/>
                <w:szCs w:val="16"/>
                <w:lang w:val="en-US"/>
              </w:rPr>
              <w:t>40 454</w:t>
            </w:r>
          </w:p>
        </w:tc>
        <w:tc>
          <w:tcPr>
            <w:tcW w:w="2693" w:type="dxa"/>
            <w:vAlign w:val="center"/>
          </w:tcPr>
          <w:p w:rsidR="0060634A" w:rsidRDefault="00F76D44">
            <w:pPr>
              <w:ind w:left="142"/>
              <w:rPr>
                <w:rFonts w:ascii="EC Square Sans Cond Pro" w:hAnsi="EC Square Sans Cond Pro" w:cs="Calibri"/>
                <w:noProof/>
                <w:color w:val="000000"/>
                <w:sz w:val="16"/>
              </w:rPr>
            </w:pPr>
            <w:r>
              <w:rPr>
                <w:rFonts w:ascii="EC Square Sans Cond Pro" w:hAnsi="EC Square Sans Cond Pro" w:cs="EC Square Sans Cond Pro"/>
                <w:noProof/>
                <w:color w:val="000000"/>
                <w:sz w:val="16"/>
                <w:szCs w:val="16"/>
                <w:lang w:val="en-US"/>
              </w:rPr>
              <w:t>39 767 out of 40 454 tonnes</w:t>
            </w:r>
          </w:p>
        </w:tc>
      </w:tr>
      <w:tr w:rsidR="0060634A">
        <w:tblPrEx>
          <w:tblCellMar>
            <w:left w:w="108" w:type="dxa"/>
            <w:right w:w="108" w:type="dxa"/>
          </w:tblCellMar>
        </w:tblPrEx>
        <w:trPr>
          <w:trHeight w:val="309"/>
        </w:trPr>
        <w:tc>
          <w:tcPr>
            <w:tcW w:w="3097" w:type="dxa"/>
            <w:vAlign w:val="center"/>
          </w:tcPr>
          <w:p w:rsidR="0060634A" w:rsidRDefault="00F76D44">
            <w:pPr>
              <w:ind w:left="142"/>
              <w:jc w:val="right"/>
              <w:rPr>
                <w:rFonts w:ascii="EC Square Sans Cond Pro" w:hAnsi="EC Square Sans Cond Pro"/>
                <w:noProof/>
                <w:sz w:val="16"/>
                <w:lang w:val="en-GB"/>
              </w:rPr>
            </w:pPr>
            <w:r>
              <w:rPr>
                <w:rFonts w:ascii="EC Square Sans Cond Pro" w:hAnsi="EC Square Sans Cond Pro" w:cs="EC Square Sans Cond Pro"/>
                <w:noProof/>
                <w:color w:val="000000"/>
                <w:sz w:val="16"/>
                <w:szCs w:val="16"/>
                <w:lang w:val="en-US"/>
              </w:rPr>
              <w:t>Auxiliary system dismantled and safely conditioned waste - Primary processed waste (in tonnes/m</w:t>
            </w:r>
            <w:r>
              <w:rPr>
                <w:rFonts w:ascii="EC Square Sans Cond Pro" w:hAnsi="EC Square Sans Cond Pro" w:cs="EC Square Sans Cond Pro"/>
                <w:noProof/>
                <w:color w:val="000000"/>
                <w:sz w:val="16"/>
                <w:szCs w:val="16"/>
                <w:vertAlign w:val="superscript"/>
                <w:lang w:val="en-US"/>
              </w:rPr>
              <w:t>3</w:t>
            </w:r>
            <w:r>
              <w:rPr>
                <w:rFonts w:ascii="EC Square Sans Cond Pro" w:hAnsi="EC Square Sans Cond Pro" w:cs="EC Square Sans Cond Pro"/>
                <w:noProof/>
                <w:color w:val="000000"/>
                <w:sz w:val="16"/>
                <w:szCs w:val="16"/>
                <w:lang w:val="en-US"/>
              </w:rPr>
              <w:t>)</w:t>
            </w:r>
          </w:p>
        </w:tc>
        <w:tc>
          <w:tcPr>
            <w:tcW w:w="707" w:type="dxa"/>
            <w:vAlign w:val="center"/>
          </w:tcPr>
          <w:p w:rsidR="0060634A" w:rsidRDefault="0060634A">
            <w:pPr>
              <w:jc w:val="center"/>
              <w:rPr>
                <w:rFonts w:ascii="EC Square Sans Cond Pro" w:hAnsi="EC Square Sans Cond Pro" w:cs="Calibri"/>
                <w:noProof/>
                <w:color w:val="000000"/>
                <w:sz w:val="16"/>
                <w:lang w:val="en-GB"/>
              </w:rPr>
            </w:pPr>
          </w:p>
        </w:tc>
        <w:tc>
          <w:tcPr>
            <w:tcW w:w="3420" w:type="dxa"/>
            <w:vAlign w:val="center"/>
          </w:tcPr>
          <w:p w:rsidR="0060634A" w:rsidRDefault="00F76D44">
            <w:pPr>
              <w:rPr>
                <w:rFonts w:ascii="EC Square Sans Cond Pro" w:hAnsi="EC Square Sans Cond Pro"/>
                <w:noProof/>
                <w:sz w:val="16"/>
                <w:szCs w:val="16"/>
              </w:rPr>
            </w:pPr>
            <w:r>
              <w:rPr>
                <w:noProof/>
                <w:lang w:val="en-GB" w:eastAsia="en-GB"/>
              </w:rPr>
              <w:t xml:space="preserve"> </w:t>
            </w:r>
            <w:r>
              <w:rPr>
                <w:noProof/>
                <w:lang w:eastAsia="fr-BE"/>
              </w:rPr>
              <w:drawing>
                <wp:inline distT="0" distB="0" distL="0" distR="0">
                  <wp:extent cx="1934271" cy="127000"/>
                  <wp:effectExtent l="0" t="0" r="8890" b="6350"/>
                  <wp:docPr id="216" name="Chart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tc>
        <w:tc>
          <w:tcPr>
            <w:tcW w:w="748" w:type="dxa"/>
            <w:vAlign w:val="center"/>
          </w:tcPr>
          <w:p w:rsidR="0060634A" w:rsidRDefault="00F76D44">
            <w:pPr>
              <w:jc w:val="center"/>
              <w:rPr>
                <w:rFonts w:ascii="EC Square Sans Cond Pro" w:hAnsi="EC Square Sans Cond Pro" w:cs="Calibri"/>
                <w:noProof/>
                <w:color w:val="000000"/>
                <w:sz w:val="16"/>
              </w:rPr>
            </w:pPr>
            <w:r>
              <w:rPr>
                <w:rFonts w:ascii="EC Square Sans Cond Pro" w:hAnsi="EC Square Sans Cond Pro" w:cs="EC Square Sans Cond Pro"/>
                <w:noProof/>
                <w:color w:val="000000"/>
                <w:sz w:val="16"/>
                <w:szCs w:val="16"/>
                <w:lang w:val="en-US"/>
              </w:rPr>
              <w:t>42 314</w:t>
            </w:r>
          </w:p>
        </w:tc>
        <w:tc>
          <w:tcPr>
            <w:tcW w:w="2693" w:type="dxa"/>
            <w:vAlign w:val="center"/>
          </w:tcPr>
          <w:p w:rsidR="0060634A" w:rsidRDefault="00F76D44">
            <w:pPr>
              <w:ind w:left="142"/>
              <w:rPr>
                <w:rFonts w:ascii="EC Square Sans Cond Pro" w:hAnsi="EC Square Sans Cond Pro" w:cs="Calibri"/>
                <w:noProof/>
                <w:color w:val="000000"/>
                <w:sz w:val="16"/>
              </w:rPr>
            </w:pPr>
            <w:r>
              <w:rPr>
                <w:rFonts w:ascii="EC Square Sans Cond Pro" w:hAnsi="EC Square Sans Cond Pro" w:cs="EC Square Sans Cond Pro"/>
                <w:noProof/>
                <w:color w:val="000000"/>
                <w:sz w:val="16"/>
                <w:szCs w:val="16"/>
                <w:lang w:val="en-US"/>
              </w:rPr>
              <w:t>33 894 out of 42 314 tonnes/m</w:t>
            </w:r>
            <w:r>
              <w:rPr>
                <w:rFonts w:ascii="EC Square Sans Cond Pro" w:hAnsi="EC Square Sans Cond Pro" w:cs="EC Square Sans Cond Pro"/>
                <w:noProof/>
                <w:color w:val="000000"/>
                <w:sz w:val="16"/>
                <w:szCs w:val="16"/>
                <w:vertAlign w:val="superscript"/>
                <w:lang w:val="en-US"/>
              </w:rPr>
              <w:t>3</w:t>
            </w:r>
          </w:p>
        </w:tc>
      </w:tr>
      <w:tr w:rsidR="0060634A">
        <w:trPr>
          <w:trHeight w:val="247"/>
        </w:trPr>
        <w:tc>
          <w:tcPr>
            <w:tcW w:w="3097" w:type="dxa"/>
            <w:tcBorders>
              <w:bottom w:val="nil"/>
            </w:tcBorders>
            <w:vAlign w:val="center"/>
          </w:tcPr>
          <w:p w:rsidR="0060634A" w:rsidRDefault="00F76D44">
            <w:pPr>
              <w:ind w:left="142"/>
              <w:jc w:val="right"/>
              <w:rPr>
                <w:noProof/>
                <w:sz w:val="16"/>
                <w:szCs w:val="16"/>
              </w:rPr>
            </w:pPr>
            <w:r>
              <w:rPr>
                <w:noProof/>
                <w:sz w:val="16"/>
                <w:szCs w:val="16"/>
              </w:rPr>
              <w:t xml:space="preserve">    </w:t>
            </w:r>
          </w:p>
        </w:tc>
        <w:tc>
          <w:tcPr>
            <w:tcW w:w="707" w:type="dxa"/>
            <w:tcBorders>
              <w:bottom w:val="nil"/>
            </w:tcBorders>
          </w:tcPr>
          <w:p w:rsidR="0060634A" w:rsidRDefault="0060634A">
            <w:pPr>
              <w:ind w:left="142"/>
              <w:rPr>
                <w:noProof/>
                <w:sz w:val="16"/>
                <w:szCs w:val="16"/>
                <w:lang w:eastAsia="en-GB"/>
              </w:rPr>
            </w:pPr>
          </w:p>
        </w:tc>
        <w:tc>
          <w:tcPr>
            <w:tcW w:w="3420" w:type="dxa"/>
            <w:tcBorders>
              <w:bottom w:val="nil"/>
            </w:tcBorders>
            <w:vAlign w:val="center"/>
          </w:tcPr>
          <w:p w:rsidR="0060634A" w:rsidRDefault="00F76D44">
            <w:pPr>
              <w:spacing w:before="120"/>
              <w:rPr>
                <w:noProof/>
                <w:sz w:val="16"/>
                <w:szCs w:val="16"/>
                <w:lang w:val="en-GB"/>
              </w:rPr>
            </w:pPr>
            <w:r>
              <w:rPr>
                <w:noProof/>
                <w:sz w:val="16"/>
                <w:szCs w:val="16"/>
                <w:lang w:eastAsia="fr-BE"/>
              </w:rPr>
              <mc:AlternateContent>
                <mc:Choice Requires="wps">
                  <w:drawing>
                    <wp:anchor distT="0" distB="0" distL="114300" distR="114300" simplePos="0" relativeHeight="251739136"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368" name="Rectangle 368"/>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70800" id="Rectangle 368" o:spid="_x0000_s1026" style="position:absolute;margin-left:-9.45pt;margin-top:6.1pt;width:6.35pt;height:7.8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" fillcolor="#28296e" stroked="f" strokeweight="1pt">
                      <w10:wrap type="through"/>
                    </v:rect>
                  </w:pict>
                </mc:Fallback>
              </mc:AlternateContent>
            </w:r>
            <w:r>
              <w:rPr>
                <w:noProof/>
                <w:sz w:val="16"/>
                <w:szCs w:val="16"/>
                <w:lang w:val="en-GB"/>
              </w:rPr>
              <w:t>% of target achieved by the end of 2019</w:t>
            </w:r>
          </w:p>
        </w:tc>
        <w:tc>
          <w:tcPr>
            <w:tcW w:w="748" w:type="dxa"/>
            <w:tcBorders>
              <w:bottom w:val="nil"/>
            </w:tcBorders>
          </w:tcPr>
          <w:p w:rsidR="0060634A" w:rsidRDefault="0060634A">
            <w:pPr>
              <w:ind w:left="142"/>
              <w:rPr>
                <w:noProof/>
                <w:sz w:val="16"/>
                <w:szCs w:val="16"/>
                <w:lang w:val="en-GB" w:eastAsia="en-GB"/>
              </w:rPr>
            </w:pPr>
          </w:p>
        </w:tc>
        <w:tc>
          <w:tcPr>
            <w:tcW w:w="2693" w:type="dxa"/>
            <w:tcBorders>
              <w:bottom w:val="nil"/>
            </w:tcBorders>
            <w:vAlign w:val="center"/>
          </w:tcPr>
          <w:p w:rsidR="0060634A" w:rsidRDefault="0060634A">
            <w:pPr>
              <w:ind w:left="142"/>
              <w:rPr>
                <w:noProof/>
                <w:sz w:val="16"/>
                <w:szCs w:val="16"/>
                <w:lang w:val="en-GB"/>
              </w:rPr>
            </w:pPr>
          </w:p>
        </w:tc>
      </w:tr>
      <w:tr w:rsidR="0060634A">
        <w:trPr>
          <w:trHeight w:val="247"/>
        </w:trPr>
        <w:tc>
          <w:tcPr>
            <w:tcW w:w="10665" w:type="dxa"/>
            <w:gridSpan w:val="5"/>
            <w:tcBorders>
              <w:top w:val="nil"/>
              <w:bottom w:val="nil"/>
            </w:tcBorders>
            <w:vAlign w:val="center"/>
          </w:tcPr>
          <w:p w:rsidR="0060634A" w:rsidRDefault="0060634A">
            <w:pPr>
              <w:ind w:left="142"/>
              <w:rPr>
                <w:noProof/>
                <w:sz w:val="14"/>
                <w:szCs w:val="16"/>
                <w:lang w:val="en-GB"/>
              </w:rPr>
            </w:pPr>
          </w:p>
        </w:tc>
      </w:tr>
    </w:tbl>
    <w:p w:rsidR="0060634A" w:rsidRDefault="00F76D44">
      <w:pPr>
        <w:pStyle w:val="PPOTitle3-nospacebefore"/>
        <w:rPr>
          <w:rFonts w:eastAsiaTheme="minorEastAsia"/>
        </w:rPr>
      </w:pPr>
      <w:r>
        <w:rPr>
          <w:rFonts w:eastAsiaTheme="minorEastAsia"/>
        </w:rPr>
        <w:t>Where are we in the implementation?</w:t>
      </w:r>
    </w:p>
    <w:p w:rsidR="0060634A" w:rsidRDefault="00F76D44">
      <w:pPr>
        <w:pStyle w:val="PPOBlackBULLETS-L1"/>
        <w:rPr>
          <w:noProof/>
        </w:rPr>
      </w:pPr>
      <w:r>
        <w:rPr>
          <w:noProof/>
        </w:rPr>
        <w:t>In total, EUR</w:t>
      </w:r>
      <w:r>
        <w:rPr>
          <w:rFonts w:ascii="Calibri" w:hAnsi="Calibri" w:cs="Calibri"/>
          <w:noProof/>
        </w:rPr>
        <w:t> </w:t>
      </w:r>
      <w:r>
        <w:rPr>
          <w:noProof/>
        </w:rPr>
        <w:t xml:space="preserve">381 million was allocated in 2014-2019. </w:t>
      </w:r>
    </w:p>
    <w:p w:rsidR="0060634A" w:rsidRDefault="00F76D44">
      <w:pPr>
        <w:pStyle w:val="PPOBlackBULLETS-L1"/>
        <w:rPr>
          <w:noProof/>
        </w:rPr>
      </w:pPr>
      <w:r>
        <w:rPr>
          <w:noProof/>
        </w:rPr>
        <w:t>EUR</w:t>
      </w:r>
      <w:r>
        <w:rPr>
          <w:rFonts w:ascii="Calibri" w:hAnsi="Calibri" w:cs="Calibri"/>
          <w:noProof/>
        </w:rPr>
        <w:t> </w:t>
      </w:r>
      <w:r>
        <w:rPr>
          <w:noProof/>
        </w:rPr>
        <w:t xml:space="preserve">66.9 million was available in 2019 for the implementation of the actions in Lithuania. Decommissioning programmes are characteristically long term by nature and </w:t>
      </w:r>
      <w:r>
        <w:rPr>
          <w:noProof/>
        </w:rPr>
        <w:t>the preparation time for individual projects is also typically several years and this is reflected in the implementation rate.</w:t>
      </w:r>
    </w:p>
    <w:p w:rsidR="0060634A" w:rsidRDefault="00F76D44">
      <w:pPr>
        <w:pStyle w:val="PPOTitle3"/>
        <w:rPr>
          <w:rFonts w:eastAsiaTheme="minorEastAsia"/>
        </w:rPr>
      </w:pPr>
      <w:r>
        <w:rPr>
          <w:rFonts w:eastAsiaTheme="minorEastAsia"/>
        </w:rPr>
        <w:t>Performance assessment</w:t>
      </w:r>
    </w:p>
    <w:p w:rsidR="0060634A" w:rsidRDefault="00F76D44">
      <w:pPr>
        <w:pStyle w:val="PPOBlackBULLETS-L1"/>
        <w:rPr>
          <w:noProof/>
        </w:rPr>
      </w:pPr>
      <w:r>
        <w:rPr>
          <w:noProof/>
        </w:rPr>
        <w:t>The programme’s performance is satisfactory, as confirmed by the objectives’ indicator results.</w:t>
      </w:r>
    </w:p>
    <w:p w:rsidR="0060634A" w:rsidRDefault="00F76D44">
      <w:pPr>
        <w:pStyle w:val="PPOBlackBULLETS-L1"/>
        <w:rPr>
          <w:noProof/>
        </w:rPr>
      </w:pPr>
      <w:r>
        <w:rPr>
          <w:noProof/>
        </w:rPr>
        <w:t xml:space="preserve">The cores </w:t>
      </w:r>
      <w:r>
        <w:rPr>
          <w:noProof/>
        </w:rPr>
        <w:t xml:space="preserve">of both reactor units 1 and 2 are now completely defueled – a result achieved in 2018, ahead of schedule. </w:t>
      </w:r>
    </w:p>
    <w:p w:rsidR="0060634A" w:rsidRDefault="00F76D44">
      <w:pPr>
        <w:pStyle w:val="PPOBlackBULLETS-L1"/>
        <w:rPr>
          <w:noProof/>
        </w:rPr>
      </w:pPr>
      <w:r>
        <w:rPr>
          <w:noProof/>
        </w:rPr>
        <w:t>The removal of spent fuel assemblies from unit 1 and 2 spent fuel ponds is also ahead of schedule. The removal of spent fuel assemblies has reached u</w:t>
      </w:r>
      <w:r>
        <w:rPr>
          <w:noProof/>
        </w:rPr>
        <w:t>p to 12 255 assemblies i.e. 87% of the cumulative planned amount in 2020 and 78% of the total amount planned for 2022 (15 555 assemblies). Spent</w:t>
      </w:r>
      <w:r>
        <w:rPr>
          <w:noProof/>
        </w:rPr>
        <w:noBreakHyphen/>
        <w:t>fuel assemblies were safely stored in the new dedicated interim spent fuel storage facility.</w:t>
      </w:r>
    </w:p>
    <w:p w:rsidR="0060634A" w:rsidRDefault="00F76D44">
      <w:pPr>
        <w:pStyle w:val="PPOBlackBULLETS-L1"/>
        <w:rPr>
          <w:noProof/>
        </w:rPr>
      </w:pPr>
      <w:r>
        <w:rPr>
          <w:noProof/>
        </w:rPr>
        <w:t xml:space="preserve">No incidents were </w:t>
      </w:r>
      <w:r>
        <w:rPr>
          <w:noProof/>
        </w:rPr>
        <w:t>reported during the decommissioning works, demonstrating the programme’s effective safety measures.</w:t>
      </w:r>
    </w:p>
    <w:p w:rsidR="0060634A" w:rsidRDefault="00F76D44">
      <w:pPr>
        <w:pStyle w:val="PPOBlackBULLETS-L1"/>
        <w:rPr>
          <w:noProof/>
        </w:rPr>
      </w:pPr>
      <w:r>
        <w:rPr>
          <w:noProof/>
        </w:rPr>
        <w:t>The overall performance concerning the dismantling of auxiliary systems was satisfactory. The amounts of equipment dismantled and the overall quantity of ra</w:t>
      </w:r>
      <w:r>
        <w:rPr>
          <w:noProof/>
        </w:rPr>
        <w:t>dioactive waste processed and stored were slightly below the planned amounts of 2019 and reached respectively 84% and 80% of the cumulative planned amounts in 2020.</w:t>
      </w:r>
    </w:p>
    <w:p w:rsidR="0060634A" w:rsidRDefault="00F76D44">
      <w:pPr>
        <w:pStyle w:val="PPOBlackBULLETS-L1"/>
        <w:rPr>
          <w:noProof/>
        </w:rPr>
      </w:pPr>
      <w:r>
        <w:rPr>
          <w:noProof/>
        </w:rPr>
        <w:t>Output material flow and waste processing is slightly behind its expected value for 2019, b</w:t>
      </w:r>
      <w:r>
        <w:rPr>
          <w:noProof/>
        </w:rPr>
        <w:t>ut shows a continuous positive trend and remains within what was planned.</w:t>
      </w:r>
    </w:p>
    <w:p w:rsidR="0060634A" w:rsidRDefault="00F76D44">
      <w:pPr>
        <w:pStyle w:val="PPOBlackBULLETS-L1"/>
        <w:rPr>
          <w:noProof/>
        </w:rPr>
      </w:pPr>
      <w:r>
        <w:rPr>
          <w:noProof/>
        </w:rPr>
        <w:t xml:space="preserve">Appeals against the results of tendering procedures, even if eventually rejected, have led to delays in several non-critical projects. This does not affect the programme’s projected </w:t>
      </w:r>
      <w:r>
        <w:rPr>
          <w:noProof/>
        </w:rPr>
        <w:t>end date (2038), which is maintained.</w:t>
      </w:r>
    </w:p>
    <w:p w:rsidR="0060634A" w:rsidRDefault="00F76D44">
      <w:pPr>
        <w:pStyle w:val="PPOTitle3"/>
        <w:rPr>
          <w:rFonts w:eastAsiaTheme="minorEastAsia"/>
        </w:rPr>
      </w:pPr>
      <w:r>
        <w:rPr>
          <w:rFonts w:eastAsiaTheme="minorEastAsia"/>
        </w:rPr>
        <w:t>Concrete examples of achievements</w:t>
      </w:r>
    </w:p>
    <w:tbl>
      <w:tblPr>
        <w:tblStyle w:val="TableGrid"/>
        <w:tblW w:w="10739"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3544"/>
        <w:gridCol w:w="3686"/>
        <w:gridCol w:w="3509"/>
      </w:tblGrid>
      <w:tr w:rsidR="0060634A">
        <w:trPr>
          <w:trHeight w:val="167"/>
        </w:trPr>
        <w:tc>
          <w:tcPr>
            <w:tcW w:w="3544" w:type="dxa"/>
            <w:shd w:val="clear" w:color="auto" w:fill="00ADDC"/>
          </w:tcPr>
          <w:p w:rsidR="0060634A" w:rsidRDefault="00F76D44">
            <w:pPr>
              <w:pStyle w:val="PPOExamplesTABLEHeader"/>
              <w:rPr>
                <w:rFonts w:eastAsiaTheme="minorEastAsia"/>
              </w:rPr>
            </w:pPr>
            <w:r>
              <w:rPr>
                <w:rFonts w:eastAsiaTheme="minorEastAsia"/>
              </w:rPr>
              <w:t>50 000</w:t>
            </w:r>
          </w:p>
        </w:tc>
        <w:tc>
          <w:tcPr>
            <w:tcW w:w="3686" w:type="dxa"/>
            <w:shd w:val="clear" w:color="auto" w:fill="00ADDC"/>
          </w:tcPr>
          <w:p w:rsidR="0060634A" w:rsidRDefault="00F76D44">
            <w:pPr>
              <w:pStyle w:val="PPOExamplesTABLEHeader"/>
              <w:rPr>
                <w:rFonts w:eastAsiaTheme="minorEastAsia"/>
              </w:rPr>
            </w:pPr>
            <w:r>
              <w:rPr>
                <w:rFonts w:eastAsiaTheme="minorEastAsia"/>
              </w:rPr>
              <w:t>Waste management</w:t>
            </w:r>
          </w:p>
        </w:tc>
        <w:tc>
          <w:tcPr>
            <w:tcW w:w="3509" w:type="dxa"/>
            <w:shd w:val="clear" w:color="auto" w:fill="00ADDC"/>
          </w:tcPr>
          <w:p w:rsidR="0060634A" w:rsidRDefault="00F76D44">
            <w:pPr>
              <w:pStyle w:val="PPOExamplesTABLEHeader"/>
              <w:rPr>
                <w:rFonts w:eastAsiaTheme="minorEastAsia"/>
              </w:rPr>
            </w:pPr>
            <w:r>
              <w:rPr>
                <w:rFonts w:eastAsiaTheme="minorEastAsia"/>
              </w:rPr>
              <w:t>78%</w:t>
            </w:r>
          </w:p>
        </w:tc>
      </w:tr>
      <w:tr w:rsidR="0060634A">
        <w:trPr>
          <w:trHeight w:val="1235"/>
        </w:trPr>
        <w:tc>
          <w:tcPr>
            <w:tcW w:w="3544" w:type="dxa"/>
            <w:shd w:val="clear" w:color="auto" w:fill="DCE6F2"/>
          </w:tcPr>
          <w:p w:rsidR="0060634A" w:rsidRDefault="00F76D44">
            <w:pPr>
              <w:pStyle w:val="PPOExamplesTABLEText"/>
              <w:spacing w:line="240" w:lineRule="auto"/>
              <w:rPr>
                <w:noProof/>
                <w:lang w:val="en-GB"/>
              </w:rPr>
            </w:pPr>
            <w:r>
              <w:rPr>
                <w:noProof/>
                <w:lang w:val="en-GB"/>
              </w:rPr>
              <w:t xml:space="preserve">tonnes of material were dismantled in the turbine hall, a task completed in August 2019.The large hall is now used to store and process materials from </w:t>
            </w:r>
            <w:r>
              <w:rPr>
                <w:noProof/>
                <w:lang w:val="en-GB"/>
              </w:rPr>
              <w:t>other buildings.</w:t>
            </w:r>
          </w:p>
        </w:tc>
        <w:tc>
          <w:tcPr>
            <w:tcW w:w="3686" w:type="dxa"/>
            <w:shd w:val="clear" w:color="auto" w:fill="DCE6F2"/>
          </w:tcPr>
          <w:p w:rsidR="0060634A" w:rsidRDefault="00F76D44">
            <w:pPr>
              <w:pStyle w:val="PPOExamplesTABLEText"/>
              <w:spacing w:line="240" w:lineRule="auto"/>
              <w:rPr>
                <w:noProof/>
                <w:lang w:val="en-GB"/>
              </w:rPr>
            </w:pPr>
            <w:r>
              <w:rPr>
                <w:noProof/>
                <w:lang w:val="en-GB"/>
              </w:rPr>
              <w:t>has seen improvements: the construction of the landfill facility for very low level waste was completed in 2019, and the first loading campaign is scheduled for the second half of 2020.</w:t>
            </w:r>
          </w:p>
        </w:tc>
        <w:tc>
          <w:tcPr>
            <w:tcW w:w="3509" w:type="dxa"/>
            <w:shd w:val="clear" w:color="auto" w:fill="DCE6F2"/>
          </w:tcPr>
          <w:p w:rsidR="0060634A" w:rsidRDefault="00F76D44">
            <w:pPr>
              <w:pStyle w:val="PPOExamplesTABLEText"/>
              <w:spacing w:line="240" w:lineRule="auto"/>
              <w:rPr>
                <w:noProof/>
                <w:lang w:val="en-GB"/>
              </w:rPr>
            </w:pPr>
            <w:r>
              <w:rPr>
                <w:noProof/>
                <w:lang w:val="en-GB"/>
              </w:rPr>
              <w:t xml:space="preserve">of spent fuel assemblies had been safely transferred </w:t>
            </w:r>
            <w:r>
              <w:rPr>
                <w:noProof/>
                <w:lang w:val="en-GB"/>
              </w:rPr>
              <w:t>by the end of 2019. Preparations were ongoing for the handling of heavily damaged fuel elements and the cleaning up, emptying and decontamination of the spent fuel pools.</w:t>
            </w:r>
          </w:p>
        </w:tc>
      </w:tr>
    </w:tbl>
    <w:p w:rsidR="0060634A" w:rsidRDefault="0060634A">
      <w:pPr>
        <w:pStyle w:val="PPObodyText"/>
        <w:rPr>
          <w:noProof/>
        </w:rPr>
        <w:sectPr w:rsidR="0060634A">
          <w:headerReference w:type="even" r:id="rId180"/>
          <w:headerReference w:type="default" r:id="rId181"/>
          <w:footerReference w:type="even" r:id="rId182"/>
          <w:footerReference w:type="default" r:id="rId183"/>
          <w:headerReference w:type="first" r:id="rId184"/>
          <w:footerReference w:type="first" r:id="rId185"/>
          <w:pgSz w:w="11906" w:h="16838" w:code="9"/>
          <w:pgMar w:top="567" w:right="567" w:bottom="567" w:left="567" w:header="567" w:footer="454" w:gutter="0"/>
          <w:paperSrc w:first="15" w:other="15"/>
          <w:cols w:space="720"/>
          <w:docGrid w:linePitch="360"/>
        </w:sectPr>
      </w:pPr>
    </w:p>
    <w:p w:rsidR="0060634A" w:rsidRDefault="00F76D44">
      <w:pPr>
        <w:pStyle w:val="PPO1AsidebarTitleBlue"/>
        <w:spacing w:before="240"/>
        <w:rPr>
          <w:rFonts w:eastAsiaTheme="minorEastAsia"/>
        </w:rPr>
      </w:pPr>
      <w:r>
        <w:rPr>
          <w:rFonts w:eastAsiaTheme="minorEastAsia"/>
          <w:lang w:val="fr-BE" w:eastAsia="fr-BE"/>
        </w:rPr>
        <mc:AlternateContent>
          <mc:Choice Requires="wps">
            <w:drawing>
              <wp:anchor distT="0" distB="0" distL="0" distR="0" simplePos="0" relativeHeight="251579392" behindDoc="0" locked="1" layoutInCell="1" allowOverlap="1">
                <wp:simplePos x="0" y="0"/>
                <wp:positionH relativeFrom="page">
                  <wp:posOffset>357505</wp:posOffset>
                </wp:positionH>
                <wp:positionV relativeFrom="page">
                  <wp:posOffset>596265</wp:posOffset>
                </wp:positionV>
                <wp:extent cx="1457960" cy="946150"/>
                <wp:effectExtent l="0" t="0" r="85090" b="6350"/>
                <wp:wrapTopAndBottom/>
                <wp:docPr id="380" name="Text Box 380"/>
                <wp:cNvGraphicFramePr/>
                <a:graphic xmlns:a="http://schemas.openxmlformats.org/drawingml/2006/main">
                  <a:graphicData uri="http://schemas.microsoft.com/office/word/2010/wordprocessingShape">
                    <wps:wsp>
                      <wps:cNvSpPr txBox="1"/>
                      <wps:spPr>
                        <a:xfrm>
                          <a:off x="0" y="0"/>
                          <a:ext cx="1457960" cy="946150"/>
                        </a:xfrm>
                        <a:prstGeom prst="wedgeRectCallout">
                          <a:avLst>
                            <a:gd name="adj1" fmla="val 54107"/>
                            <a:gd name="adj2" fmla="val -21878"/>
                          </a:avLst>
                        </a:prstGeom>
                        <a:solidFill>
                          <a:srgbClr val="28296E"/>
                        </a:solidFill>
                        <a:ln w="6350">
                          <a:noFill/>
                        </a:ln>
                      </wps:spPr>
                      <wps:txbx>
                        <w:txbxContent>
                          <w:p w:rsidR="0060634A" w:rsidRDefault="00F76D44">
                            <w:pPr>
                              <w:pStyle w:val="PPOsidebarLegalBasisBOXHeading"/>
                              <w:rPr>
                                <w:rFonts w:eastAsiaTheme="minorEastAsia"/>
                              </w:rPr>
                            </w:pPr>
                            <w:r>
                              <w:rPr>
                                <w:rFonts w:eastAsiaTheme="minorEastAsia"/>
                              </w:rPr>
                              <w:t>LEGAL BASIS</w:t>
                            </w:r>
                          </w:p>
                          <w:p w:rsidR="0060634A" w:rsidRDefault="00F76D44">
                            <w:pPr>
                              <w:pStyle w:val="PPOsidebarLegalBasisBOXtext"/>
                              <w:rPr>
                                <w:rFonts w:eastAsiaTheme="minorEastAsia"/>
                              </w:rPr>
                            </w:pPr>
                            <w:r>
                              <w:rPr>
                                <w:rFonts w:eastAsiaTheme="minorEastAsia"/>
                              </w:rPr>
                              <w:t>Regulation (EU) No 1291/2013 of the European Parliament and of the Council and repealing Decision No</w:t>
                            </w:r>
                            <w:r>
                              <w:rPr>
                                <w:rFonts w:ascii="Calibri" w:eastAsiaTheme="minorEastAsia" w:hAnsi="Calibri" w:cs="Calibri"/>
                              </w:rPr>
                              <w:t> </w:t>
                            </w:r>
                            <w:r>
                              <w:rPr>
                                <w:rFonts w:eastAsiaTheme="minorEastAsia"/>
                              </w:rPr>
                              <w:t xml:space="preserve">1982/2006/EC </w:t>
                            </w:r>
                          </w:p>
                          <w:p w:rsidR="0060634A" w:rsidRDefault="00F76D44">
                            <w:pPr>
                              <w:jc w:val="right"/>
                              <w:rPr>
                                <w:rFonts w:eastAsiaTheme="minorEastAsia"/>
                                <w:color w:val="FFFFFF" w:themeColor="background1"/>
                                <w:sz w:val="18"/>
                                <w:szCs w:val="20"/>
                              </w:rPr>
                            </w:pPr>
                            <w:r>
                              <w:rPr>
                                <w:rFonts w:eastAsiaTheme="minorEastAsia"/>
                                <w:color w:val="FFFFFF" w:themeColor="background1"/>
                                <w:sz w:val="14"/>
                                <w:szCs w:val="14"/>
                              </w:rPr>
                              <w:t>Council Decision 2013/743/EU</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0" o:spid="_x0000_s1080" type="#_x0000_t61" style="position:absolute;left:0;text-align:left;margin-left:28.15pt;margin-top:46.95pt;width:114.8pt;height:74.5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" adj="22487,6074" fillcolor="#28296e" stroked="f" strokeweight=".5pt">
                <v:textbox inset="2.5mm,1.3mm,2.5mm,1.3mm">
                  <w:txbxContent>
                    <w:p w:rsidR="0060634A" w:rsidRDefault="00F76D44">
                      <w:pPr>
                        <w:pStyle w:val="PPOsidebarLegalBasisBOXHeading"/>
                        <w:rPr>
                          <w:rFonts w:eastAsiaTheme="minorEastAsia"/>
                        </w:rPr>
                      </w:pPr>
                      <w:r>
                        <w:rPr>
                          <w:rFonts w:eastAsiaTheme="minorEastAsia"/>
                        </w:rPr>
                        <w:t>LEGAL BASIS</w:t>
                      </w:r>
                    </w:p>
                    <w:p w:rsidR="0060634A" w:rsidRDefault="00F76D44">
                      <w:pPr>
                        <w:pStyle w:val="PPOsidebarLegalBasisBOXtext"/>
                        <w:rPr>
                          <w:rFonts w:eastAsiaTheme="minorEastAsia"/>
                        </w:rPr>
                      </w:pPr>
                      <w:r>
                        <w:rPr>
                          <w:rFonts w:eastAsiaTheme="minorEastAsia"/>
                        </w:rPr>
                        <w:t>Regulation (EU) No 1291/2013 of the European Parliament and of the Council and repealing Decision No</w:t>
                      </w:r>
                      <w:r>
                        <w:rPr>
                          <w:rFonts w:ascii="Calibri" w:eastAsiaTheme="minorEastAsia" w:hAnsi="Calibri" w:cs="Calibri"/>
                        </w:rPr>
                        <w:t> </w:t>
                      </w:r>
                      <w:r>
                        <w:rPr>
                          <w:rFonts w:eastAsiaTheme="minorEastAsia"/>
                        </w:rPr>
                        <w:t xml:space="preserve">1982/2006/EC </w:t>
                      </w:r>
                    </w:p>
                    <w:p w:rsidR="0060634A" w:rsidRDefault="00F76D44">
                      <w:pPr>
                        <w:jc w:val="right"/>
                        <w:rPr>
                          <w:rFonts w:eastAsiaTheme="minorEastAsia"/>
                          <w:color w:val="FFFFFF" w:themeColor="background1"/>
                          <w:sz w:val="18"/>
                          <w:szCs w:val="20"/>
                        </w:rPr>
                      </w:pPr>
                      <w:r>
                        <w:rPr>
                          <w:rFonts w:eastAsiaTheme="minorEastAsia"/>
                          <w:color w:val="FFFFFF" w:themeColor="background1"/>
                          <w:sz w:val="14"/>
                          <w:szCs w:val="14"/>
                        </w:rPr>
                        <w:t>Council Decision 2013/743/EU</w:t>
                      </w:r>
                    </w:p>
                  </w:txbxContent>
                </v:textbox>
                <w10:wrap type="topAndBottom" anchorx="page" anchory="page"/>
                <w10:anchorlock/>
              </v:shape>
            </w:pict>
          </mc:Fallback>
        </mc:AlternateContent>
      </w:r>
      <w:r>
        <w:rPr>
          <w:rFonts w:eastAsiaTheme="minorEastAsia"/>
        </w:rPr>
        <w:t>MORE INFORMATION</w:t>
      </w:r>
    </w:p>
    <w:p w:rsidR="0060634A" w:rsidRDefault="00F76D44">
      <w:pPr>
        <w:pStyle w:val="PPOsidebartext"/>
        <w:rPr>
          <w:rStyle w:val="PPOChar-Hyperlink"/>
          <w:rFonts w:eastAsiaTheme="minorEastAsia"/>
        </w:rPr>
      </w:pPr>
      <w:hyperlink r:id="rId186" w:history="1">
        <w:r>
          <w:rPr>
            <w:rStyle w:val="PPOChar-Hyperlink"/>
            <w:rFonts w:eastAsiaTheme="minorEastAsia"/>
          </w:rPr>
          <w:t>http://europa.eu/!gW68pY</w:t>
        </w:r>
      </w:hyperlink>
    </w:p>
    <w:p w:rsidR="0060634A" w:rsidRDefault="00F76D44">
      <w:pPr>
        <w:pStyle w:val="PPO1AsidebarTitleBlue"/>
        <w:spacing w:before="240"/>
        <w:rPr>
          <w:rFonts w:eastAsiaTheme="minorEastAsia"/>
        </w:rPr>
      </w:pPr>
      <w:r>
        <w:rPr>
          <w:rFonts w:eastAsiaTheme="minorEastAsia"/>
        </w:rPr>
        <w:t>FINANCIAL PROGRAMMING</w:t>
      </w:r>
    </w:p>
    <w:p w:rsidR="0060634A" w:rsidRDefault="00F76D44">
      <w:pPr>
        <w:pStyle w:val="PPO1AsidebarTablecaption"/>
      </w:pPr>
      <w:r>
        <w:t>(million EUR)</w:t>
      </w:r>
    </w:p>
    <w:tbl>
      <w:tblPr>
        <w:tblOverlap w:val="never"/>
        <w:tblW w:w="2296" w:type="dxa"/>
        <w:jc w:val="right"/>
        <w:tblLayout w:type="fixed"/>
        <w:tblCellMar>
          <w:top w:w="28" w:type="dxa"/>
          <w:left w:w="28" w:type="dxa"/>
          <w:bottom w:w="28" w:type="dxa"/>
          <w:right w:w="28" w:type="dxa"/>
        </w:tblCellMar>
        <w:tblLook w:val="0000" w:firstRow="0" w:lastRow="0" w:firstColumn="0" w:lastColumn="0" w:noHBand="0" w:noVBand="0"/>
      </w:tblPr>
      <w:tblGrid>
        <w:gridCol w:w="1134"/>
        <w:gridCol w:w="1162"/>
      </w:tblGrid>
      <w:tr w:rsidR="0060634A">
        <w:trPr>
          <w:trHeight w:hRule="exact" w:val="229"/>
          <w:jc w:val="right"/>
        </w:trPr>
        <w:tc>
          <w:tcPr>
            <w:tcW w:w="1134" w:type="dxa"/>
            <w:tcBorders>
              <w:bottom w:val="single" w:sz="6" w:space="0" w:color="FFFFFF" w:themeColor="background1"/>
            </w:tcBorders>
            <w:shd w:val="clear" w:color="auto" w:fill="DCE6F2"/>
            <w:vAlign w:val="center"/>
          </w:tcPr>
          <w:p w:rsidR="0060634A" w:rsidRDefault="00F76D44">
            <w:pPr>
              <w:pStyle w:val="PPOsidebarTabletext"/>
              <w:rPr>
                <w:b/>
              </w:rPr>
            </w:pPr>
            <w:r>
              <w:t>2014</w:t>
            </w:r>
          </w:p>
        </w:tc>
        <w:tc>
          <w:tcPr>
            <w:tcW w:w="1162" w:type="dxa"/>
            <w:shd w:val="clear" w:color="auto" w:fill="FFFFFF"/>
          </w:tcPr>
          <w:p w:rsidR="0060634A" w:rsidRDefault="00F76D44">
            <w:pPr>
              <w:pStyle w:val="PPOsidebarTabletext"/>
            </w:pPr>
            <w:r>
              <w:t>9 023.1</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2015</w:t>
            </w:r>
          </w:p>
        </w:tc>
        <w:tc>
          <w:tcPr>
            <w:tcW w:w="1162" w:type="dxa"/>
            <w:tcBorders>
              <w:top w:val="single" w:sz="4" w:space="0" w:color="auto"/>
            </w:tcBorders>
            <w:shd w:val="clear" w:color="auto" w:fill="FFFFFF"/>
          </w:tcPr>
          <w:p w:rsidR="0060634A" w:rsidRDefault="00F76D44">
            <w:pPr>
              <w:pStyle w:val="PPOsidebarTabletext"/>
            </w:pPr>
            <w:r>
              <w:t>9 539.4</w:t>
            </w:r>
          </w:p>
        </w:tc>
      </w:tr>
      <w:tr w:rsidR="0060634A">
        <w:trPr>
          <w:trHeight w:hRule="exact" w:val="229"/>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2016</w:t>
            </w:r>
          </w:p>
        </w:tc>
        <w:tc>
          <w:tcPr>
            <w:tcW w:w="1162" w:type="dxa"/>
            <w:tcBorders>
              <w:top w:val="single" w:sz="4" w:space="0" w:color="auto"/>
            </w:tcBorders>
            <w:shd w:val="clear" w:color="auto" w:fill="FFFFFF"/>
          </w:tcPr>
          <w:p w:rsidR="0060634A" w:rsidRDefault="00F76D44">
            <w:pPr>
              <w:pStyle w:val="PPOsidebarTabletext"/>
            </w:pPr>
            <w:r>
              <w:t>9 542.5</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2017</w:t>
            </w:r>
          </w:p>
        </w:tc>
        <w:tc>
          <w:tcPr>
            <w:tcW w:w="1162" w:type="dxa"/>
            <w:tcBorders>
              <w:top w:val="single" w:sz="4" w:space="0" w:color="auto"/>
            </w:tcBorders>
            <w:shd w:val="clear" w:color="auto" w:fill="FFFFFF"/>
          </w:tcPr>
          <w:p w:rsidR="0060634A" w:rsidRDefault="00F76D44">
            <w:pPr>
              <w:pStyle w:val="PPOsidebarTabletext"/>
            </w:pPr>
            <w:r>
              <w:t>10 423.9</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2018</w:t>
            </w:r>
          </w:p>
        </w:tc>
        <w:tc>
          <w:tcPr>
            <w:tcW w:w="1162" w:type="dxa"/>
            <w:tcBorders>
              <w:top w:val="single" w:sz="4" w:space="0" w:color="auto"/>
            </w:tcBorders>
            <w:shd w:val="clear" w:color="auto" w:fill="FFFFFF"/>
          </w:tcPr>
          <w:p w:rsidR="0060634A" w:rsidRDefault="00F76D44">
            <w:pPr>
              <w:pStyle w:val="PPOsidebarTabletext"/>
            </w:pPr>
            <w:r>
              <w:t>11 217.2</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2019</w:t>
            </w:r>
          </w:p>
        </w:tc>
        <w:tc>
          <w:tcPr>
            <w:tcW w:w="1162" w:type="dxa"/>
            <w:tcBorders>
              <w:top w:val="single" w:sz="4" w:space="0" w:color="auto"/>
            </w:tcBorders>
            <w:shd w:val="clear" w:color="auto" w:fill="FFFFFF"/>
          </w:tcPr>
          <w:p w:rsidR="0060634A" w:rsidRDefault="00F76D44">
            <w:pPr>
              <w:pStyle w:val="PPOsidebarTabletext"/>
            </w:pPr>
            <w:r>
              <w:t>12 391.5</w:t>
            </w:r>
          </w:p>
        </w:tc>
      </w:tr>
      <w:tr w:rsidR="0060634A">
        <w:trPr>
          <w:trHeight w:hRule="exact" w:val="225"/>
          <w:jc w:val="right"/>
        </w:trPr>
        <w:tc>
          <w:tcPr>
            <w:tcW w:w="1134" w:type="dxa"/>
            <w:tcBorders>
              <w:top w:val="single" w:sz="6" w:space="0" w:color="FFFFFF" w:themeColor="background1"/>
            </w:tcBorders>
            <w:shd w:val="clear" w:color="auto" w:fill="DCE6F2"/>
            <w:vAlign w:val="center"/>
          </w:tcPr>
          <w:p w:rsidR="0060634A" w:rsidRDefault="00F76D44">
            <w:pPr>
              <w:pStyle w:val="PPOsidebarTabletext"/>
              <w:rPr>
                <w:b/>
              </w:rPr>
            </w:pPr>
            <w:r>
              <w:t>2020</w:t>
            </w:r>
          </w:p>
        </w:tc>
        <w:tc>
          <w:tcPr>
            <w:tcW w:w="1162" w:type="dxa"/>
            <w:tcBorders>
              <w:top w:val="single" w:sz="4" w:space="0" w:color="auto"/>
            </w:tcBorders>
            <w:shd w:val="clear" w:color="auto" w:fill="FFFFFF"/>
          </w:tcPr>
          <w:p w:rsidR="0060634A" w:rsidRDefault="00F76D44">
            <w:pPr>
              <w:pStyle w:val="PPOsidebarTabletext"/>
            </w:pPr>
            <w:r>
              <w:t>13</w:t>
            </w:r>
            <w:r>
              <w:t xml:space="preserve"> 485.9</w:t>
            </w:r>
          </w:p>
        </w:tc>
      </w:tr>
      <w:tr w:rsidR="0060634A">
        <w:trPr>
          <w:trHeight w:hRule="exact" w:val="258"/>
          <w:jc w:val="right"/>
        </w:trPr>
        <w:tc>
          <w:tcPr>
            <w:tcW w:w="1134" w:type="dxa"/>
            <w:shd w:val="clear" w:color="auto" w:fill="00ADDC"/>
            <w:vAlign w:val="center"/>
          </w:tcPr>
          <w:p w:rsidR="0060634A" w:rsidRDefault="00F76D44">
            <w:pPr>
              <w:pStyle w:val="PPOsidebarTabletext"/>
            </w:pPr>
            <w:r>
              <w:t>Total</w:t>
            </w:r>
          </w:p>
        </w:tc>
        <w:tc>
          <w:tcPr>
            <w:tcW w:w="1162" w:type="dxa"/>
            <w:tcBorders>
              <w:top w:val="single" w:sz="4" w:space="0" w:color="auto"/>
            </w:tcBorders>
            <w:shd w:val="clear" w:color="auto" w:fill="FFFFFF"/>
          </w:tcPr>
          <w:p w:rsidR="0060634A" w:rsidRDefault="00F76D44">
            <w:pPr>
              <w:pStyle w:val="PPOsidebarTabletext"/>
            </w:pPr>
            <w:r>
              <w:t>75 623.6</w:t>
            </w:r>
          </w:p>
        </w:tc>
      </w:tr>
    </w:tbl>
    <w:p w:rsidR="0060634A" w:rsidRDefault="00F76D44">
      <w:pPr>
        <w:pStyle w:val="PPO1AsidebarTitleBlue"/>
        <w:spacing w:before="240"/>
        <w:rPr>
          <w:rFonts w:eastAsiaTheme="minorEastAsia"/>
        </w:rPr>
      </w:pPr>
      <w:r>
        <w:rPr>
          <w:rFonts w:eastAsiaTheme="minorEastAsia"/>
          <w:lang w:val="fr-BE" w:eastAsia="fr-BE"/>
        </w:rPr>
        <mc:AlternateContent>
          <mc:Choice Requires="wpg">
            <w:drawing>
              <wp:anchor distT="0" distB="0" distL="114300" distR="114300" simplePos="0" relativeHeight="251631616" behindDoc="1" locked="1" layoutInCell="1" allowOverlap="1">
                <wp:simplePos x="0" y="0"/>
                <wp:positionH relativeFrom="column">
                  <wp:posOffset>-263525</wp:posOffset>
                </wp:positionH>
                <wp:positionV relativeFrom="paragraph">
                  <wp:posOffset>435610</wp:posOffset>
                </wp:positionV>
                <wp:extent cx="1871980" cy="1454150"/>
                <wp:effectExtent l="0" t="0" r="0" b="0"/>
                <wp:wrapSquare wrapText="bothSides"/>
                <wp:docPr id="381" name="Group 381"/>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382" name="Chart 382"/>
                        <wpg:cNvFrPr/>
                        <wpg:xfrm>
                          <a:off x="461310" y="264194"/>
                          <a:ext cx="2492055" cy="1453317"/>
                        </wpg:xfrm>
                        <a:graphic>
                          <a:graphicData uri="http://schemas.openxmlformats.org/drawingml/2006/chart">
                            <c:chart xmlns:c="http://schemas.openxmlformats.org/drawingml/2006/chart" xmlns:r="http://schemas.openxmlformats.org/officeDocument/2006/relationships" r:id="rId187"/>
                          </a:graphicData>
                        </a:graphic>
                      </wpg:graphicFrame>
                      <wps:wsp>
                        <wps:cNvPr id="383" name="Text Box 2"/>
                        <wps:cNvSpPr txBox="1">
                          <a:spLocks noChangeArrowheads="1"/>
                        </wps:cNvSpPr>
                        <wps:spPr bwMode="auto">
                          <a:xfrm>
                            <a:off x="1125283" y="723786"/>
                            <a:ext cx="1438575" cy="600139"/>
                          </a:xfrm>
                          <a:prstGeom prst="rect">
                            <a:avLst/>
                          </a:prstGeom>
                          <a:noFill/>
                          <a:ln w="9525">
                            <a:noFill/>
                            <a:miter lim="800000"/>
                            <a:headEnd/>
                            <a:tailEnd/>
                          </a:ln>
                        </wps:spPr>
                        <wps:txbx>
                          <w:txbxContent>
                            <w:p w:rsidR="0060634A" w:rsidRDefault="00F76D44">
                              <w:pPr>
                                <w:spacing w:after="120"/>
                                <w:jc w:val="center"/>
                                <w:rPr>
                                  <w:rFonts w:eastAsiaTheme="minorEastAsia"/>
                                  <w:color w:val="00ADDC"/>
                                </w:rPr>
                              </w:pPr>
                              <w:r>
                                <w:rPr>
                                  <w:rFonts w:eastAsiaTheme="minorEastAsia"/>
                                  <w:color w:val="00ADDC"/>
                                </w:rPr>
                                <w:t xml:space="preserve">EUR </w:t>
                              </w:r>
                              <w:r>
                                <w:rPr>
                                  <w:rFonts w:eastAsiaTheme="minorEastAsia"/>
                                  <w:b/>
                                  <w:color w:val="00ADDC"/>
                                </w:rPr>
                                <w:t>75 623.6</w:t>
                              </w:r>
                              <w:r>
                                <w:rPr>
                                  <w:rFonts w:eastAsiaTheme="minorEastAsia"/>
                                  <w:color w:val="00ADDC"/>
                                </w:rPr>
                                <w:br/>
                                <w:t xml:space="preserve">million </w:t>
                              </w:r>
                            </w:p>
                          </w:txbxContent>
                        </wps:txbx>
                        <wps:bodyPr rot="0" vert="horz" wrap="square" lIns="91440" tIns="45720" rIns="91440" bIns="45720" anchor="t" anchorCtr="0">
                          <a:noAutofit/>
                        </wps:bodyPr>
                      </wps:wsp>
                      <wps:wsp>
                        <wps:cNvPr id="384" name="Text Box 2"/>
                        <wps:cNvSpPr txBox="1">
                          <a:spLocks noChangeArrowheads="1"/>
                        </wps:cNvSpPr>
                        <wps:spPr bwMode="auto">
                          <a:xfrm>
                            <a:off x="1017638" y="1168892"/>
                            <a:ext cx="700344" cy="229870"/>
                          </a:xfrm>
                          <a:prstGeom prst="rect">
                            <a:avLst/>
                          </a:prstGeom>
                          <a:noFill/>
                          <a:ln w="9525">
                            <a:noFill/>
                            <a:miter lim="800000"/>
                            <a:headEnd/>
                            <a:tailEnd/>
                          </a:ln>
                        </wps:spPr>
                        <wps:txbx>
                          <w:txbxContent>
                            <w:p w:rsidR="0060634A" w:rsidRDefault="00F76D44">
                              <w:pPr>
                                <w:spacing w:after="120"/>
                                <w:jc w:val="center"/>
                                <w:rPr>
                                  <w:rFonts w:eastAsiaTheme="minorEastAsia"/>
                                  <w:color w:val="00ADDC"/>
                                  <w:lang w:val="fr-BE"/>
                                </w:rPr>
                              </w:pPr>
                              <w:r>
                                <w:rPr>
                                  <w:rFonts w:eastAsiaTheme="minorEastAsia"/>
                                  <w:b/>
                                  <w:color w:val="00ADDC"/>
                                  <w:lang w:val="fr-BE"/>
                                </w:rPr>
                                <w:t>55%</w:t>
                              </w:r>
                            </w:p>
                          </w:txbxContent>
                        </wps:txbx>
                        <wps:bodyPr rot="0" vert="horz" wrap="square" lIns="91440" tIns="45720" rIns="91440" bIns="45720" anchor="t" anchorCtr="0">
                          <a:noAutofit/>
                        </wps:bodyPr>
                      </wps:wsp>
                      <wps:wsp>
                        <wps:cNvPr id="385" name="Text Box 2"/>
                        <wps:cNvSpPr txBox="1">
                          <a:spLocks noChangeArrowheads="1"/>
                        </wps:cNvSpPr>
                        <wps:spPr bwMode="auto">
                          <a:xfrm>
                            <a:off x="931295" y="471505"/>
                            <a:ext cx="741153" cy="266065"/>
                          </a:xfrm>
                          <a:prstGeom prst="rect">
                            <a:avLst/>
                          </a:prstGeom>
                          <a:noFill/>
                          <a:ln w="9525">
                            <a:noFill/>
                            <a:miter lim="800000"/>
                            <a:headEnd/>
                            <a:tailEnd/>
                          </a:ln>
                        </wps:spPr>
                        <wps:txbx>
                          <w:txbxContent>
                            <w:p w:rsidR="0060634A" w:rsidRDefault="00F76D44">
                              <w:pPr>
                                <w:spacing w:after="120"/>
                                <w:jc w:val="center"/>
                                <w:rPr>
                                  <w:rFonts w:eastAsiaTheme="minorEastAsia"/>
                                  <w:color w:val="28296E"/>
                                  <w:lang w:val="fr-BE"/>
                                </w:rPr>
                              </w:pPr>
                              <w:r>
                                <w:rPr>
                                  <w:rFonts w:eastAsiaTheme="minorEastAsia"/>
                                  <w:b/>
                                  <w:color w:val="28296E"/>
                                  <w:lang w:val="fr-BE"/>
                                </w:rPr>
                                <w:t>82%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81" o:spid="_x0000_s1081" style="position:absolute;left:0;text-align:left;margin-left:-20.75pt;margin-top:34.3pt;width:147.4pt;height:114.5pt;z-index:-251684864;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wQKAAAAAAAAACEA1TQJRbkiAAC5IgAALQAAAGRycy9lbWJlZGRp&#10;bmdzL01pY3Jvc29mdF9FeGNlbF9Xb3Jrc2hlZXQueGxzeFBLAwQUAAYACAAAACEA3SuLWGwBAAAQ&#10;BQAAEwAIAltDb250ZW50X1R5cGVzXS54bWw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">
                <v:shape id="Chart 382" o:spid="_x0000_s1082"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">
                  <v:imagedata r:id="rId61" o:title=""/>
                  <o:lock v:ext="edit" aspectratio="f"/>
                </v:shape>
                <v:shape id="_x0000_s1083" type="#_x0000_t202" style="position:absolute;left:11252;top:7237;width:14386;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" filled="f" stroked="f">
                  <v:textbox>
                    <w:txbxContent>
                      <w:p w:rsidR="0060634A" w:rsidRDefault="00F76D44">
                        <w:pPr>
                          <w:spacing w:after="120"/>
                          <w:jc w:val="center"/>
                          <w:rPr>
                            <w:rFonts w:eastAsiaTheme="minorEastAsia"/>
                            <w:color w:val="00ADDC"/>
                          </w:rPr>
                        </w:pPr>
                        <w:r>
                          <w:rPr>
                            <w:rFonts w:eastAsiaTheme="minorEastAsia"/>
                            <w:color w:val="00ADDC"/>
                          </w:rPr>
                          <w:t xml:space="preserve">EUR </w:t>
                        </w:r>
                        <w:r>
                          <w:rPr>
                            <w:rFonts w:eastAsiaTheme="minorEastAsia"/>
                            <w:b/>
                            <w:color w:val="00ADDC"/>
                          </w:rPr>
                          <w:t>75 623.6</w:t>
                        </w:r>
                        <w:r>
                          <w:rPr>
                            <w:rFonts w:eastAsiaTheme="minorEastAsia"/>
                            <w:color w:val="00ADDC"/>
                          </w:rPr>
                          <w:br/>
                          <w:t xml:space="preserve">million </w:t>
                        </w:r>
                      </w:p>
                    </w:txbxContent>
                  </v:textbox>
                </v:shape>
                <v:shape id="_x0000_s1084" type="#_x0000_t202" style="position:absolute;left:10176;top:11688;width:7003;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" filled="f" stroked="f">
                  <v:textbox>
                    <w:txbxContent>
                      <w:p w:rsidR="0060634A" w:rsidRDefault="00F76D44">
                        <w:pPr>
                          <w:spacing w:after="120"/>
                          <w:jc w:val="center"/>
                          <w:rPr>
                            <w:rFonts w:eastAsiaTheme="minorEastAsia"/>
                            <w:color w:val="00ADDC"/>
                            <w:lang w:val="fr-BE"/>
                          </w:rPr>
                        </w:pPr>
                        <w:r>
                          <w:rPr>
                            <w:rFonts w:eastAsiaTheme="minorEastAsia"/>
                            <w:b/>
                            <w:color w:val="00ADDC"/>
                            <w:lang w:val="fr-BE"/>
                          </w:rPr>
                          <w:t>55%</w:t>
                        </w:r>
                      </w:p>
                    </w:txbxContent>
                  </v:textbox>
                </v:shape>
                <v:shape id="_x0000_s1085" type="#_x0000_t202" style="position:absolute;left:9312;top:4715;width:7412;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" filled="f" stroked="f">
                  <v:textbox>
                    <w:txbxContent>
                      <w:p w:rsidR="0060634A" w:rsidRDefault="00F76D44">
                        <w:pPr>
                          <w:spacing w:after="120"/>
                          <w:jc w:val="center"/>
                          <w:rPr>
                            <w:rFonts w:eastAsiaTheme="minorEastAsia"/>
                            <w:color w:val="28296E"/>
                            <w:lang w:val="fr-BE"/>
                          </w:rPr>
                        </w:pPr>
                        <w:r>
                          <w:rPr>
                            <w:rFonts w:eastAsiaTheme="minorEastAsia"/>
                            <w:b/>
                            <w:color w:val="28296E"/>
                            <w:lang w:val="fr-BE"/>
                          </w:rPr>
                          <w:t>82%</w:t>
                        </w:r>
                      </w:p>
                    </w:txbxContent>
                  </v:textbox>
                </v:shape>
                <w10:wrap type="square"/>
                <w10:anchorlock/>
              </v:group>
              <o:OLEObject Type="Embed" ProgID="Excel.Chart.8" ShapeID="Chart 382" DrawAspect="Content" ObjectID="_1654495728" r:id="rId188">
                <o:FieldCodes>\s</o:FieldCodes>
              </o:OLEObject>
            </w:pict>
          </mc:Fallback>
        </mc:AlternateContent>
      </w:r>
      <w:r>
        <w:rPr>
          <w:rFonts w:eastAsiaTheme="minorEastAsia"/>
        </w:rPr>
        <w:t xml:space="preserve">OVERALL EXECUTION </w:t>
      </w:r>
      <w:r>
        <w:rPr>
          <w:rFonts w:eastAsiaTheme="minorEastAsia"/>
        </w:rPr>
        <w:br/>
        <w:t xml:space="preserve">(2014-2019) </w:t>
      </w:r>
    </w:p>
    <w:p w:rsidR="0060634A" w:rsidRDefault="00F76D44">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635712" behindDoc="0" locked="1" layoutInCell="1" allowOverlap="1">
                <wp:simplePos x="0" y="0"/>
                <wp:positionH relativeFrom="page">
                  <wp:posOffset>2270760</wp:posOffset>
                </wp:positionH>
                <wp:positionV relativeFrom="page">
                  <wp:posOffset>5240020</wp:posOffset>
                </wp:positionV>
                <wp:extent cx="2437130" cy="3343275"/>
                <wp:effectExtent l="0" t="0" r="1270" b="9525"/>
                <wp:wrapTopAndBottom/>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3343275"/>
                        </a:xfrm>
                        <a:prstGeom prst="rect">
                          <a:avLst/>
                        </a:prstGeom>
                        <a:solidFill>
                          <a:srgbClr val="FFFFFF"/>
                        </a:solidFill>
                        <a:ln w="9525">
                          <a:noFill/>
                          <a:miter lim="800000"/>
                          <a:headEnd/>
                          <a:tailEnd/>
                        </a:ln>
                      </wps:spPr>
                      <wps:txbx id="37">
                        <w:txbxContent>
                          <w:p w:rsidR="0060634A" w:rsidRDefault="00F76D44">
                            <w:pPr>
                              <w:pStyle w:val="PPOTitle3-nospacebefore"/>
                              <w:rPr>
                                <w:rFonts w:eastAsiaTheme="minorEastAsia"/>
                              </w:rPr>
                            </w:pPr>
                            <w:r>
                              <w:rPr>
                                <w:rFonts w:eastAsiaTheme="minorEastAsia"/>
                              </w:rPr>
                              <w:t>Why is it necessary?</w:t>
                            </w:r>
                          </w:p>
                          <w:p w:rsidR="0060634A" w:rsidRDefault="00F76D44">
                            <w:pPr>
                              <w:pStyle w:val="PPObodyText"/>
                              <w:rPr>
                                <w:noProof/>
                              </w:rPr>
                            </w:pPr>
                            <w:r>
                              <w:rPr>
                                <w:noProof/>
                              </w:rPr>
                              <w:t xml:space="preserve">Research and innovation are public goods with a strong European dimension. EU investments in these areas leverage additional funds at </w:t>
                            </w:r>
                            <w:r>
                              <w:rPr>
                                <w:noProof/>
                              </w:rPr>
                              <w:t>national level (without evidence of substitution). Due to their ambition, most of the EU-funded projects would not have gone ahead with national or regional funding alone. The main benefits of EU investments are:</w:t>
                            </w:r>
                          </w:p>
                          <w:p w:rsidR="0060634A" w:rsidRDefault="00F76D44">
                            <w:pPr>
                              <w:pStyle w:val="PPOBlackBULLETS-L1"/>
                              <w:rPr>
                                <w:noProof/>
                              </w:rPr>
                            </w:pPr>
                            <w:r>
                              <w:rPr>
                                <w:noProof/>
                              </w:rPr>
                              <w:t>boosting EU competitiveness through the cre</w:t>
                            </w:r>
                            <w:r>
                              <w:rPr>
                                <w:noProof/>
                              </w:rPr>
                              <w:t xml:space="preserve">ation of transnational and multidisciplinary networks and markets, with positive knowledge spill-overs and technology transfer across the EU; </w:t>
                            </w:r>
                          </w:p>
                          <w:p w:rsidR="0060634A" w:rsidRDefault="00F76D44">
                            <w:pPr>
                              <w:pStyle w:val="PPOBlackBULLETS-L1"/>
                              <w:rPr>
                                <w:noProof/>
                              </w:rPr>
                            </w:pPr>
                            <w:r>
                              <w:rPr>
                                <w:noProof/>
                              </w:rPr>
                              <w:t xml:space="preserve">pooling public and private resources and knowledge to achieve a critical mass for tackling global challenges and </w:t>
                            </w:r>
                            <w:r>
                              <w:rPr>
                                <w:noProof/>
                              </w:rPr>
                              <w:t xml:space="preserve">for assuming leadership; </w:t>
                            </w:r>
                          </w:p>
                          <w:p w:rsidR="0060634A" w:rsidRDefault="00F76D44">
                            <w:pPr>
                              <w:pStyle w:val="PPOBlackBULLETS-L1"/>
                              <w:rPr>
                                <w:noProof/>
                              </w:rPr>
                            </w:pPr>
                            <w:r>
                              <w:rPr>
                                <w:noProof/>
                              </w:rPr>
                              <w:t xml:space="preserve">strengthening scientific excellence through EU-wide competition and cooperation; </w:t>
                            </w:r>
                          </w:p>
                          <w:p w:rsidR="0060634A" w:rsidRDefault="00F76D44">
                            <w:pPr>
                              <w:pStyle w:val="PPOBlackBULLETS-L1"/>
                              <w:rPr>
                                <w:noProof/>
                              </w:rPr>
                            </w:pPr>
                            <w:r>
                              <w:rPr>
                                <w:noProof/>
                              </w:rPr>
                              <w:t>increasing the EU’s attractiveness as a place for education, research, innovation and business (EU funding supports over 300</w:t>
                            </w:r>
                            <w:r>
                              <w:rPr>
                                <w:rFonts w:ascii="Calibri" w:hAnsi="Calibri" w:cs="Calibri"/>
                                <w:noProof/>
                              </w:rPr>
                              <w:t> </w:t>
                            </w:r>
                            <w:r>
                              <w:rPr>
                                <w:noProof/>
                              </w:rPr>
                              <w:t xml:space="preserve">000 researchers and innovators; </w:t>
                            </w:r>
                          </w:p>
                          <w:p w:rsidR="0060634A" w:rsidRDefault="00F76D44">
                            <w:pPr>
                              <w:pStyle w:val="PPOBlackBULLETS-L1"/>
                              <w:rPr>
                                <w:noProof/>
                              </w:rPr>
                            </w:pPr>
                            <w:r>
                              <w:rPr>
                                <w:noProof/>
                              </w:rPr>
                              <w:t>leveraging private investment;</w:t>
                            </w:r>
                          </w:p>
                          <w:p w:rsidR="0060634A" w:rsidRDefault="00F76D44">
                            <w:pPr>
                              <w:pStyle w:val="PPOBlackBULLETS-L1"/>
                              <w:rPr>
                                <w:noProof/>
                              </w:rPr>
                            </w:pPr>
                            <w:r>
                              <w:rPr>
                                <w:noProof/>
                              </w:rPr>
                              <w:t xml:space="preserve">having a positive structuring effect on national research and innovation ecosystems. </w:t>
                            </w:r>
                          </w:p>
                          <w:p w:rsidR="0060634A" w:rsidRDefault="00F76D44">
                            <w:pPr>
                              <w:pStyle w:val="PPObodyText"/>
                              <w:spacing w:before="160"/>
                              <w:rPr>
                                <w:noProof/>
                              </w:rPr>
                            </w:pPr>
                            <w:r>
                              <w:rPr>
                                <w:noProof/>
                              </w:rPr>
                              <w:t>Horizon 2020 plays a central role in the delivery of Europe’s political priorities, such as the European G</w:t>
                            </w:r>
                            <w:r>
                              <w:rPr>
                                <w:noProof/>
                              </w:rPr>
                              <w:t>reen Deal. It provides a common strategic framework for the EU’s research and innovation funding, thus acting as a vehicle for leveraging private investment, creating new job opportunities and ensuring Europe's long-term sustainable growth and competitiven</w:t>
                            </w:r>
                            <w:r>
                              <w:rPr>
                                <w:noProof/>
                              </w:rPr>
                              <w:t xml:space="preserve">ess. </w:t>
                            </w:r>
                          </w:p>
                          <w:p w:rsidR="0060634A" w:rsidRDefault="00F76D44">
                            <w:pPr>
                              <w:pStyle w:val="PPOTitle3"/>
                              <w:spacing w:before="200"/>
                              <w:rPr>
                                <w:rFonts w:eastAsiaTheme="minorEastAsia"/>
                              </w:rPr>
                            </w:pPr>
                            <w:r>
                              <w:rPr>
                                <w:rFonts w:eastAsiaTheme="minorEastAsia"/>
                              </w:rPr>
                              <w:t>Outlook for the 2021-2027 period</w:t>
                            </w:r>
                          </w:p>
                          <w:p w:rsidR="0060634A" w:rsidRDefault="00F76D44">
                            <w:pPr>
                              <w:pStyle w:val="PPObodyText"/>
                              <w:rPr>
                                <w:noProof/>
                              </w:rPr>
                            </w:pPr>
                            <w:r>
                              <w:rPr>
                                <w:noProof/>
                              </w:rPr>
                              <w:t>Building on the success of Horizon 2020, the Commission proposed a new programme called Horizon Europe for the next multiannual financial framework.</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178.8pt;margin-top:412.6pt;width:191.9pt;height:263.25pt;z-index:2516357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" stroked="f">
                <v:textbox style="mso-next-textbox:#Text Box 389" inset="0">
                  <w:txbxContent>
                    <w:p w:rsidR="0060634A" w:rsidRDefault="00F76D44">
                      <w:pPr>
                        <w:pStyle w:val="PPOTitle3-nospacebefore"/>
                        <w:rPr>
                          <w:rFonts w:eastAsiaTheme="minorEastAsia"/>
                        </w:rPr>
                      </w:pPr>
                      <w:r>
                        <w:rPr>
                          <w:rFonts w:eastAsiaTheme="minorEastAsia"/>
                        </w:rPr>
                        <w:t>Why is it necessary?</w:t>
                      </w:r>
                    </w:p>
                    <w:p w:rsidR="0060634A" w:rsidRDefault="00F76D44">
                      <w:pPr>
                        <w:pStyle w:val="PPObodyText"/>
                        <w:rPr>
                          <w:noProof/>
                        </w:rPr>
                      </w:pPr>
                      <w:r>
                        <w:rPr>
                          <w:noProof/>
                        </w:rPr>
                        <w:t xml:space="preserve">Research and innovation are public goods with a strong European dimension. EU investments in these areas leverage additional funds at </w:t>
                      </w:r>
                      <w:r>
                        <w:rPr>
                          <w:noProof/>
                        </w:rPr>
                        <w:t>national level (without evidence of substitution). Due to their ambition, most of the EU-funded projects would not have gone ahead with national or regional funding alone. The main benefits of EU investments are:</w:t>
                      </w:r>
                    </w:p>
                    <w:p w:rsidR="0060634A" w:rsidRDefault="00F76D44">
                      <w:pPr>
                        <w:pStyle w:val="PPOBlackBULLETS-L1"/>
                        <w:rPr>
                          <w:noProof/>
                        </w:rPr>
                      </w:pPr>
                      <w:r>
                        <w:rPr>
                          <w:noProof/>
                        </w:rPr>
                        <w:t>boosting EU competitiveness through the cre</w:t>
                      </w:r>
                      <w:r>
                        <w:rPr>
                          <w:noProof/>
                        </w:rPr>
                        <w:t xml:space="preserve">ation of transnational and multidisciplinary networks and markets, with positive knowledge spill-overs and technology transfer across the EU; </w:t>
                      </w:r>
                    </w:p>
                    <w:p w:rsidR="0060634A" w:rsidRDefault="00F76D44">
                      <w:pPr>
                        <w:pStyle w:val="PPOBlackBULLETS-L1"/>
                        <w:rPr>
                          <w:noProof/>
                        </w:rPr>
                      </w:pPr>
                      <w:r>
                        <w:rPr>
                          <w:noProof/>
                        </w:rPr>
                        <w:t xml:space="preserve">pooling public and private resources and knowledge to achieve a critical mass for tackling global challenges and </w:t>
                      </w:r>
                      <w:r>
                        <w:rPr>
                          <w:noProof/>
                        </w:rPr>
                        <w:t xml:space="preserve">for assuming leadership; </w:t>
                      </w:r>
                    </w:p>
                    <w:p w:rsidR="0060634A" w:rsidRDefault="00F76D44">
                      <w:pPr>
                        <w:pStyle w:val="PPOBlackBULLETS-L1"/>
                        <w:rPr>
                          <w:noProof/>
                        </w:rPr>
                      </w:pPr>
                      <w:r>
                        <w:rPr>
                          <w:noProof/>
                        </w:rPr>
                        <w:t xml:space="preserve">strengthening scientific excellence through EU-wide competition and cooperation; </w:t>
                      </w:r>
                    </w:p>
                    <w:p w:rsidR="0060634A" w:rsidRDefault="00F76D44">
                      <w:pPr>
                        <w:pStyle w:val="PPOBlackBULLETS-L1"/>
                        <w:rPr>
                          <w:noProof/>
                        </w:rPr>
                      </w:pPr>
                      <w:r>
                        <w:rPr>
                          <w:noProof/>
                        </w:rPr>
                        <w:t>increasing the EU’s attractiveness as a place for education, research, innovation and business (EU funding supports over 300</w:t>
                      </w:r>
                      <w:r>
                        <w:rPr>
                          <w:rFonts w:ascii="Calibri" w:hAnsi="Calibri" w:cs="Calibri"/>
                          <w:noProof/>
                        </w:rPr>
                        <w:t> </w:t>
                      </w:r>
                      <w:r>
                        <w:rPr>
                          <w:noProof/>
                        </w:rPr>
                        <w:t xml:space="preserve">000 researchers and innovators; </w:t>
                      </w:r>
                    </w:p>
                    <w:p w:rsidR="0060634A" w:rsidRDefault="00F76D44">
                      <w:pPr>
                        <w:pStyle w:val="PPOBlackBULLETS-L1"/>
                        <w:rPr>
                          <w:noProof/>
                        </w:rPr>
                      </w:pPr>
                      <w:r>
                        <w:rPr>
                          <w:noProof/>
                        </w:rPr>
                        <w:t>leveraging private investment;</w:t>
                      </w:r>
                    </w:p>
                    <w:p w:rsidR="0060634A" w:rsidRDefault="00F76D44">
                      <w:pPr>
                        <w:pStyle w:val="PPOBlackBULLETS-L1"/>
                        <w:rPr>
                          <w:noProof/>
                        </w:rPr>
                      </w:pPr>
                      <w:r>
                        <w:rPr>
                          <w:noProof/>
                        </w:rPr>
                        <w:t xml:space="preserve">having a positive structuring effect on national research and innovation ecosystems. </w:t>
                      </w:r>
                    </w:p>
                    <w:p w:rsidR="0060634A" w:rsidRDefault="00F76D44">
                      <w:pPr>
                        <w:pStyle w:val="PPObodyText"/>
                        <w:spacing w:before="160"/>
                        <w:rPr>
                          <w:noProof/>
                        </w:rPr>
                      </w:pPr>
                      <w:r>
                        <w:rPr>
                          <w:noProof/>
                        </w:rPr>
                        <w:t>Horizon 2020 plays a central role in the delivery of Europe’s political priorities, such as the European G</w:t>
                      </w:r>
                      <w:r>
                        <w:rPr>
                          <w:noProof/>
                        </w:rPr>
                        <w:t>reen Deal. It provides a common strategic framework for the EU’s research and innovation funding, thus acting as a vehicle for leveraging private investment, creating new job opportunities and ensuring Europe's long-term sustainable growth and competitiven</w:t>
                      </w:r>
                      <w:r>
                        <w:rPr>
                          <w:noProof/>
                        </w:rPr>
                        <w:t xml:space="preserve">ess. </w:t>
                      </w:r>
                    </w:p>
                    <w:p w:rsidR="0060634A" w:rsidRDefault="00F76D44">
                      <w:pPr>
                        <w:pStyle w:val="PPOTitle3"/>
                        <w:spacing w:before="200"/>
                        <w:rPr>
                          <w:rFonts w:eastAsiaTheme="minorEastAsia"/>
                        </w:rPr>
                      </w:pPr>
                      <w:r>
                        <w:rPr>
                          <w:rFonts w:eastAsiaTheme="minorEastAsia"/>
                        </w:rPr>
                        <w:t>Outlook for the 2021-2027 period</w:t>
                      </w:r>
                    </w:p>
                    <w:p w:rsidR="0060634A" w:rsidRDefault="00F76D44">
                      <w:pPr>
                        <w:pStyle w:val="PPObodyText"/>
                        <w:rPr>
                          <w:noProof/>
                        </w:rPr>
                      </w:pPr>
                      <w:r>
                        <w:rPr>
                          <w:noProof/>
                        </w:rPr>
                        <w:t>Building on the success of Horizon 2020, the Commission proposed a new programme called Horizon Europe for the next multiannual financial framework.</w:t>
                      </w:r>
                    </w:p>
                  </w:txbxContent>
                </v:textbox>
                <w10:wrap type="topAndBottom" anchorx="page" anchory="page"/>
                <w10:anchorlock/>
              </v:shape>
            </w:pict>
          </mc:Fallback>
        </mc:AlternateContent>
      </w:r>
    </w:p>
    <w:p w:rsidR="0060634A" w:rsidRDefault="00F76D44">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637760" behindDoc="0" locked="1" layoutInCell="1" allowOverlap="1">
                <wp:simplePos x="0" y="0"/>
                <wp:positionH relativeFrom="column">
                  <wp:posOffset>539750</wp:posOffset>
                </wp:positionH>
                <wp:positionV relativeFrom="paragraph">
                  <wp:posOffset>1270</wp:posOffset>
                </wp:positionV>
                <wp:extent cx="115200" cy="115200"/>
                <wp:effectExtent l="0" t="0" r="0" b="0"/>
                <wp:wrapNone/>
                <wp:docPr id="387" name="Oval 387"/>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00AD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E497B4" id="Oval 387" o:spid="_x0000_s1026" style="position:absolute;margin-left:42.5pt;margin-top:.1pt;width:9.05pt;height:9.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" fillcolor="#00addc" stroked="f" strokeweight="1pt">
                <v:stroke joinstyle="miter"/>
                <w10:anchorlock/>
              </v:oval>
            </w:pict>
          </mc:Fallback>
        </mc:AlternateContent>
      </w:r>
      <w:r>
        <w:rPr>
          <w:rFonts w:eastAsiaTheme="minorEastAsia"/>
          <w:lang w:val="fr-BE" w:eastAsia="fr-BE"/>
        </w:rPr>
        <w:drawing>
          <wp:anchor distT="0" distB="0" distL="114300" distR="114300" simplePos="0" relativeHeight="251632640" behindDoc="1" locked="1" layoutInCell="1" allowOverlap="1">
            <wp:simplePos x="0" y="0"/>
            <wp:positionH relativeFrom="page">
              <wp:posOffset>-415925</wp:posOffset>
            </wp:positionH>
            <wp:positionV relativeFrom="paragraph">
              <wp:posOffset>-1594485</wp:posOffset>
            </wp:positionV>
            <wp:extent cx="3412800" cy="1990800"/>
            <wp:effectExtent l="0" t="0" r="0" b="0"/>
            <wp:wrapNone/>
            <wp:docPr id="394" name="Chart 3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633664" behindDoc="0" locked="1" layoutInCell="1" allowOverlap="1">
                <wp:simplePos x="0" y="0"/>
                <wp:positionH relativeFrom="column">
                  <wp:posOffset>539750</wp:posOffset>
                </wp:positionH>
                <wp:positionV relativeFrom="paragraph">
                  <wp:posOffset>195580</wp:posOffset>
                </wp:positionV>
                <wp:extent cx="115200" cy="115200"/>
                <wp:effectExtent l="0" t="0" r="0" b="0"/>
                <wp:wrapNone/>
                <wp:docPr id="388" name="Oval 388"/>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CFED9A" id="Oval 388" o:spid="_x0000_s1026" style="position:absolute;margin-left:42.5pt;margin-top:15.4pt;width:9.05pt;height:9.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" fillcolor="#28296e" stroked="f" strokeweight="1pt">
                <v:stroke joinstyle="miter"/>
                <w10:anchorlock/>
              </v:oval>
            </w:pict>
          </mc:Fallback>
        </mc:AlternateContent>
      </w:r>
      <w:r>
        <w:rPr>
          <w:rFonts w:eastAsiaTheme="minorEastAsia"/>
        </w:rPr>
        <w:t>Payments</w:t>
      </w:r>
    </w:p>
    <w:p w:rsidR="0060634A" w:rsidRDefault="00F76D44">
      <w:pPr>
        <w:pStyle w:val="PPOsidebarchartLegends"/>
        <w:rPr>
          <w:rFonts w:eastAsiaTheme="minorEastAsia"/>
        </w:rPr>
      </w:pPr>
      <w:r>
        <w:rPr>
          <w:rFonts w:eastAsiaTheme="minorEastAsia"/>
        </w:rPr>
        <w:t>Commitments</w:t>
      </w:r>
    </w:p>
    <w:p w:rsidR="0060634A" w:rsidRDefault="00F76D44">
      <w:pPr>
        <w:pStyle w:val="PPO1AsidebarTitleLightBlue"/>
        <w:spacing w:before="320"/>
        <w:rPr>
          <w:rFonts w:eastAsiaTheme="minorEastAsia"/>
        </w:rPr>
      </w:pPr>
      <w:r>
        <w:rPr>
          <w:rFonts w:eastAsiaTheme="minorEastAsia"/>
        </w:rPr>
        <w:t>Evaluations/</w:t>
      </w:r>
      <w:r>
        <w:rPr>
          <w:rFonts w:eastAsiaTheme="minorEastAsia"/>
        </w:rPr>
        <w:br/>
        <w:t xml:space="preserve">studies conducted </w:t>
      </w:r>
    </w:p>
    <w:p w:rsidR="0060634A" w:rsidRDefault="00F76D44">
      <w:pPr>
        <w:pStyle w:val="PPOsidebartext"/>
        <w:rPr>
          <w:rFonts w:eastAsiaTheme="minorEastAsia"/>
        </w:rPr>
      </w:pPr>
      <w:r>
        <w:rPr>
          <w:rFonts w:eastAsiaTheme="minorEastAsia"/>
        </w:rPr>
        <w:t>The interim</w:t>
      </w:r>
      <w:r>
        <w:rPr>
          <w:rFonts w:eastAsiaTheme="minorEastAsia"/>
        </w:rPr>
        <w:t xml:space="preserve"> evaluation of Horizon 2020 was carried out in 2017. For further information please consult:</w:t>
      </w:r>
    </w:p>
    <w:p w:rsidR="0060634A" w:rsidRDefault="00F76D44">
      <w:pPr>
        <w:pStyle w:val="PPOsidebartext"/>
        <w:rPr>
          <w:rStyle w:val="PPOChar-Hyperlink"/>
          <w:rFonts w:eastAsiaTheme="minorEastAsia"/>
        </w:rPr>
      </w:pPr>
      <w:hyperlink r:id="rId190" w:history="1">
        <w:r>
          <w:rPr>
            <w:rStyle w:val="PPOChar-Hyperlink"/>
            <w:rFonts w:eastAsiaTheme="minorEastAsia"/>
          </w:rPr>
          <w:t>http://europa.eu/!pm48VY</w:t>
        </w:r>
      </w:hyperlink>
    </w:p>
    <w:p w:rsidR="0060634A" w:rsidRDefault="00F76D44">
      <w:pPr>
        <w:pStyle w:val="PPO1AsidebarTitleLightBlue"/>
        <w:spacing w:before="320"/>
        <w:rPr>
          <w:rFonts w:eastAsiaTheme="minorEastAsia"/>
        </w:rPr>
      </w:pPr>
      <w:r>
        <w:rPr>
          <w:rFonts w:eastAsiaTheme="minorEastAsia"/>
        </w:rPr>
        <w:t>How is it implemented?</w:t>
      </w:r>
    </w:p>
    <w:tbl>
      <w:tblPr>
        <w:tblStyle w:val="TableGrid"/>
        <w:tblpPr w:vertAnchor="page" w:horzAnchor="page" w:tblpX="3663" w:tblpY="13622"/>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60634A">
        <w:trPr>
          <w:cantSplit/>
        </w:trPr>
        <w:tc>
          <w:tcPr>
            <w:tcW w:w="7792" w:type="dxa"/>
            <w:gridSpan w:val="3"/>
            <w:vAlign w:val="center"/>
          </w:tcPr>
          <w:p w:rsidR="0060634A" w:rsidRDefault="00F76D44">
            <w:pPr>
              <w:pStyle w:val="PPOTitle3-nospacebefore"/>
              <w:ind w:left="-108"/>
              <w:rPr>
                <w:rFonts w:eastAsiaTheme="minorEastAsia"/>
                <w:lang w:val="en-GB"/>
              </w:rPr>
            </w:pPr>
            <w:r>
              <w:rPr>
                <w:rFonts w:eastAsiaTheme="minorEastAsia"/>
                <w:lang w:val="en-GB"/>
              </w:rPr>
              <w:t>Voted budget execution (in million EUR)</w:t>
            </w:r>
          </w:p>
        </w:tc>
      </w:tr>
      <w:tr w:rsidR="0060634A">
        <w:tblPrEx>
          <w:tblCellMar>
            <w:left w:w="57" w:type="dxa"/>
            <w:right w:w="57" w:type="dxa"/>
          </w:tblCellMar>
        </w:tblPrEx>
        <w:trPr>
          <w:cantSplit/>
        </w:trPr>
        <w:tc>
          <w:tcPr>
            <w:tcW w:w="3471" w:type="dxa"/>
            <w:shd w:val="clear" w:color="auto" w:fill="00ADDC"/>
            <w:vAlign w:val="center"/>
          </w:tcPr>
          <w:p w:rsidR="0060634A" w:rsidRDefault="00F76D44">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00ADDC"/>
            <w:vAlign w:val="center"/>
          </w:tcPr>
          <w:p w:rsidR="0060634A" w:rsidRDefault="0060634A">
            <w:pPr>
              <w:rPr>
                <w:rFonts w:eastAsiaTheme="minorEastAsia"/>
                <w:noProof/>
              </w:rPr>
            </w:pPr>
          </w:p>
        </w:tc>
        <w:tc>
          <w:tcPr>
            <w:tcW w:w="3471" w:type="dxa"/>
            <w:shd w:val="clear" w:color="auto" w:fill="00ADDC"/>
            <w:vAlign w:val="center"/>
          </w:tcPr>
          <w:p w:rsidR="0060634A" w:rsidRDefault="00F76D44">
            <w:pPr>
              <w:pStyle w:val="PPOVotedbudgetTABLEHeaderRightcol"/>
              <w:framePr w:hSpace="0" w:wrap="auto" w:vAnchor="margin" w:hAnchor="text" w:xAlign="left" w:yAlign="inline"/>
              <w:suppressOverlap w:val="0"/>
              <w:rPr>
                <w:rFonts w:eastAsiaTheme="minorEastAsia"/>
              </w:rPr>
            </w:pPr>
            <w:r>
              <w:rPr>
                <w:rFonts w:eastAsiaTheme="minorEastAsia"/>
              </w:rPr>
              <w:t xml:space="preserve">EXECUTED </w:t>
            </w:r>
            <w:r>
              <w:rPr>
                <w:rFonts w:eastAsiaTheme="minorEastAsia"/>
              </w:rPr>
              <w:t>PAYMENTS</w:t>
            </w:r>
          </w:p>
        </w:tc>
      </w:tr>
      <w:tr w:rsidR="0060634A">
        <w:tblPrEx>
          <w:tblCellMar>
            <w:left w:w="57" w:type="dxa"/>
            <w:right w:w="57" w:type="dxa"/>
          </w:tblCellMar>
        </w:tblPrEx>
        <w:trPr>
          <w:cantSplit/>
        </w:trPr>
        <w:tc>
          <w:tcPr>
            <w:tcW w:w="3471" w:type="dxa"/>
            <w:shd w:val="clear" w:color="auto" w:fill="DCE6F2"/>
            <w:vAlign w:val="center"/>
          </w:tcPr>
          <w:p w:rsidR="0060634A" w:rsidRDefault="00F76D44">
            <w:pPr>
              <w:spacing w:after="100" w:afterAutospacing="1"/>
              <w:jc w:val="center"/>
              <w:rPr>
                <w:rFonts w:eastAsiaTheme="minorEastAsia"/>
                <w:noProof/>
                <w:color w:val="0070C0"/>
                <w:sz w:val="18"/>
              </w:rPr>
            </w:pPr>
            <w:r>
              <w:rPr>
                <w:rFonts w:eastAsiaTheme="minorEastAsia"/>
                <w:noProof/>
                <w:color w:val="0070C0"/>
                <w:sz w:val="18"/>
                <w:lang w:eastAsia="fr-BE"/>
              </w:rPr>
              <w:drawing>
                <wp:inline distT="0" distB="0" distL="0" distR="0">
                  <wp:extent cx="2158365" cy="890270"/>
                  <wp:effectExtent l="0" t="0" r="0" b="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c>
          <w:tcPr>
            <w:tcW w:w="850" w:type="dxa"/>
            <w:shd w:val="clear" w:color="auto" w:fill="DCE6F2"/>
            <w:vAlign w:val="center"/>
          </w:tcPr>
          <w:p w:rsidR="0060634A" w:rsidRDefault="00F76D44">
            <w:pPr>
              <w:pStyle w:val="PPO1AVotedbudgetTABLEtextBlue"/>
              <w:framePr w:hSpace="0" w:wrap="auto" w:vAnchor="margin" w:hAnchor="text" w:xAlign="left" w:yAlign="inline"/>
              <w:suppressOverlap w:val="0"/>
              <w:rPr>
                <w:rFonts w:eastAsiaTheme="minorEastAsia"/>
              </w:rPr>
            </w:pPr>
            <w:r>
              <w:rPr>
                <w:rFonts w:eastAsiaTheme="minorEastAsia"/>
              </w:rPr>
              <w:t>2017</w:t>
            </w:r>
          </w:p>
          <w:p w:rsidR="0060634A" w:rsidRDefault="00F76D44">
            <w:pPr>
              <w:pStyle w:val="PPO1AVotedbudgetTABLEtextBlue"/>
              <w:framePr w:hSpace="0" w:wrap="auto" w:vAnchor="margin" w:hAnchor="text" w:xAlign="left" w:yAlign="inline"/>
              <w:suppressOverlap w:val="0"/>
              <w:rPr>
                <w:rFonts w:eastAsiaTheme="minorEastAsia"/>
              </w:rPr>
            </w:pPr>
            <w:r>
              <w:rPr>
                <w:rFonts w:eastAsiaTheme="minorEastAsia"/>
              </w:rPr>
              <w:t>2018</w:t>
            </w:r>
          </w:p>
          <w:p w:rsidR="0060634A" w:rsidRDefault="00F76D44">
            <w:pPr>
              <w:pStyle w:val="PPO1AVotedbudgetTABLEtextBlue"/>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DCE6F2"/>
            <w:vAlign w:val="center"/>
          </w:tcPr>
          <w:p w:rsidR="0060634A" w:rsidRDefault="00F76D44">
            <w:pPr>
              <w:spacing w:after="100" w:afterAutospacing="1"/>
              <w:jc w:val="center"/>
              <w:rPr>
                <w:rFonts w:eastAsiaTheme="minorEastAsia"/>
                <w:noProof/>
                <w:color w:val="FFFFFF" w:themeColor="background1"/>
                <w:sz w:val="18"/>
              </w:rPr>
            </w:pPr>
            <w:r>
              <w:rPr>
                <w:rFonts w:eastAsiaTheme="minorEastAsia"/>
                <w:noProof/>
                <w:color w:val="FFFFFF" w:themeColor="background1"/>
                <w:sz w:val="18"/>
                <w:lang w:eastAsia="fr-BE"/>
              </w:rPr>
              <w:drawing>
                <wp:inline distT="0" distB="0" distL="0" distR="0">
                  <wp:extent cx="2158365" cy="890270"/>
                  <wp:effectExtent l="0" t="0" r="0" b="0"/>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r>
    </w:tbl>
    <w:p w:rsidR="0060634A" w:rsidRDefault="00F76D44">
      <w:pPr>
        <w:pStyle w:val="PPOsidebartext"/>
        <w:rPr>
          <w:rFonts w:eastAsiaTheme="minorEastAsia"/>
        </w:rPr>
      </w:pPr>
      <w:r>
        <w:rPr>
          <w:rFonts w:eastAsiaTheme="minorEastAsia"/>
        </w:rPr>
        <w:t xml:space="preserve">The Directorate-General for Research and Innovation is the lead DG for the implementation of the programme, and 10 other DGs are also involved. The programme is implemented through direct grants, procurements, prizes, direct </w:t>
      </w:r>
      <w:r>
        <w:rPr>
          <w:rFonts w:eastAsiaTheme="minorEastAsia"/>
        </w:rPr>
        <w:t>actions of the Joint Research Centre, delegation agreements (eight public–private partnerships, five public–public partnerships, four executive agencies), financial instruments (European Investment Bank, European Investment Fund) and through the European I</w:t>
      </w:r>
      <w:r>
        <w:rPr>
          <w:rFonts w:eastAsiaTheme="minorEastAsia"/>
        </w:rPr>
        <w:t>nstitute of  Innovation and Technology.</w:t>
      </w:r>
    </w:p>
    <w:p w:rsidR="0060634A" w:rsidRDefault="00F76D44">
      <w:pPr>
        <w:pStyle w:val="PPO1ATitle1"/>
        <w:rPr>
          <w:rFonts w:eastAsiaTheme="minorEastAsia"/>
        </w:rPr>
      </w:pPr>
      <w:r>
        <w:rPr>
          <w:rFonts w:eastAsiaTheme="minorEastAsia"/>
        </w:rPr>
        <w:br w:type="column"/>
      </w:r>
      <w:bookmarkStart w:id="17" w:name="_Toc39583677"/>
      <w:r>
        <w:rPr>
          <w:rFonts w:eastAsiaTheme="minorEastAsia"/>
        </w:rPr>
        <w:t>HORIZON 2020</w:t>
      </w:r>
      <w:bookmarkEnd w:id="17"/>
      <w:r>
        <w:rPr>
          <w:rFonts w:eastAsiaTheme="minorEastAsia"/>
        </w:rPr>
        <w:t xml:space="preserve"> </w:t>
      </w:r>
    </w:p>
    <w:p w:rsidR="0060634A" w:rsidRDefault="00F76D44">
      <w:pPr>
        <w:pStyle w:val="PPO1ATitle2"/>
        <w:rPr>
          <w:rFonts w:eastAsiaTheme="minorEastAsia"/>
        </w:rPr>
      </w:pPr>
      <w:r>
        <w:rPr>
          <w:rFonts w:eastAsiaTheme="minorEastAsia"/>
        </w:rPr>
        <w:t>THE FRAMEWORK PROGRAMME FOR RESEARCH AND INNOVATION</w:t>
      </w:r>
    </w:p>
    <w:p w:rsidR="0060634A" w:rsidRDefault="00F76D44">
      <w:pPr>
        <w:pStyle w:val="PPOTitle3"/>
        <w:rPr>
          <w:rFonts w:eastAsiaTheme="minorEastAsia"/>
        </w:rPr>
      </w:pPr>
      <w:r>
        <w:rPr>
          <w:rFonts w:eastAsiaTheme="minorEastAsia"/>
        </w:rPr>
        <w:t>What is Horizon 2020?</w:t>
      </w:r>
    </w:p>
    <w:p w:rsidR="0060634A" w:rsidRDefault="00F76D44">
      <w:pPr>
        <w:pStyle w:val="PPObodyText"/>
        <w:rPr>
          <w:noProof/>
        </w:rPr>
      </w:pPr>
      <w:r>
        <w:rPr>
          <w:noProof/>
          <w:lang w:val="fr-BE" w:eastAsia="fr-BE"/>
        </w:rPr>
        <mc:AlternateContent>
          <mc:Choice Requires="wps">
            <w:drawing>
              <wp:anchor distT="0" distB="0" distL="114300" distR="114300" simplePos="0" relativeHeight="251636736" behindDoc="0" locked="1" layoutInCell="1" allowOverlap="1">
                <wp:simplePos x="0" y="0"/>
                <wp:positionH relativeFrom="page">
                  <wp:posOffset>4762500</wp:posOffset>
                </wp:positionH>
                <wp:positionV relativeFrom="page">
                  <wp:posOffset>5487670</wp:posOffset>
                </wp:positionV>
                <wp:extent cx="2437130" cy="3019425"/>
                <wp:effectExtent l="0" t="0" r="1270" b="9525"/>
                <wp:wrapTopAndBottom/>
                <wp:docPr id="389" name="Text Box 389"/>
                <wp:cNvGraphicFramePr/>
                <a:graphic xmlns:a="http://schemas.openxmlformats.org/drawingml/2006/main">
                  <a:graphicData uri="http://schemas.microsoft.com/office/word/2010/wordprocessingShape">
                    <wps:wsp>
                      <wps:cNvSpPr txBox="1"/>
                      <wps:spPr>
                        <a:xfrm>
                          <a:off x="0" y="0"/>
                          <a:ext cx="2437130" cy="3019425"/>
                        </a:xfrm>
                        <a:prstGeom prst="rect">
                          <a:avLst/>
                        </a:prstGeom>
                        <a:solidFill>
                          <a:schemeClr val="lt1"/>
                        </a:solidFill>
                        <a:ln w="6350">
                          <a:noFill/>
                        </a:ln>
                      </wps:spPr>
                      <wps:linkedTxbx id="37"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9" o:spid="_x0000_s1087" type="#_x0000_t202" style="position:absolute;left:0;text-align:left;margin-left:375pt;margin-top:432.1pt;width:191.9pt;height:237.7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" fillcolor="white [3201]" stroked="f" strokeweight=".5pt">
                <v:textbox inset=",,0">
                  <w:txbxContent/>
                </v:textbox>
                <w10:wrap type="topAndBottom" anchorx="page" anchory="page"/>
                <w10:anchorlock/>
              </v:shape>
            </w:pict>
          </mc:Fallback>
        </mc:AlternateContent>
      </w:r>
      <w:r>
        <w:rPr>
          <w:noProof/>
        </w:rPr>
        <w:t>Horizon 2020 is the largest EU research and innovation programme ever. It aims to help bring about more breakthroughs, discove</w:t>
      </w:r>
      <w:r>
        <w:rPr>
          <w:noProof/>
        </w:rPr>
        <w:t>ries and world firsts by taking great ideas from the laboratory to the market. Investment in research and innovation is essential for Europe’s future. The goal is to ensure that Europe produces world-class science and technology, removes barriers to innova</w:t>
      </w:r>
      <w:r>
        <w:rPr>
          <w:noProof/>
        </w:rPr>
        <w:t>tion and makes it easier for the public and private sectors to work together in delivering solutions to big challenges facing our society.</w:t>
      </w:r>
    </w:p>
    <w:p w:rsidR="0060634A" w:rsidRDefault="00F76D44">
      <w:pPr>
        <w:pStyle w:val="PPObodyText"/>
        <w:rPr>
          <w:noProof/>
        </w:rPr>
      </w:pPr>
      <w:r>
        <w:rPr>
          <w:noProof/>
        </w:rPr>
        <w:t>Horizon 2020 consists of three main pillars:</w:t>
      </w:r>
    </w:p>
    <w:p w:rsidR="0060634A" w:rsidRDefault="00F76D44">
      <w:pPr>
        <w:pStyle w:val="PPOBlackBULLETS-L1"/>
        <w:rPr>
          <w:noProof/>
        </w:rPr>
      </w:pPr>
      <w:r>
        <w:rPr>
          <w:noProof/>
        </w:rPr>
        <w:t>excellent science – producing and promoting world-class science in Europ</w:t>
      </w:r>
      <w:r>
        <w:rPr>
          <w:noProof/>
        </w:rPr>
        <w:t>e;</w:t>
      </w:r>
    </w:p>
    <w:p w:rsidR="0060634A" w:rsidRDefault="00F76D44">
      <w:pPr>
        <w:pStyle w:val="PPOBlackBULLETS-L1"/>
        <w:rPr>
          <w:noProof/>
        </w:rPr>
      </w:pPr>
      <w:r>
        <w:rPr>
          <w:noProof/>
        </w:rPr>
        <w:t>industrial leadership – boosting the EU’s economic competitiveness;</w:t>
      </w:r>
    </w:p>
    <w:p w:rsidR="0060634A" w:rsidRDefault="00F76D44">
      <w:pPr>
        <w:pStyle w:val="PPOBlackBULLETS-L1"/>
        <w:spacing w:after="40"/>
        <w:rPr>
          <w:noProof/>
        </w:rPr>
      </w:pPr>
      <w:r>
        <w:rPr>
          <w:noProof/>
        </w:rPr>
        <w:t>societal challenges – finding solutions to the big challenges facing our society.</w:t>
      </w:r>
    </w:p>
    <w:tbl>
      <w:tblPr>
        <w:tblStyle w:val="TableGrid"/>
        <w:tblpPr w:leftFromText="181" w:rightFromText="340" w:vertAnchor="text" w:tblpX="108" w:tblpY="293"/>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7763"/>
      </w:tblGrid>
      <w:tr w:rsidR="0060634A">
        <w:trPr>
          <w:trHeight w:val="2551"/>
        </w:trPr>
        <w:tc>
          <w:tcPr>
            <w:tcW w:w="7763" w:type="dxa"/>
            <w:shd w:val="clear" w:color="auto" w:fill="F2F2F2" w:themeFill="background1" w:themeFillShade="F2"/>
          </w:tcPr>
          <w:p w:rsidR="0060634A" w:rsidRDefault="00F76D44">
            <w:pPr>
              <w:pStyle w:val="PPO1ASpecificobjectivesBOX-HeadingLightBlue"/>
              <w:rPr>
                <w:rFonts w:eastAsiaTheme="minorEastAsia"/>
              </w:rPr>
            </w:pPr>
            <w:r>
              <w:rPr>
                <w:rFonts w:eastAsiaTheme="minorEastAsia"/>
                <w:lang w:eastAsia="fr-BE"/>
              </w:rPr>
              <mc:AlternateContent>
                <mc:Choice Requires="wps">
                  <w:drawing>
                    <wp:anchor distT="0" distB="0" distL="114300" distR="114300" simplePos="0" relativeHeight="251639808"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2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00ADDC"/>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59B155" id="Freeform 6" o:spid="_x0000_s1026" style="position:absolute;margin-left:4pt;margin-top:1.4pt;width:21.25pt;height:21.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00addc"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rFonts w:eastAsiaTheme="minorEastAsia"/>
              </w:rPr>
              <w:t>Specific objectives</w:t>
            </w:r>
          </w:p>
          <w:p w:rsidR="0060634A" w:rsidRDefault="00F76D44">
            <w:pPr>
              <w:pStyle w:val="PPO1ASpecificobjectivesBOX-BulletLightBlue"/>
              <w:rPr>
                <w:rFonts w:ascii="EC Square Sans Cond Pro" w:hAnsi="EC Square Sans Cond Pro"/>
              </w:rPr>
            </w:pPr>
            <w:r>
              <w:rPr>
                <w:rFonts w:ascii="EC Square Sans Cond Pro" w:hAnsi="EC Square Sans Cond Pro"/>
              </w:rPr>
              <w:t>Excellent science.</w:t>
            </w:r>
          </w:p>
          <w:p w:rsidR="0060634A" w:rsidRDefault="00F76D44">
            <w:pPr>
              <w:pStyle w:val="PPO1ASpecificobjectivesBOX-BulletLightBlue"/>
              <w:rPr>
                <w:rFonts w:ascii="EC Square Sans Cond Pro" w:hAnsi="EC Square Sans Cond Pro"/>
              </w:rPr>
            </w:pPr>
            <w:r>
              <w:rPr>
                <w:rFonts w:ascii="EC Square Sans Cond Pro" w:hAnsi="EC Square Sans Cond Pro"/>
              </w:rPr>
              <w:t>Industrial leadership.</w:t>
            </w:r>
          </w:p>
          <w:p w:rsidR="0060634A" w:rsidRDefault="00F76D44">
            <w:pPr>
              <w:pStyle w:val="PPO1ASpecificobjectivesBOX-BulletLightBlue"/>
              <w:rPr>
                <w:rFonts w:ascii="EC Square Sans Cond Pro" w:hAnsi="EC Square Sans Cond Pro"/>
              </w:rPr>
            </w:pPr>
            <w:r>
              <w:rPr>
                <w:rFonts w:ascii="EC Square Sans Cond Pro" w:hAnsi="EC Square Sans Cond Pro"/>
              </w:rPr>
              <w:t>Societal challenges.</w:t>
            </w:r>
          </w:p>
          <w:p w:rsidR="0060634A" w:rsidRDefault="00F76D44">
            <w:pPr>
              <w:pStyle w:val="PPO1ASpecificobjectivesBOX-BulletLightBlue"/>
              <w:rPr>
                <w:rFonts w:ascii="EC Square Sans Cond Pro" w:hAnsi="EC Square Sans Cond Pro"/>
                <w:lang w:val="en-GB"/>
              </w:rPr>
            </w:pPr>
            <w:r>
              <w:rPr>
                <w:rFonts w:ascii="EC Square Sans Cond Pro" w:hAnsi="EC Square Sans Cond Pro"/>
                <w:lang w:val="en-GB"/>
              </w:rPr>
              <w:t xml:space="preserve">Spreading </w:t>
            </w:r>
            <w:r>
              <w:rPr>
                <w:rFonts w:ascii="EC Square Sans Cond Pro" w:hAnsi="EC Square Sans Cond Pro"/>
                <w:lang w:val="en-GB"/>
              </w:rPr>
              <w:t>excellence and widening participation.</w:t>
            </w:r>
          </w:p>
          <w:p w:rsidR="0060634A" w:rsidRDefault="00F76D44">
            <w:pPr>
              <w:pStyle w:val="PPO1ASpecificobjectivesBOX-BulletLightBlue"/>
              <w:rPr>
                <w:rFonts w:ascii="EC Square Sans Cond Pro" w:hAnsi="EC Square Sans Cond Pro"/>
                <w:lang w:val="en-GB"/>
              </w:rPr>
            </w:pPr>
            <w:r>
              <w:rPr>
                <w:rFonts w:ascii="EC Square Sans Cond Pro" w:hAnsi="EC Square Sans Cond Pro"/>
                <w:lang w:val="en-GB"/>
              </w:rPr>
              <w:t>Science with and for society.</w:t>
            </w:r>
          </w:p>
          <w:p w:rsidR="0060634A" w:rsidRDefault="00F76D44">
            <w:pPr>
              <w:pStyle w:val="PPO1ASpecificobjectivesBOX-BulletLightBlue"/>
              <w:rPr>
                <w:rFonts w:ascii="EC Square Sans Cond Pro" w:hAnsi="EC Square Sans Cond Pro"/>
                <w:lang w:val="en-GB"/>
              </w:rPr>
            </w:pPr>
            <w:r>
              <w:rPr>
                <w:rFonts w:ascii="EC Square Sans Cond Pro" w:hAnsi="EC Square Sans Cond Pro"/>
                <w:lang w:val="en-GB"/>
              </w:rPr>
              <w:t>Non-nuclear direct actions of the Joint Research Centre.</w:t>
            </w:r>
          </w:p>
          <w:p w:rsidR="0060634A" w:rsidRDefault="00F76D44">
            <w:pPr>
              <w:pStyle w:val="PPO1ASpecificobjectivesBOX-BulletLightBlue"/>
              <w:rPr>
                <w:szCs w:val="14"/>
                <w:lang w:val="en-GB"/>
              </w:rPr>
            </w:pPr>
            <w:r>
              <w:rPr>
                <w:rFonts w:ascii="EC Square Sans Cond Pro" w:hAnsi="EC Square Sans Cond Pro"/>
                <w:lang w:val="en-GB"/>
              </w:rPr>
              <w:t xml:space="preserve">The European Institute of Innovation and Technology. </w:t>
            </w:r>
          </w:p>
        </w:tc>
      </w:tr>
    </w:tbl>
    <w:p w:rsidR="0060634A" w:rsidRDefault="0060634A">
      <w:pPr>
        <w:rPr>
          <w:rFonts w:eastAsiaTheme="minorEastAsia"/>
          <w:noProof/>
          <w:sz w:val="2"/>
          <w:szCs w:val="2"/>
        </w:rPr>
      </w:pPr>
    </w:p>
    <w:p w:rsidR="0060634A" w:rsidRDefault="0060634A">
      <w:pPr>
        <w:framePr w:w="6721" w:wrap="auto" w:hAnchor="text" w:x="3544"/>
        <w:jc w:val="both"/>
        <w:rPr>
          <w:rFonts w:eastAsiaTheme="minorEastAsia"/>
          <w:b/>
          <w:noProof/>
          <w:color w:val="1F95A5"/>
        </w:rPr>
        <w:sectPr w:rsidR="0060634A">
          <w:headerReference w:type="even" r:id="rId193"/>
          <w:headerReference w:type="default" r:id="rId194"/>
          <w:footerReference w:type="even" r:id="rId195"/>
          <w:footerReference w:type="default" r:id="rId196"/>
          <w:headerReference w:type="first" r:id="rId197"/>
          <w:footerReference w:type="first" r:id="rId198"/>
          <w:pgSz w:w="11906" w:h="16838"/>
          <w:pgMar w:top="567" w:right="567" w:bottom="567" w:left="567" w:header="567" w:footer="454" w:gutter="0"/>
          <w:paperSrc w:first="15" w:other="15"/>
          <w:cols w:num="2" w:space="708" w:equalWidth="0">
            <w:col w:w="2269" w:space="708"/>
            <w:col w:w="7795"/>
          </w:cols>
          <w:docGrid w:linePitch="360"/>
        </w:sectPr>
      </w:pPr>
    </w:p>
    <w:p w:rsidR="0060634A" w:rsidRDefault="00F76D44">
      <w:pPr>
        <w:pStyle w:val="PPOTitle3-nospacebefore"/>
        <w:rPr>
          <w:rFonts w:eastAsiaTheme="minorEastAsia"/>
        </w:rPr>
      </w:pPr>
      <w:r>
        <w:rPr>
          <w:rFonts w:eastAsiaTheme="minorEastAsia"/>
        </w:rPr>
        <w:t xml:space="preserve">Key performance indicators </w:t>
      </w:r>
    </w:p>
    <w:tbl>
      <w:tblPr>
        <w:tblStyle w:val="TableGrid"/>
        <w:tblW w:w="10665"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2953"/>
        <w:gridCol w:w="707"/>
        <w:gridCol w:w="3508"/>
        <w:gridCol w:w="890"/>
        <w:gridCol w:w="2607"/>
      </w:tblGrid>
      <w:tr w:rsidR="0060634A">
        <w:trPr>
          <w:trHeight w:val="333"/>
        </w:trPr>
        <w:tc>
          <w:tcPr>
            <w:tcW w:w="2953" w:type="dxa"/>
            <w:vAlign w:val="center"/>
          </w:tcPr>
          <w:p w:rsidR="0060634A" w:rsidRDefault="0060634A">
            <w:pPr>
              <w:ind w:left="142"/>
              <w:jc w:val="right"/>
              <w:rPr>
                <w:rFonts w:eastAsiaTheme="minorEastAsia"/>
                <w:noProof/>
                <w:sz w:val="16"/>
                <w:szCs w:val="16"/>
              </w:rPr>
            </w:pPr>
          </w:p>
        </w:tc>
        <w:tc>
          <w:tcPr>
            <w:tcW w:w="707" w:type="dxa"/>
            <w:vAlign w:val="bottom"/>
          </w:tcPr>
          <w:p w:rsidR="0060634A" w:rsidRDefault="00F76D44">
            <w:pPr>
              <w:jc w:val="center"/>
              <w:rPr>
                <w:rFonts w:eastAsiaTheme="minorEastAsia"/>
                <w:b/>
                <w:noProof/>
                <w:color w:val="28296E"/>
                <w:sz w:val="16"/>
                <w:szCs w:val="16"/>
              </w:rPr>
            </w:pPr>
            <w:r>
              <w:rPr>
                <w:rFonts w:eastAsiaTheme="minorEastAsia"/>
                <w:b/>
                <w:noProof/>
                <w:color w:val="28296E"/>
                <w:sz w:val="16"/>
                <w:szCs w:val="16"/>
              </w:rPr>
              <w:t>Baseline</w:t>
            </w:r>
          </w:p>
        </w:tc>
        <w:tc>
          <w:tcPr>
            <w:tcW w:w="3508" w:type="dxa"/>
            <w:vAlign w:val="center"/>
          </w:tcPr>
          <w:p w:rsidR="0060634A" w:rsidRDefault="00F76D44">
            <w:pPr>
              <w:ind w:left="142"/>
              <w:jc w:val="center"/>
              <w:rPr>
                <w:rFonts w:eastAsiaTheme="minorEastAsia"/>
                <w:b/>
                <w:noProof/>
                <w:color w:val="28296E"/>
                <w:sz w:val="16"/>
                <w:szCs w:val="16"/>
              </w:rPr>
            </w:pPr>
            <w:r>
              <w:rPr>
                <w:rFonts w:eastAsiaTheme="minorEastAsia"/>
                <w:b/>
                <w:noProof/>
                <w:color w:val="28296E"/>
                <w:sz w:val="16"/>
                <w:szCs w:val="16"/>
              </w:rPr>
              <w:t>PROGRESS TOWARDS THE TARGET</w:t>
            </w:r>
          </w:p>
        </w:tc>
        <w:tc>
          <w:tcPr>
            <w:tcW w:w="890" w:type="dxa"/>
            <w:vAlign w:val="bottom"/>
          </w:tcPr>
          <w:p w:rsidR="0060634A" w:rsidRDefault="00F76D44">
            <w:pPr>
              <w:jc w:val="center"/>
              <w:rPr>
                <w:rFonts w:eastAsiaTheme="minorEastAsia"/>
                <w:b/>
                <w:noProof/>
                <w:color w:val="28296E"/>
                <w:sz w:val="16"/>
                <w:szCs w:val="16"/>
              </w:rPr>
            </w:pPr>
            <w:r>
              <w:rPr>
                <w:rFonts w:eastAsiaTheme="minorEastAsia"/>
                <w:b/>
                <w:noProof/>
                <w:color w:val="28296E"/>
                <w:sz w:val="16"/>
                <w:szCs w:val="16"/>
              </w:rPr>
              <w:t>Target</w:t>
            </w:r>
          </w:p>
        </w:tc>
        <w:tc>
          <w:tcPr>
            <w:tcW w:w="2607" w:type="dxa"/>
            <w:vAlign w:val="bottom"/>
          </w:tcPr>
          <w:p w:rsidR="0060634A" w:rsidRDefault="00F76D44">
            <w:pPr>
              <w:jc w:val="center"/>
              <w:rPr>
                <w:rFonts w:eastAsiaTheme="minorEastAsia"/>
                <w:b/>
                <w:noProof/>
                <w:color w:val="28296E"/>
                <w:sz w:val="16"/>
                <w:szCs w:val="16"/>
              </w:rPr>
            </w:pPr>
            <w:r>
              <w:rPr>
                <w:rFonts w:eastAsiaTheme="minorEastAsia"/>
                <w:b/>
                <w:noProof/>
                <w:color w:val="28296E"/>
                <w:sz w:val="16"/>
                <w:szCs w:val="16"/>
              </w:rPr>
              <w:t>Results</w:t>
            </w:r>
          </w:p>
        </w:tc>
      </w:tr>
      <w:tr w:rsidR="0060634A">
        <w:tblPrEx>
          <w:tblCellMar>
            <w:left w:w="108" w:type="dxa"/>
            <w:right w:w="108" w:type="dxa"/>
          </w:tblCellMar>
        </w:tblPrEx>
        <w:trPr>
          <w:trHeight w:val="344"/>
        </w:trPr>
        <w:tc>
          <w:tcPr>
            <w:tcW w:w="2953" w:type="dxa"/>
            <w:vAlign w:val="center"/>
          </w:tcPr>
          <w:p w:rsidR="0060634A" w:rsidRDefault="00F76D44">
            <w:pPr>
              <w:ind w:left="142"/>
              <w:jc w:val="right"/>
              <w:rPr>
                <w:rFonts w:ascii="EC Square Sans Cond Pro" w:eastAsiaTheme="minorEastAsia" w:hAnsi="EC Square Sans Cond Pro"/>
                <w:noProof/>
                <w:sz w:val="16"/>
                <w:szCs w:val="16"/>
                <w:lang w:val="en-GB"/>
              </w:rPr>
            </w:pPr>
            <w:r>
              <w:rPr>
                <w:rFonts w:ascii="EC Square Sans Cond Pro" w:eastAsiaTheme="minorEastAsia" w:hAnsi="EC Square Sans Cond Pro" w:cs="EC Square Sans Cond Pro"/>
                <w:noProof/>
                <w:color w:val="000000"/>
                <w:sz w:val="16"/>
                <w:szCs w:val="16"/>
                <w:lang w:val="en-GB" w:eastAsia="en-GB"/>
              </w:rPr>
              <w:t xml:space="preserve">Share of European </w:t>
            </w:r>
            <w:r>
              <w:rPr>
                <w:rFonts w:ascii="EC Square Sans Cond Pro" w:eastAsiaTheme="minorEastAsia" w:hAnsi="EC Square Sans Cond Pro" w:cs="EC Square Sans Cond Pro"/>
                <w:noProof/>
                <w:color w:val="000000"/>
                <w:sz w:val="16"/>
                <w:szCs w:val="16"/>
                <w:lang w:val="en-GB" w:eastAsia="en-GB"/>
              </w:rPr>
              <w:t>Research Council-funded publications among the top 1% cited</w:t>
            </w:r>
          </w:p>
        </w:tc>
        <w:tc>
          <w:tcPr>
            <w:tcW w:w="707" w:type="dxa"/>
            <w:vAlign w:val="center"/>
          </w:tcPr>
          <w:p w:rsidR="0060634A" w:rsidRDefault="0060634A">
            <w:pPr>
              <w:jc w:val="center"/>
              <w:rPr>
                <w:rFonts w:ascii="EC Square Sans Cond Pro" w:eastAsiaTheme="minorEastAsia" w:hAnsi="EC Square Sans Cond Pro"/>
                <w:noProof/>
                <w:sz w:val="16"/>
                <w:szCs w:val="16"/>
                <w:lang w:val="en-GB" w:eastAsia="en-GB"/>
              </w:rPr>
            </w:pPr>
          </w:p>
        </w:tc>
        <w:tc>
          <w:tcPr>
            <w:tcW w:w="3508" w:type="dxa"/>
            <w:vAlign w:val="center"/>
          </w:tcPr>
          <w:p w:rsidR="0060634A" w:rsidRDefault="00F76D44">
            <w:pPr>
              <w:ind w:left="142"/>
              <w:rPr>
                <w:rFonts w:ascii="EC Square Sans Cond Pro" w:eastAsiaTheme="minorEastAsia" w:hAnsi="EC Square Sans Cond Pro"/>
                <w:noProof/>
                <w:sz w:val="16"/>
                <w:szCs w:val="16"/>
              </w:rPr>
            </w:pPr>
            <w:r>
              <w:rPr>
                <w:rFonts w:eastAsiaTheme="minorEastAsia"/>
                <w:noProof/>
                <w:lang w:eastAsia="fr-BE"/>
              </w:rPr>
              <w:drawing>
                <wp:inline distT="0" distB="0" distL="0" distR="0">
                  <wp:extent cx="1968500" cy="127000"/>
                  <wp:effectExtent l="0" t="0" r="0" b="6350"/>
                  <wp:docPr id="397" name="Chart 3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tc>
        <w:tc>
          <w:tcPr>
            <w:tcW w:w="890" w:type="dxa"/>
            <w:vAlign w:val="center"/>
          </w:tcPr>
          <w:p w:rsidR="0060634A" w:rsidRDefault="00F76D44">
            <w:pPr>
              <w:jc w:val="center"/>
              <w:rPr>
                <w:rFonts w:ascii="EC Square Sans Cond Pro" w:eastAsiaTheme="minorEastAsia" w:hAnsi="EC Square Sans Cond Pro"/>
                <w:noProof/>
                <w:sz w:val="16"/>
                <w:szCs w:val="16"/>
              </w:rPr>
            </w:pPr>
            <w:r>
              <w:rPr>
                <w:rFonts w:ascii="EC Square Sans Cond Pro" w:eastAsiaTheme="minorEastAsia" w:hAnsi="EC Square Sans Cond Pro" w:cs="EC Square Sans Cond Pro"/>
                <w:noProof/>
                <w:color w:val="000000"/>
                <w:sz w:val="16"/>
                <w:szCs w:val="16"/>
                <w:lang w:val="en-US"/>
              </w:rPr>
              <w:t>1.8%</w:t>
            </w:r>
          </w:p>
        </w:tc>
        <w:tc>
          <w:tcPr>
            <w:tcW w:w="2607" w:type="dxa"/>
            <w:vAlign w:val="center"/>
          </w:tcPr>
          <w:p w:rsidR="0060634A" w:rsidRDefault="00F76D44">
            <w:pPr>
              <w:ind w:left="142"/>
              <w:rPr>
                <w:rFonts w:ascii="EC Square Sans Cond Pro" w:eastAsiaTheme="minorEastAsia" w:hAnsi="EC Square Sans Cond Pro"/>
                <w:noProof/>
                <w:sz w:val="16"/>
                <w:szCs w:val="16"/>
              </w:rPr>
            </w:pPr>
            <w:r>
              <w:rPr>
                <w:rFonts w:ascii="EC Square Sans Cond Pro" w:eastAsiaTheme="minorEastAsia" w:hAnsi="EC Square Sans Cond Pro" w:cs="EC Square Sans Cond Pro"/>
                <w:noProof/>
                <w:color w:val="000000"/>
                <w:sz w:val="16"/>
                <w:szCs w:val="16"/>
                <w:lang w:eastAsia="en-GB"/>
              </w:rPr>
              <w:t>7.0% compared to 1.8%</w:t>
            </w:r>
          </w:p>
        </w:tc>
      </w:tr>
      <w:tr w:rsidR="0060634A">
        <w:tblPrEx>
          <w:tblCellMar>
            <w:left w:w="108" w:type="dxa"/>
            <w:right w:w="108" w:type="dxa"/>
          </w:tblCellMar>
        </w:tblPrEx>
        <w:trPr>
          <w:trHeight w:val="318"/>
        </w:trPr>
        <w:tc>
          <w:tcPr>
            <w:tcW w:w="2953" w:type="dxa"/>
            <w:vAlign w:val="center"/>
          </w:tcPr>
          <w:p w:rsidR="0060634A" w:rsidRDefault="00F76D44">
            <w:pPr>
              <w:ind w:left="142"/>
              <w:jc w:val="right"/>
              <w:rPr>
                <w:rFonts w:ascii="EC Square Sans Cond Pro" w:eastAsiaTheme="minorEastAsia" w:hAnsi="EC Square Sans Cond Pro"/>
                <w:noProof/>
                <w:sz w:val="16"/>
                <w:szCs w:val="16"/>
                <w:lang w:val="en-GB"/>
              </w:rPr>
            </w:pPr>
            <w:r>
              <w:rPr>
                <w:rFonts w:ascii="EC Square Sans Cond Pro" w:eastAsiaTheme="minorEastAsia" w:hAnsi="EC Square Sans Cond Pro" w:cs="EC Square Sans Cond Pro"/>
                <w:noProof/>
                <w:color w:val="000000"/>
                <w:sz w:val="16"/>
                <w:szCs w:val="16"/>
                <w:lang w:val="en-GB" w:eastAsia="en-GB"/>
              </w:rPr>
              <w:t>Cross-sector and cross-country circulation of researchers</w:t>
            </w:r>
          </w:p>
        </w:tc>
        <w:tc>
          <w:tcPr>
            <w:tcW w:w="707" w:type="dxa"/>
            <w:vAlign w:val="center"/>
          </w:tcPr>
          <w:p w:rsidR="0060634A" w:rsidRDefault="0060634A">
            <w:pPr>
              <w:jc w:val="center"/>
              <w:rPr>
                <w:rFonts w:ascii="EC Square Sans Cond Pro" w:eastAsiaTheme="minorEastAsia" w:hAnsi="EC Square Sans Cond Pro"/>
                <w:noProof/>
                <w:sz w:val="16"/>
                <w:szCs w:val="16"/>
                <w:lang w:val="en-GB" w:eastAsia="en-GB"/>
              </w:rPr>
            </w:pPr>
          </w:p>
        </w:tc>
        <w:tc>
          <w:tcPr>
            <w:tcW w:w="3508" w:type="dxa"/>
            <w:vAlign w:val="center"/>
          </w:tcPr>
          <w:p w:rsidR="0060634A" w:rsidRDefault="00F76D44">
            <w:pPr>
              <w:ind w:left="142"/>
              <w:rPr>
                <w:rFonts w:ascii="EC Square Sans Cond Pro" w:eastAsiaTheme="minorEastAsia" w:hAnsi="EC Square Sans Cond Pro"/>
                <w:noProof/>
                <w:sz w:val="16"/>
                <w:szCs w:val="16"/>
              </w:rPr>
            </w:pPr>
            <w:r>
              <w:rPr>
                <w:rFonts w:eastAsiaTheme="minorEastAsia"/>
                <w:noProof/>
                <w:lang w:eastAsia="fr-BE"/>
              </w:rPr>
              <w:drawing>
                <wp:inline distT="0" distB="0" distL="0" distR="0">
                  <wp:extent cx="1997075" cy="127000"/>
                  <wp:effectExtent l="0" t="0" r="3175" b="63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tc>
        <w:tc>
          <w:tcPr>
            <w:tcW w:w="890" w:type="dxa"/>
            <w:vAlign w:val="center"/>
          </w:tcPr>
          <w:p w:rsidR="0060634A" w:rsidRDefault="00F76D44">
            <w:pPr>
              <w:jc w:val="center"/>
              <w:rPr>
                <w:rFonts w:ascii="EC Square Sans Cond Pro" w:eastAsiaTheme="minorEastAsia" w:hAnsi="EC Square Sans Cond Pro"/>
                <w:noProof/>
                <w:sz w:val="16"/>
                <w:szCs w:val="16"/>
              </w:rPr>
            </w:pPr>
            <w:r>
              <w:rPr>
                <w:rFonts w:ascii="EC Square Sans Cond Pro" w:eastAsiaTheme="minorEastAsia" w:hAnsi="EC Square Sans Cond Pro" w:cs="EC Square Sans Cond Pro"/>
                <w:noProof/>
                <w:color w:val="000000"/>
                <w:sz w:val="16"/>
                <w:szCs w:val="16"/>
                <w:lang w:val="en-US"/>
              </w:rPr>
              <w:t>65 000</w:t>
            </w:r>
          </w:p>
        </w:tc>
        <w:tc>
          <w:tcPr>
            <w:tcW w:w="2607" w:type="dxa"/>
            <w:vAlign w:val="center"/>
          </w:tcPr>
          <w:p w:rsidR="0060634A" w:rsidRDefault="00F76D44">
            <w:pPr>
              <w:ind w:left="142"/>
              <w:rPr>
                <w:rFonts w:ascii="EC Square Sans Cond Pro" w:eastAsiaTheme="minorEastAsia" w:hAnsi="EC Square Sans Cond Pro"/>
                <w:noProof/>
                <w:sz w:val="16"/>
                <w:szCs w:val="16"/>
              </w:rPr>
            </w:pPr>
            <w:r>
              <w:rPr>
                <w:rFonts w:ascii="EC Square Sans Cond Pro" w:eastAsiaTheme="minorEastAsia" w:hAnsi="EC Square Sans Cond Pro" w:cs="EC Square Sans Cond Pro"/>
                <w:noProof/>
                <w:color w:val="000000"/>
                <w:sz w:val="16"/>
                <w:szCs w:val="16"/>
                <w:lang w:eastAsia="en-GB"/>
              </w:rPr>
              <w:t>58 200 out of 65 000 researchers</w:t>
            </w:r>
          </w:p>
        </w:tc>
      </w:tr>
      <w:tr w:rsidR="0060634A">
        <w:tblPrEx>
          <w:tblCellMar>
            <w:left w:w="108" w:type="dxa"/>
            <w:right w:w="108" w:type="dxa"/>
          </w:tblCellMar>
        </w:tblPrEx>
        <w:trPr>
          <w:trHeight w:val="309"/>
        </w:trPr>
        <w:tc>
          <w:tcPr>
            <w:tcW w:w="2953" w:type="dxa"/>
            <w:vAlign w:val="center"/>
          </w:tcPr>
          <w:p w:rsidR="0060634A" w:rsidRDefault="00F76D44">
            <w:pPr>
              <w:ind w:left="142"/>
              <w:jc w:val="right"/>
              <w:rPr>
                <w:rFonts w:ascii="EC Square Sans Cond Pro" w:eastAsiaTheme="minorEastAsia" w:hAnsi="EC Square Sans Cond Pro"/>
                <w:noProof/>
                <w:sz w:val="16"/>
                <w:szCs w:val="16"/>
                <w:lang w:val="en-GB"/>
              </w:rPr>
            </w:pPr>
            <w:r>
              <w:rPr>
                <w:rFonts w:ascii="EC Square Sans Cond Pro" w:eastAsiaTheme="minorEastAsia" w:hAnsi="EC Square Sans Cond Pro" w:cs="EC Square Sans Cond Pro"/>
                <w:noProof/>
                <w:color w:val="000000"/>
                <w:sz w:val="16"/>
                <w:szCs w:val="16"/>
                <w:lang w:val="en-GB" w:eastAsia="en-GB"/>
              </w:rPr>
              <w:t>Cross-sector and cross-country circulation of PhD candidates</w:t>
            </w:r>
          </w:p>
        </w:tc>
        <w:tc>
          <w:tcPr>
            <w:tcW w:w="707" w:type="dxa"/>
            <w:vAlign w:val="center"/>
          </w:tcPr>
          <w:p w:rsidR="0060634A" w:rsidRDefault="0060634A">
            <w:pPr>
              <w:jc w:val="center"/>
              <w:rPr>
                <w:rFonts w:ascii="EC Square Sans Cond Pro" w:eastAsiaTheme="minorEastAsia" w:hAnsi="EC Square Sans Cond Pro"/>
                <w:noProof/>
                <w:sz w:val="16"/>
                <w:szCs w:val="16"/>
                <w:lang w:val="en-GB"/>
              </w:rPr>
            </w:pPr>
          </w:p>
        </w:tc>
        <w:tc>
          <w:tcPr>
            <w:tcW w:w="3508" w:type="dxa"/>
            <w:vAlign w:val="center"/>
          </w:tcPr>
          <w:p w:rsidR="0060634A" w:rsidRDefault="00F76D44">
            <w:pPr>
              <w:ind w:left="142"/>
              <w:rPr>
                <w:rFonts w:ascii="EC Square Sans Cond Pro" w:eastAsiaTheme="minorEastAsia" w:hAnsi="EC Square Sans Cond Pro"/>
                <w:noProof/>
                <w:sz w:val="16"/>
                <w:szCs w:val="16"/>
              </w:rPr>
            </w:pPr>
            <w:r>
              <w:rPr>
                <w:rFonts w:eastAsiaTheme="minorEastAsia"/>
                <w:noProof/>
                <w:lang w:eastAsia="fr-BE"/>
              </w:rPr>
              <w:drawing>
                <wp:inline distT="0" distB="0" distL="0" distR="0">
                  <wp:extent cx="1997075" cy="127000"/>
                  <wp:effectExtent l="0" t="0" r="3175" b="6350"/>
                  <wp:docPr id="398" name="Chart 3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tc>
        <w:tc>
          <w:tcPr>
            <w:tcW w:w="890" w:type="dxa"/>
            <w:vAlign w:val="center"/>
          </w:tcPr>
          <w:p w:rsidR="0060634A" w:rsidRDefault="00F76D44">
            <w:pPr>
              <w:jc w:val="center"/>
              <w:rPr>
                <w:rFonts w:ascii="EC Square Sans Cond Pro" w:eastAsiaTheme="minorEastAsia" w:hAnsi="EC Square Sans Cond Pro"/>
                <w:noProof/>
                <w:sz w:val="16"/>
                <w:szCs w:val="16"/>
              </w:rPr>
            </w:pPr>
            <w:r>
              <w:rPr>
                <w:rFonts w:ascii="EC Square Sans Cond Pro" w:eastAsiaTheme="minorEastAsia" w:hAnsi="EC Square Sans Cond Pro" w:cs="EC Square Sans Cond Pro"/>
                <w:noProof/>
                <w:color w:val="000000"/>
                <w:sz w:val="16"/>
                <w:szCs w:val="16"/>
                <w:lang w:val="en-US"/>
              </w:rPr>
              <w:t>25 000</w:t>
            </w:r>
          </w:p>
        </w:tc>
        <w:tc>
          <w:tcPr>
            <w:tcW w:w="2607" w:type="dxa"/>
            <w:vAlign w:val="center"/>
          </w:tcPr>
          <w:p w:rsidR="0060634A" w:rsidRDefault="00F76D44">
            <w:pPr>
              <w:ind w:left="142"/>
              <w:rPr>
                <w:rFonts w:ascii="EC Square Sans Cond Pro" w:eastAsiaTheme="minorEastAsia" w:hAnsi="EC Square Sans Cond Pro"/>
                <w:noProof/>
                <w:sz w:val="16"/>
                <w:szCs w:val="16"/>
              </w:rPr>
            </w:pPr>
            <w:r>
              <w:rPr>
                <w:rFonts w:ascii="EC Square Sans Cond Pro" w:eastAsiaTheme="minorEastAsia" w:hAnsi="EC Square Sans Cond Pro" w:cs="EC Square Sans Cond Pro"/>
                <w:noProof/>
                <w:color w:val="000000"/>
                <w:sz w:val="16"/>
                <w:szCs w:val="16"/>
                <w:lang w:eastAsia="en-GB"/>
              </w:rPr>
              <w:t>22 200 out of 25 000 PhD candidates</w:t>
            </w:r>
          </w:p>
        </w:tc>
      </w:tr>
      <w:tr w:rsidR="0060634A">
        <w:tblPrEx>
          <w:tblCellMar>
            <w:left w:w="108" w:type="dxa"/>
            <w:right w:w="108" w:type="dxa"/>
          </w:tblCellMar>
        </w:tblPrEx>
        <w:trPr>
          <w:trHeight w:val="327"/>
        </w:trPr>
        <w:tc>
          <w:tcPr>
            <w:tcW w:w="2953" w:type="dxa"/>
            <w:vAlign w:val="center"/>
          </w:tcPr>
          <w:p w:rsidR="0060634A" w:rsidRDefault="00F76D44">
            <w:pPr>
              <w:ind w:left="142"/>
              <w:jc w:val="right"/>
              <w:rPr>
                <w:rFonts w:ascii="EC Square Sans Cond Pro" w:eastAsiaTheme="minorEastAsia" w:hAnsi="EC Square Sans Cond Pro"/>
                <w:noProof/>
                <w:sz w:val="16"/>
                <w:szCs w:val="16"/>
                <w:lang w:val="en-GB"/>
              </w:rPr>
            </w:pPr>
            <w:r>
              <w:rPr>
                <w:rFonts w:ascii="EC Square Sans Cond Pro" w:eastAsiaTheme="minorEastAsia" w:hAnsi="EC Square Sans Cond Pro" w:cs="EC Square Sans Cond Pro"/>
                <w:noProof/>
                <w:color w:val="000000"/>
                <w:sz w:val="16"/>
                <w:szCs w:val="16"/>
                <w:lang w:val="en-GB" w:eastAsia="en-GB"/>
              </w:rPr>
              <w:t>Researchers who have access to research infrastructures</w:t>
            </w:r>
          </w:p>
        </w:tc>
        <w:tc>
          <w:tcPr>
            <w:tcW w:w="707" w:type="dxa"/>
            <w:vAlign w:val="center"/>
          </w:tcPr>
          <w:p w:rsidR="0060634A" w:rsidRDefault="0060634A">
            <w:pPr>
              <w:jc w:val="center"/>
              <w:rPr>
                <w:rFonts w:ascii="EC Square Sans Cond Pro" w:eastAsiaTheme="minorEastAsia" w:hAnsi="EC Square Sans Cond Pro"/>
                <w:noProof/>
                <w:sz w:val="16"/>
                <w:szCs w:val="16"/>
                <w:lang w:val="en-GB" w:eastAsia="en-GB"/>
              </w:rPr>
            </w:pPr>
          </w:p>
        </w:tc>
        <w:tc>
          <w:tcPr>
            <w:tcW w:w="3508" w:type="dxa"/>
            <w:vAlign w:val="center"/>
          </w:tcPr>
          <w:p w:rsidR="0060634A" w:rsidRDefault="00F76D44">
            <w:pPr>
              <w:ind w:left="142"/>
              <w:rPr>
                <w:rFonts w:ascii="EC Square Sans Cond Pro" w:eastAsiaTheme="minorEastAsia" w:hAnsi="EC Square Sans Cond Pro"/>
                <w:noProof/>
                <w:sz w:val="16"/>
                <w:szCs w:val="16"/>
              </w:rPr>
            </w:pPr>
            <w:r>
              <w:rPr>
                <w:rFonts w:eastAsiaTheme="minorEastAsia"/>
                <w:noProof/>
                <w:lang w:eastAsia="fr-BE"/>
              </w:rPr>
              <w:drawing>
                <wp:inline distT="0" distB="0" distL="0" distR="0">
                  <wp:extent cx="1968500" cy="127000"/>
                  <wp:effectExtent l="0" t="0" r="0" b="6350"/>
                  <wp:docPr id="399" name="Chart 3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tc>
        <w:tc>
          <w:tcPr>
            <w:tcW w:w="890" w:type="dxa"/>
            <w:vAlign w:val="center"/>
          </w:tcPr>
          <w:p w:rsidR="0060634A" w:rsidRDefault="00F76D44">
            <w:pPr>
              <w:jc w:val="center"/>
              <w:rPr>
                <w:rFonts w:ascii="EC Square Sans Cond Pro" w:eastAsiaTheme="minorEastAsia" w:hAnsi="EC Square Sans Cond Pro"/>
                <w:noProof/>
                <w:sz w:val="16"/>
                <w:szCs w:val="16"/>
              </w:rPr>
            </w:pPr>
            <w:r>
              <w:rPr>
                <w:rFonts w:ascii="EC Square Sans Cond Pro" w:eastAsiaTheme="minorEastAsia" w:hAnsi="EC Square Sans Cond Pro" w:cs="EC Square Sans Cond Pro"/>
                <w:noProof/>
                <w:color w:val="000000"/>
                <w:sz w:val="16"/>
                <w:szCs w:val="16"/>
                <w:lang w:val="en-US"/>
              </w:rPr>
              <w:t>20 000</w:t>
            </w:r>
          </w:p>
        </w:tc>
        <w:tc>
          <w:tcPr>
            <w:tcW w:w="2607" w:type="dxa"/>
            <w:vAlign w:val="center"/>
          </w:tcPr>
          <w:p w:rsidR="0060634A" w:rsidRDefault="00F76D44">
            <w:pPr>
              <w:ind w:left="142"/>
              <w:rPr>
                <w:rFonts w:ascii="EC Square Sans Cond Pro" w:eastAsiaTheme="minorEastAsia" w:hAnsi="EC Square Sans Cond Pro"/>
                <w:noProof/>
                <w:sz w:val="16"/>
                <w:szCs w:val="16"/>
              </w:rPr>
            </w:pPr>
            <w:r>
              <w:rPr>
                <w:rFonts w:ascii="EC Square Sans Cond Pro" w:eastAsiaTheme="minorEastAsia" w:hAnsi="EC Square Sans Cond Pro" w:cs="EC Square Sans Cond Pro"/>
                <w:noProof/>
                <w:color w:val="000000"/>
                <w:sz w:val="16"/>
                <w:szCs w:val="16"/>
                <w:lang w:eastAsia="en-GB"/>
              </w:rPr>
              <w:t>49 645 compared to 20 000 researchers</w:t>
            </w:r>
          </w:p>
        </w:tc>
      </w:tr>
      <w:tr w:rsidR="0060634A">
        <w:tblPrEx>
          <w:tblCellMar>
            <w:left w:w="108" w:type="dxa"/>
            <w:right w:w="108" w:type="dxa"/>
          </w:tblCellMar>
        </w:tblPrEx>
        <w:trPr>
          <w:trHeight w:val="368"/>
        </w:trPr>
        <w:tc>
          <w:tcPr>
            <w:tcW w:w="2953" w:type="dxa"/>
            <w:vAlign w:val="center"/>
          </w:tcPr>
          <w:p w:rsidR="0060634A" w:rsidRDefault="00F76D44">
            <w:pPr>
              <w:ind w:left="142"/>
              <w:jc w:val="right"/>
              <w:rPr>
                <w:rFonts w:ascii="EC Square Sans Cond Pro" w:eastAsiaTheme="minorEastAsia" w:hAnsi="EC Square Sans Cond Pro"/>
                <w:noProof/>
                <w:sz w:val="16"/>
                <w:szCs w:val="16"/>
                <w:lang w:val="en-GB"/>
              </w:rPr>
            </w:pPr>
            <w:r>
              <w:rPr>
                <w:rFonts w:ascii="EC Square Sans Cond Pro" w:eastAsiaTheme="minorEastAsia" w:hAnsi="EC Square Sans Cond Pro" w:cs="EC Square Sans Cond Pro"/>
                <w:noProof/>
                <w:color w:val="000000"/>
                <w:sz w:val="16"/>
                <w:szCs w:val="16"/>
                <w:lang w:val="en-GB" w:eastAsia="en-GB"/>
              </w:rPr>
              <w:t>Total investment mobilised via debt financing and venture capital investments (in EUR billion)</w:t>
            </w:r>
          </w:p>
        </w:tc>
        <w:tc>
          <w:tcPr>
            <w:tcW w:w="707" w:type="dxa"/>
            <w:vAlign w:val="center"/>
          </w:tcPr>
          <w:p w:rsidR="0060634A" w:rsidRDefault="0060634A">
            <w:pPr>
              <w:jc w:val="center"/>
              <w:rPr>
                <w:rFonts w:ascii="EC Square Sans Cond Pro" w:eastAsiaTheme="minorEastAsia" w:hAnsi="EC Square Sans Cond Pro"/>
                <w:noProof/>
                <w:sz w:val="16"/>
                <w:szCs w:val="16"/>
                <w:lang w:val="en-GB" w:eastAsia="en-GB"/>
              </w:rPr>
            </w:pPr>
          </w:p>
        </w:tc>
        <w:tc>
          <w:tcPr>
            <w:tcW w:w="3508" w:type="dxa"/>
            <w:vAlign w:val="center"/>
          </w:tcPr>
          <w:p w:rsidR="0060634A" w:rsidRDefault="00F76D44">
            <w:pPr>
              <w:ind w:left="142"/>
              <w:rPr>
                <w:rFonts w:ascii="EC Square Sans Cond Pro" w:eastAsiaTheme="minorEastAsia" w:hAnsi="EC Square Sans Cond Pro"/>
                <w:noProof/>
                <w:sz w:val="16"/>
                <w:szCs w:val="16"/>
              </w:rPr>
            </w:pPr>
            <w:r>
              <w:rPr>
                <w:rFonts w:eastAsiaTheme="minorEastAsia"/>
                <w:noProof/>
                <w:lang w:eastAsia="fr-BE"/>
              </w:rPr>
              <w:drawing>
                <wp:inline distT="0" distB="0" distL="0" distR="0">
                  <wp:extent cx="1997075" cy="127000"/>
                  <wp:effectExtent l="0" t="0" r="3175" b="6350"/>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tc>
        <w:tc>
          <w:tcPr>
            <w:tcW w:w="890" w:type="dxa"/>
            <w:vAlign w:val="center"/>
          </w:tcPr>
          <w:p w:rsidR="0060634A" w:rsidRDefault="00F76D44">
            <w:pPr>
              <w:jc w:val="center"/>
              <w:rPr>
                <w:rFonts w:ascii="EC Square Sans Cond Pro" w:eastAsiaTheme="minorEastAsia" w:hAnsi="EC Square Sans Cond Pro"/>
                <w:noProof/>
                <w:sz w:val="16"/>
                <w:szCs w:val="16"/>
              </w:rPr>
            </w:pPr>
            <w:r>
              <w:rPr>
                <w:rFonts w:ascii="EC Square Sans Cond Pro" w:eastAsiaTheme="minorEastAsia" w:hAnsi="EC Square Sans Cond Pro" w:cs="EC Square Sans Cond Pro"/>
                <w:noProof/>
                <w:color w:val="000000"/>
                <w:sz w:val="16"/>
                <w:szCs w:val="16"/>
                <w:lang w:val="en-US"/>
              </w:rPr>
              <w:t>15B</w:t>
            </w:r>
          </w:p>
        </w:tc>
        <w:tc>
          <w:tcPr>
            <w:tcW w:w="2607" w:type="dxa"/>
            <w:vAlign w:val="center"/>
          </w:tcPr>
          <w:p w:rsidR="0060634A" w:rsidRDefault="00F76D44">
            <w:pPr>
              <w:ind w:left="142"/>
              <w:rPr>
                <w:rFonts w:ascii="EC Square Sans Cond Pro" w:eastAsiaTheme="minorEastAsia" w:hAnsi="EC Square Sans Cond Pro"/>
                <w:noProof/>
                <w:sz w:val="16"/>
                <w:szCs w:val="16"/>
              </w:rPr>
            </w:pPr>
            <w:r>
              <w:rPr>
                <w:rFonts w:ascii="EC Square Sans Cond Pro" w:eastAsiaTheme="minorEastAsia" w:hAnsi="EC Square Sans Cond Pro" w:cs="EC Square Sans Cond Pro"/>
                <w:noProof/>
                <w:color w:val="000000"/>
                <w:sz w:val="16"/>
                <w:szCs w:val="16"/>
                <w:lang w:eastAsia="en-GB"/>
              </w:rPr>
              <w:t xml:space="preserve">54 </w:t>
            </w:r>
            <w:r>
              <w:rPr>
                <w:rFonts w:ascii="EC Square Sans Cond Pro" w:eastAsiaTheme="minorEastAsia" w:hAnsi="EC Square Sans Cond Pro" w:cs="EC Square Sans Cond Pro"/>
                <w:noProof/>
                <w:color w:val="000000"/>
                <w:sz w:val="16"/>
                <w:szCs w:val="16"/>
                <w:lang w:eastAsia="en-GB"/>
              </w:rPr>
              <w:t>compared to EUR 15 billion</w:t>
            </w:r>
          </w:p>
        </w:tc>
      </w:tr>
      <w:tr w:rsidR="0060634A">
        <w:tblPrEx>
          <w:tblCellMar>
            <w:left w:w="108" w:type="dxa"/>
            <w:right w:w="108" w:type="dxa"/>
          </w:tblCellMar>
        </w:tblPrEx>
        <w:trPr>
          <w:trHeight w:val="298"/>
        </w:trPr>
        <w:tc>
          <w:tcPr>
            <w:tcW w:w="2953" w:type="dxa"/>
            <w:vAlign w:val="center"/>
          </w:tcPr>
          <w:p w:rsidR="0060634A" w:rsidRDefault="00F76D44">
            <w:pPr>
              <w:ind w:left="142"/>
              <w:jc w:val="right"/>
              <w:rPr>
                <w:rFonts w:ascii="EC Square Sans Cond Pro" w:eastAsiaTheme="minorEastAsia" w:hAnsi="EC Square Sans Cond Pro"/>
                <w:noProof/>
                <w:sz w:val="16"/>
                <w:szCs w:val="16"/>
                <w:lang w:val="en-GB"/>
              </w:rPr>
            </w:pPr>
            <w:r>
              <w:rPr>
                <w:rFonts w:ascii="EC Square Sans Cond Pro" w:eastAsiaTheme="minorEastAsia" w:hAnsi="EC Square Sans Cond Pro" w:cs="EC Square Sans Cond Pro"/>
                <w:noProof/>
                <w:color w:val="000000"/>
                <w:sz w:val="16"/>
                <w:szCs w:val="16"/>
                <w:lang w:val="en-GB" w:eastAsia="en-GB"/>
              </w:rPr>
              <w:t>Amount of private funds leveraged (in EUR billion)</w:t>
            </w:r>
          </w:p>
        </w:tc>
        <w:tc>
          <w:tcPr>
            <w:tcW w:w="707" w:type="dxa"/>
            <w:vAlign w:val="center"/>
          </w:tcPr>
          <w:p w:rsidR="0060634A" w:rsidRDefault="0060634A">
            <w:pPr>
              <w:jc w:val="center"/>
              <w:rPr>
                <w:rFonts w:ascii="EC Square Sans Cond Pro" w:eastAsiaTheme="minorEastAsia" w:hAnsi="EC Square Sans Cond Pro"/>
                <w:noProof/>
                <w:sz w:val="16"/>
                <w:szCs w:val="16"/>
                <w:lang w:val="en-GB"/>
              </w:rPr>
            </w:pPr>
          </w:p>
        </w:tc>
        <w:tc>
          <w:tcPr>
            <w:tcW w:w="3508" w:type="dxa"/>
            <w:vAlign w:val="center"/>
          </w:tcPr>
          <w:p w:rsidR="0060634A" w:rsidRDefault="00F76D44">
            <w:pPr>
              <w:ind w:left="142"/>
              <w:rPr>
                <w:rFonts w:ascii="EC Square Sans Cond Pro" w:eastAsiaTheme="minorEastAsia" w:hAnsi="EC Square Sans Cond Pro"/>
                <w:noProof/>
                <w:sz w:val="16"/>
                <w:szCs w:val="16"/>
              </w:rPr>
            </w:pPr>
            <w:r>
              <w:rPr>
                <w:rFonts w:eastAsiaTheme="minorEastAsia"/>
                <w:noProof/>
                <w:lang w:eastAsia="fr-BE"/>
              </w:rPr>
              <w:drawing>
                <wp:inline distT="0" distB="0" distL="0" distR="0">
                  <wp:extent cx="1997075" cy="127000"/>
                  <wp:effectExtent l="0" t="0" r="3175" b="6350"/>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tc>
        <w:tc>
          <w:tcPr>
            <w:tcW w:w="890" w:type="dxa"/>
            <w:vAlign w:val="center"/>
          </w:tcPr>
          <w:p w:rsidR="0060634A" w:rsidRDefault="00F76D44">
            <w:pPr>
              <w:jc w:val="center"/>
              <w:rPr>
                <w:rFonts w:ascii="EC Square Sans Cond Pro" w:eastAsiaTheme="minorEastAsia" w:hAnsi="EC Square Sans Cond Pro"/>
                <w:noProof/>
                <w:sz w:val="16"/>
                <w:szCs w:val="16"/>
              </w:rPr>
            </w:pPr>
            <w:r>
              <w:rPr>
                <w:rFonts w:ascii="EC Square Sans Cond Pro" w:eastAsiaTheme="minorEastAsia" w:hAnsi="EC Square Sans Cond Pro" w:cs="EC Square Sans Cond Pro"/>
                <w:noProof/>
                <w:color w:val="000000"/>
                <w:sz w:val="16"/>
                <w:szCs w:val="16"/>
                <w:lang w:eastAsia="en-GB"/>
              </w:rPr>
              <w:t>35 b</w:t>
            </w:r>
          </w:p>
        </w:tc>
        <w:tc>
          <w:tcPr>
            <w:tcW w:w="2607" w:type="dxa"/>
            <w:vAlign w:val="center"/>
          </w:tcPr>
          <w:p w:rsidR="0060634A" w:rsidRDefault="00F76D44">
            <w:pPr>
              <w:ind w:left="142"/>
              <w:rPr>
                <w:rFonts w:ascii="EC Square Sans Cond Pro" w:eastAsiaTheme="minorEastAsia" w:hAnsi="EC Square Sans Cond Pro"/>
                <w:noProof/>
                <w:sz w:val="16"/>
                <w:szCs w:val="16"/>
              </w:rPr>
            </w:pPr>
            <w:r>
              <w:rPr>
                <w:rFonts w:ascii="EC Square Sans Cond Pro" w:eastAsiaTheme="minorEastAsia" w:hAnsi="EC Square Sans Cond Pro" w:cs="EC Square Sans Cond Pro"/>
                <w:noProof/>
                <w:color w:val="000000"/>
                <w:sz w:val="16"/>
                <w:szCs w:val="16"/>
                <w:lang w:eastAsia="en-GB"/>
              </w:rPr>
              <w:t>29 compared to EUR 35 billion</w:t>
            </w:r>
          </w:p>
        </w:tc>
      </w:tr>
      <w:tr w:rsidR="0060634A">
        <w:tblPrEx>
          <w:tblCellMar>
            <w:left w:w="108" w:type="dxa"/>
            <w:right w:w="108" w:type="dxa"/>
          </w:tblCellMar>
        </w:tblPrEx>
        <w:trPr>
          <w:trHeight w:val="20"/>
        </w:trPr>
        <w:tc>
          <w:tcPr>
            <w:tcW w:w="2953" w:type="dxa"/>
            <w:vAlign w:val="center"/>
          </w:tcPr>
          <w:p w:rsidR="0060634A" w:rsidRDefault="00F76D44">
            <w:pPr>
              <w:ind w:left="142"/>
              <w:jc w:val="right"/>
              <w:rPr>
                <w:rFonts w:ascii="EC Square Sans Cond Pro" w:eastAsiaTheme="minorEastAsia" w:hAnsi="EC Square Sans Cond Pro"/>
                <w:noProof/>
                <w:sz w:val="16"/>
                <w:lang w:val="en-GB"/>
              </w:rPr>
            </w:pPr>
            <w:r>
              <w:rPr>
                <w:rFonts w:ascii="EC Square Sans Cond Pro" w:eastAsiaTheme="minorEastAsia" w:hAnsi="EC Square Sans Cond Pro" w:cs="EC Square Sans Cond Pro"/>
                <w:noProof/>
                <w:color w:val="000000"/>
                <w:sz w:val="16"/>
                <w:szCs w:val="16"/>
                <w:lang w:val="en-GB" w:eastAsia="en-GB"/>
              </w:rPr>
              <w:t>Research activities: renewable energy, end-user energy efficiency, smart grids and energy storage activities</w:t>
            </w:r>
          </w:p>
        </w:tc>
        <w:tc>
          <w:tcPr>
            <w:tcW w:w="707" w:type="dxa"/>
            <w:vAlign w:val="center"/>
          </w:tcPr>
          <w:p w:rsidR="0060634A" w:rsidRDefault="0060634A">
            <w:pPr>
              <w:jc w:val="center"/>
              <w:rPr>
                <w:rFonts w:ascii="EC Square Sans Cond Pro" w:eastAsiaTheme="minorEastAsia" w:hAnsi="EC Square Sans Cond Pro"/>
                <w:noProof/>
                <w:sz w:val="16"/>
                <w:szCs w:val="16"/>
                <w:lang w:val="en-GB"/>
              </w:rPr>
            </w:pPr>
          </w:p>
        </w:tc>
        <w:tc>
          <w:tcPr>
            <w:tcW w:w="3508" w:type="dxa"/>
            <w:vAlign w:val="center"/>
          </w:tcPr>
          <w:p w:rsidR="0060634A" w:rsidRDefault="00F76D44">
            <w:pPr>
              <w:ind w:left="142"/>
              <w:rPr>
                <w:rFonts w:ascii="EC Square Sans Cond Pro" w:eastAsiaTheme="minorEastAsia" w:hAnsi="EC Square Sans Cond Pro"/>
                <w:noProof/>
                <w:sz w:val="16"/>
                <w:szCs w:val="16"/>
              </w:rPr>
            </w:pPr>
            <w:r>
              <w:rPr>
                <w:rFonts w:eastAsiaTheme="minorEastAsia"/>
                <w:noProof/>
                <w:lang w:eastAsia="fr-BE"/>
              </w:rPr>
              <w:drawing>
                <wp:inline distT="0" distB="0" distL="0" distR="0">
                  <wp:extent cx="1968500" cy="127000"/>
                  <wp:effectExtent l="0" t="0" r="0" b="6350"/>
                  <wp:docPr id="400" name="Chart 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tc>
        <w:tc>
          <w:tcPr>
            <w:tcW w:w="890" w:type="dxa"/>
            <w:vAlign w:val="center"/>
          </w:tcPr>
          <w:p w:rsidR="0060634A" w:rsidRDefault="00F76D44">
            <w:pPr>
              <w:jc w:val="center"/>
              <w:rPr>
                <w:rFonts w:ascii="EC Square Sans Cond Pro" w:eastAsiaTheme="minorEastAsia" w:hAnsi="EC Square Sans Cond Pro"/>
                <w:noProof/>
                <w:sz w:val="16"/>
                <w:szCs w:val="16"/>
              </w:rPr>
            </w:pPr>
            <w:r>
              <w:rPr>
                <w:rFonts w:ascii="EC Square Sans Cond Pro" w:eastAsiaTheme="minorEastAsia" w:hAnsi="EC Square Sans Cond Pro" w:cs="EC Square Sans Cond Pro"/>
                <w:noProof/>
                <w:color w:val="000000"/>
                <w:sz w:val="16"/>
                <w:szCs w:val="16"/>
                <w:lang w:val="en-US"/>
              </w:rPr>
              <w:t>85%</w:t>
            </w:r>
          </w:p>
        </w:tc>
        <w:tc>
          <w:tcPr>
            <w:tcW w:w="2607" w:type="dxa"/>
            <w:vAlign w:val="center"/>
          </w:tcPr>
          <w:p w:rsidR="0060634A" w:rsidRDefault="00F76D44">
            <w:pPr>
              <w:ind w:left="142"/>
              <w:rPr>
                <w:rFonts w:ascii="EC Square Sans Cond Pro" w:eastAsiaTheme="minorEastAsia" w:hAnsi="EC Square Sans Cond Pro"/>
                <w:noProof/>
                <w:sz w:val="16"/>
                <w:szCs w:val="16"/>
                <w:lang w:val="en-GB"/>
              </w:rPr>
            </w:pPr>
            <w:r>
              <w:rPr>
                <w:rFonts w:ascii="EC Square Sans Cond Pro" w:eastAsiaTheme="minorEastAsia" w:hAnsi="EC Square Sans Cond Pro" w:cs="EC Square Sans Cond Pro"/>
                <w:noProof/>
                <w:color w:val="000000"/>
                <w:sz w:val="16"/>
                <w:szCs w:val="16"/>
                <w:lang w:val="en-GB" w:eastAsia="en-GB"/>
              </w:rPr>
              <w:t xml:space="preserve">89% compared to 85% </w:t>
            </w:r>
            <w:r>
              <w:rPr>
                <w:rFonts w:ascii="EC Square Sans Cond Pro" w:eastAsiaTheme="minorEastAsia" w:hAnsi="EC Square Sans Cond Pro" w:cs="EC Square Sans Cond Pro"/>
                <w:noProof/>
                <w:color w:val="000000"/>
                <w:sz w:val="16"/>
                <w:szCs w:val="16"/>
                <w:lang w:val="en-GB" w:eastAsia="en-GB"/>
              </w:rPr>
              <w:t>the research activities</w:t>
            </w:r>
          </w:p>
        </w:tc>
      </w:tr>
      <w:tr w:rsidR="0060634A">
        <w:tblPrEx>
          <w:tblCellMar>
            <w:left w:w="108" w:type="dxa"/>
            <w:right w:w="108" w:type="dxa"/>
          </w:tblCellMar>
        </w:tblPrEx>
        <w:trPr>
          <w:trHeight w:val="323"/>
        </w:trPr>
        <w:tc>
          <w:tcPr>
            <w:tcW w:w="2953" w:type="dxa"/>
            <w:vAlign w:val="center"/>
          </w:tcPr>
          <w:p w:rsidR="0060634A" w:rsidRDefault="00F76D44">
            <w:pPr>
              <w:ind w:left="142"/>
              <w:jc w:val="right"/>
              <w:rPr>
                <w:rFonts w:ascii="EC Square Sans Cond Pro" w:eastAsiaTheme="minorEastAsia" w:hAnsi="EC Square Sans Cond Pro"/>
                <w:noProof/>
                <w:sz w:val="16"/>
                <w:lang w:val="en-GB"/>
              </w:rPr>
            </w:pPr>
            <w:r>
              <w:rPr>
                <w:rFonts w:ascii="EC Square Sans Cond Pro" w:eastAsiaTheme="minorEastAsia" w:hAnsi="EC Square Sans Cond Pro" w:cs="EC Square Sans Cond Pro"/>
                <w:noProof/>
                <w:color w:val="000000"/>
                <w:sz w:val="16"/>
                <w:szCs w:val="16"/>
                <w:lang w:val="en-GB" w:eastAsia="en-GB"/>
              </w:rPr>
              <w:t>Number of peer reviewed publications in high-impact journals - direct research</w:t>
            </w:r>
          </w:p>
        </w:tc>
        <w:tc>
          <w:tcPr>
            <w:tcW w:w="707" w:type="dxa"/>
            <w:vAlign w:val="center"/>
          </w:tcPr>
          <w:p w:rsidR="0060634A" w:rsidRDefault="0060634A">
            <w:pPr>
              <w:jc w:val="center"/>
              <w:rPr>
                <w:rFonts w:ascii="EC Square Sans Cond Pro" w:eastAsiaTheme="minorEastAsia" w:hAnsi="EC Square Sans Cond Pro"/>
                <w:noProof/>
                <w:sz w:val="16"/>
                <w:szCs w:val="16"/>
                <w:lang w:val="en-GB"/>
              </w:rPr>
            </w:pPr>
          </w:p>
        </w:tc>
        <w:tc>
          <w:tcPr>
            <w:tcW w:w="3508" w:type="dxa"/>
            <w:vAlign w:val="center"/>
          </w:tcPr>
          <w:p w:rsidR="0060634A" w:rsidRDefault="00F76D44">
            <w:pPr>
              <w:ind w:left="142"/>
              <w:rPr>
                <w:rFonts w:ascii="EC Square Sans Cond Pro" w:eastAsiaTheme="minorEastAsia" w:hAnsi="EC Square Sans Cond Pro"/>
                <w:noProof/>
                <w:sz w:val="16"/>
                <w:szCs w:val="16"/>
              </w:rPr>
            </w:pPr>
            <w:r>
              <w:rPr>
                <w:rFonts w:eastAsiaTheme="minorEastAsia"/>
                <w:noProof/>
                <w:lang w:eastAsia="fr-BE"/>
              </w:rPr>
              <w:drawing>
                <wp:inline distT="0" distB="0" distL="0" distR="0">
                  <wp:extent cx="1997075" cy="127000"/>
                  <wp:effectExtent l="0" t="0" r="3175" b="6350"/>
                  <wp:docPr id="401" name="Chart 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tc>
        <w:tc>
          <w:tcPr>
            <w:tcW w:w="890" w:type="dxa"/>
            <w:vAlign w:val="center"/>
          </w:tcPr>
          <w:p w:rsidR="0060634A" w:rsidRDefault="00F76D44">
            <w:pPr>
              <w:jc w:val="center"/>
              <w:rPr>
                <w:rFonts w:ascii="EC Square Sans Cond Pro" w:eastAsiaTheme="minorEastAsia" w:hAnsi="EC Square Sans Cond Pro"/>
                <w:noProof/>
                <w:sz w:val="16"/>
                <w:szCs w:val="16"/>
              </w:rPr>
            </w:pPr>
            <w:r>
              <w:rPr>
                <w:rFonts w:ascii="EC Square Sans Cond Pro" w:eastAsiaTheme="minorEastAsia" w:hAnsi="EC Square Sans Cond Pro" w:cs="EC Square Sans Cond Pro"/>
                <w:noProof/>
                <w:color w:val="000000"/>
                <w:sz w:val="16"/>
                <w:szCs w:val="16"/>
                <w:lang w:val="en-US"/>
              </w:rPr>
              <w:t>3 360</w:t>
            </w:r>
          </w:p>
        </w:tc>
        <w:tc>
          <w:tcPr>
            <w:tcW w:w="2607" w:type="dxa"/>
            <w:vAlign w:val="center"/>
          </w:tcPr>
          <w:p w:rsidR="0060634A" w:rsidRDefault="00F76D44">
            <w:pPr>
              <w:ind w:left="142"/>
              <w:rPr>
                <w:rFonts w:ascii="EC Square Sans Cond Pro" w:eastAsiaTheme="minorEastAsia" w:hAnsi="EC Square Sans Cond Pro"/>
                <w:noProof/>
                <w:sz w:val="16"/>
                <w:szCs w:val="16"/>
              </w:rPr>
            </w:pPr>
            <w:r>
              <w:rPr>
                <w:rFonts w:ascii="EC Square Sans Cond Pro" w:eastAsiaTheme="minorEastAsia" w:hAnsi="EC Square Sans Cond Pro" w:cs="EC Square Sans Cond Pro"/>
                <w:noProof/>
                <w:color w:val="000000"/>
                <w:sz w:val="16"/>
                <w:szCs w:val="16"/>
                <w:lang w:eastAsia="en-GB"/>
              </w:rPr>
              <w:t>3 111 out of 3 360 publications</w:t>
            </w:r>
          </w:p>
        </w:tc>
      </w:tr>
      <w:tr w:rsidR="0060634A">
        <w:tblPrEx>
          <w:tblCellMar>
            <w:left w:w="108" w:type="dxa"/>
            <w:right w:w="108" w:type="dxa"/>
          </w:tblCellMar>
        </w:tblPrEx>
        <w:trPr>
          <w:trHeight w:val="20"/>
        </w:trPr>
        <w:tc>
          <w:tcPr>
            <w:tcW w:w="2953" w:type="dxa"/>
            <w:vAlign w:val="center"/>
          </w:tcPr>
          <w:p w:rsidR="0060634A" w:rsidRDefault="00F76D44">
            <w:pPr>
              <w:ind w:left="142"/>
              <w:jc w:val="right"/>
              <w:rPr>
                <w:rFonts w:ascii="EC Square Sans Cond Pro" w:eastAsiaTheme="minorEastAsia" w:hAnsi="EC Square Sans Cond Pro"/>
                <w:noProof/>
                <w:sz w:val="16"/>
                <w:lang w:val="en-GB"/>
              </w:rPr>
            </w:pPr>
            <w:r>
              <w:rPr>
                <w:rFonts w:ascii="EC Square Sans Cond Pro" w:eastAsiaTheme="minorEastAsia" w:hAnsi="EC Square Sans Cond Pro" w:cs="EC Square Sans Cond Pro"/>
                <w:noProof/>
                <w:color w:val="000000"/>
                <w:sz w:val="16"/>
                <w:szCs w:val="16"/>
                <w:lang w:val="en-GB" w:eastAsia="en-GB"/>
              </w:rPr>
              <w:t xml:space="preserve">Collaboration inside the knowledge triangle leading to the development of innovative products, services and </w:t>
            </w:r>
            <w:r>
              <w:rPr>
                <w:rFonts w:ascii="EC Square Sans Cond Pro" w:eastAsiaTheme="minorEastAsia" w:hAnsi="EC Square Sans Cond Pro" w:cs="EC Square Sans Cond Pro"/>
                <w:noProof/>
                <w:color w:val="000000"/>
                <w:sz w:val="16"/>
                <w:szCs w:val="16"/>
                <w:lang w:val="en-GB" w:eastAsia="en-GB"/>
              </w:rPr>
              <w:t>processes</w:t>
            </w:r>
            <w:r>
              <w:rPr>
                <w:rFonts w:eastAsiaTheme="minorEastAsia" w:cs="Calibri"/>
                <w:noProof/>
                <w:color w:val="000000"/>
                <w:sz w:val="16"/>
                <w:szCs w:val="16"/>
                <w:lang w:val="en-GB" w:eastAsia="en-GB"/>
              </w:rPr>
              <w:t> </w:t>
            </w:r>
            <w:r>
              <w:rPr>
                <w:rFonts w:eastAsiaTheme="minorEastAsia" w:cs="Calibri"/>
                <w:noProof/>
                <w:color w:val="000000"/>
                <w:sz w:val="16"/>
                <w:szCs w:val="16"/>
                <w:vertAlign w:val="superscript"/>
                <w:lang w:val="en-GB" w:eastAsia="en-GB"/>
              </w:rPr>
              <w:t>(</w:t>
            </w:r>
            <w:r>
              <w:rPr>
                <w:rFonts w:ascii="EC Square Sans Cond Pro" w:eastAsiaTheme="minorEastAsia" w:hAnsi="EC Square Sans Cond Pro"/>
                <w:noProof/>
                <w:sz w:val="16"/>
                <w:vertAlign w:val="superscript"/>
                <w:lang w:val="en-GB"/>
              </w:rPr>
              <w:t>1)</w:t>
            </w:r>
          </w:p>
        </w:tc>
        <w:tc>
          <w:tcPr>
            <w:tcW w:w="707" w:type="dxa"/>
            <w:vAlign w:val="center"/>
          </w:tcPr>
          <w:p w:rsidR="0060634A" w:rsidRDefault="0060634A">
            <w:pPr>
              <w:jc w:val="center"/>
              <w:rPr>
                <w:rFonts w:ascii="EC Square Sans Cond Pro" w:eastAsiaTheme="minorEastAsia" w:hAnsi="EC Square Sans Cond Pro"/>
                <w:noProof/>
                <w:sz w:val="16"/>
                <w:szCs w:val="16"/>
                <w:lang w:val="en-GB"/>
              </w:rPr>
            </w:pPr>
          </w:p>
        </w:tc>
        <w:tc>
          <w:tcPr>
            <w:tcW w:w="3508" w:type="dxa"/>
            <w:vAlign w:val="center"/>
          </w:tcPr>
          <w:p w:rsidR="0060634A" w:rsidRDefault="00F76D44">
            <w:pPr>
              <w:ind w:left="142"/>
              <w:rPr>
                <w:rFonts w:ascii="EC Square Sans Cond Pro" w:eastAsiaTheme="minorEastAsia" w:hAnsi="EC Square Sans Cond Pro"/>
                <w:noProof/>
                <w:sz w:val="16"/>
                <w:szCs w:val="16"/>
              </w:rPr>
            </w:pPr>
            <w:r>
              <w:rPr>
                <w:rFonts w:eastAsiaTheme="minorEastAsia"/>
                <w:noProof/>
                <w:lang w:eastAsia="fr-BE"/>
              </w:rPr>
              <w:drawing>
                <wp:inline distT="0" distB="0" distL="0" distR="0">
                  <wp:extent cx="1997075" cy="127000"/>
                  <wp:effectExtent l="0" t="0" r="3175" b="635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tc>
        <w:tc>
          <w:tcPr>
            <w:tcW w:w="890" w:type="dxa"/>
            <w:vAlign w:val="center"/>
          </w:tcPr>
          <w:p w:rsidR="0060634A" w:rsidRDefault="00F76D44">
            <w:pPr>
              <w:jc w:val="center"/>
              <w:rPr>
                <w:rFonts w:ascii="EC Square Sans Cond Pro" w:eastAsiaTheme="minorEastAsia" w:hAnsi="EC Square Sans Cond Pro"/>
                <w:noProof/>
                <w:sz w:val="16"/>
                <w:szCs w:val="16"/>
              </w:rPr>
            </w:pPr>
            <w:r>
              <w:rPr>
                <w:rFonts w:ascii="EC Square Sans Cond Pro" w:eastAsiaTheme="minorEastAsia" w:hAnsi="EC Square Sans Cond Pro" w:cs="EC Square Sans Cond Pro"/>
                <w:noProof/>
                <w:color w:val="000000"/>
                <w:sz w:val="16"/>
                <w:szCs w:val="16"/>
                <w:lang w:val="en-US"/>
              </w:rPr>
              <w:t>600</w:t>
            </w:r>
          </w:p>
        </w:tc>
        <w:tc>
          <w:tcPr>
            <w:tcW w:w="2607" w:type="dxa"/>
            <w:vAlign w:val="center"/>
          </w:tcPr>
          <w:p w:rsidR="0060634A" w:rsidRDefault="00F76D44">
            <w:pPr>
              <w:ind w:left="142"/>
              <w:rPr>
                <w:rFonts w:ascii="EC Square Sans Cond Pro" w:eastAsiaTheme="minorEastAsia" w:hAnsi="EC Square Sans Cond Pro"/>
                <w:noProof/>
                <w:sz w:val="16"/>
                <w:szCs w:val="16"/>
                <w:lang w:val="en-GB"/>
              </w:rPr>
            </w:pPr>
            <w:r>
              <w:rPr>
                <w:rFonts w:ascii="EC Square Sans Cond Pro" w:eastAsiaTheme="minorEastAsia" w:hAnsi="EC Square Sans Cond Pro" w:cs="EC Square Sans Cond Pro"/>
                <w:noProof/>
                <w:color w:val="000000"/>
                <w:sz w:val="16"/>
                <w:szCs w:val="16"/>
                <w:lang w:val="en-GB" w:eastAsia="en-GB"/>
              </w:rPr>
              <w:t>359 out of 600 start-ups and spin-offs</w:t>
            </w:r>
          </w:p>
        </w:tc>
      </w:tr>
      <w:tr w:rsidR="0060634A">
        <w:trPr>
          <w:trHeight w:val="247"/>
        </w:trPr>
        <w:tc>
          <w:tcPr>
            <w:tcW w:w="2953" w:type="dxa"/>
            <w:tcBorders>
              <w:bottom w:val="nil"/>
            </w:tcBorders>
            <w:vAlign w:val="center"/>
          </w:tcPr>
          <w:p w:rsidR="0060634A" w:rsidRDefault="00F76D44">
            <w:pPr>
              <w:ind w:left="142"/>
              <w:jc w:val="right"/>
              <w:rPr>
                <w:rFonts w:eastAsiaTheme="minorEastAsia"/>
                <w:noProof/>
                <w:sz w:val="16"/>
                <w:szCs w:val="16"/>
                <w:lang w:val="en-GB"/>
              </w:rPr>
            </w:pPr>
            <w:r>
              <w:rPr>
                <w:rFonts w:eastAsiaTheme="minorEastAsia"/>
                <w:noProof/>
                <w:sz w:val="16"/>
                <w:szCs w:val="16"/>
                <w:lang w:val="en-GB"/>
              </w:rPr>
              <w:t xml:space="preserve">    </w:t>
            </w:r>
          </w:p>
        </w:tc>
        <w:tc>
          <w:tcPr>
            <w:tcW w:w="707" w:type="dxa"/>
            <w:tcBorders>
              <w:bottom w:val="nil"/>
            </w:tcBorders>
          </w:tcPr>
          <w:p w:rsidR="0060634A" w:rsidRDefault="0060634A">
            <w:pPr>
              <w:ind w:left="142"/>
              <w:rPr>
                <w:rFonts w:eastAsiaTheme="minorEastAsia"/>
                <w:noProof/>
                <w:sz w:val="16"/>
                <w:szCs w:val="16"/>
                <w:lang w:val="en-GB" w:eastAsia="en-GB"/>
              </w:rPr>
            </w:pPr>
          </w:p>
        </w:tc>
        <w:tc>
          <w:tcPr>
            <w:tcW w:w="3508" w:type="dxa"/>
            <w:tcBorders>
              <w:bottom w:val="nil"/>
            </w:tcBorders>
            <w:vAlign w:val="center"/>
          </w:tcPr>
          <w:p w:rsidR="0060634A" w:rsidRDefault="00F76D44">
            <w:pPr>
              <w:spacing w:before="120"/>
              <w:rPr>
                <w:rFonts w:eastAsiaTheme="minorEastAsia"/>
                <w:noProof/>
                <w:sz w:val="16"/>
                <w:szCs w:val="16"/>
                <w:lang w:val="en-GB"/>
              </w:rPr>
            </w:pPr>
            <w:r>
              <w:rPr>
                <w:rFonts w:eastAsiaTheme="minorEastAsia"/>
                <w:noProof/>
                <w:sz w:val="16"/>
                <w:szCs w:val="16"/>
                <w:lang w:eastAsia="fr-BE"/>
              </w:rPr>
              <mc:AlternateContent>
                <mc:Choice Requires="wps">
                  <w:drawing>
                    <wp:anchor distT="0" distB="0" distL="114300" distR="114300" simplePos="0" relativeHeight="251640832"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391" name="Rectangle 391"/>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377D1" id="Rectangle 391" o:spid="_x0000_s1026" style="position:absolute;margin-left:-9.45pt;margin-top:6.1pt;width:6.35pt;height: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" fillcolor="#28296e" stroked="f" strokeweight="1pt">
                      <w10:wrap type="through"/>
                    </v:rect>
                  </w:pict>
                </mc:Fallback>
              </mc:AlternateContent>
            </w:r>
            <w:r>
              <w:rPr>
                <w:rFonts w:eastAsiaTheme="minorEastAsia"/>
                <w:noProof/>
                <w:sz w:val="16"/>
                <w:szCs w:val="16"/>
                <w:lang w:val="en-GB"/>
              </w:rPr>
              <w:t>% of target achieved by the end of 2019</w:t>
            </w:r>
          </w:p>
        </w:tc>
        <w:tc>
          <w:tcPr>
            <w:tcW w:w="890" w:type="dxa"/>
            <w:tcBorders>
              <w:bottom w:val="nil"/>
            </w:tcBorders>
          </w:tcPr>
          <w:p w:rsidR="0060634A" w:rsidRDefault="0060634A">
            <w:pPr>
              <w:ind w:left="142"/>
              <w:rPr>
                <w:rFonts w:eastAsiaTheme="minorEastAsia"/>
                <w:noProof/>
                <w:sz w:val="16"/>
                <w:szCs w:val="16"/>
                <w:lang w:val="en-GB" w:eastAsia="en-GB"/>
              </w:rPr>
            </w:pPr>
          </w:p>
        </w:tc>
        <w:tc>
          <w:tcPr>
            <w:tcW w:w="2607" w:type="dxa"/>
            <w:tcBorders>
              <w:bottom w:val="nil"/>
            </w:tcBorders>
            <w:vAlign w:val="center"/>
          </w:tcPr>
          <w:p w:rsidR="0060634A" w:rsidRDefault="0060634A">
            <w:pPr>
              <w:ind w:left="142"/>
              <w:rPr>
                <w:rFonts w:eastAsiaTheme="minorEastAsia"/>
                <w:noProof/>
                <w:sz w:val="16"/>
                <w:szCs w:val="16"/>
                <w:lang w:val="en-GB"/>
              </w:rPr>
            </w:pPr>
          </w:p>
        </w:tc>
      </w:tr>
      <w:tr w:rsidR="0060634A">
        <w:trPr>
          <w:trHeight w:val="247"/>
        </w:trPr>
        <w:tc>
          <w:tcPr>
            <w:tcW w:w="10665" w:type="dxa"/>
            <w:gridSpan w:val="5"/>
            <w:tcBorders>
              <w:top w:val="nil"/>
              <w:bottom w:val="nil"/>
            </w:tcBorders>
            <w:vAlign w:val="center"/>
          </w:tcPr>
          <w:p w:rsidR="0060634A" w:rsidRDefault="00F76D44">
            <w:pPr>
              <w:ind w:left="142"/>
              <w:rPr>
                <w:rFonts w:eastAsiaTheme="minorEastAsia"/>
                <w:noProof/>
                <w:sz w:val="14"/>
                <w:szCs w:val="16"/>
              </w:rPr>
            </w:pPr>
            <w:r>
              <w:rPr>
                <w:rFonts w:eastAsiaTheme="minorEastAsia"/>
                <w:noProof/>
                <w:sz w:val="14"/>
                <w:szCs w:val="16"/>
              </w:rPr>
              <w:t>(</w:t>
            </w:r>
            <w:r>
              <w:rPr>
                <w:rFonts w:eastAsiaTheme="minorEastAsia"/>
                <w:noProof/>
                <w:sz w:val="14"/>
                <w:szCs w:val="16"/>
                <w:vertAlign w:val="superscript"/>
              </w:rPr>
              <w:t>1</w:t>
            </w:r>
            <w:r>
              <w:rPr>
                <w:rFonts w:eastAsiaTheme="minorEastAsia"/>
                <w:noProof/>
                <w:sz w:val="14"/>
                <w:szCs w:val="16"/>
              </w:rPr>
              <w:t>) Latest results from 2018.</w:t>
            </w:r>
          </w:p>
        </w:tc>
      </w:tr>
    </w:tbl>
    <w:p w:rsidR="0060634A" w:rsidRDefault="00F76D44">
      <w:pPr>
        <w:pStyle w:val="PPOTitle3-nospacebefore"/>
        <w:spacing w:before="120"/>
        <w:rPr>
          <w:rFonts w:eastAsiaTheme="minorEastAsia"/>
        </w:rPr>
      </w:pPr>
      <w:r>
        <w:rPr>
          <w:rFonts w:eastAsiaTheme="minorEastAsia"/>
        </w:rPr>
        <w:t>Where are we in the implementation?</w:t>
      </w:r>
    </w:p>
    <w:p w:rsidR="0060634A" w:rsidRDefault="00F76D44">
      <w:pPr>
        <w:pStyle w:val="PPOBlackBULLETS-L1"/>
        <w:rPr>
          <w:noProof/>
        </w:rPr>
      </w:pPr>
      <w:r>
        <w:rPr>
          <w:noProof/>
        </w:rPr>
        <w:t>By February 2020, 228</w:t>
      </w:r>
      <w:r>
        <w:rPr>
          <w:rFonts w:ascii="Calibri" w:hAnsi="Calibri" w:cs="Calibri"/>
          <w:noProof/>
        </w:rPr>
        <w:t> </w:t>
      </w:r>
      <w:r>
        <w:rPr>
          <w:noProof/>
        </w:rPr>
        <w:t>411 eligible proposals had been submitted for the period</w:t>
      </w:r>
      <w:r>
        <w:rPr>
          <w:noProof/>
        </w:rPr>
        <w:t xml:space="preserve"> 2014-2020, requesting a total EU financial contribution of EUR</w:t>
      </w:r>
      <w:r>
        <w:rPr>
          <w:rFonts w:ascii="Calibri" w:hAnsi="Calibri" w:cs="Calibri"/>
          <w:noProof/>
        </w:rPr>
        <w:t> </w:t>
      </w:r>
      <w:r>
        <w:rPr>
          <w:noProof/>
        </w:rPr>
        <w:t>363.9 billion. Of these, 27</w:t>
      </w:r>
      <w:r>
        <w:rPr>
          <w:rFonts w:ascii="Calibri" w:hAnsi="Calibri" w:cs="Calibri"/>
          <w:noProof/>
        </w:rPr>
        <w:t> </w:t>
      </w:r>
      <w:r>
        <w:rPr>
          <w:noProof/>
        </w:rPr>
        <w:t>488 proposals were retained for funding, bringing the overall success rate of eligible full proposals in the first 5</w:t>
      </w:r>
      <w:r>
        <w:rPr>
          <w:rFonts w:ascii="Calibri" w:hAnsi="Calibri" w:cs="Calibri"/>
          <w:noProof/>
        </w:rPr>
        <w:t> </w:t>
      </w:r>
      <w:r>
        <w:rPr>
          <w:noProof/>
        </w:rPr>
        <w:t>years to 12%, with a total budget allocation of</w:t>
      </w:r>
      <w:r>
        <w:rPr>
          <w:noProof/>
        </w:rPr>
        <w:t xml:space="preserve"> EUR</w:t>
      </w:r>
      <w:r>
        <w:rPr>
          <w:rFonts w:ascii="Calibri" w:hAnsi="Calibri" w:cs="Calibri"/>
          <w:noProof/>
        </w:rPr>
        <w:t> </w:t>
      </w:r>
      <w:r>
        <w:rPr>
          <w:noProof/>
        </w:rPr>
        <w:t xml:space="preserve">50.5 billion in EU funding. </w:t>
      </w:r>
    </w:p>
    <w:p w:rsidR="0060634A" w:rsidRDefault="00F76D44">
      <w:pPr>
        <w:pStyle w:val="PPOBlackBULLETS-L1"/>
        <w:rPr>
          <w:noProof/>
        </w:rPr>
      </w:pPr>
      <w:r>
        <w:rPr>
          <w:noProof/>
        </w:rPr>
        <w:t>For the 2020 work programme, the five major priorities identified are: increased investment in sustainable development and climate-related research and innovation; integrating digitisation in all industrial technologies an</w:t>
      </w:r>
      <w:r>
        <w:rPr>
          <w:noProof/>
        </w:rPr>
        <w:t>d societal challenges; strengthening international research and innovation cooperation; societal resilience; and market-creating innovation.</w:t>
      </w:r>
    </w:p>
    <w:p w:rsidR="0060634A" w:rsidRDefault="00F76D44">
      <w:pPr>
        <w:pStyle w:val="PPOBlackBULLETS-L1"/>
        <w:rPr>
          <w:noProof/>
        </w:rPr>
      </w:pPr>
      <w:r>
        <w:rPr>
          <w:noProof/>
        </w:rPr>
        <w:t>Particular attention is given to initiatives in key areas like the digital single market (high-performance computin</w:t>
      </w:r>
      <w:r>
        <w:rPr>
          <w:noProof/>
        </w:rPr>
        <w:t>g, information and communication technologies, small and medium-sized enterprises), the energy union, mobility (batteries), space and the circular economy, including work on plastics.</w:t>
      </w:r>
    </w:p>
    <w:p w:rsidR="0060634A" w:rsidRDefault="00F76D44">
      <w:pPr>
        <w:pStyle w:val="PPOBlackBULLETS-L1"/>
        <w:rPr>
          <w:noProof/>
        </w:rPr>
      </w:pPr>
      <w:r>
        <w:rPr>
          <w:noProof/>
        </w:rPr>
        <w:t>Building on the additional funding allocated to climate objectives under</w:t>
      </w:r>
      <w:r>
        <w:rPr>
          <w:noProof/>
        </w:rPr>
        <w:t xml:space="preserve"> Horizon 2020 in 2020, a total budget of around EUR</w:t>
      </w:r>
      <w:r>
        <w:rPr>
          <w:rFonts w:ascii="Calibri" w:hAnsi="Calibri" w:cs="Calibri"/>
          <w:noProof/>
        </w:rPr>
        <w:t> </w:t>
      </w:r>
      <w:r>
        <w:rPr>
          <w:noProof/>
        </w:rPr>
        <w:t>1 billion will be dedicated to European Green Deal-related calls. This amount is over and above the EUR</w:t>
      </w:r>
      <w:r>
        <w:rPr>
          <w:rFonts w:ascii="Calibri" w:hAnsi="Calibri" w:cs="Calibri"/>
          <w:noProof/>
        </w:rPr>
        <w:t> </w:t>
      </w:r>
      <w:r>
        <w:rPr>
          <w:noProof/>
        </w:rPr>
        <w:t>1.3 billion already envisaged for 2020, providing a total of around EUR</w:t>
      </w:r>
      <w:r>
        <w:rPr>
          <w:rFonts w:ascii="Calibri" w:hAnsi="Calibri" w:cs="Calibri"/>
          <w:noProof/>
        </w:rPr>
        <w:t> </w:t>
      </w:r>
      <w:r>
        <w:rPr>
          <w:noProof/>
        </w:rPr>
        <w:t xml:space="preserve">2.3 billion of Horizon 2020 </w:t>
      </w:r>
      <w:r>
        <w:rPr>
          <w:noProof/>
        </w:rPr>
        <w:t xml:space="preserve">funding allocated to clean-technology research and innovation in 2020. </w:t>
      </w:r>
    </w:p>
    <w:p w:rsidR="0060634A" w:rsidRDefault="00F76D44">
      <w:pPr>
        <w:pStyle w:val="PPOBlackBULLETS-L1"/>
        <w:rPr>
          <w:noProof/>
        </w:rPr>
      </w:pPr>
      <w:r>
        <w:rPr>
          <w:noProof/>
        </w:rPr>
        <w:t>In addition, Horizon 2020 has shown its ability to react quickly to major events. In response to the COVID-19 pandemic, it mobilised more than EUR</w:t>
      </w:r>
      <w:r>
        <w:rPr>
          <w:rFonts w:ascii="Calibri" w:hAnsi="Calibri" w:cs="Calibri"/>
          <w:noProof/>
        </w:rPr>
        <w:t> </w:t>
      </w:r>
      <w:r>
        <w:rPr>
          <w:noProof/>
        </w:rPr>
        <w:t>1 billion in total (EUR</w:t>
      </w:r>
      <w:r>
        <w:rPr>
          <w:rFonts w:ascii="Calibri" w:hAnsi="Calibri" w:cs="Calibri"/>
          <w:noProof/>
        </w:rPr>
        <w:t> </w:t>
      </w:r>
      <w:r>
        <w:rPr>
          <w:noProof/>
        </w:rPr>
        <w:t>307 million i</w:t>
      </w:r>
      <w:r>
        <w:rPr>
          <w:noProof/>
        </w:rPr>
        <w:t>n ongoing projects and EUR</w:t>
      </w:r>
      <w:r>
        <w:rPr>
          <w:rFonts w:ascii="Calibri" w:hAnsi="Calibri" w:cs="Calibri"/>
          <w:noProof/>
        </w:rPr>
        <w:t> </w:t>
      </w:r>
      <w:r>
        <w:rPr>
          <w:noProof/>
        </w:rPr>
        <w:t>715.5 million for new actions). The financing comes from the reprogramming of research and innovation activities across all Commission services. This enabled the immediate redeployment of significant resources for COVID-19 action</w:t>
      </w:r>
      <w:r>
        <w:rPr>
          <w:noProof/>
        </w:rPr>
        <w:t>s, while keeping the level of ambition for the European Green Deal call (EUR 1 billion).</w:t>
      </w:r>
    </w:p>
    <w:p w:rsidR="0060634A" w:rsidRDefault="00F76D44">
      <w:pPr>
        <w:pStyle w:val="PPOTitle3"/>
        <w:rPr>
          <w:rFonts w:eastAsiaTheme="minorEastAsia"/>
        </w:rPr>
      </w:pPr>
      <w:r>
        <w:rPr>
          <w:rFonts w:eastAsiaTheme="minorEastAsia"/>
        </w:rPr>
        <w:t>Performance assessment</w:t>
      </w:r>
    </w:p>
    <w:p w:rsidR="0060634A" w:rsidRDefault="00F76D44">
      <w:pPr>
        <w:pStyle w:val="PPOBlackBULLETS-L1"/>
        <w:rPr>
          <w:noProof/>
        </w:rPr>
      </w:pPr>
      <w:r>
        <w:rPr>
          <w:noProof/>
        </w:rPr>
        <w:t>In its 6th year of implementation, Horizon 2020 performed solidly. While in the early years of implementation it was only possible to observe it</w:t>
      </w:r>
      <w:r>
        <w:rPr>
          <w:noProof/>
        </w:rPr>
        <w:t>s direct output (number of grants, excellence of proposals), the programme is now demonstrating its first outcomes and results (patents awarded, highly cited research). The very long policy cycle of research and innovation also means long procedures for pa</w:t>
      </w:r>
      <w:r>
        <w:rPr>
          <w:noProof/>
        </w:rPr>
        <w:t>pers to be published and actively cited, and for patents to be awarded. Therefore, only in recent years has the programme been able to show increasingly good results. Horizon 2020’s synergies with other programmes (e.g. support for the development of appli</w:t>
      </w:r>
      <w:r>
        <w:rPr>
          <w:noProof/>
        </w:rPr>
        <w:t>cations of Copernicus) and its ability to direct funds to the most significant health crises (e.g. coronavirus, Ebola, Zika) and political priorities (the European Green Deal) make the programme’s flexibility one of its positive features.</w:t>
      </w:r>
    </w:p>
    <w:p w:rsidR="0060634A" w:rsidRDefault="00F76D44">
      <w:pPr>
        <w:pStyle w:val="PPOBlackBULLETS-L1"/>
        <w:rPr>
          <w:noProof/>
        </w:rPr>
      </w:pPr>
      <w:r>
        <w:rPr>
          <w:noProof/>
        </w:rPr>
        <w:t>The pillar of exc</w:t>
      </w:r>
      <w:r>
        <w:rPr>
          <w:noProof/>
        </w:rPr>
        <w:t>ellent science is likely to meet its targets. Horizon 2020 is succeeding in attracting and involving the best research institutions and researchers in the EU and in the world. Since 2014, 5</w:t>
      </w:r>
      <w:r>
        <w:rPr>
          <w:rFonts w:ascii="Calibri" w:hAnsi="Calibri" w:cs="Calibri"/>
          <w:noProof/>
        </w:rPr>
        <w:t> </w:t>
      </w:r>
      <w:r>
        <w:rPr>
          <w:noProof/>
        </w:rPr>
        <w:t>522 high-quality research projects have been funded by the Europea</w:t>
      </w:r>
      <w:r>
        <w:rPr>
          <w:noProof/>
        </w:rPr>
        <w:t>n Research Council via Horizon 2020. The share of publications from these projects that feature among the top 1% of citations remains high, at about 7%, considerably exceeding the target of 1.8% (indicator</w:t>
      </w:r>
      <w:r>
        <w:rPr>
          <w:rFonts w:ascii="Calibri" w:hAnsi="Calibri" w:cs="Calibri"/>
          <w:noProof/>
        </w:rPr>
        <w:t> </w:t>
      </w:r>
      <w:r>
        <w:rPr>
          <w:noProof/>
        </w:rPr>
        <w:t>1). Thanks to Horizon 2020 support, researchers in</w:t>
      </w:r>
      <w:r>
        <w:rPr>
          <w:noProof/>
        </w:rPr>
        <w:t xml:space="preserve"> the EU and beyond have obtained access to many national research infrastructures: 49</w:t>
      </w:r>
      <w:r>
        <w:rPr>
          <w:rFonts w:ascii="Calibri" w:hAnsi="Calibri" w:cs="Calibri"/>
          <w:noProof/>
        </w:rPr>
        <w:t> </w:t>
      </w:r>
      <w:r>
        <w:rPr>
          <w:noProof/>
        </w:rPr>
        <w:t>645 researchers have had access to e-research infrastructure and 8</w:t>
      </w:r>
      <w:r>
        <w:rPr>
          <w:rFonts w:ascii="Calibri" w:hAnsi="Calibri" w:cs="Calibri"/>
          <w:noProof/>
        </w:rPr>
        <w:t> </w:t>
      </w:r>
      <w:r>
        <w:rPr>
          <w:noProof/>
        </w:rPr>
        <w:t>534 researchers have had remote or physical access to research infrastructure (indicator</w:t>
      </w:r>
      <w:r>
        <w:rPr>
          <w:rFonts w:ascii="Calibri" w:hAnsi="Calibri" w:cs="Calibri"/>
          <w:noProof/>
        </w:rPr>
        <w:t> </w:t>
      </w:r>
      <w:r>
        <w:rPr>
          <w:noProof/>
        </w:rPr>
        <w:t>4).</w:t>
      </w:r>
    </w:p>
    <w:p w:rsidR="0060634A" w:rsidRDefault="00F76D44">
      <w:pPr>
        <w:pStyle w:val="PPOBlackBULLETS-L1"/>
        <w:rPr>
          <w:noProof/>
        </w:rPr>
      </w:pPr>
      <w:r>
        <w:rPr>
          <w:noProof/>
        </w:rPr>
        <w:t>The action</w:t>
      </w:r>
      <w:r>
        <w:rPr>
          <w:noProof/>
        </w:rPr>
        <w:t>s under the industrial leadership pillar are progressing well. The projects in the ‘leadership in enabling and industrial technologies’ strand have already produced numerous outputs, such as patents (308 applications and 212 awarded); more than 5 700 publi</w:t>
      </w:r>
      <w:r>
        <w:rPr>
          <w:noProof/>
        </w:rPr>
        <w:t>c–private publications; and innovations by 15</w:t>
      </w:r>
      <w:r>
        <w:rPr>
          <w:rFonts w:ascii="Calibri" w:hAnsi="Calibri" w:cs="Calibri"/>
          <w:noProof/>
        </w:rPr>
        <w:t> </w:t>
      </w:r>
      <w:r>
        <w:rPr>
          <w:noProof/>
        </w:rPr>
        <w:t>434 firms with the potential to generate scientific breakthroughs. Under the access to risk finance programme, more than 23 000 organisations have been funded. This is above the target of 5</w:t>
      </w:r>
      <w:r>
        <w:rPr>
          <w:rFonts w:ascii="Calibri" w:hAnsi="Calibri" w:cs="Calibri"/>
          <w:noProof/>
        </w:rPr>
        <w:t> </w:t>
      </w:r>
      <w:r>
        <w:rPr>
          <w:noProof/>
        </w:rPr>
        <w:t>000, with EUR</w:t>
      </w:r>
      <w:r>
        <w:rPr>
          <w:rFonts w:ascii="Calibri" w:hAnsi="Calibri" w:cs="Calibri"/>
          <w:noProof/>
        </w:rPr>
        <w:t> </w:t>
      </w:r>
      <w:r>
        <w:rPr>
          <w:noProof/>
        </w:rPr>
        <w:t>29 bil</w:t>
      </w:r>
      <w:r>
        <w:rPr>
          <w:noProof/>
        </w:rPr>
        <w:t>lion of private funds leveraged. Total investments mobilised via debt financing and venture capital investments stand at EUR 54 billion (indicators</w:t>
      </w:r>
      <w:r>
        <w:rPr>
          <w:rFonts w:ascii="Calibri" w:hAnsi="Calibri" w:cs="Calibri"/>
          <w:noProof/>
        </w:rPr>
        <w:t> </w:t>
      </w:r>
      <w:r>
        <w:rPr>
          <w:noProof/>
        </w:rPr>
        <w:t>5 and 6), confirming the high quality of the projects selected and the market attractiveness.</w:t>
      </w:r>
    </w:p>
    <w:p w:rsidR="0060634A" w:rsidRDefault="00F76D44">
      <w:pPr>
        <w:pStyle w:val="PPOBlackBULLETS-L1"/>
        <w:rPr>
          <w:noProof/>
        </w:rPr>
      </w:pPr>
      <w:r>
        <w:rPr>
          <w:noProof/>
        </w:rPr>
        <w:t>The progress o</w:t>
      </w:r>
      <w:r>
        <w:rPr>
          <w:noProof/>
        </w:rPr>
        <w:t>f the societal challenges pillar is encouraging, having already generated more than 6</w:t>
      </w:r>
      <w:r>
        <w:rPr>
          <w:rFonts w:ascii="Calibri" w:hAnsi="Calibri" w:cs="Calibri"/>
          <w:noProof/>
        </w:rPr>
        <w:t> </w:t>
      </w:r>
      <w:r>
        <w:rPr>
          <w:noProof/>
        </w:rPr>
        <w:t>000 high impact peer-reviewed publications; about 5</w:t>
      </w:r>
      <w:r>
        <w:rPr>
          <w:rFonts w:ascii="Calibri" w:hAnsi="Calibri" w:cs="Calibri"/>
          <w:noProof/>
        </w:rPr>
        <w:t> </w:t>
      </w:r>
      <w:r>
        <w:rPr>
          <w:noProof/>
        </w:rPr>
        <w:t>200 public–private publications; 700 patent applications (not yet awarded) and 344 patents awarded; and 44</w:t>
      </w:r>
      <w:r>
        <w:rPr>
          <w:rFonts w:ascii="Calibri" w:hAnsi="Calibri" w:cs="Calibri"/>
          <w:noProof/>
        </w:rPr>
        <w:t> </w:t>
      </w:r>
      <w:r>
        <w:rPr>
          <w:noProof/>
        </w:rPr>
        <w:t>000 innovat</w:t>
      </w:r>
      <w:r>
        <w:rPr>
          <w:noProof/>
        </w:rPr>
        <w:t>ions that include prototypes and testing activities.</w:t>
      </w:r>
    </w:p>
    <w:p w:rsidR="0060634A" w:rsidRDefault="00F76D44">
      <w:pPr>
        <w:pStyle w:val="PPOBlackBULLETS-L1"/>
        <w:rPr>
          <w:noProof/>
        </w:rPr>
      </w:pPr>
      <w:r>
        <w:rPr>
          <w:noProof/>
        </w:rPr>
        <w:t>In 2019, 303 tangible specific impacts on European policies resulting from technical and scientific support were reported by the Joint Research Centre, which generated 522 peer-reviewed publications in h</w:t>
      </w:r>
      <w:r>
        <w:rPr>
          <w:noProof/>
        </w:rPr>
        <w:t>igh-impact journals. This exceeds the target of 500 for peer-reviewed publications and almost reached the yearly target of 330 for specific impacts, while delivering successfully on EU priorities (indicator</w:t>
      </w:r>
      <w:r>
        <w:rPr>
          <w:rFonts w:ascii="Calibri" w:hAnsi="Calibri" w:cs="Calibri"/>
          <w:noProof/>
        </w:rPr>
        <w:t> </w:t>
      </w:r>
      <w:r>
        <w:rPr>
          <w:noProof/>
        </w:rPr>
        <w:t>8).</w:t>
      </w:r>
    </w:p>
    <w:p w:rsidR="0060634A" w:rsidRDefault="00F76D44">
      <w:pPr>
        <w:pStyle w:val="PPOBlackBULLETS-L1"/>
        <w:keepLines/>
        <w:rPr>
          <w:noProof/>
        </w:rPr>
      </w:pPr>
      <w:r>
        <w:rPr>
          <w:noProof/>
        </w:rPr>
        <w:t>The performance of the joint undertakings set</w:t>
      </w:r>
      <w:r>
        <w:rPr>
          <w:noProof/>
        </w:rPr>
        <w:t xml:space="preserve"> up under Horizon 2020 is in general be considered to be positive, as reported by the European Court of Auditors in its annual report on EU joint undertakings for 2018. However, they were advised to improve the link between research and societal growth, an</w:t>
      </w:r>
      <w:r>
        <w:rPr>
          <w:noProof/>
        </w:rPr>
        <w:t>d bring innovation closer to the market. The Court of Auditors confirmed that the joint undertakings’ financial management is healthy, but said that in-kind contributions, internal control, grant management and staff turnover need to be improved.</w:t>
      </w:r>
    </w:p>
    <w:p w:rsidR="0060634A" w:rsidRDefault="00F76D44">
      <w:pPr>
        <w:pStyle w:val="PPOBlackBULLETS-L1"/>
        <w:rPr>
          <w:noProof/>
        </w:rPr>
      </w:pPr>
      <w:r>
        <w:rPr>
          <w:noProof/>
        </w:rPr>
        <w:t>As far as</w:t>
      </w:r>
      <w:r>
        <w:rPr>
          <w:noProof/>
        </w:rPr>
        <w:t xml:space="preserve"> the European Institute of Innovation and Technology is concerned, 1</w:t>
      </w:r>
      <w:r>
        <w:rPr>
          <w:rFonts w:ascii="Calibri" w:hAnsi="Calibri" w:cs="Calibri"/>
          <w:noProof/>
        </w:rPr>
        <w:t> </w:t>
      </w:r>
      <w:r>
        <w:rPr>
          <w:noProof/>
        </w:rPr>
        <w:t>650 university, business and research organisations are integrated in the knowledge and innovation communities, above the target of 1</w:t>
      </w:r>
      <w:r>
        <w:rPr>
          <w:rFonts w:ascii="Calibri" w:hAnsi="Calibri" w:cs="Calibri"/>
          <w:noProof/>
        </w:rPr>
        <w:t> </w:t>
      </w:r>
      <w:r>
        <w:rPr>
          <w:noProof/>
        </w:rPr>
        <w:t xml:space="preserve">200. Collaboration within the knowledge triangle </w:t>
      </w:r>
      <w:r>
        <w:rPr>
          <w:noProof/>
        </w:rPr>
        <w:t>leading to the development of innovative products, services and processes is on track to achieve its innovation target and slightly behind in meeting the start-up and spin-off target (indicator 9).</w:t>
      </w:r>
    </w:p>
    <w:p w:rsidR="0060634A" w:rsidRDefault="00F76D44">
      <w:pPr>
        <w:pStyle w:val="PPOBlackBULLETS-L1"/>
        <w:rPr>
          <w:noProof/>
        </w:rPr>
      </w:pPr>
      <w:r>
        <w:rPr>
          <w:noProof/>
        </w:rPr>
        <w:t xml:space="preserve">The tracking of expenditure for climate change shows that </w:t>
      </w:r>
      <w:r>
        <w:rPr>
          <w:noProof/>
        </w:rPr>
        <w:t>this had fallen below the expectations. This is due to the bottom-up parts of Horizon 2020, since their content is unpredictable in nature, and can be difficult to assess at the time of the research. However, a call with a budget of EUR 1 billion dedicated</w:t>
      </w:r>
      <w:r>
        <w:rPr>
          <w:noProof/>
        </w:rPr>
        <w:t xml:space="preserve"> to the European Green Deal will be launched in 2020. This will considerably raise the level of expenditure on climate action.</w:t>
      </w:r>
    </w:p>
    <w:p w:rsidR="0060634A" w:rsidRDefault="00F76D44">
      <w:pPr>
        <w:pStyle w:val="PPOBlackBULLETS-L1"/>
        <w:rPr>
          <w:noProof/>
        </w:rPr>
      </w:pPr>
      <w:r>
        <w:rPr>
          <w:noProof/>
        </w:rPr>
        <w:t>To reinforce and facilitate knowledge sharing and evidence-based policymaking, the programme’s common support centre has develope</w:t>
      </w:r>
      <w:r>
        <w:rPr>
          <w:noProof/>
        </w:rPr>
        <w:t>d a dashboard that provides reporting on 18 of the 23 Horizon 2020 indicators.</w:t>
      </w:r>
      <w:r>
        <w:rPr>
          <w:rFonts w:ascii="Calibri" w:hAnsi="Calibri" w:cs="Calibri"/>
          <w:noProof/>
        </w:rPr>
        <w:t> </w:t>
      </w:r>
      <w:r>
        <w:rPr>
          <w:noProof/>
        </w:rPr>
        <w:t>The dashboard is open to all and provides more transparency in the spending of the EU’s research and innovation budget (</w:t>
      </w:r>
      <w:hyperlink r:id="rId208" w:history="1">
        <w:r>
          <w:rPr>
            <w:rStyle w:val="PPOChar-Hyperlink"/>
          </w:rPr>
          <w:t>https://europa.</w:t>
        </w:r>
        <w:r>
          <w:rPr>
            <w:rStyle w:val="PPOChar-Hyperlink"/>
          </w:rPr>
          <w:t>eu/!DF83FM</w:t>
        </w:r>
      </w:hyperlink>
      <w:r>
        <w:rPr>
          <w:noProof/>
        </w:rPr>
        <w:t>).</w:t>
      </w:r>
    </w:p>
    <w:p w:rsidR="0060634A" w:rsidRDefault="00F76D44">
      <w:pPr>
        <w:pStyle w:val="PPOBlackBULLETS-L1"/>
        <w:rPr>
          <w:noProof/>
        </w:rPr>
      </w:pPr>
      <w:r>
        <w:rPr>
          <w:noProof/>
        </w:rPr>
        <w:t>The next programme, Horizon Europe, will tackle some of the known issues related to performance, such as the lack of interdisciplinarity and the need to increase the focus on innovation.</w:t>
      </w:r>
    </w:p>
    <w:p w:rsidR="0060634A" w:rsidRDefault="00F76D44">
      <w:pPr>
        <w:pStyle w:val="PPOBlackBULLETS-L1"/>
        <w:rPr>
          <w:noProof/>
        </w:rPr>
      </w:pPr>
      <w:r>
        <w:rPr>
          <w:noProof/>
        </w:rPr>
        <w:t>The mission-driven approach will tackle the key societal</w:t>
      </w:r>
      <w:r>
        <w:rPr>
          <w:noProof/>
        </w:rPr>
        <w:t xml:space="preserve"> challenges with a more holistic approach, linking these challenges to a broad range of stakeholders as well as to citizens, supporting wider outreach for the programme and creating synergies among the different sectors involved. The five mission areas are</w:t>
      </w:r>
      <w:r>
        <w:rPr>
          <w:noProof/>
        </w:rPr>
        <w:t>: adaptation to climate change including societal transformation; cancer; healthy oceans, seas and coastal and inland waters; climate-neutral and smart cities; and health, soil and food.</w:t>
      </w:r>
    </w:p>
    <w:p w:rsidR="0060634A" w:rsidRDefault="00F76D44">
      <w:pPr>
        <w:pStyle w:val="PPOBlackBULLETS-L1"/>
        <w:rPr>
          <w:noProof/>
        </w:rPr>
      </w:pPr>
      <w:r>
        <w:rPr>
          <w:noProof/>
        </w:rPr>
        <w:t>The European Innovation Council is another key new feature of Horizon</w:t>
      </w:r>
      <w:r>
        <w:rPr>
          <w:noProof/>
        </w:rPr>
        <w:t xml:space="preserve"> Europe, building on the experience gained with the pilot under Horizon 2020; it will be a one-stop shop for innovation to bring the most promising ideas and breakthrough innovations from the laboratory to real-world application and to help the most innova</w:t>
      </w:r>
      <w:r>
        <w:rPr>
          <w:noProof/>
        </w:rPr>
        <w:t>tive start-ups and companies to scale up.</w:t>
      </w:r>
      <w:r>
        <w:rPr>
          <w:rFonts w:ascii="Calibri" w:hAnsi="Calibri" w:cs="Calibri"/>
          <w:noProof/>
        </w:rPr>
        <w:t> </w:t>
      </w:r>
      <w:r>
        <w:rPr>
          <w:noProof/>
        </w:rPr>
        <w:t xml:space="preserve"> An enhanced pilot phase was launched in March 2019. It introduces targeted calls for future and emerging technologies under the ‘pathfinder pilot’, employing external programme managers for the flexible management</w:t>
      </w:r>
      <w:r>
        <w:rPr>
          <w:noProof/>
        </w:rPr>
        <w:t xml:space="preserve"> of the portfolio of projects, and the possibility of applying for blended finance (a combination of grant and equity) under the ‘accelerator pilot’.</w:t>
      </w:r>
    </w:p>
    <w:p w:rsidR="0060634A" w:rsidRDefault="00F76D44">
      <w:pPr>
        <w:pStyle w:val="PPOTitle3"/>
        <w:rPr>
          <w:rFonts w:eastAsiaTheme="minorEastAsia"/>
        </w:rPr>
      </w:pPr>
      <w:r>
        <w:rPr>
          <w:rFonts w:eastAsiaTheme="minorEastAsia"/>
        </w:rPr>
        <w:t>Concrete examples of achievements</w:t>
      </w:r>
    </w:p>
    <w:tbl>
      <w:tblPr>
        <w:tblStyle w:val="TableGrid"/>
        <w:tblW w:w="10773" w:type="dxa"/>
        <w:jc w:val="center"/>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1213"/>
        <w:gridCol w:w="1855"/>
        <w:gridCol w:w="1569"/>
        <w:gridCol w:w="1712"/>
        <w:gridCol w:w="1428"/>
        <w:gridCol w:w="1319"/>
        <w:gridCol w:w="1677"/>
      </w:tblGrid>
      <w:tr w:rsidR="0060634A">
        <w:trPr>
          <w:trHeight w:val="128"/>
          <w:jc w:val="center"/>
        </w:trPr>
        <w:tc>
          <w:tcPr>
            <w:tcW w:w="1205" w:type="dxa"/>
            <w:tcBorders>
              <w:top w:val="nil"/>
              <w:left w:val="nil"/>
              <w:bottom w:val="single" w:sz="8" w:space="0" w:color="FFFFFF" w:themeColor="background1"/>
              <w:right w:val="single" w:sz="8" w:space="0" w:color="FFFFFF" w:themeColor="background1"/>
            </w:tcBorders>
            <w:shd w:val="clear" w:color="auto" w:fill="00ADDC"/>
            <w:hideMark/>
          </w:tcPr>
          <w:p w:rsidR="0060634A" w:rsidRDefault="00F76D44">
            <w:pPr>
              <w:pStyle w:val="PPOExamplesTABLEHeader"/>
              <w:rPr>
                <w:rFonts w:eastAsiaTheme="minorEastAsia"/>
              </w:rPr>
            </w:pPr>
            <w:r>
              <w:rPr>
                <w:rFonts w:eastAsiaTheme="minorEastAsia"/>
              </w:rPr>
              <w:t xml:space="preserve">7 </w:t>
            </w:r>
          </w:p>
        </w:tc>
        <w:tc>
          <w:tcPr>
            <w:tcW w:w="1843" w:type="dxa"/>
            <w:tcBorders>
              <w:top w:val="nil"/>
              <w:left w:val="single" w:sz="8" w:space="0" w:color="FFFFFF" w:themeColor="background1"/>
              <w:bottom w:val="single" w:sz="8" w:space="0" w:color="FFFFFF" w:themeColor="background1"/>
              <w:right w:val="single" w:sz="8" w:space="0" w:color="FFFFFF" w:themeColor="background1"/>
            </w:tcBorders>
            <w:shd w:val="clear" w:color="auto" w:fill="00ADDC"/>
            <w:hideMark/>
          </w:tcPr>
          <w:p w:rsidR="0060634A" w:rsidRDefault="00F76D44">
            <w:pPr>
              <w:pStyle w:val="PPOExamplesTABLEHeader"/>
              <w:rPr>
                <w:rFonts w:eastAsiaTheme="minorEastAsia"/>
              </w:rPr>
            </w:pPr>
            <w:r>
              <w:rPr>
                <w:rFonts w:eastAsiaTheme="minorEastAsia"/>
              </w:rPr>
              <w:t xml:space="preserve">58 200 </w:t>
            </w:r>
          </w:p>
        </w:tc>
        <w:tc>
          <w:tcPr>
            <w:tcW w:w="1559" w:type="dxa"/>
            <w:tcBorders>
              <w:top w:val="nil"/>
              <w:left w:val="single" w:sz="8" w:space="0" w:color="FFFFFF" w:themeColor="background1"/>
              <w:bottom w:val="single" w:sz="8" w:space="0" w:color="FFFFFF" w:themeColor="background1"/>
              <w:right w:val="single" w:sz="8" w:space="0" w:color="FFFFFF" w:themeColor="background1"/>
            </w:tcBorders>
            <w:shd w:val="clear" w:color="auto" w:fill="00ADDC"/>
            <w:hideMark/>
          </w:tcPr>
          <w:p w:rsidR="0060634A" w:rsidRDefault="00F76D44">
            <w:pPr>
              <w:pStyle w:val="PPOExamplesTABLEHeader"/>
              <w:rPr>
                <w:rFonts w:eastAsiaTheme="minorEastAsia"/>
              </w:rPr>
            </w:pPr>
            <w:r>
              <w:rPr>
                <w:rFonts w:eastAsiaTheme="minorEastAsia"/>
              </w:rPr>
              <w:t xml:space="preserve">49 645 </w:t>
            </w:r>
          </w:p>
        </w:tc>
        <w:tc>
          <w:tcPr>
            <w:tcW w:w="1701" w:type="dxa"/>
            <w:tcBorders>
              <w:top w:val="nil"/>
              <w:left w:val="single" w:sz="8" w:space="0" w:color="FFFFFF" w:themeColor="background1"/>
              <w:bottom w:val="single" w:sz="8" w:space="0" w:color="FFFFFF" w:themeColor="background1"/>
              <w:right w:val="single" w:sz="8" w:space="0" w:color="FFFFFF" w:themeColor="background1"/>
            </w:tcBorders>
            <w:shd w:val="clear" w:color="auto" w:fill="00ADDC"/>
            <w:hideMark/>
          </w:tcPr>
          <w:p w:rsidR="0060634A" w:rsidRDefault="00F76D44">
            <w:pPr>
              <w:pStyle w:val="PPOExamplesTABLEHeader"/>
              <w:rPr>
                <w:rFonts w:eastAsiaTheme="minorEastAsia"/>
              </w:rPr>
            </w:pPr>
            <w:r>
              <w:rPr>
                <w:rFonts w:eastAsiaTheme="minorEastAsia"/>
              </w:rPr>
              <w:t>136 935</w:t>
            </w:r>
          </w:p>
        </w:tc>
        <w:tc>
          <w:tcPr>
            <w:tcW w:w="1419" w:type="dxa"/>
            <w:tcBorders>
              <w:top w:val="nil"/>
              <w:left w:val="single" w:sz="8" w:space="0" w:color="FFFFFF" w:themeColor="background1"/>
              <w:bottom w:val="single" w:sz="8" w:space="0" w:color="FFFFFF" w:themeColor="background1"/>
              <w:right w:val="single" w:sz="8" w:space="0" w:color="FFFFFF" w:themeColor="background1"/>
            </w:tcBorders>
            <w:shd w:val="clear" w:color="auto" w:fill="00ADDC"/>
            <w:hideMark/>
          </w:tcPr>
          <w:p w:rsidR="0060634A" w:rsidRDefault="00F76D44">
            <w:pPr>
              <w:pStyle w:val="PPOExamplesTABLEHeader"/>
              <w:rPr>
                <w:rFonts w:eastAsiaTheme="minorEastAsia"/>
              </w:rPr>
            </w:pPr>
            <w:r>
              <w:rPr>
                <w:rFonts w:eastAsiaTheme="minorEastAsia"/>
              </w:rPr>
              <w:t xml:space="preserve">1 857 </w:t>
            </w:r>
          </w:p>
        </w:tc>
        <w:tc>
          <w:tcPr>
            <w:tcW w:w="1311" w:type="dxa"/>
            <w:tcBorders>
              <w:top w:val="nil"/>
              <w:left w:val="single" w:sz="8" w:space="0" w:color="FFFFFF" w:themeColor="background1"/>
              <w:bottom w:val="single" w:sz="8" w:space="0" w:color="FFFFFF" w:themeColor="background1"/>
              <w:right w:val="single" w:sz="8" w:space="0" w:color="FFFFFF" w:themeColor="background1"/>
            </w:tcBorders>
            <w:shd w:val="clear" w:color="auto" w:fill="00ADDC"/>
            <w:hideMark/>
          </w:tcPr>
          <w:p w:rsidR="0060634A" w:rsidRDefault="00F76D44">
            <w:pPr>
              <w:pStyle w:val="PPOExamplesTABLEHeader"/>
              <w:rPr>
                <w:rFonts w:eastAsiaTheme="minorEastAsia"/>
              </w:rPr>
            </w:pPr>
            <w:r>
              <w:rPr>
                <w:rFonts w:eastAsiaTheme="minorEastAsia"/>
              </w:rPr>
              <w:t>138 055</w:t>
            </w:r>
          </w:p>
        </w:tc>
        <w:tc>
          <w:tcPr>
            <w:tcW w:w="1666" w:type="dxa"/>
            <w:tcBorders>
              <w:top w:val="nil"/>
              <w:left w:val="single" w:sz="8" w:space="0" w:color="FFFFFF" w:themeColor="background1"/>
              <w:bottom w:val="single" w:sz="8" w:space="0" w:color="FFFFFF" w:themeColor="background1"/>
              <w:right w:val="nil"/>
            </w:tcBorders>
            <w:shd w:val="clear" w:color="auto" w:fill="00ADDC"/>
            <w:hideMark/>
          </w:tcPr>
          <w:p w:rsidR="0060634A" w:rsidRDefault="00F76D44">
            <w:pPr>
              <w:pStyle w:val="PPOExamplesTABLEHeader"/>
              <w:rPr>
                <w:rFonts w:eastAsiaTheme="minorEastAsia"/>
              </w:rPr>
            </w:pPr>
            <w:r>
              <w:rPr>
                <w:rFonts w:eastAsiaTheme="minorEastAsia"/>
              </w:rPr>
              <w:t xml:space="preserve">EUR 13 billion </w:t>
            </w:r>
          </w:p>
        </w:tc>
      </w:tr>
      <w:tr w:rsidR="0060634A">
        <w:trPr>
          <w:trHeight w:val="1221"/>
          <w:jc w:val="center"/>
        </w:trPr>
        <w:tc>
          <w:tcPr>
            <w:tcW w:w="1205" w:type="dxa"/>
            <w:tcBorders>
              <w:top w:val="single" w:sz="8" w:space="0" w:color="FFFFFF" w:themeColor="background1"/>
              <w:left w:val="nil"/>
              <w:bottom w:val="nil"/>
              <w:right w:val="single" w:sz="8" w:space="0" w:color="FFFFFF" w:themeColor="background1"/>
            </w:tcBorders>
            <w:shd w:val="clear" w:color="auto" w:fill="DCE6F2"/>
            <w:hideMark/>
          </w:tcPr>
          <w:p w:rsidR="0060634A" w:rsidRDefault="00F76D44">
            <w:pPr>
              <w:pStyle w:val="PPOExamplesTABLEText"/>
              <w:spacing w:line="240" w:lineRule="auto"/>
              <w:rPr>
                <w:noProof/>
                <w:lang w:val="en-GB"/>
              </w:rPr>
            </w:pPr>
            <w:r>
              <w:rPr>
                <w:noProof/>
                <w:lang w:val="en-GB"/>
              </w:rPr>
              <w:t xml:space="preserve">Nobel Prizes </w:t>
            </w:r>
            <w:r>
              <w:rPr>
                <w:noProof/>
                <w:lang w:val="en-GB"/>
              </w:rPr>
              <w:t>have so far been funded by the European Research Council.</w:t>
            </w:r>
          </w:p>
        </w:tc>
        <w:tc>
          <w:tcPr>
            <w:tcW w:w="1843" w:type="dxa"/>
            <w:tcBorders>
              <w:top w:val="single" w:sz="8" w:space="0" w:color="FFFFFF" w:themeColor="background1"/>
              <w:left w:val="single" w:sz="8" w:space="0" w:color="FFFFFF" w:themeColor="background1"/>
              <w:bottom w:val="nil"/>
              <w:right w:val="single" w:sz="8" w:space="0" w:color="FFFFFF" w:themeColor="background1"/>
            </w:tcBorders>
            <w:shd w:val="clear" w:color="auto" w:fill="DCE6F2"/>
            <w:hideMark/>
          </w:tcPr>
          <w:p w:rsidR="0060634A" w:rsidRDefault="00F76D44">
            <w:pPr>
              <w:pStyle w:val="PPOExamplesTABLEText"/>
              <w:spacing w:line="240" w:lineRule="auto"/>
              <w:rPr>
                <w:noProof/>
                <w:lang w:val="en-GB"/>
              </w:rPr>
            </w:pPr>
            <w:r>
              <w:rPr>
                <w:noProof/>
                <w:lang w:val="en-GB"/>
              </w:rPr>
              <w:t>researchers supported by the Marie Sklodowska-Curie actions dedicated to cross-sector and cross-country mobility of researchers.</w:t>
            </w:r>
          </w:p>
        </w:tc>
        <w:tc>
          <w:tcPr>
            <w:tcW w:w="1559" w:type="dxa"/>
            <w:tcBorders>
              <w:top w:val="single" w:sz="8" w:space="0" w:color="FFFFFF" w:themeColor="background1"/>
              <w:left w:val="single" w:sz="8" w:space="0" w:color="FFFFFF" w:themeColor="background1"/>
              <w:bottom w:val="nil"/>
              <w:right w:val="single" w:sz="8" w:space="0" w:color="FFFFFF" w:themeColor="background1"/>
            </w:tcBorders>
            <w:shd w:val="clear" w:color="auto" w:fill="DCE6F2"/>
            <w:hideMark/>
          </w:tcPr>
          <w:p w:rsidR="0060634A" w:rsidRDefault="00F76D44">
            <w:pPr>
              <w:pStyle w:val="PPOExamplesTABLEText"/>
              <w:spacing w:line="240" w:lineRule="auto"/>
              <w:rPr>
                <w:noProof/>
                <w:lang w:val="en-GB"/>
              </w:rPr>
            </w:pPr>
            <w:r>
              <w:rPr>
                <w:noProof/>
                <w:lang w:val="en-GB"/>
              </w:rPr>
              <w:t>researchers have access to research e-infrastructures through the pro</w:t>
            </w:r>
            <w:r>
              <w:rPr>
                <w:noProof/>
                <w:lang w:val="en-GB"/>
              </w:rPr>
              <w:t>gramme, and   8 325 researchers have access to research infrastructures.</w:t>
            </w:r>
          </w:p>
        </w:tc>
        <w:tc>
          <w:tcPr>
            <w:tcW w:w="1701" w:type="dxa"/>
            <w:tcBorders>
              <w:top w:val="single" w:sz="8" w:space="0" w:color="FFFFFF" w:themeColor="background1"/>
              <w:left w:val="single" w:sz="8" w:space="0" w:color="FFFFFF" w:themeColor="background1"/>
              <w:bottom w:val="nil"/>
              <w:right w:val="single" w:sz="8" w:space="0" w:color="FFFFFF" w:themeColor="background1"/>
            </w:tcBorders>
            <w:shd w:val="clear" w:color="auto" w:fill="DCE6F2"/>
            <w:hideMark/>
          </w:tcPr>
          <w:p w:rsidR="0060634A" w:rsidRDefault="00F76D44">
            <w:pPr>
              <w:pStyle w:val="PPOExamplesTABLEText"/>
              <w:spacing w:line="240" w:lineRule="auto"/>
              <w:rPr>
                <w:noProof/>
                <w:lang w:val="en-GB"/>
              </w:rPr>
            </w:pPr>
            <w:r>
              <w:rPr>
                <w:noProof/>
                <w:lang w:val="en-GB"/>
              </w:rPr>
              <w:t>publications in peer reviewed journals, of which 24 725 public-private publications; and             43 530 in peer reviewed high impact journals.</w:t>
            </w:r>
          </w:p>
        </w:tc>
        <w:tc>
          <w:tcPr>
            <w:tcW w:w="1419" w:type="dxa"/>
            <w:tcBorders>
              <w:top w:val="single" w:sz="8" w:space="0" w:color="FFFFFF" w:themeColor="background1"/>
              <w:left w:val="single" w:sz="8" w:space="0" w:color="FFFFFF" w:themeColor="background1"/>
              <w:bottom w:val="nil"/>
              <w:right w:val="single" w:sz="8" w:space="0" w:color="FFFFFF" w:themeColor="background1"/>
            </w:tcBorders>
            <w:shd w:val="clear" w:color="auto" w:fill="DCE6F2"/>
            <w:hideMark/>
          </w:tcPr>
          <w:p w:rsidR="0060634A" w:rsidRDefault="00F76D44">
            <w:pPr>
              <w:pStyle w:val="PPOExamplesTABLEText"/>
              <w:spacing w:line="240" w:lineRule="auto"/>
              <w:rPr>
                <w:noProof/>
                <w:lang w:val="en-GB"/>
              </w:rPr>
            </w:pPr>
            <w:r>
              <w:rPr>
                <w:noProof/>
                <w:lang w:val="en-GB"/>
              </w:rPr>
              <w:t xml:space="preserve">patents applications (not awarded) </w:t>
            </w:r>
            <w:r>
              <w:rPr>
                <w:noProof/>
                <w:lang w:val="en-GB"/>
              </w:rPr>
              <w:t>after receiving financing from the programme and 771 patents awarded.</w:t>
            </w:r>
          </w:p>
        </w:tc>
        <w:tc>
          <w:tcPr>
            <w:tcW w:w="1311" w:type="dxa"/>
            <w:tcBorders>
              <w:top w:val="single" w:sz="8" w:space="0" w:color="FFFFFF" w:themeColor="background1"/>
              <w:left w:val="single" w:sz="8" w:space="0" w:color="FFFFFF" w:themeColor="background1"/>
              <w:bottom w:val="nil"/>
              <w:right w:val="single" w:sz="8" w:space="0" w:color="FFFFFF" w:themeColor="background1"/>
            </w:tcBorders>
            <w:shd w:val="clear" w:color="auto" w:fill="DCE6F2"/>
            <w:hideMark/>
          </w:tcPr>
          <w:p w:rsidR="0060634A" w:rsidRDefault="00F76D44">
            <w:pPr>
              <w:pStyle w:val="PPOExamplesTABLEText"/>
              <w:spacing w:line="240" w:lineRule="auto"/>
              <w:rPr>
                <w:noProof/>
                <w:lang w:val="en-GB"/>
              </w:rPr>
            </w:pPr>
            <w:r>
              <w:rPr>
                <w:noProof/>
                <w:lang w:val="en-GB"/>
              </w:rPr>
              <w:t>prototypes, clinical trials and testing activities supported by the programme.</w:t>
            </w:r>
          </w:p>
        </w:tc>
        <w:tc>
          <w:tcPr>
            <w:tcW w:w="1666" w:type="dxa"/>
            <w:tcBorders>
              <w:top w:val="single" w:sz="8" w:space="0" w:color="FFFFFF" w:themeColor="background1"/>
              <w:left w:val="single" w:sz="8" w:space="0" w:color="FFFFFF" w:themeColor="background1"/>
              <w:bottom w:val="nil"/>
              <w:right w:val="nil"/>
            </w:tcBorders>
            <w:shd w:val="clear" w:color="auto" w:fill="DCE6F2"/>
            <w:hideMark/>
          </w:tcPr>
          <w:p w:rsidR="0060634A" w:rsidRDefault="00F76D44">
            <w:pPr>
              <w:pStyle w:val="PPOExamplesTABLEText"/>
              <w:spacing w:line="240" w:lineRule="auto"/>
              <w:rPr>
                <w:noProof/>
                <w:lang w:val="en-GB"/>
              </w:rPr>
            </w:pPr>
            <w:r>
              <w:rPr>
                <w:noProof/>
                <w:lang w:val="en-GB"/>
              </w:rPr>
              <w:t>in private funds has been leveraged by the programme.</w:t>
            </w:r>
          </w:p>
        </w:tc>
      </w:tr>
    </w:tbl>
    <w:p w:rsidR="0060634A" w:rsidRDefault="00F76D44">
      <w:pPr>
        <w:pStyle w:val="PPOBlackBULLETS-L1"/>
        <w:spacing w:before="240"/>
        <w:rPr>
          <w:noProof/>
        </w:rPr>
      </w:pPr>
      <w:r>
        <w:rPr>
          <w:noProof/>
        </w:rPr>
        <w:t xml:space="preserve">With the support of the European Research Council, </w:t>
      </w:r>
      <w:r>
        <w:rPr>
          <w:noProof/>
        </w:rPr>
        <w:t>the National Observatory of Athens and the Greek government, a climate change superstation has been built on a remote island at the edge of the Aegean Sea and is increasingly serving as a main reference point for climate, energy and weather research in the</w:t>
      </w:r>
      <w:r>
        <w:rPr>
          <w:noProof/>
        </w:rPr>
        <w:t xml:space="preserve"> eastern Mediterranean.</w:t>
      </w:r>
    </w:p>
    <w:p w:rsidR="0060634A" w:rsidRDefault="00F76D44">
      <w:pPr>
        <w:pStyle w:val="PPOBlackBULLETS-L1"/>
        <w:rPr>
          <w:noProof/>
        </w:rPr>
      </w:pPr>
      <w:r>
        <w:rPr>
          <w:noProof/>
        </w:rPr>
        <w:t>The 2019 Nobel Prize in Physiology or Medicine was awarded to Professors Kaelin, Ratcliffe and Semenza ‘for their discoveries of how cells sense and adapt to oxygen availability’. Sir Peter J. Ratcliffe is the seventh European Resea</w:t>
      </w:r>
      <w:r>
        <w:rPr>
          <w:noProof/>
        </w:rPr>
        <w:t>rch Council-funded researcher to be awarded a Nobel Prize to date. The project provided a detailed structural and chemical characterisation of human hydroxylase enzymes, and also led to the development of inhibitors of these enzymes. Modulating how cells r</w:t>
      </w:r>
      <w:r>
        <w:rPr>
          <w:noProof/>
        </w:rPr>
        <w:t>espond to hypoxia could in the future be of therapeutic use in ischaemic disease and cancer.</w:t>
      </w:r>
    </w:p>
    <w:p w:rsidR="0060634A" w:rsidRDefault="00F76D44">
      <w:pPr>
        <w:pStyle w:val="PPOBlackBULLETS-L1"/>
        <w:rPr>
          <w:noProof/>
        </w:rPr>
      </w:pPr>
      <w:r>
        <w:rPr>
          <w:noProof/>
        </w:rPr>
        <w:t>On 10 April 2019, the Commission released the first ever image of a black hole taken by the Event Horizon Telescope, a global scientific collaboration involving EU</w:t>
      </w:r>
      <w:r>
        <w:rPr>
          <w:noProof/>
        </w:rPr>
        <w:t>-funded scientists. This major discovery provides visual evidence for the existence of black holes and pushes the boundaries of modern science, thanks to its state-of-the-art technique.</w:t>
      </w:r>
    </w:p>
    <w:p w:rsidR="0060634A" w:rsidRDefault="00F76D44">
      <w:pPr>
        <w:pStyle w:val="PPOBlackBULLETS-L1"/>
        <w:rPr>
          <w:noProof/>
        </w:rPr>
      </w:pPr>
      <w:r>
        <w:rPr>
          <w:noProof/>
        </w:rPr>
        <w:t>The TAPP water project received a phase</w:t>
      </w:r>
      <w:r>
        <w:rPr>
          <w:rFonts w:ascii="Calibri" w:hAnsi="Calibri" w:cs="Calibri"/>
          <w:noProof/>
        </w:rPr>
        <w:t> </w:t>
      </w:r>
      <w:r>
        <w:rPr>
          <w:noProof/>
        </w:rPr>
        <w:t xml:space="preserve">2 grant from the European </w:t>
      </w:r>
      <w:r>
        <w:rPr>
          <w:noProof/>
        </w:rPr>
        <w:t>Innovation Council small and medium-sized enterprise instrument programme to further enhance tap water quality and potentially reduce plastic bottle waste by 2</w:t>
      </w:r>
      <w:r>
        <w:rPr>
          <w:rFonts w:ascii="Calibri" w:hAnsi="Calibri" w:cs="Calibri"/>
          <w:noProof/>
        </w:rPr>
        <w:t> </w:t>
      </w:r>
      <w:r>
        <w:rPr>
          <w:noProof/>
        </w:rPr>
        <w:t xml:space="preserve">billion bottles per year. </w:t>
      </w:r>
    </w:p>
    <w:p w:rsidR="0060634A" w:rsidRDefault="00F76D44">
      <w:pPr>
        <w:pStyle w:val="PPOBlackBULLETS-L1"/>
        <w:rPr>
          <w:noProof/>
        </w:rPr>
      </w:pPr>
      <w:r>
        <w:rPr>
          <w:noProof/>
        </w:rPr>
        <w:t>The EU is committed to supporting research in the health sector. Thro</w:t>
      </w:r>
      <w:r>
        <w:rPr>
          <w:noProof/>
        </w:rPr>
        <w:t xml:space="preserve">ugh research related to the molecular characteristics of stem cells, the </w:t>
      </w:r>
      <w:hyperlink r:id="rId209" w:history="1">
        <w:r>
          <w:rPr>
            <w:rStyle w:val="PPOChar-Hyperlink"/>
          </w:rPr>
          <w:t>Brecastem</w:t>
        </w:r>
      </w:hyperlink>
      <w:r>
        <w:rPr>
          <w:noProof/>
        </w:rPr>
        <w:t xml:space="preserve"> project aims to develop new treatments and more targeted therapies related to breast cancer. </w:t>
      </w:r>
      <w:hyperlink r:id="rId210" w:history="1">
        <w:r>
          <w:rPr>
            <w:rStyle w:val="PPOChar-Hyperlink"/>
          </w:rPr>
          <w:t>EpiPredict</w:t>
        </w:r>
      </w:hyperlink>
      <w:r>
        <w:rPr>
          <w:noProof/>
        </w:rPr>
        <w:t xml:space="preserve"> has mapped the systems behaviour of breast cancer cells after hormone treatment. Meanwhile, the </w:t>
      </w:r>
      <w:hyperlink r:id="rId211" w:history="1">
        <w:r>
          <w:rPr>
            <w:rStyle w:val="PPOChar-Hyperlink"/>
          </w:rPr>
          <w:t>Inther</w:t>
        </w:r>
      </w:hyperlink>
      <w:r>
        <w:rPr>
          <w:noProof/>
        </w:rPr>
        <w:t xml:space="preserve"> project has developed an innovative device to deliver minimally invasive immunostimulating interstitial laser thermotherapy (imILT). The therapy works by attacking the tumour directly and stimulating the patient’s own immune system to attack other (same-t</w:t>
      </w:r>
      <w:r>
        <w:rPr>
          <w:noProof/>
        </w:rPr>
        <w:t xml:space="preserve">ype cancer) tumours. The </w:t>
      </w:r>
      <w:hyperlink r:id="rId212" w:history="1">
        <w:r>
          <w:rPr>
            <w:rStyle w:val="PPOChar-Hyperlink"/>
          </w:rPr>
          <w:t>MammaPrint</w:t>
        </w:r>
      </w:hyperlink>
      <w:r>
        <w:rPr>
          <w:noProof/>
        </w:rPr>
        <w:t xml:space="preserve"> project, following on from two previous framework programme</w:t>
      </w:r>
      <w:r>
        <w:rPr>
          <w:rFonts w:ascii="Calibri" w:hAnsi="Calibri" w:cs="Calibri"/>
          <w:noProof/>
        </w:rPr>
        <w:t> </w:t>
      </w:r>
      <w:r>
        <w:rPr>
          <w:noProof/>
        </w:rPr>
        <w:t>for research and technological development 6 and 7 projects, has analysed the entire genome</w:t>
      </w:r>
      <w:r>
        <w:rPr>
          <w:noProof/>
        </w:rPr>
        <w:t xml:space="preserve"> of patients and further validated a molecular signature that could be associated with cancer recurrence. </w:t>
      </w:r>
    </w:p>
    <w:p w:rsidR="0060634A" w:rsidRDefault="00F76D44">
      <w:pPr>
        <w:pStyle w:val="PPOBlackBULLETS-L1"/>
        <w:rPr>
          <w:noProof/>
        </w:rPr>
      </w:pPr>
      <w:r>
        <w:rPr>
          <w:noProof/>
        </w:rPr>
        <w:t>Horizon 2020 projects related to food highlight how our ecosystems contribute to sustainable production, food security, safety and healthy and sustai</w:t>
      </w:r>
      <w:r>
        <w:rPr>
          <w:noProof/>
        </w:rPr>
        <w:t>nable nutrition in the EU (and globally) and how they deliver on the main EU policies. The Diversifood project has evaluated and enriched the diversity of cultivated plants within a range of agroecosystems to increase their performance, resilience, quality</w:t>
      </w:r>
      <w:r>
        <w:rPr>
          <w:noProof/>
        </w:rPr>
        <w:t xml:space="preserve"> and use by studying underutilised and forgotten plant species for organic and low-input agriculture. The Sufisa project has identified sustainable practices and policies in the agricultural, fish and food sectors that support the sustainability of primary</w:t>
      </w:r>
      <w:r>
        <w:rPr>
          <w:noProof/>
        </w:rPr>
        <w:t xml:space="preserve"> producers in a context of multidimensional policy requirements, market uncertainties and globalisation.</w:t>
      </w:r>
    </w:p>
    <w:p w:rsidR="0060634A" w:rsidRDefault="00F76D44">
      <w:pPr>
        <w:pStyle w:val="PPOBlackBULLETS-L1"/>
        <w:rPr>
          <w:noProof/>
        </w:rPr>
      </w:pPr>
      <w:r>
        <w:rPr>
          <w:noProof/>
        </w:rPr>
        <w:t>Horizon 2020 projects address technology development and market barriers and accelerate the uptake of renewable energy technologies. On a regional basi</w:t>
      </w:r>
      <w:r>
        <w:rPr>
          <w:noProof/>
        </w:rPr>
        <w:t xml:space="preserve">s, </w:t>
      </w:r>
      <w:hyperlink r:id="rId213" w:history="1">
        <w:r>
          <w:rPr>
            <w:rStyle w:val="PPOChar-Hyperlink"/>
          </w:rPr>
          <w:t>CoolHeating</w:t>
        </w:r>
      </w:hyperlink>
      <w:r>
        <w:rPr>
          <w:noProof/>
        </w:rPr>
        <w:t xml:space="preserve"> supported the implementation of small modular heating and cooling grids in south-eastern Europe using an improved business strategy and innovative financing schemes. The </w:t>
      </w:r>
      <w:hyperlink r:id="rId214" w:history="1">
        <w:r>
          <w:rPr>
            <w:rStyle w:val="PPOChar-Hyperlink"/>
          </w:rPr>
          <w:t>BestRES</w:t>
        </w:r>
      </w:hyperlink>
      <w:r>
        <w:rPr>
          <w:noProof/>
        </w:rPr>
        <w:t xml:space="preserve"> project explored the aggregation of various distributed renewable energy sources. The development of bioenergy villages requires investment stage bioenergy concepts. </w:t>
      </w:r>
      <w:hyperlink r:id="rId215" w:history="1">
        <w:r>
          <w:rPr>
            <w:rStyle w:val="PPOChar-Hyperlink"/>
          </w:rPr>
          <w:t>BioVill</w:t>
        </w:r>
      </w:hyperlink>
      <w:r>
        <w:rPr>
          <w:noProof/>
        </w:rPr>
        <w:t xml:space="preserve"> developed such villages in Croatia, North Macedonia, Serbia, Slovenia and Romania to a point where they could cooperate with established markets in Germany and Austria. LIFES 50plus focused on f</w:t>
      </w:r>
      <w:r>
        <w:rPr>
          <w:noProof/>
        </w:rPr>
        <w:t>loating 5-10-MW wind turbines installed at water depths from 50 m to about 200</w:t>
      </w:r>
      <w:r>
        <w:rPr>
          <w:rFonts w:ascii="Calibri" w:hAnsi="Calibri" w:cs="Calibri"/>
          <w:noProof/>
        </w:rPr>
        <w:t> </w:t>
      </w:r>
      <w:r>
        <w:rPr>
          <w:noProof/>
        </w:rPr>
        <w:t xml:space="preserve">m. </w:t>
      </w:r>
    </w:p>
    <w:p w:rsidR="0060634A" w:rsidRDefault="00F76D44">
      <w:pPr>
        <w:pStyle w:val="PPOBlackBULLETS-L1"/>
        <w:spacing w:after="120"/>
        <w:rPr>
          <w:rFonts w:cs="EC Square Sans Cond Pro"/>
          <w:noProof/>
          <w:szCs w:val="18"/>
        </w:rPr>
      </w:pPr>
      <w:r>
        <w:rPr>
          <w:noProof/>
        </w:rPr>
        <w:t>The Spider project (cyberSecurity Platform for vIrtualiseD 5G cybErRange services) aims to provide an innovative cyber-range platform with the latest 5G virtualisation, infr</w:t>
      </w:r>
      <w:r>
        <w:rPr>
          <w:noProof/>
        </w:rPr>
        <w:t>astructure management and orchestration technologies. It seeks to use state-of-the-art artificial intelligence and machine learning-based technologies capable of assessing the security of critical virtualised communication infrastructures, and to integrate</w:t>
      </w:r>
      <w:r>
        <w:rPr>
          <w:noProof/>
        </w:rPr>
        <w:t xml:space="preserve"> improved risk analysis and econometric models that can support organisations in making optimal cybersecurity investment decisions. The Spider virtual environment will be also used to train information security professionals to deal with real-world 5G secu</w:t>
      </w:r>
      <w:r>
        <w:rPr>
          <w:noProof/>
        </w:rPr>
        <w:t>rity incidents.</w:t>
      </w:r>
    </w:p>
    <w:p w:rsidR="0060634A" w:rsidRDefault="0060634A">
      <w:pPr>
        <w:pStyle w:val="PPObodyText"/>
        <w:rPr>
          <w:noProof/>
        </w:rPr>
        <w:sectPr w:rsidR="0060634A">
          <w:headerReference w:type="even" r:id="rId216"/>
          <w:headerReference w:type="default" r:id="rId217"/>
          <w:footerReference w:type="even" r:id="rId218"/>
          <w:footerReference w:type="default" r:id="rId219"/>
          <w:headerReference w:type="first" r:id="rId220"/>
          <w:footerReference w:type="first" r:id="rId221"/>
          <w:pgSz w:w="11906" w:h="16838" w:code="9"/>
          <w:pgMar w:top="567" w:right="567" w:bottom="567" w:left="567" w:header="567" w:footer="454" w:gutter="0"/>
          <w:paperSrc w:first="15" w:other="15"/>
          <w:cols w:space="720"/>
          <w:docGrid w:linePitch="360"/>
        </w:sectPr>
      </w:pPr>
    </w:p>
    <w:p w:rsidR="0060634A" w:rsidRDefault="00F76D44">
      <w:pPr>
        <w:pStyle w:val="PPO1AsidebarTitleBlue"/>
        <w:rPr>
          <w:rFonts w:eastAsiaTheme="minorEastAsia"/>
        </w:rPr>
      </w:pPr>
      <w:r>
        <w:rPr>
          <w:rFonts w:eastAsiaTheme="minorEastAsia"/>
          <w:lang w:val="fr-BE" w:eastAsia="fr-BE"/>
        </w:rPr>
        <mc:AlternateContent>
          <mc:Choice Requires="wps">
            <w:drawing>
              <wp:anchor distT="0" distB="0" distL="0" distR="0" simplePos="0" relativeHeight="251580416" behindDoc="0" locked="1" layoutInCell="1" allowOverlap="1">
                <wp:simplePos x="0" y="0"/>
                <wp:positionH relativeFrom="page">
                  <wp:posOffset>356235</wp:posOffset>
                </wp:positionH>
                <wp:positionV relativeFrom="page">
                  <wp:posOffset>594360</wp:posOffset>
                </wp:positionV>
                <wp:extent cx="1458000" cy="842400"/>
                <wp:effectExtent l="0" t="0" r="85090" b="0"/>
                <wp:wrapTopAndBottom/>
                <wp:docPr id="403" name="Text Box 403"/>
                <wp:cNvGraphicFramePr/>
                <a:graphic xmlns:a="http://schemas.openxmlformats.org/drawingml/2006/main">
                  <a:graphicData uri="http://schemas.microsoft.com/office/word/2010/wordprocessingShape">
                    <wps:wsp>
                      <wps:cNvSpPr txBox="1"/>
                      <wps:spPr>
                        <a:xfrm>
                          <a:off x="0" y="0"/>
                          <a:ext cx="1458000" cy="842400"/>
                        </a:xfrm>
                        <a:prstGeom prst="wedgeRectCallout">
                          <a:avLst>
                            <a:gd name="adj1" fmla="val 54107"/>
                            <a:gd name="adj2" fmla="val -21878"/>
                          </a:avLst>
                        </a:prstGeom>
                        <a:solidFill>
                          <a:srgbClr val="28296E"/>
                        </a:solidFill>
                        <a:ln w="6350">
                          <a:noFill/>
                        </a:ln>
                      </wps:spPr>
                      <wps:txbx>
                        <w:txbxContent>
                          <w:p w:rsidR="0060634A" w:rsidRDefault="00F76D44">
                            <w:pPr>
                              <w:pStyle w:val="PPOsidebarLegalBasisBOXHeading"/>
                              <w:rPr>
                                <w:rFonts w:eastAsiaTheme="minorEastAsia"/>
                              </w:rPr>
                            </w:pPr>
                            <w:r>
                              <w:rPr>
                                <w:rFonts w:eastAsiaTheme="minorEastAsia"/>
                              </w:rPr>
                              <w:t>LEGAL BASIS</w:t>
                            </w:r>
                          </w:p>
                          <w:p w:rsidR="0060634A" w:rsidRDefault="00F76D44">
                            <w:pPr>
                              <w:pStyle w:val="PPOsidebarLegalBasisBOXtext"/>
                              <w:rPr>
                                <w:rFonts w:eastAsiaTheme="minorEastAsia"/>
                                <w:spacing w:val="4"/>
                                <w:sz w:val="18"/>
                                <w:szCs w:val="20"/>
                              </w:rPr>
                            </w:pPr>
                            <w:r>
                              <w:rPr>
                                <w:rFonts w:eastAsiaTheme="minorEastAsia"/>
                                <w:spacing w:val="4"/>
                              </w:rPr>
                              <w:t>Council R</w:t>
                            </w:r>
                            <w:r>
                              <w:rPr>
                                <w:rFonts w:eastAsiaTheme="minorEastAsia"/>
                                <w:spacing w:val="4"/>
                              </w:rPr>
                              <w:t xml:space="preserve">egulation (Euratom) 2018/1563, and Council Regulation (Euratom) No 1314/2013 </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3" o:spid="_x0000_s1088" type="#_x0000_t61" style="position:absolute;left:0;text-align:left;margin-left:28.05pt;margin-top:46.8pt;width:114.8pt;height:66.35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" adj="22487,6074" fillcolor="#28296e" stroked="f" strokeweight=".5pt">
                <v:textbox inset="2.5mm,1.3mm,2.5mm,1.3mm">
                  <w:txbxContent>
                    <w:p w:rsidR="0060634A" w:rsidRDefault="00F76D44">
                      <w:pPr>
                        <w:pStyle w:val="PPOsidebarLegalBasisBOXHeading"/>
                        <w:rPr>
                          <w:rFonts w:eastAsiaTheme="minorEastAsia"/>
                        </w:rPr>
                      </w:pPr>
                      <w:r>
                        <w:rPr>
                          <w:rFonts w:eastAsiaTheme="minorEastAsia"/>
                        </w:rPr>
                        <w:t>LEGAL BASIS</w:t>
                      </w:r>
                    </w:p>
                    <w:p w:rsidR="0060634A" w:rsidRDefault="00F76D44">
                      <w:pPr>
                        <w:pStyle w:val="PPOsidebarLegalBasisBOXtext"/>
                        <w:rPr>
                          <w:rFonts w:eastAsiaTheme="minorEastAsia"/>
                          <w:spacing w:val="4"/>
                          <w:sz w:val="18"/>
                          <w:szCs w:val="20"/>
                        </w:rPr>
                      </w:pPr>
                      <w:r>
                        <w:rPr>
                          <w:rFonts w:eastAsiaTheme="minorEastAsia"/>
                          <w:spacing w:val="4"/>
                        </w:rPr>
                        <w:t>Council R</w:t>
                      </w:r>
                      <w:r>
                        <w:rPr>
                          <w:rFonts w:eastAsiaTheme="minorEastAsia"/>
                          <w:spacing w:val="4"/>
                        </w:rPr>
                        <w:t xml:space="preserve">egulation (Euratom) 2018/1563, and Council Regulation (Euratom) No 1314/2013 </w:t>
                      </w:r>
                    </w:p>
                  </w:txbxContent>
                </v:textbox>
                <w10:wrap type="topAndBottom" anchorx="page" anchory="page"/>
                <w10:anchorlock/>
              </v:shape>
            </w:pict>
          </mc:Fallback>
        </mc:AlternateContent>
      </w:r>
      <w:r>
        <w:rPr>
          <w:rFonts w:eastAsiaTheme="minorEastAsia"/>
        </w:rPr>
        <w:t>MORE INFORMATION</w:t>
      </w:r>
    </w:p>
    <w:p w:rsidR="0060634A" w:rsidRDefault="00F76D44">
      <w:pPr>
        <w:pStyle w:val="PPOsidebartext"/>
        <w:rPr>
          <w:rStyle w:val="PPOChar-Hyperlink"/>
          <w:rFonts w:eastAsiaTheme="minorEastAsia"/>
        </w:rPr>
      </w:pPr>
      <w:r>
        <w:rPr>
          <w:rFonts w:eastAsiaTheme="minorEastAsia"/>
        </w:rPr>
        <w:t xml:space="preserve"> </w:t>
      </w:r>
      <w:hyperlink r:id="rId222" w:history="1">
        <w:r>
          <w:rPr>
            <w:rStyle w:val="PPOChar-Hyperlink"/>
            <w:rFonts w:eastAsiaTheme="minorEastAsia"/>
          </w:rPr>
          <w:t>http://europa.eu/!nj69xp</w:t>
        </w:r>
      </w:hyperlink>
    </w:p>
    <w:p w:rsidR="0060634A" w:rsidRDefault="00F76D44">
      <w:pPr>
        <w:pStyle w:val="PPOsidebartext"/>
        <w:rPr>
          <w:rStyle w:val="PPOChar-Hyperlink"/>
          <w:rFonts w:eastAsiaTheme="minorEastAsia"/>
          <w:lang w:val="it-IT"/>
        </w:rPr>
      </w:pPr>
      <w:hyperlink r:id="rId223" w:history="1">
        <w:r>
          <w:rPr>
            <w:rStyle w:val="PPOChar-Hyperlink"/>
            <w:rFonts w:eastAsiaTheme="minorEastAsia"/>
            <w:lang w:val="it-IT"/>
          </w:rPr>
          <w:t>http://europa.eu/!HW64Gy</w:t>
        </w:r>
      </w:hyperlink>
    </w:p>
    <w:p w:rsidR="0060634A" w:rsidRDefault="00F76D44">
      <w:pPr>
        <w:pStyle w:val="PPO1AsidebarTitleBlue"/>
        <w:rPr>
          <w:rStyle w:val="Tablecaption1Exact"/>
          <w:lang w:val="nl-NL"/>
        </w:rPr>
      </w:pPr>
      <w:r>
        <w:rPr>
          <w:rStyle w:val="Tablecaption1Exact"/>
          <w:lang w:val="nl-NL"/>
        </w:rPr>
        <w:t>FINANCIAL PROGRAMMING</w:t>
      </w:r>
    </w:p>
    <w:p w:rsidR="0060634A" w:rsidRDefault="00F76D44">
      <w:pPr>
        <w:pStyle w:val="PPO1AsidebarTablecaption"/>
      </w:pPr>
      <w:r>
        <w:t>(million EUR)</w:t>
      </w:r>
    </w:p>
    <w:tbl>
      <w:tblPr>
        <w:tblOverlap w:val="never"/>
        <w:tblW w:w="2296" w:type="dxa"/>
        <w:jc w:val="right"/>
        <w:tblLayout w:type="fixed"/>
        <w:tblCellMar>
          <w:top w:w="28" w:type="dxa"/>
          <w:left w:w="28" w:type="dxa"/>
          <w:bottom w:w="28" w:type="dxa"/>
          <w:right w:w="28" w:type="dxa"/>
        </w:tblCellMar>
        <w:tblLook w:val="0000" w:firstRow="0" w:lastRow="0" w:firstColumn="0" w:lastColumn="0" w:noHBand="0" w:noVBand="0"/>
      </w:tblPr>
      <w:tblGrid>
        <w:gridCol w:w="1134"/>
        <w:gridCol w:w="1162"/>
      </w:tblGrid>
      <w:tr w:rsidR="0060634A">
        <w:trPr>
          <w:trHeight w:hRule="exact" w:val="229"/>
          <w:jc w:val="right"/>
        </w:trPr>
        <w:tc>
          <w:tcPr>
            <w:tcW w:w="1134" w:type="dxa"/>
            <w:tcBorders>
              <w:bottom w:val="single" w:sz="6" w:space="0" w:color="FFFFFF" w:themeColor="background1"/>
            </w:tcBorders>
            <w:shd w:val="clear" w:color="auto" w:fill="DCE6F2"/>
            <w:vAlign w:val="center"/>
          </w:tcPr>
          <w:p w:rsidR="0060634A" w:rsidRDefault="00F76D44">
            <w:pPr>
              <w:pStyle w:val="PPOsidebarTabletext"/>
              <w:rPr>
                <w:b/>
              </w:rPr>
            </w:pPr>
            <w:r>
              <w:t>2014</w:t>
            </w:r>
          </w:p>
        </w:tc>
        <w:tc>
          <w:tcPr>
            <w:tcW w:w="1162" w:type="dxa"/>
            <w:shd w:val="clear" w:color="auto" w:fill="FFFFFF"/>
          </w:tcPr>
          <w:p w:rsidR="0060634A" w:rsidRDefault="00F76D44">
            <w:pPr>
              <w:pStyle w:val="PPOsidebarTabletext"/>
              <w:rPr>
                <w:b/>
              </w:rPr>
            </w:pPr>
            <w:r>
              <w:t>284.8</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2015</w:t>
            </w:r>
          </w:p>
        </w:tc>
        <w:tc>
          <w:tcPr>
            <w:tcW w:w="1162" w:type="dxa"/>
            <w:tcBorders>
              <w:top w:val="single" w:sz="4" w:space="0" w:color="auto"/>
            </w:tcBorders>
            <w:shd w:val="clear" w:color="auto" w:fill="FFFFFF"/>
          </w:tcPr>
          <w:p w:rsidR="0060634A" w:rsidRDefault="00F76D44">
            <w:pPr>
              <w:pStyle w:val="PPOsidebarTabletext"/>
              <w:rPr>
                <w:b/>
              </w:rPr>
            </w:pPr>
            <w:r>
              <w:t>302.1</w:t>
            </w:r>
          </w:p>
        </w:tc>
      </w:tr>
      <w:tr w:rsidR="0060634A">
        <w:trPr>
          <w:trHeight w:hRule="exact" w:val="229"/>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2016</w:t>
            </w:r>
          </w:p>
        </w:tc>
        <w:tc>
          <w:tcPr>
            <w:tcW w:w="1162" w:type="dxa"/>
            <w:tcBorders>
              <w:top w:val="single" w:sz="4" w:space="0" w:color="auto"/>
            </w:tcBorders>
            <w:shd w:val="clear" w:color="auto" w:fill="FFFFFF"/>
          </w:tcPr>
          <w:p w:rsidR="0060634A" w:rsidRDefault="00F76D44">
            <w:pPr>
              <w:pStyle w:val="PPOsidebarTabletext"/>
              <w:rPr>
                <w:b/>
              </w:rPr>
            </w:pPr>
            <w:r>
              <w:t>317.1</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2017</w:t>
            </w:r>
          </w:p>
        </w:tc>
        <w:tc>
          <w:tcPr>
            <w:tcW w:w="1162" w:type="dxa"/>
            <w:tcBorders>
              <w:top w:val="single" w:sz="4" w:space="0" w:color="auto"/>
            </w:tcBorders>
            <w:shd w:val="clear" w:color="auto" w:fill="FFFFFF"/>
          </w:tcPr>
          <w:p w:rsidR="0060634A" w:rsidRDefault="00F76D44">
            <w:pPr>
              <w:pStyle w:val="PPOsidebarTabletext"/>
              <w:rPr>
                <w:b/>
              </w:rPr>
            </w:pPr>
            <w:r>
              <w:t>340.8</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2018</w:t>
            </w:r>
          </w:p>
        </w:tc>
        <w:tc>
          <w:tcPr>
            <w:tcW w:w="1162" w:type="dxa"/>
            <w:tcBorders>
              <w:top w:val="single" w:sz="4" w:space="0" w:color="auto"/>
            </w:tcBorders>
            <w:shd w:val="clear" w:color="auto" w:fill="FFFFFF"/>
          </w:tcPr>
          <w:p w:rsidR="0060634A" w:rsidRDefault="00F76D44">
            <w:pPr>
              <w:pStyle w:val="PPOsidebarTabletext"/>
              <w:rPr>
                <w:b/>
              </w:rPr>
            </w:pPr>
            <w:r>
              <w:t>352.9</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2019</w:t>
            </w:r>
          </w:p>
        </w:tc>
        <w:tc>
          <w:tcPr>
            <w:tcW w:w="1162" w:type="dxa"/>
            <w:tcBorders>
              <w:top w:val="single" w:sz="4" w:space="0" w:color="auto"/>
            </w:tcBorders>
            <w:shd w:val="clear" w:color="auto" w:fill="FFFFFF"/>
          </w:tcPr>
          <w:p w:rsidR="0060634A" w:rsidRDefault="00F76D44">
            <w:pPr>
              <w:pStyle w:val="PPOsidebarTabletext"/>
              <w:rPr>
                <w:b/>
              </w:rPr>
            </w:pPr>
            <w:r>
              <w:t>373.6</w:t>
            </w:r>
          </w:p>
        </w:tc>
      </w:tr>
      <w:tr w:rsidR="0060634A">
        <w:trPr>
          <w:trHeight w:hRule="exact" w:val="225"/>
          <w:jc w:val="right"/>
        </w:trPr>
        <w:tc>
          <w:tcPr>
            <w:tcW w:w="1134" w:type="dxa"/>
            <w:tcBorders>
              <w:top w:val="single" w:sz="6" w:space="0" w:color="FFFFFF" w:themeColor="background1"/>
            </w:tcBorders>
            <w:shd w:val="clear" w:color="auto" w:fill="DCE6F2"/>
            <w:vAlign w:val="center"/>
          </w:tcPr>
          <w:p w:rsidR="0060634A" w:rsidRDefault="00F76D44">
            <w:pPr>
              <w:pStyle w:val="PPOsidebarTabletext"/>
              <w:rPr>
                <w:b/>
              </w:rPr>
            </w:pPr>
            <w:r>
              <w:t>2020</w:t>
            </w:r>
          </w:p>
        </w:tc>
        <w:tc>
          <w:tcPr>
            <w:tcW w:w="1162" w:type="dxa"/>
            <w:tcBorders>
              <w:top w:val="single" w:sz="4" w:space="0" w:color="auto"/>
            </w:tcBorders>
            <w:shd w:val="clear" w:color="auto" w:fill="FFFFFF"/>
          </w:tcPr>
          <w:p w:rsidR="0060634A" w:rsidRDefault="00F76D44">
            <w:pPr>
              <w:pStyle w:val="PPOsidebarTabletext"/>
              <w:rPr>
                <w:b/>
              </w:rPr>
            </w:pPr>
            <w:r>
              <w:t>397.7</w:t>
            </w:r>
          </w:p>
        </w:tc>
      </w:tr>
      <w:tr w:rsidR="0060634A">
        <w:trPr>
          <w:trHeight w:hRule="exact" w:val="258"/>
          <w:jc w:val="right"/>
        </w:trPr>
        <w:tc>
          <w:tcPr>
            <w:tcW w:w="1134" w:type="dxa"/>
            <w:shd w:val="clear" w:color="auto" w:fill="00ADDC"/>
            <w:vAlign w:val="center"/>
          </w:tcPr>
          <w:p w:rsidR="0060634A" w:rsidRDefault="00F76D44">
            <w:pPr>
              <w:pStyle w:val="PPOsidebarTabletext"/>
              <w:rPr>
                <w:b/>
              </w:rPr>
            </w:pPr>
            <w:r>
              <w:rPr>
                <w:b/>
              </w:rPr>
              <w:t>Total</w:t>
            </w:r>
          </w:p>
        </w:tc>
        <w:tc>
          <w:tcPr>
            <w:tcW w:w="1162" w:type="dxa"/>
            <w:tcBorders>
              <w:top w:val="single" w:sz="4" w:space="0" w:color="auto"/>
            </w:tcBorders>
            <w:shd w:val="clear" w:color="auto" w:fill="FFFFFF"/>
          </w:tcPr>
          <w:p w:rsidR="0060634A" w:rsidRDefault="00F76D44">
            <w:pPr>
              <w:pStyle w:val="PPOsidebarTabletext"/>
              <w:rPr>
                <w:b/>
              </w:rPr>
            </w:pPr>
            <w:r>
              <w:t>2 368.9</w:t>
            </w:r>
          </w:p>
        </w:tc>
      </w:tr>
    </w:tbl>
    <w:p w:rsidR="0060634A" w:rsidRDefault="00F76D44">
      <w:pPr>
        <w:pStyle w:val="PPO1AsidebarTitleBlue"/>
        <w:rPr>
          <w:rFonts w:eastAsiaTheme="minorEastAsia"/>
        </w:rPr>
      </w:pPr>
      <w:r>
        <w:rPr>
          <w:rFonts w:eastAsiaTheme="minorEastAsia"/>
          <w:lang w:val="fr-BE" w:eastAsia="fr-BE"/>
        </w:rPr>
        <mc:AlternateContent>
          <mc:Choice Requires="wpg">
            <w:drawing>
              <wp:anchor distT="0" distB="0" distL="114300" distR="114300" simplePos="0" relativeHeight="251644928" behindDoc="1" locked="1" layoutInCell="1" allowOverlap="1">
                <wp:simplePos x="0" y="0"/>
                <wp:positionH relativeFrom="column">
                  <wp:posOffset>-264795</wp:posOffset>
                </wp:positionH>
                <wp:positionV relativeFrom="paragraph">
                  <wp:posOffset>582930</wp:posOffset>
                </wp:positionV>
                <wp:extent cx="1871980" cy="1454150"/>
                <wp:effectExtent l="0" t="0" r="0" b="0"/>
                <wp:wrapSquare wrapText="bothSides"/>
                <wp:docPr id="404" name="Group 404"/>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405" name="Chart 405"/>
                        <wpg:cNvFrPr/>
                        <wpg:xfrm>
                          <a:off x="461310" y="264194"/>
                          <a:ext cx="2492055" cy="1453317"/>
                        </wpg:xfrm>
                        <a:graphic>
                          <a:graphicData uri="http://schemas.openxmlformats.org/drawingml/2006/chart">
                            <c:chart xmlns:c="http://schemas.openxmlformats.org/drawingml/2006/chart" xmlns:r="http://schemas.openxmlformats.org/officeDocument/2006/relationships" r:id="rId224"/>
                          </a:graphicData>
                        </a:graphic>
                      </wpg:graphicFrame>
                      <wps:wsp>
                        <wps:cNvPr id="406" name="Text Box 2"/>
                        <wps:cNvSpPr txBox="1">
                          <a:spLocks noChangeArrowheads="1"/>
                        </wps:cNvSpPr>
                        <wps:spPr bwMode="auto">
                          <a:xfrm>
                            <a:off x="1323273" y="782599"/>
                            <a:ext cx="1276742" cy="600139"/>
                          </a:xfrm>
                          <a:prstGeom prst="rect">
                            <a:avLst/>
                          </a:prstGeom>
                          <a:noFill/>
                          <a:ln w="9525">
                            <a:noFill/>
                            <a:miter lim="800000"/>
                            <a:headEnd/>
                            <a:tailEnd/>
                          </a:ln>
                        </wps:spPr>
                        <wps:txbx>
                          <w:txbxContent>
                            <w:p w:rsidR="0060634A" w:rsidRDefault="00F76D44">
                              <w:pPr>
                                <w:pStyle w:val="PPO1AsidebarchartCenterText"/>
                                <w:rPr>
                                  <w:rFonts w:eastAsiaTheme="minorEastAsia"/>
                                </w:rPr>
                              </w:pPr>
                              <w:r>
                                <w:rPr>
                                  <w:rFonts w:eastAsiaTheme="minorEastAsia"/>
                                </w:rPr>
                                <w:t>EUR 2 368.9</w:t>
                              </w:r>
                              <w:r>
                                <w:rPr>
                                  <w:rFonts w:eastAsiaTheme="minorEastAsia"/>
                                </w:rPr>
                                <w:br/>
                                <w:t>million</w:t>
                              </w:r>
                            </w:p>
                          </w:txbxContent>
                        </wps:txbx>
                        <wps:bodyPr rot="0" vert="horz" wrap="square" lIns="91440" tIns="45720" rIns="91440" bIns="45720" anchor="t" anchorCtr="0">
                          <a:noAutofit/>
                        </wps:bodyPr>
                      </wps:wsp>
                      <wps:wsp>
                        <wps:cNvPr id="407" name="Text Box 2"/>
                        <wps:cNvSpPr txBox="1">
                          <a:spLocks noChangeArrowheads="1"/>
                        </wps:cNvSpPr>
                        <wps:spPr bwMode="auto">
                          <a:xfrm>
                            <a:off x="902576" y="939022"/>
                            <a:ext cx="700344" cy="229870"/>
                          </a:xfrm>
                          <a:prstGeom prst="rect">
                            <a:avLst/>
                          </a:prstGeom>
                          <a:noFill/>
                          <a:ln w="9525">
                            <a:noFill/>
                            <a:miter lim="800000"/>
                            <a:headEnd/>
                            <a:tailEnd/>
                          </a:ln>
                        </wps:spPr>
                        <wps:txbx>
                          <w:txbxContent>
                            <w:p w:rsidR="0060634A" w:rsidRDefault="00F76D44">
                              <w:pPr>
                                <w:spacing w:after="120"/>
                                <w:jc w:val="center"/>
                                <w:rPr>
                                  <w:color w:val="00ADDC"/>
                                  <w:lang w:val="fr-BE"/>
                                </w:rPr>
                              </w:pPr>
                              <w:r>
                                <w:rPr>
                                  <w:b/>
                                  <w:color w:val="00ADDC"/>
                                  <w:lang w:val="fr-BE"/>
                                </w:rPr>
                                <w:t>69%%</w:t>
                              </w:r>
                            </w:p>
                          </w:txbxContent>
                        </wps:txbx>
                        <wps:bodyPr rot="0" vert="horz" wrap="square" lIns="91440" tIns="45720" rIns="91440" bIns="45720" anchor="t" anchorCtr="0">
                          <a:noAutofit/>
                        </wps:bodyPr>
                      </wps:wsp>
                      <wps:wsp>
                        <wps:cNvPr id="408" name="Text Box 2"/>
                        <wps:cNvSpPr txBox="1">
                          <a:spLocks noChangeArrowheads="1"/>
                        </wps:cNvSpPr>
                        <wps:spPr bwMode="auto">
                          <a:xfrm>
                            <a:off x="968182" y="468909"/>
                            <a:ext cx="741153" cy="266065"/>
                          </a:xfrm>
                          <a:prstGeom prst="rect">
                            <a:avLst/>
                          </a:prstGeom>
                          <a:noFill/>
                          <a:ln w="9525">
                            <a:noFill/>
                            <a:miter lim="800000"/>
                            <a:headEnd/>
                            <a:tailEnd/>
                          </a:ln>
                        </wps:spPr>
                        <wps:txbx>
                          <w:txbxContent>
                            <w:p w:rsidR="0060634A" w:rsidRDefault="00F76D44">
                              <w:pPr>
                                <w:spacing w:after="120"/>
                                <w:jc w:val="center"/>
                                <w:rPr>
                                  <w:color w:val="28296E"/>
                                  <w:lang w:val="fr-BE"/>
                                </w:rPr>
                              </w:pPr>
                              <w:r>
                                <w:rPr>
                                  <w:b/>
                                  <w:color w:val="28296E"/>
                                  <w:lang w:val="fr-BE"/>
                                </w:rPr>
                                <w:t>83%%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04" o:spid="_x0000_s1089" style="position:absolute;left:0;text-align:left;margin-left:-20.85pt;margin-top:45.9pt;width:147.4pt;height:114.5pt;z-index:-251671552;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CgAAAAAAAAAhAOtdDy+4IgAAuCIAAC0AAABkcnMvZW1iZWRk&#10;aW5ncy9NaWNyb3NvZnRfRXhjZWxfV29ya3NoZWV0Lnhsc3hQSwMEFAAGAAgAAAAhAN0ri1hsAQAA&#10;EAUAABMACAJbQ29udGVudF9UeXBlc10ueG1s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">
                <v:shape id="Chart 405" o:spid="_x0000_s1090"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">
                  <v:imagedata r:id="rId225" o:title=""/>
                  <o:lock v:ext="edit" aspectratio="f"/>
                </v:shape>
                <v:shape id="_x0000_s1091" type="#_x0000_t202" style="position:absolute;left:13232;top:7825;width:12768;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rsidR="0060634A" w:rsidRDefault="00F76D44">
                        <w:pPr>
                          <w:pStyle w:val="PPO1AsidebarchartCenterText"/>
                          <w:rPr>
                            <w:rFonts w:eastAsiaTheme="minorEastAsia"/>
                          </w:rPr>
                        </w:pPr>
                        <w:r>
                          <w:rPr>
                            <w:rFonts w:eastAsiaTheme="minorEastAsia"/>
                          </w:rPr>
                          <w:t>EUR 2 368.9</w:t>
                        </w:r>
                        <w:r>
                          <w:rPr>
                            <w:rFonts w:eastAsiaTheme="minorEastAsia"/>
                          </w:rPr>
                          <w:br/>
                          <w:t>million</w:t>
                        </w:r>
                      </w:p>
                    </w:txbxContent>
                  </v:textbox>
                </v:shape>
                <v:shape id="_x0000_s1092" type="#_x0000_t202" style="position:absolute;left:9025;top:9390;width:7004;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" filled="f" stroked="f">
                  <v:textbox>
                    <w:txbxContent>
                      <w:p w:rsidR="0060634A" w:rsidRDefault="00F76D44">
                        <w:pPr>
                          <w:spacing w:after="120"/>
                          <w:jc w:val="center"/>
                          <w:rPr>
                            <w:color w:val="00ADDC"/>
                            <w:lang w:val="fr-BE"/>
                          </w:rPr>
                        </w:pPr>
                        <w:r>
                          <w:rPr>
                            <w:b/>
                            <w:color w:val="00ADDC"/>
                            <w:lang w:val="fr-BE"/>
                          </w:rPr>
                          <w:t>69%%</w:t>
                        </w:r>
                      </w:p>
                    </w:txbxContent>
                  </v:textbox>
                </v:shape>
                <v:shape id="_x0000_s1093" type="#_x0000_t202" style="position:absolute;left:9681;top:4689;width:7412;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" filled="f" stroked="f">
                  <v:textbox>
                    <w:txbxContent>
                      <w:p w:rsidR="0060634A" w:rsidRDefault="00F76D44">
                        <w:pPr>
                          <w:spacing w:after="120"/>
                          <w:jc w:val="center"/>
                          <w:rPr>
                            <w:color w:val="28296E"/>
                            <w:lang w:val="fr-BE"/>
                          </w:rPr>
                        </w:pPr>
                        <w:r>
                          <w:rPr>
                            <w:b/>
                            <w:color w:val="28296E"/>
                            <w:lang w:val="fr-BE"/>
                          </w:rPr>
                          <w:t>83%%</w:t>
                        </w:r>
                      </w:p>
                    </w:txbxContent>
                  </v:textbox>
                </v:shape>
                <w10:wrap type="square"/>
                <w10:anchorlock/>
              </v:group>
              <o:OLEObject Type="Embed" ProgID="Excel.Chart.8" ShapeID="Chart 405" DrawAspect="Content" ObjectID="_1654495729" r:id="rId226">
                <o:FieldCodes>\s</o:FieldCodes>
              </o:OLEObject>
            </w:pict>
          </mc:Fallback>
        </mc:AlternateContent>
      </w:r>
      <w:r>
        <w:rPr>
          <w:rFonts w:eastAsiaTheme="minorEastAsia"/>
        </w:rPr>
        <w:t xml:space="preserve">OVERALL EXECUTION </w:t>
      </w:r>
      <w:r>
        <w:rPr>
          <w:rFonts w:eastAsiaTheme="minorEastAsia"/>
        </w:rPr>
        <w:br/>
        <w:t xml:space="preserve">(2014-2019) </w:t>
      </w:r>
    </w:p>
    <w:p w:rsidR="0060634A" w:rsidRDefault="00F76D44">
      <w:pPr>
        <w:rPr>
          <w:noProof/>
          <w:sz w:val="18"/>
        </w:rPr>
      </w:pPr>
      <w:r>
        <w:rPr>
          <w:rFonts w:ascii="EC Square Sans Cond Pro" w:hAnsi="EC Square Sans Cond Pro" w:cs="EC Square Sans Cond Pro"/>
          <w:noProof/>
          <w:color w:val="000000"/>
          <w:sz w:val="18"/>
          <w:szCs w:val="18"/>
          <w:lang w:val="fr-BE" w:eastAsia="fr-BE"/>
        </w:rPr>
        <mc:AlternateContent>
          <mc:Choice Requires="wps">
            <w:drawing>
              <wp:anchor distT="45720" distB="45720" distL="114300" distR="114300" simplePos="0" relativeHeight="251641856" behindDoc="0" locked="1" layoutInCell="1" allowOverlap="1">
                <wp:simplePos x="0" y="0"/>
                <wp:positionH relativeFrom="page">
                  <wp:posOffset>2240280</wp:posOffset>
                </wp:positionH>
                <wp:positionV relativeFrom="page">
                  <wp:posOffset>6894195</wp:posOffset>
                </wp:positionV>
                <wp:extent cx="2437130" cy="1914525"/>
                <wp:effectExtent l="0" t="0" r="1270" b="9525"/>
                <wp:wrapTopAndBottom/>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1914525"/>
                        </a:xfrm>
                        <a:prstGeom prst="rect">
                          <a:avLst/>
                        </a:prstGeom>
                        <a:solidFill>
                          <a:srgbClr val="FFFFFF"/>
                        </a:solidFill>
                        <a:ln w="9525">
                          <a:noFill/>
                          <a:miter lim="800000"/>
                          <a:headEnd/>
                          <a:tailEnd/>
                        </a:ln>
                      </wps:spPr>
                      <wps:txbx id="42">
                        <w:txbxContent>
                          <w:p w:rsidR="0060634A" w:rsidRDefault="00F76D44">
                            <w:pPr>
                              <w:pStyle w:val="PPOTitle3-nospacebefore"/>
                              <w:rPr>
                                <w:rFonts w:eastAsiaTheme="minorEastAsia"/>
                              </w:rPr>
                            </w:pPr>
                            <w:r>
                              <w:rPr>
                                <w:rFonts w:eastAsiaTheme="minorEastAsia"/>
                              </w:rPr>
                              <w:t>Why is it necessary?</w:t>
                            </w:r>
                          </w:p>
                          <w:p w:rsidR="0060634A" w:rsidRDefault="00F76D44">
                            <w:pPr>
                              <w:pStyle w:val="PPObodyText"/>
                              <w:spacing w:after="120"/>
                              <w:rPr>
                                <w:noProof/>
                                <w:spacing w:val="-1"/>
                              </w:rPr>
                            </w:pPr>
                            <w:r>
                              <w:rPr>
                                <w:noProof/>
                                <w:spacing w:val="-1"/>
                              </w:rPr>
                              <w:t xml:space="preserve">The Euratom programme’s main added value is the mobilisation of a wider pool of excellence and multidisciplinary competencies in the nuclear field than is available at the level of individual Member States. Nuclear and ionising radiation technologies play </w:t>
                            </w:r>
                            <w:r>
                              <w:rPr>
                                <w:noProof/>
                                <w:spacing w:val="-1"/>
                              </w:rPr>
                              <w:t>an important role in the lives of EU citizens, whether this concerns energy and its security of supply or the use of radiation and radionuclides in medical and industrial applications. Safe and secure use of these technologies is of paramount importance an</w:t>
                            </w:r>
                            <w:r>
                              <w:rPr>
                                <w:noProof/>
                                <w:spacing w:val="-1"/>
                              </w:rPr>
                              <w:t>d research programmes help to maintain the highest safety, security and safeguarding standards in this field. The direct actions of the Euratom programme complement national research programmes; provide essential scientific and technical support to the Com</w:t>
                            </w:r>
                            <w:r>
                              <w:rPr>
                                <w:noProof/>
                                <w:spacing w:val="-1"/>
                              </w:rPr>
                              <w:t xml:space="preserve">mission in the preparation, implementation and monitoring of EU policies and to fulfil its legal obligations and competences; support standardisation; and provide training in the fields of its objectives. </w:t>
                            </w:r>
                          </w:p>
                          <w:p w:rsidR="0060634A" w:rsidRDefault="00F76D44">
                            <w:pPr>
                              <w:pStyle w:val="PPOTitle3"/>
                              <w:spacing w:before="120" w:after="60"/>
                              <w:rPr>
                                <w:rFonts w:eastAsiaTheme="minorEastAsia"/>
                              </w:rPr>
                            </w:pPr>
                            <w:r>
                              <w:rPr>
                                <w:rFonts w:eastAsiaTheme="minorEastAsia"/>
                              </w:rPr>
                              <w:t>Outlook for the 2021-2027 period</w:t>
                            </w:r>
                          </w:p>
                          <w:p w:rsidR="0060634A" w:rsidRDefault="00F76D44">
                            <w:pPr>
                              <w:pStyle w:val="PPObodyText"/>
                              <w:rPr>
                                <w:noProof/>
                                <w:spacing w:val="-1"/>
                              </w:rPr>
                            </w:pPr>
                            <w:r>
                              <w:rPr>
                                <w:noProof/>
                                <w:spacing w:val="-1"/>
                              </w:rPr>
                              <w:t>The Commission ha</w:t>
                            </w:r>
                            <w:r>
                              <w:rPr>
                                <w:noProof/>
                                <w:spacing w:val="-1"/>
                              </w:rPr>
                              <w:t>s proposed a continuation of the programme for the next multiannual financial framework.</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176.4pt;margin-top:542.85pt;width:191.9pt;height:150.75pt;z-index:2516418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" stroked="f">
                <v:textbox style="mso-next-textbox:#Text Box 412" inset="0">
                  <w:txbxContent>
                    <w:p w:rsidR="0060634A" w:rsidRDefault="00F76D44">
                      <w:pPr>
                        <w:pStyle w:val="PPOTitle3-nospacebefore"/>
                        <w:rPr>
                          <w:rFonts w:eastAsiaTheme="minorEastAsia"/>
                        </w:rPr>
                      </w:pPr>
                      <w:r>
                        <w:rPr>
                          <w:rFonts w:eastAsiaTheme="minorEastAsia"/>
                        </w:rPr>
                        <w:t>Why is it necessary?</w:t>
                      </w:r>
                    </w:p>
                    <w:p w:rsidR="0060634A" w:rsidRDefault="00F76D44">
                      <w:pPr>
                        <w:pStyle w:val="PPObodyText"/>
                        <w:spacing w:after="120"/>
                        <w:rPr>
                          <w:noProof/>
                          <w:spacing w:val="-1"/>
                        </w:rPr>
                      </w:pPr>
                      <w:r>
                        <w:rPr>
                          <w:noProof/>
                          <w:spacing w:val="-1"/>
                        </w:rPr>
                        <w:t xml:space="preserve">The Euratom programme’s main added value is the mobilisation of a wider pool of excellence and multidisciplinary competencies in the nuclear field than is available at the level of individual Member States. Nuclear and ionising radiation technologies play </w:t>
                      </w:r>
                      <w:r>
                        <w:rPr>
                          <w:noProof/>
                          <w:spacing w:val="-1"/>
                        </w:rPr>
                        <w:t>an important role in the lives of EU citizens, whether this concerns energy and its security of supply or the use of radiation and radionuclides in medical and industrial applications. Safe and secure use of these technologies is of paramount importance an</w:t>
                      </w:r>
                      <w:r>
                        <w:rPr>
                          <w:noProof/>
                          <w:spacing w:val="-1"/>
                        </w:rPr>
                        <w:t>d research programmes help to maintain the highest safety, security and safeguarding standards in this field. The direct actions of the Euratom programme complement national research programmes; provide essential scientific and technical support to the Com</w:t>
                      </w:r>
                      <w:r>
                        <w:rPr>
                          <w:noProof/>
                          <w:spacing w:val="-1"/>
                        </w:rPr>
                        <w:t xml:space="preserve">mission in the preparation, implementation and monitoring of EU policies and to fulfil its legal obligations and competences; support standardisation; and provide training in the fields of its objectives. </w:t>
                      </w:r>
                    </w:p>
                    <w:p w:rsidR="0060634A" w:rsidRDefault="00F76D44">
                      <w:pPr>
                        <w:pStyle w:val="PPOTitle3"/>
                        <w:spacing w:before="120" w:after="60"/>
                        <w:rPr>
                          <w:rFonts w:eastAsiaTheme="minorEastAsia"/>
                        </w:rPr>
                      </w:pPr>
                      <w:r>
                        <w:rPr>
                          <w:rFonts w:eastAsiaTheme="minorEastAsia"/>
                        </w:rPr>
                        <w:t>Outlook for the 2021-2027 period</w:t>
                      </w:r>
                    </w:p>
                    <w:p w:rsidR="0060634A" w:rsidRDefault="00F76D44">
                      <w:pPr>
                        <w:pStyle w:val="PPObodyText"/>
                        <w:rPr>
                          <w:noProof/>
                          <w:spacing w:val="-1"/>
                        </w:rPr>
                      </w:pPr>
                      <w:r>
                        <w:rPr>
                          <w:noProof/>
                          <w:spacing w:val="-1"/>
                        </w:rPr>
                        <w:t>The Commission ha</w:t>
                      </w:r>
                      <w:r>
                        <w:rPr>
                          <w:noProof/>
                          <w:spacing w:val="-1"/>
                        </w:rPr>
                        <w:t>s proposed a continuation of the programme for the next multiannual financial framework.</w:t>
                      </w:r>
                    </w:p>
                  </w:txbxContent>
                </v:textbox>
                <w10:wrap type="topAndBottom" anchorx="page" anchory="page"/>
                <w10:anchorlock/>
              </v:shape>
            </w:pict>
          </mc:Fallback>
        </mc:AlternateContent>
      </w:r>
    </w:p>
    <w:p w:rsidR="0060634A" w:rsidRDefault="00F76D44">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646976" behindDoc="0" locked="1" layoutInCell="1" allowOverlap="1">
                <wp:simplePos x="0" y="0"/>
                <wp:positionH relativeFrom="column">
                  <wp:posOffset>539750</wp:posOffset>
                </wp:positionH>
                <wp:positionV relativeFrom="paragraph">
                  <wp:posOffset>1270</wp:posOffset>
                </wp:positionV>
                <wp:extent cx="115200" cy="115200"/>
                <wp:effectExtent l="0" t="0" r="0" b="0"/>
                <wp:wrapNone/>
                <wp:docPr id="410" name="Oval 410"/>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00AD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DCC4EC" id="Oval 410" o:spid="_x0000_s1026" style="position:absolute;margin-left:42.5pt;margin-top:.1pt;width:9.05pt;height:9.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" fillcolor="#00addc" stroked="f" strokeweight="1pt">
                <v:stroke joinstyle="miter"/>
                <w10:anchorlock/>
              </v:oval>
            </w:pict>
          </mc:Fallback>
        </mc:AlternateContent>
      </w:r>
      <w:r>
        <w:rPr>
          <w:rFonts w:eastAsiaTheme="minorEastAsia"/>
          <w:lang w:val="fr-BE" w:eastAsia="fr-BE"/>
        </w:rPr>
        <w:drawing>
          <wp:anchor distT="0" distB="0" distL="114300" distR="114300" simplePos="0" relativeHeight="251643904" behindDoc="1" locked="1" layoutInCell="1" allowOverlap="1">
            <wp:simplePos x="0" y="0"/>
            <wp:positionH relativeFrom="page">
              <wp:posOffset>-415925</wp:posOffset>
            </wp:positionH>
            <wp:positionV relativeFrom="paragraph">
              <wp:posOffset>-1747520</wp:posOffset>
            </wp:positionV>
            <wp:extent cx="3412490" cy="1990725"/>
            <wp:effectExtent l="0" t="0" r="0" b="0"/>
            <wp:wrapNone/>
            <wp:docPr id="417" name="Chart 4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645952" behindDoc="0" locked="1" layoutInCell="1" allowOverlap="1">
                <wp:simplePos x="0" y="0"/>
                <wp:positionH relativeFrom="column">
                  <wp:posOffset>539750</wp:posOffset>
                </wp:positionH>
                <wp:positionV relativeFrom="paragraph">
                  <wp:posOffset>195580</wp:posOffset>
                </wp:positionV>
                <wp:extent cx="115200" cy="115200"/>
                <wp:effectExtent l="0" t="0" r="0" b="0"/>
                <wp:wrapNone/>
                <wp:docPr id="411" name="Oval 411"/>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6078F8" id="Oval 411" o:spid="_x0000_s1026" style="position:absolute;margin-left:42.5pt;margin-top:15.4pt;width:9.05pt;height:9.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" fillcolor="#28296e" stroked="f" strokeweight="1pt">
                <v:stroke joinstyle="miter"/>
                <w10:anchorlock/>
              </v:oval>
            </w:pict>
          </mc:Fallback>
        </mc:AlternateContent>
      </w:r>
      <w:r>
        <w:rPr>
          <w:rFonts w:eastAsiaTheme="minorEastAsia"/>
        </w:rPr>
        <w:t>Payments</w:t>
      </w:r>
    </w:p>
    <w:p w:rsidR="0060634A" w:rsidRDefault="00F76D44">
      <w:pPr>
        <w:pStyle w:val="PPOsidebarchartLegends"/>
        <w:rPr>
          <w:rFonts w:eastAsiaTheme="minorEastAsia"/>
        </w:rPr>
      </w:pPr>
      <w:r>
        <w:rPr>
          <w:rFonts w:eastAsiaTheme="minorEastAsia"/>
        </w:rPr>
        <w:t>Commitments</w:t>
      </w:r>
    </w:p>
    <w:p w:rsidR="0060634A" w:rsidRDefault="00F76D44">
      <w:pPr>
        <w:pStyle w:val="PPO1AsidebarTitleLightBlue"/>
        <w:rPr>
          <w:rFonts w:eastAsiaTheme="minorEastAsia"/>
        </w:rPr>
      </w:pPr>
      <w:r>
        <w:rPr>
          <w:rFonts w:eastAsiaTheme="minorEastAsia"/>
        </w:rPr>
        <w:t>Evaluations/</w:t>
      </w:r>
      <w:r>
        <w:rPr>
          <w:rFonts w:eastAsiaTheme="minorEastAsia"/>
        </w:rPr>
        <w:br/>
        <w:t>studies conducted</w:t>
      </w:r>
    </w:p>
    <w:p w:rsidR="0060634A" w:rsidRDefault="00F76D44">
      <w:pPr>
        <w:pStyle w:val="PPOsidebartext"/>
        <w:rPr>
          <w:rFonts w:eastAsiaTheme="minorEastAsia"/>
        </w:rPr>
      </w:pPr>
      <w:r>
        <w:rPr>
          <w:rFonts w:eastAsiaTheme="minorEastAsia"/>
        </w:rPr>
        <w:t>The interim evaluation of the 2014-2018 Euratom programme was carried out in 2017 (COM(2017)</w:t>
      </w:r>
      <w:r>
        <w:rPr>
          <w:rFonts w:ascii="Calibri" w:eastAsiaTheme="minorEastAsia" w:hAnsi="Calibri" w:cs="Calibri"/>
        </w:rPr>
        <w:t> </w:t>
      </w:r>
      <w:r>
        <w:rPr>
          <w:rFonts w:eastAsiaTheme="minorEastAsia"/>
        </w:rPr>
        <w:t xml:space="preserve">697). For further </w:t>
      </w:r>
      <w:r>
        <w:rPr>
          <w:rFonts w:eastAsiaTheme="minorEastAsia"/>
        </w:rPr>
        <w:t>information please consult:</w:t>
      </w:r>
    </w:p>
    <w:p w:rsidR="0060634A" w:rsidRDefault="00F76D44">
      <w:pPr>
        <w:pStyle w:val="PPOsidebartext"/>
        <w:rPr>
          <w:rStyle w:val="PPOChar-Hyperlink"/>
          <w:rFonts w:eastAsiaTheme="minorEastAsia"/>
        </w:rPr>
      </w:pPr>
      <w:hyperlink r:id="rId228" w:history="1">
        <w:r>
          <w:rPr>
            <w:rStyle w:val="PPOChar-Hyperlink"/>
            <w:rFonts w:eastAsiaTheme="minorEastAsia"/>
          </w:rPr>
          <w:t>http://europa.eu/!pm48VY</w:t>
        </w:r>
      </w:hyperlink>
    </w:p>
    <w:tbl>
      <w:tblPr>
        <w:tblStyle w:val="TableGrid"/>
        <w:tblpPr w:horzAnchor="page" w:tblpX="3664" w:tblpYSpec="bottom"/>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60634A">
        <w:trPr>
          <w:cantSplit/>
        </w:trPr>
        <w:tc>
          <w:tcPr>
            <w:tcW w:w="7792" w:type="dxa"/>
            <w:gridSpan w:val="3"/>
            <w:vAlign w:val="center"/>
          </w:tcPr>
          <w:p w:rsidR="0060634A" w:rsidRDefault="00F76D44">
            <w:pPr>
              <w:pStyle w:val="PPOTitle3-nospacebefore"/>
              <w:ind w:left="-108"/>
              <w:rPr>
                <w:rFonts w:eastAsiaTheme="minorEastAsia"/>
                <w:lang w:val="en-GB"/>
              </w:rPr>
            </w:pPr>
            <w:r>
              <w:rPr>
                <w:rFonts w:eastAsiaTheme="minorEastAsia"/>
                <w:lang w:val="en-GB"/>
              </w:rPr>
              <w:t>Voted budget execution (in million EUR)</w:t>
            </w:r>
          </w:p>
        </w:tc>
      </w:tr>
      <w:tr w:rsidR="0060634A">
        <w:tblPrEx>
          <w:tblCellMar>
            <w:left w:w="57" w:type="dxa"/>
            <w:right w:w="57" w:type="dxa"/>
          </w:tblCellMar>
        </w:tblPrEx>
        <w:trPr>
          <w:cantSplit/>
        </w:trPr>
        <w:tc>
          <w:tcPr>
            <w:tcW w:w="3471" w:type="dxa"/>
            <w:shd w:val="clear" w:color="auto" w:fill="00ADDC"/>
            <w:vAlign w:val="center"/>
          </w:tcPr>
          <w:p w:rsidR="0060634A" w:rsidRDefault="00F76D44">
            <w:pPr>
              <w:spacing w:after="100" w:afterAutospacing="1"/>
              <w:ind w:right="57"/>
              <w:jc w:val="right"/>
              <w:rPr>
                <w:noProof/>
                <w:sz w:val="18"/>
              </w:rPr>
            </w:pPr>
            <w:r>
              <w:rPr>
                <w:noProof/>
                <w:color w:val="FFFFFF" w:themeColor="background1"/>
                <w:sz w:val="18"/>
                <w:lang w:val="en-GB"/>
              </w:rPr>
              <w:t xml:space="preserve">                </w:t>
            </w:r>
            <w:r>
              <w:rPr>
                <w:noProof/>
                <w:color w:val="FFFFFF" w:themeColor="background1"/>
                <w:sz w:val="18"/>
              </w:rPr>
              <w:t>EXECUTED COMMITMENTS</w:t>
            </w:r>
          </w:p>
        </w:tc>
        <w:tc>
          <w:tcPr>
            <w:tcW w:w="850" w:type="dxa"/>
            <w:shd w:val="clear" w:color="auto" w:fill="00ADDC"/>
            <w:vAlign w:val="center"/>
          </w:tcPr>
          <w:p w:rsidR="0060634A" w:rsidRDefault="0060634A">
            <w:pPr>
              <w:spacing w:afterAutospacing="1"/>
              <w:jc w:val="center"/>
              <w:rPr>
                <w:noProof/>
                <w:sz w:val="18"/>
              </w:rPr>
            </w:pPr>
          </w:p>
        </w:tc>
        <w:tc>
          <w:tcPr>
            <w:tcW w:w="3471" w:type="dxa"/>
            <w:shd w:val="clear" w:color="auto" w:fill="00ADDC"/>
            <w:vAlign w:val="center"/>
          </w:tcPr>
          <w:p w:rsidR="0060634A" w:rsidRDefault="00F76D44">
            <w:pPr>
              <w:spacing w:after="100" w:afterAutospacing="1"/>
              <w:rPr>
                <w:noProof/>
                <w:sz w:val="18"/>
              </w:rPr>
            </w:pPr>
            <w:r>
              <w:rPr>
                <w:noProof/>
                <w:color w:val="FFFFFF" w:themeColor="background1"/>
                <w:sz w:val="18"/>
              </w:rPr>
              <w:t>EXECUTED PAYMENTS</w:t>
            </w:r>
          </w:p>
        </w:tc>
      </w:tr>
      <w:tr w:rsidR="0060634A">
        <w:trPr>
          <w:cantSplit/>
        </w:trPr>
        <w:tc>
          <w:tcPr>
            <w:tcW w:w="3471" w:type="dxa"/>
            <w:shd w:val="clear" w:color="auto" w:fill="DCE6F2"/>
            <w:vAlign w:val="center"/>
          </w:tcPr>
          <w:p w:rsidR="0060634A" w:rsidRDefault="00F76D44">
            <w:pPr>
              <w:spacing w:after="100" w:afterAutospacing="1"/>
              <w:jc w:val="center"/>
              <w:rPr>
                <w:noProof/>
                <w:color w:val="0070C0"/>
                <w:sz w:val="18"/>
              </w:rPr>
            </w:pPr>
            <w:r>
              <w:rPr>
                <w:noProof/>
                <w:color w:val="0070C0"/>
                <w:sz w:val="18"/>
                <w:lang w:eastAsia="fr-BE"/>
              </w:rPr>
              <w:drawing>
                <wp:inline distT="0" distB="0" distL="0" distR="0">
                  <wp:extent cx="2158365" cy="890270"/>
                  <wp:effectExtent l="0" t="0" r="0" b="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c>
          <w:tcPr>
            <w:tcW w:w="850" w:type="dxa"/>
            <w:shd w:val="clear" w:color="auto" w:fill="DCE6F2"/>
            <w:vAlign w:val="center"/>
          </w:tcPr>
          <w:p w:rsidR="0060634A" w:rsidRDefault="00F76D44">
            <w:pPr>
              <w:spacing w:after="60"/>
              <w:jc w:val="center"/>
              <w:rPr>
                <w:noProof/>
                <w:color w:val="0070C0"/>
              </w:rPr>
            </w:pPr>
            <w:r>
              <w:rPr>
                <w:noProof/>
                <w:color w:val="0070C0"/>
              </w:rPr>
              <w:t>2017</w:t>
            </w:r>
          </w:p>
          <w:p w:rsidR="0060634A" w:rsidRDefault="00F76D44">
            <w:pPr>
              <w:spacing w:after="60"/>
              <w:jc w:val="center"/>
              <w:rPr>
                <w:noProof/>
                <w:color w:val="0070C0"/>
              </w:rPr>
            </w:pPr>
            <w:r>
              <w:rPr>
                <w:noProof/>
                <w:color w:val="0070C0"/>
              </w:rPr>
              <w:t>2018</w:t>
            </w:r>
          </w:p>
          <w:p w:rsidR="0060634A" w:rsidRDefault="00F76D44">
            <w:pPr>
              <w:spacing w:after="60"/>
              <w:jc w:val="center"/>
              <w:rPr>
                <w:noProof/>
                <w:sz w:val="18"/>
              </w:rPr>
            </w:pPr>
            <w:r>
              <w:rPr>
                <w:noProof/>
                <w:color w:val="0070C0"/>
              </w:rPr>
              <w:t>2019</w:t>
            </w:r>
          </w:p>
        </w:tc>
        <w:tc>
          <w:tcPr>
            <w:tcW w:w="3471" w:type="dxa"/>
            <w:shd w:val="clear" w:color="auto" w:fill="DCE6F2"/>
            <w:vAlign w:val="center"/>
          </w:tcPr>
          <w:p w:rsidR="0060634A" w:rsidRDefault="00F76D44">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890270"/>
                  <wp:effectExtent l="0" t="0" r="0" b="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r>
    </w:tbl>
    <w:p w:rsidR="0060634A" w:rsidRDefault="00F76D44">
      <w:pPr>
        <w:pStyle w:val="PPO1AsidebarTitleLightBlue"/>
        <w:rPr>
          <w:rFonts w:eastAsiaTheme="minorEastAsia"/>
        </w:rPr>
      </w:pPr>
      <w:r>
        <w:rPr>
          <w:rFonts w:eastAsiaTheme="minorEastAsia"/>
        </w:rPr>
        <w:t>How is it implemented?</w:t>
      </w:r>
    </w:p>
    <w:p w:rsidR="0060634A" w:rsidRDefault="00F76D44">
      <w:pPr>
        <w:pStyle w:val="PPOsidebartext"/>
        <w:rPr>
          <w:rFonts w:eastAsiaTheme="minorEastAsia"/>
        </w:rPr>
      </w:pPr>
      <w:r>
        <w:rPr>
          <w:rFonts w:eastAsiaTheme="minorEastAsia"/>
        </w:rPr>
        <w:t xml:space="preserve">The </w:t>
      </w:r>
      <w:r>
        <w:rPr>
          <w:rFonts w:eastAsiaTheme="minorEastAsia"/>
        </w:rPr>
        <w:t>Directorate-General for Research and Innovation is the lead DG for the implementation of the programme together with the Joint Research Centre.</w:t>
      </w:r>
    </w:p>
    <w:p w:rsidR="0060634A" w:rsidRDefault="00F76D44">
      <w:pPr>
        <w:pStyle w:val="PPO1ATitle1"/>
        <w:rPr>
          <w:rFonts w:eastAsiaTheme="minorEastAsia"/>
        </w:rPr>
      </w:pPr>
      <w:r>
        <w:rPr>
          <w:rFonts w:ascii="EC Square Sans Cond Pro" w:eastAsiaTheme="minorEastAsia" w:hAnsi="EC Square Sans Cond Pro" w:cs="EC Square Sans Cond Pro"/>
          <w:color w:val="000000"/>
          <w:sz w:val="18"/>
          <w:szCs w:val="18"/>
        </w:rPr>
        <w:br w:type="column"/>
      </w:r>
      <w:bookmarkStart w:id="18" w:name="_Toc39583678"/>
      <w:r>
        <w:rPr>
          <w:rFonts w:eastAsiaTheme="minorEastAsia"/>
        </w:rPr>
        <w:t>EURATOM</w:t>
      </w:r>
      <w:bookmarkEnd w:id="18"/>
      <w:r>
        <w:rPr>
          <w:rFonts w:eastAsiaTheme="minorEastAsia"/>
        </w:rPr>
        <w:t xml:space="preserve"> RESEARCH</w:t>
      </w:r>
    </w:p>
    <w:p w:rsidR="0060634A" w:rsidRDefault="00F76D44">
      <w:pPr>
        <w:pStyle w:val="PPO1ATitle2"/>
        <w:rPr>
          <w:rFonts w:eastAsiaTheme="minorEastAsia"/>
        </w:rPr>
      </w:pPr>
      <w:r>
        <w:rPr>
          <w:rFonts w:eastAsiaTheme="minorEastAsia"/>
        </w:rPr>
        <w:t>EURATOM RESEARCH AND TRAINING PROGRAMME</w:t>
      </w:r>
    </w:p>
    <w:p w:rsidR="0060634A" w:rsidRDefault="00F76D44">
      <w:pPr>
        <w:pStyle w:val="PPOTitle3"/>
        <w:rPr>
          <w:rFonts w:eastAsiaTheme="minorEastAsia"/>
        </w:rPr>
      </w:pPr>
      <w:r>
        <w:rPr>
          <w:rFonts w:eastAsiaTheme="minorEastAsia"/>
        </w:rPr>
        <w:t>What is the Euratom research and training programme?</w:t>
      </w:r>
    </w:p>
    <w:p w:rsidR="0060634A" w:rsidRDefault="00F76D44">
      <w:pPr>
        <w:pStyle w:val="PPObodyText"/>
        <w:spacing w:after="120"/>
        <w:rPr>
          <w:noProof/>
        </w:rPr>
      </w:pPr>
      <w:r>
        <w:rPr>
          <w:noProof/>
          <w:lang w:val="fr-BE" w:eastAsia="fr-BE"/>
        </w:rPr>
        <mc:AlternateContent>
          <mc:Choice Requires="wps">
            <w:drawing>
              <wp:anchor distT="0" distB="0" distL="114300" distR="114300" simplePos="0" relativeHeight="251606016" behindDoc="0" locked="1" layoutInCell="1" allowOverlap="1">
                <wp:simplePos x="0" y="0"/>
                <wp:positionH relativeFrom="page">
                  <wp:posOffset>4762500</wp:posOffset>
                </wp:positionH>
                <wp:positionV relativeFrom="page">
                  <wp:posOffset>7127875</wp:posOffset>
                </wp:positionV>
                <wp:extent cx="2437130" cy="1693545"/>
                <wp:effectExtent l="0" t="0" r="1270" b="1905"/>
                <wp:wrapTopAndBottom/>
                <wp:docPr id="412" name="Text Box 412"/>
                <wp:cNvGraphicFramePr/>
                <a:graphic xmlns:a="http://schemas.openxmlformats.org/drawingml/2006/main">
                  <a:graphicData uri="http://schemas.microsoft.com/office/word/2010/wordprocessingShape">
                    <wps:wsp>
                      <wps:cNvSpPr txBox="1"/>
                      <wps:spPr>
                        <a:xfrm>
                          <a:off x="0" y="0"/>
                          <a:ext cx="2437130" cy="1693545"/>
                        </a:xfrm>
                        <a:prstGeom prst="rect">
                          <a:avLst/>
                        </a:prstGeom>
                        <a:solidFill>
                          <a:schemeClr val="lt1"/>
                        </a:solidFill>
                        <a:ln w="6350">
                          <a:noFill/>
                        </a:ln>
                      </wps:spPr>
                      <wps:linkedTxbx id="42" seq="1"/>
                      <wps:bodyPr rot="0" spcFirstLastPara="0" vertOverflow="overflow" horzOverflow="overflow" vert="horz" wrap="square" lIns="9144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2" o:spid="_x0000_s1095" type="#_x0000_t202" style="position:absolute;left:0;text-align:left;margin-left:375pt;margin-top:561.25pt;width:191.9pt;height:133.3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" fillcolor="white [3201]" stroked="f" strokeweight=".5pt">
                <v:textbox inset=",,0,0">
                  <w:txbxContent/>
                </v:textbox>
                <w10:wrap type="topAndBottom" anchorx="page" anchory="page"/>
                <w10:anchorlock/>
              </v:shape>
            </w:pict>
          </mc:Fallback>
        </mc:AlternateContent>
      </w:r>
      <w:r>
        <w:rPr>
          <w:noProof/>
        </w:rPr>
        <w:t>The objectives of the Euratom research and training programme are to pursue and support research on all aspects of nuclear safety and security, reducing risks associated with radiation exposure from medical or industrial applications and supporting emergen</w:t>
      </w:r>
      <w:r>
        <w:rPr>
          <w:noProof/>
        </w:rPr>
        <w:t>cy preparedness and response in relation to accidents involving radiation. The programme also aims to continue to support the development of fusion energy, a potentially inexhaustible and climate-friendly energy source in view of its potential major impact</w:t>
      </w:r>
      <w:r>
        <w:rPr>
          <w:noProof/>
        </w:rPr>
        <w:t xml:space="preserve"> in contributing to the decarbonisation of the energy mix. The programme will work towards solutions for the management and disposal of spent fuel and radioactive waste, and for nuclear decommissioning. The Euratom programme provides scientific and technic</w:t>
      </w:r>
      <w:r>
        <w:rPr>
          <w:noProof/>
        </w:rPr>
        <w:t>al support for the implementation of EU policy in the field of nuclear safeguards, non-proliferation and nuclear security. Funding is also provided for the basic research necessary for the development of reference measurements, materials and data.</w:t>
      </w:r>
    </w:p>
    <w:tbl>
      <w:tblPr>
        <w:tblStyle w:val="TableGrid"/>
        <w:tblpPr w:leftFromText="181" w:rightFromText="340" w:vertAnchor="text" w:tblpX="108" w:tblpY="1"/>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7797"/>
      </w:tblGrid>
      <w:tr w:rsidR="0060634A">
        <w:trPr>
          <w:trHeight w:val="4852"/>
        </w:trPr>
        <w:tc>
          <w:tcPr>
            <w:tcW w:w="7797" w:type="dxa"/>
            <w:shd w:val="clear" w:color="auto" w:fill="F2F2F2" w:themeFill="background1" w:themeFillShade="F2"/>
          </w:tcPr>
          <w:p w:rsidR="0060634A" w:rsidRDefault="00F76D44">
            <w:pPr>
              <w:pStyle w:val="PPO1ASpecificobjectivesBOX-HeadingLightBlue"/>
              <w:rPr>
                <w:rFonts w:eastAsiaTheme="minorEastAsia"/>
                <w:lang w:val="en-GB"/>
              </w:rPr>
            </w:pPr>
            <w:r>
              <w:rPr>
                <w:rFonts w:eastAsiaTheme="minorEastAsia"/>
                <w:lang w:val="en-GB"/>
              </w:rPr>
              <w:t>Specific</w:t>
            </w:r>
            <w:r>
              <w:rPr>
                <w:rFonts w:eastAsiaTheme="minorEastAsia"/>
                <w:lang w:val="en-GB"/>
              </w:rPr>
              <w:t xml:space="preserve"> objectives</w:t>
            </w:r>
            <w:r>
              <w:rPr>
                <w:rFonts w:eastAsiaTheme="minorEastAsia"/>
                <w:lang w:eastAsia="fr-BE"/>
              </w:rPr>
              <mc:AlternateContent>
                <mc:Choice Requires="wps">
                  <w:drawing>
                    <wp:anchor distT="0" distB="0" distL="114300" distR="114300" simplePos="0" relativeHeight="251642880"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23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00ADDC"/>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B75F839" id="Freeform 6" o:spid="_x0000_s1026" style="position:absolute;margin-left:4pt;margin-top:1.4pt;width:21.25pt;height:21.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00addc"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p>
          <w:p w:rsidR="0060634A" w:rsidRDefault="00F76D44">
            <w:pPr>
              <w:pStyle w:val="PPOSpecificobjectivesBOX-Subheading"/>
              <w:ind w:left="113"/>
              <w:rPr>
                <w:lang w:val="en-GB"/>
              </w:rPr>
            </w:pPr>
            <w:r>
              <w:rPr>
                <w:lang w:val="en-GB"/>
              </w:rPr>
              <w:t>FOR INDIRECT ACTIONS:</w:t>
            </w:r>
          </w:p>
          <w:p w:rsidR="0060634A" w:rsidRDefault="00F76D44">
            <w:pPr>
              <w:pStyle w:val="PPO1ASpecificobjectivesBOX-BulletLightBlue"/>
              <w:spacing w:after="40"/>
              <w:rPr>
                <w:rFonts w:ascii="EC Square Sans Cond Pro" w:hAnsi="EC Square Sans Cond Pro"/>
                <w:lang w:val="en-GB"/>
              </w:rPr>
            </w:pPr>
            <w:r>
              <w:rPr>
                <w:rFonts w:ascii="EC Square Sans Cond Pro" w:hAnsi="EC Square Sans Cond Pro"/>
                <w:lang w:val="en-GB"/>
              </w:rPr>
              <w:t xml:space="preserve">To support the safety of nuclear systems. </w:t>
            </w:r>
          </w:p>
          <w:p w:rsidR="0060634A" w:rsidRDefault="00F76D44">
            <w:pPr>
              <w:pStyle w:val="PPO1ASpecificobjectivesBOX-BulletLightBlue"/>
              <w:spacing w:after="40"/>
              <w:rPr>
                <w:rFonts w:ascii="EC Square Sans Cond Pro" w:hAnsi="EC Square Sans Cond Pro"/>
                <w:lang w:val="en-GB"/>
              </w:rPr>
            </w:pPr>
            <w:r>
              <w:rPr>
                <w:rFonts w:ascii="EC Square Sans Cond Pro" w:hAnsi="EC Square Sans Cond Pro"/>
                <w:lang w:val="en-GB"/>
              </w:rPr>
              <w:t xml:space="preserve">To contribute to the development of solutions for the management of ultimate nuclear waste. </w:t>
            </w:r>
          </w:p>
          <w:p w:rsidR="0060634A" w:rsidRDefault="00F76D44">
            <w:pPr>
              <w:pStyle w:val="PPO1ASpecificobjectivesBOX-BulletLightBlue"/>
              <w:spacing w:after="40"/>
              <w:rPr>
                <w:rFonts w:ascii="EC Square Sans Cond Pro" w:hAnsi="EC Square Sans Cond Pro"/>
                <w:lang w:val="en-GB"/>
              </w:rPr>
            </w:pPr>
            <w:r>
              <w:rPr>
                <w:rFonts w:ascii="EC Square Sans Cond Pro" w:hAnsi="EC Square Sans Cond Pro"/>
                <w:lang w:val="en-GB"/>
              </w:rPr>
              <w:t xml:space="preserve">To support the development and sustainability of nuclear competences at EU level. </w:t>
            </w:r>
          </w:p>
          <w:p w:rsidR="0060634A" w:rsidRDefault="00F76D44">
            <w:pPr>
              <w:pStyle w:val="PPO1ASpecificobjectivesBOX-BulletLightBlue"/>
              <w:spacing w:after="40"/>
              <w:rPr>
                <w:rFonts w:ascii="EC Square Sans Cond Pro" w:hAnsi="EC Square Sans Cond Pro"/>
                <w:lang w:val="en-GB"/>
              </w:rPr>
            </w:pPr>
            <w:r>
              <w:rPr>
                <w:rFonts w:ascii="EC Square Sans Cond Pro" w:hAnsi="EC Square Sans Cond Pro"/>
                <w:lang w:val="en-GB"/>
              </w:rPr>
              <w:t xml:space="preserve">To support radiation protection and the development of medical applications of radiation, including the secure and safe supply and use of radioisotopes. </w:t>
            </w:r>
          </w:p>
          <w:p w:rsidR="0060634A" w:rsidRDefault="00F76D44">
            <w:pPr>
              <w:pStyle w:val="PPO1ASpecificobjectivesBOX-BulletLightBlue"/>
              <w:spacing w:after="40"/>
              <w:rPr>
                <w:rFonts w:ascii="EC Square Sans Cond Pro" w:hAnsi="EC Square Sans Cond Pro"/>
                <w:lang w:val="en-GB"/>
              </w:rPr>
            </w:pPr>
            <w:r>
              <w:rPr>
                <w:rFonts w:ascii="EC Square Sans Cond Pro" w:hAnsi="EC Square Sans Cond Pro"/>
                <w:lang w:val="en-GB"/>
              </w:rPr>
              <w:t>To move towards demonstrating the feasibility of fusion as a power source by exploiting existing and f</w:t>
            </w:r>
            <w:r>
              <w:rPr>
                <w:rFonts w:ascii="EC Square Sans Cond Pro" w:hAnsi="EC Square Sans Cond Pro"/>
                <w:lang w:val="en-GB"/>
              </w:rPr>
              <w:t xml:space="preserve">uture fusion facilities. </w:t>
            </w:r>
          </w:p>
          <w:p w:rsidR="0060634A" w:rsidRDefault="00F76D44">
            <w:pPr>
              <w:pStyle w:val="PPO1ASpecificobjectivesBOX-BulletLightBlue"/>
              <w:spacing w:after="40"/>
              <w:rPr>
                <w:rFonts w:ascii="EC Square Sans Cond Pro" w:hAnsi="EC Square Sans Cond Pro"/>
                <w:lang w:val="en-GB"/>
              </w:rPr>
            </w:pPr>
            <w:r>
              <w:rPr>
                <w:rFonts w:ascii="EC Square Sans Cond Pro" w:hAnsi="EC Square Sans Cond Pro"/>
                <w:lang w:val="en-GB"/>
              </w:rPr>
              <w:t xml:space="preserve">To lay the foundations for future fusion power plants by developing materials, technologies and conceptual designs. </w:t>
            </w:r>
          </w:p>
          <w:p w:rsidR="0060634A" w:rsidRDefault="00F76D44">
            <w:pPr>
              <w:pStyle w:val="PPO1ASpecificobjectivesBOX-BulletLightBlue"/>
              <w:spacing w:after="40"/>
              <w:rPr>
                <w:rFonts w:ascii="EC Square Sans Cond Pro" w:hAnsi="EC Square Sans Cond Pro"/>
                <w:lang w:val="en-GB"/>
              </w:rPr>
            </w:pPr>
            <w:r>
              <w:rPr>
                <w:rFonts w:ascii="EC Square Sans Cond Pro" w:hAnsi="EC Square Sans Cond Pro"/>
                <w:lang w:val="en-GB"/>
              </w:rPr>
              <w:t xml:space="preserve">To promote innovation and industrial competitiveness. </w:t>
            </w:r>
          </w:p>
          <w:p w:rsidR="0060634A" w:rsidRDefault="00F76D44">
            <w:pPr>
              <w:pStyle w:val="PPO1ASpecificobjectivesBOX-BulletLightBlue"/>
              <w:spacing w:after="40"/>
              <w:rPr>
                <w:rFonts w:ascii="EC Square Sans Cond Pro" w:hAnsi="EC Square Sans Cond Pro"/>
                <w:lang w:val="en-GB"/>
              </w:rPr>
            </w:pPr>
            <w:r>
              <w:rPr>
                <w:rFonts w:ascii="EC Square Sans Cond Pro" w:hAnsi="EC Square Sans Cond Pro"/>
                <w:lang w:val="en-GB"/>
              </w:rPr>
              <w:t>To ensure the availability and use of research infrastruct</w:t>
            </w:r>
            <w:r>
              <w:rPr>
                <w:rFonts w:ascii="EC Square Sans Cond Pro" w:hAnsi="EC Square Sans Cond Pro"/>
                <w:lang w:val="en-GB"/>
              </w:rPr>
              <w:t>ures of pan-European relevance.</w:t>
            </w:r>
          </w:p>
          <w:p w:rsidR="0060634A" w:rsidRDefault="00F76D44">
            <w:pPr>
              <w:pStyle w:val="PPOSpecificobjectivesBOX-Subheading"/>
              <w:ind w:left="113"/>
            </w:pPr>
            <w:r>
              <w:t>FOR DIRECT ACTIONS:</w:t>
            </w:r>
          </w:p>
          <w:p w:rsidR="0060634A" w:rsidRDefault="00F76D44">
            <w:pPr>
              <w:pStyle w:val="PPO1ASpecificobjectivesBOX-BulletLightBlue"/>
              <w:spacing w:after="40"/>
              <w:rPr>
                <w:rFonts w:ascii="EC Square Sans Cond Pro" w:hAnsi="EC Square Sans Cond Pro"/>
                <w:lang w:val="en-GB"/>
              </w:rPr>
            </w:pPr>
            <w:r>
              <w:rPr>
                <w:rFonts w:ascii="EC Square Sans Cond Pro" w:hAnsi="EC Square Sans Cond Pro"/>
                <w:lang w:val="en-GB"/>
              </w:rPr>
              <w:t>To improve nuclear safety including: nuclear reactor and fuel safety, waste management, decommissioning and emergency preparedness.</w:t>
            </w:r>
          </w:p>
          <w:p w:rsidR="0060634A" w:rsidRDefault="00F76D44">
            <w:pPr>
              <w:pStyle w:val="PPO1ASpecificobjectivesBOX-BulletLightBlue"/>
              <w:spacing w:after="40"/>
              <w:rPr>
                <w:rFonts w:ascii="EC Square Sans Cond Pro" w:hAnsi="EC Square Sans Cond Pro"/>
                <w:lang w:val="en-GB"/>
              </w:rPr>
            </w:pPr>
            <w:r>
              <w:rPr>
                <w:rFonts w:ascii="EC Square Sans Cond Pro" w:hAnsi="EC Square Sans Cond Pro"/>
                <w:lang w:val="en-GB"/>
              </w:rPr>
              <w:t>To improve nuclear security including: nuclear safeguards, non-prolifera</w:t>
            </w:r>
            <w:r>
              <w:rPr>
                <w:rFonts w:ascii="EC Square Sans Cond Pro" w:hAnsi="EC Square Sans Cond Pro"/>
                <w:lang w:val="en-GB"/>
              </w:rPr>
              <w:t>tion, combating illicit trafficking and nuclear forensics.</w:t>
            </w:r>
          </w:p>
          <w:p w:rsidR="0060634A" w:rsidRDefault="00F76D44">
            <w:pPr>
              <w:pStyle w:val="PPO1ASpecificobjectivesBOX-BulletLightBlue"/>
              <w:spacing w:after="40"/>
              <w:rPr>
                <w:rFonts w:ascii="EC Square Sans Cond Pro" w:hAnsi="EC Square Sans Cond Pro"/>
                <w:lang w:val="en-GB"/>
              </w:rPr>
            </w:pPr>
            <w:r>
              <w:rPr>
                <w:rFonts w:ascii="EC Square Sans Cond Pro" w:hAnsi="EC Square Sans Cond Pro"/>
                <w:lang w:val="en-GB"/>
              </w:rPr>
              <w:t>To increase excellence in the nuclear science base for standardisation.</w:t>
            </w:r>
          </w:p>
          <w:p w:rsidR="0060634A" w:rsidRDefault="00F76D44">
            <w:pPr>
              <w:pStyle w:val="PPO1ASpecificobjectivesBOX-BulletLightBlue"/>
              <w:spacing w:after="40"/>
              <w:rPr>
                <w:rFonts w:ascii="EC Square Sans Cond Pro" w:hAnsi="EC Square Sans Cond Pro"/>
                <w:lang w:val="en-GB"/>
              </w:rPr>
            </w:pPr>
            <w:r>
              <w:rPr>
                <w:rFonts w:ascii="EC Square Sans Cond Pro" w:hAnsi="EC Square Sans Cond Pro"/>
                <w:lang w:val="en-GB"/>
              </w:rPr>
              <w:t>To foster knowledge management, education and training.</w:t>
            </w:r>
          </w:p>
          <w:p w:rsidR="0060634A" w:rsidRDefault="00F76D44">
            <w:pPr>
              <w:pStyle w:val="PPO1ASpecificobjectivesBOX-BulletLightBlue"/>
              <w:spacing w:after="40"/>
              <w:rPr>
                <w:lang w:val="en-GB"/>
              </w:rPr>
            </w:pPr>
            <w:r>
              <w:rPr>
                <w:rFonts w:ascii="EC Square Sans Cond Pro" w:hAnsi="EC Square Sans Cond Pro"/>
                <w:lang w:val="en-GB"/>
              </w:rPr>
              <w:t xml:space="preserve">To support the EU’s policy on nuclear safety and security. </w:t>
            </w:r>
          </w:p>
        </w:tc>
      </w:tr>
    </w:tbl>
    <w:p w:rsidR="0060634A" w:rsidRDefault="0060634A">
      <w:pPr>
        <w:framePr w:w="6721" w:wrap="auto" w:hAnchor="text" w:x="3544"/>
        <w:jc w:val="both"/>
        <w:rPr>
          <w:b/>
          <w:noProof/>
          <w:color w:val="1F95A5"/>
        </w:rPr>
        <w:sectPr w:rsidR="0060634A">
          <w:headerReference w:type="even" r:id="rId231"/>
          <w:headerReference w:type="default" r:id="rId232"/>
          <w:footerReference w:type="even" r:id="rId233"/>
          <w:footerReference w:type="default" r:id="rId234"/>
          <w:headerReference w:type="first" r:id="rId235"/>
          <w:footerReference w:type="first" r:id="rId236"/>
          <w:pgSz w:w="11906" w:h="16838"/>
          <w:pgMar w:top="567" w:right="567" w:bottom="567" w:left="567" w:header="567" w:footer="454" w:gutter="0"/>
          <w:paperSrc w:first="15" w:other="15"/>
          <w:cols w:num="2" w:space="708" w:equalWidth="0">
            <w:col w:w="2269" w:space="708"/>
            <w:col w:w="7795"/>
          </w:cols>
          <w:docGrid w:linePitch="360"/>
        </w:sectPr>
      </w:pPr>
    </w:p>
    <w:p w:rsidR="0060634A" w:rsidRDefault="00F76D44">
      <w:pPr>
        <w:pStyle w:val="PPOTitle3-nospacebefore"/>
        <w:rPr>
          <w:rFonts w:eastAsiaTheme="minorEastAsia"/>
        </w:rPr>
      </w:pPr>
      <w:r>
        <w:rPr>
          <w:rFonts w:eastAsiaTheme="minorEastAsia"/>
        </w:rPr>
        <w:t>Key performance indicators</w:t>
      </w:r>
    </w:p>
    <w:tbl>
      <w:tblPr>
        <w:tblStyle w:val="TableGrid"/>
        <w:tblW w:w="1075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2094"/>
        <w:gridCol w:w="986"/>
        <w:gridCol w:w="5018"/>
        <w:gridCol w:w="794"/>
        <w:gridCol w:w="1908"/>
        <w:gridCol w:w="25"/>
      </w:tblGrid>
      <w:tr w:rsidR="0060634A">
        <w:trPr>
          <w:gridAfter w:val="1"/>
          <w:wAfter w:w="31" w:type="dxa"/>
          <w:trHeight w:val="333"/>
        </w:trPr>
        <w:tc>
          <w:tcPr>
            <w:tcW w:w="2255" w:type="dxa"/>
            <w:vAlign w:val="center"/>
          </w:tcPr>
          <w:p w:rsidR="0060634A" w:rsidRDefault="0060634A">
            <w:pPr>
              <w:ind w:left="142"/>
              <w:jc w:val="right"/>
              <w:rPr>
                <w:noProof/>
                <w:sz w:val="16"/>
                <w:szCs w:val="16"/>
              </w:rPr>
            </w:pPr>
          </w:p>
        </w:tc>
        <w:tc>
          <w:tcPr>
            <w:tcW w:w="956" w:type="dxa"/>
            <w:vAlign w:val="bottom"/>
          </w:tcPr>
          <w:p w:rsidR="0060634A" w:rsidRDefault="00F76D44">
            <w:pPr>
              <w:jc w:val="center"/>
              <w:rPr>
                <w:b/>
                <w:noProof/>
                <w:color w:val="28296E"/>
                <w:sz w:val="16"/>
                <w:szCs w:val="16"/>
              </w:rPr>
            </w:pPr>
            <w:r>
              <w:rPr>
                <w:b/>
                <w:noProof/>
                <w:color w:val="28296E"/>
                <w:sz w:val="16"/>
                <w:szCs w:val="16"/>
              </w:rPr>
              <w:t>Baseline</w:t>
            </w:r>
          </w:p>
        </w:tc>
        <w:tc>
          <w:tcPr>
            <w:tcW w:w="4666" w:type="dxa"/>
            <w:vAlign w:val="center"/>
          </w:tcPr>
          <w:p w:rsidR="0060634A" w:rsidRDefault="00F76D44">
            <w:pPr>
              <w:ind w:left="142"/>
              <w:jc w:val="center"/>
              <w:rPr>
                <w:b/>
                <w:noProof/>
                <w:color w:val="28296E"/>
                <w:sz w:val="16"/>
                <w:szCs w:val="16"/>
              </w:rPr>
            </w:pPr>
            <w:r>
              <w:rPr>
                <w:b/>
                <w:noProof/>
                <w:color w:val="28296E"/>
                <w:sz w:val="16"/>
                <w:szCs w:val="16"/>
              </w:rPr>
              <w:t>PROGRESS TOWARDS THE TARGET</w:t>
            </w:r>
          </w:p>
        </w:tc>
        <w:tc>
          <w:tcPr>
            <w:tcW w:w="777" w:type="dxa"/>
            <w:vAlign w:val="bottom"/>
          </w:tcPr>
          <w:p w:rsidR="0060634A" w:rsidRDefault="00F76D44">
            <w:pPr>
              <w:jc w:val="center"/>
              <w:rPr>
                <w:b/>
                <w:noProof/>
                <w:color w:val="28296E"/>
                <w:sz w:val="16"/>
                <w:szCs w:val="16"/>
              </w:rPr>
            </w:pPr>
            <w:r>
              <w:rPr>
                <w:b/>
                <w:noProof/>
                <w:color w:val="28296E"/>
                <w:sz w:val="16"/>
                <w:szCs w:val="16"/>
              </w:rPr>
              <w:t>Target</w:t>
            </w:r>
          </w:p>
        </w:tc>
        <w:tc>
          <w:tcPr>
            <w:tcW w:w="2065" w:type="dxa"/>
            <w:vAlign w:val="bottom"/>
          </w:tcPr>
          <w:p w:rsidR="0060634A" w:rsidRDefault="00F76D44">
            <w:pPr>
              <w:jc w:val="center"/>
              <w:rPr>
                <w:b/>
                <w:noProof/>
                <w:color w:val="28296E"/>
                <w:sz w:val="16"/>
                <w:szCs w:val="16"/>
              </w:rPr>
            </w:pPr>
            <w:r>
              <w:rPr>
                <w:b/>
                <w:noProof/>
                <w:color w:val="28296E"/>
                <w:sz w:val="16"/>
                <w:szCs w:val="16"/>
              </w:rPr>
              <w:t>Results</w:t>
            </w:r>
          </w:p>
        </w:tc>
      </w:tr>
      <w:tr w:rsidR="0060634A">
        <w:tblPrEx>
          <w:tblCellMar>
            <w:left w:w="108" w:type="dxa"/>
            <w:right w:w="108" w:type="dxa"/>
          </w:tblCellMar>
        </w:tblPrEx>
        <w:trPr>
          <w:trHeight w:val="344"/>
        </w:trPr>
        <w:tc>
          <w:tcPr>
            <w:tcW w:w="2255"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Projects in nuclear safety leading to a demonstrable improvement in nuclear safety practice in Europe</w:t>
            </w:r>
            <w:r>
              <w:rPr>
                <w:rFonts w:ascii="EC Square Sans Cond Pro" w:hAnsi="EC Square Sans Cond Pro"/>
                <w:noProof/>
                <w:sz w:val="16"/>
                <w:lang w:val="en-GB"/>
              </w:rPr>
              <w:t xml:space="preserve"> </w:t>
            </w:r>
            <w:r>
              <w:rPr>
                <w:rFonts w:ascii="EC Square Sans Cond Pro" w:hAnsi="EC Square Sans Cond Pro"/>
                <w:noProof/>
                <w:sz w:val="16"/>
                <w:vertAlign w:val="superscript"/>
                <w:lang w:val="en-GB"/>
              </w:rPr>
              <w:t>(1)</w:t>
            </w:r>
          </w:p>
        </w:tc>
        <w:tc>
          <w:tcPr>
            <w:tcW w:w="956" w:type="dxa"/>
            <w:vAlign w:val="center"/>
          </w:tcPr>
          <w:p w:rsidR="0060634A" w:rsidRDefault="0060634A">
            <w:pPr>
              <w:jc w:val="center"/>
              <w:rPr>
                <w:rFonts w:ascii="EC Square Sans Cond Pro" w:hAnsi="EC Square Sans Cond Pro"/>
                <w:noProof/>
                <w:sz w:val="16"/>
                <w:szCs w:val="16"/>
                <w:lang w:val="en-GB" w:eastAsia="en-GB"/>
              </w:rPr>
            </w:pPr>
          </w:p>
        </w:tc>
        <w:tc>
          <w:tcPr>
            <w:tcW w:w="4666"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79930" cy="127000"/>
                  <wp:effectExtent l="0" t="0" r="1270" b="6350"/>
                  <wp:docPr id="1561" name="Chart 15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tc>
        <w:tc>
          <w:tcPr>
            <w:tcW w:w="777"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Calibri"/>
                <w:noProof/>
                <w:sz w:val="16"/>
                <w:szCs w:val="16"/>
              </w:rPr>
              <w:t>44</w:t>
            </w:r>
          </w:p>
        </w:tc>
        <w:tc>
          <w:tcPr>
            <w:tcW w:w="2096"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47 compared to 44 projects</w:t>
            </w:r>
          </w:p>
        </w:tc>
      </w:tr>
      <w:tr w:rsidR="0060634A">
        <w:tblPrEx>
          <w:tblCellMar>
            <w:left w:w="108" w:type="dxa"/>
            <w:right w:w="108" w:type="dxa"/>
          </w:tblCellMar>
        </w:tblPrEx>
        <w:trPr>
          <w:trHeight w:val="318"/>
        </w:trPr>
        <w:tc>
          <w:tcPr>
            <w:tcW w:w="2255"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Projects contributing to the development of safe long-term solutions for the management of ultimate </w:t>
            </w:r>
            <w:r>
              <w:rPr>
                <w:rFonts w:ascii="EC Square Sans Cond Pro" w:hAnsi="EC Square Sans Cond Pro" w:cs="EC Square Sans Cond Pro"/>
                <w:noProof/>
                <w:color w:val="000000"/>
                <w:sz w:val="16"/>
                <w:szCs w:val="16"/>
                <w:lang w:val="en-GB" w:eastAsia="en-GB"/>
              </w:rPr>
              <w:t>nuclear waste</w:t>
            </w:r>
          </w:p>
        </w:tc>
        <w:tc>
          <w:tcPr>
            <w:tcW w:w="956" w:type="dxa"/>
            <w:vAlign w:val="center"/>
          </w:tcPr>
          <w:p w:rsidR="0060634A" w:rsidRDefault="0060634A">
            <w:pPr>
              <w:jc w:val="center"/>
              <w:rPr>
                <w:rFonts w:ascii="EC Square Sans Cond Pro" w:hAnsi="EC Square Sans Cond Pro"/>
                <w:noProof/>
                <w:sz w:val="16"/>
                <w:szCs w:val="16"/>
                <w:lang w:val="en-GB" w:eastAsia="en-GB"/>
              </w:rPr>
            </w:pPr>
          </w:p>
        </w:tc>
        <w:tc>
          <w:tcPr>
            <w:tcW w:w="4666"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79930" cy="127000"/>
                  <wp:effectExtent l="0" t="0" r="1270" b="6350"/>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tc>
        <w:tc>
          <w:tcPr>
            <w:tcW w:w="777"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14</w:t>
            </w:r>
          </w:p>
        </w:tc>
        <w:tc>
          <w:tcPr>
            <w:tcW w:w="2096"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12 out of 14 projects</w:t>
            </w:r>
          </w:p>
        </w:tc>
      </w:tr>
      <w:tr w:rsidR="0060634A">
        <w:tblPrEx>
          <w:tblCellMar>
            <w:left w:w="108" w:type="dxa"/>
            <w:right w:w="108" w:type="dxa"/>
          </w:tblCellMar>
        </w:tblPrEx>
        <w:trPr>
          <w:trHeight w:val="309"/>
        </w:trPr>
        <w:tc>
          <w:tcPr>
            <w:tcW w:w="2255"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Fellows and trainees in the Euratom fusion programme</w:t>
            </w:r>
          </w:p>
        </w:tc>
        <w:tc>
          <w:tcPr>
            <w:tcW w:w="956" w:type="dxa"/>
            <w:vAlign w:val="center"/>
          </w:tcPr>
          <w:p w:rsidR="0060634A" w:rsidRDefault="0060634A">
            <w:pPr>
              <w:jc w:val="center"/>
              <w:rPr>
                <w:rFonts w:ascii="EC Square Sans Cond Pro" w:hAnsi="EC Square Sans Cond Pro"/>
                <w:noProof/>
                <w:sz w:val="16"/>
                <w:szCs w:val="16"/>
                <w:lang w:val="en-GB"/>
              </w:rPr>
            </w:pPr>
          </w:p>
        </w:tc>
        <w:tc>
          <w:tcPr>
            <w:tcW w:w="4666"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79930" cy="127000"/>
                  <wp:effectExtent l="0" t="0" r="1270" b="6350"/>
                  <wp:docPr id="1562" name="Chart 15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tc>
        <w:tc>
          <w:tcPr>
            <w:tcW w:w="777"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50</w:t>
            </w:r>
          </w:p>
        </w:tc>
        <w:tc>
          <w:tcPr>
            <w:tcW w:w="2096" w:type="dxa"/>
            <w:gridSpan w:val="2"/>
            <w:vAlign w:val="center"/>
          </w:tcPr>
          <w:p w:rsidR="0060634A" w:rsidRDefault="00F76D44">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32 out of 50 fellows and trainees</w:t>
            </w:r>
          </w:p>
        </w:tc>
      </w:tr>
      <w:tr w:rsidR="0060634A">
        <w:tblPrEx>
          <w:tblCellMar>
            <w:left w:w="108" w:type="dxa"/>
            <w:right w:w="108" w:type="dxa"/>
          </w:tblCellMar>
        </w:tblPrEx>
        <w:trPr>
          <w:trHeight w:val="327"/>
        </w:trPr>
        <w:tc>
          <w:tcPr>
            <w:tcW w:w="2255"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Publications in peer-reviewed high-impact journals</w:t>
            </w:r>
          </w:p>
        </w:tc>
        <w:tc>
          <w:tcPr>
            <w:tcW w:w="956" w:type="dxa"/>
            <w:vAlign w:val="center"/>
          </w:tcPr>
          <w:p w:rsidR="0060634A" w:rsidRDefault="0060634A">
            <w:pPr>
              <w:jc w:val="center"/>
              <w:rPr>
                <w:rFonts w:ascii="EC Square Sans Cond Pro" w:hAnsi="EC Square Sans Cond Pro"/>
                <w:noProof/>
                <w:sz w:val="16"/>
                <w:szCs w:val="16"/>
                <w:lang w:val="en-GB" w:eastAsia="en-GB"/>
              </w:rPr>
            </w:pPr>
          </w:p>
        </w:tc>
        <w:tc>
          <w:tcPr>
            <w:tcW w:w="4666"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79930" cy="127000"/>
                  <wp:effectExtent l="0" t="0" r="1270" b="6350"/>
                  <wp:docPr id="1563" name="Chart 15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tc>
        <w:tc>
          <w:tcPr>
            <w:tcW w:w="777"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800</w:t>
            </w:r>
          </w:p>
        </w:tc>
        <w:tc>
          <w:tcPr>
            <w:tcW w:w="2096"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822 compared to 800 publications</w:t>
            </w:r>
          </w:p>
        </w:tc>
      </w:tr>
      <w:tr w:rsidR="0060634A">
        <w:tblPrEx>
          <w:tblCellMar>
            <w:left w:w="108" w:type="dxa"/>
            <w:right w:w="108" w:type="dxa"/>
          </w:tblCellMar>
        </w:tblPrEx>
        <w:trPr>
          <w:trHeight w:val="368"/>
        </w:trPr>
        <w:tc>
          <w:tcPr>
            <w:tcW w:w="2255" w:type="dxa"/>
            <w:vAlign w:val="center"/>
          </w:tcPr>
          <w:p w:rsidR="0060634A" w:rsidRDefault="00F76D44">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Fusion roadmap’s milestones</w:t>
            </w:r>
            <w:r>
              <w:rPr>
                <w:rFonts w:ascii="EC Square Sans Cond Pro" w:hAnsi="EC Square Sans Cond Pro" w:cs="EC Square Sans Cond Pro"/>
                <w:noProof/>
                <w:color w:val="000000"/>
                <w:sz w:val="16"/>
                <w:szCs w:val="16"/>
                <w:lang w:eastAsia="en-GB"/>
              </w:rPr>
              <w:t xml:space="preserve"> reached</w:t>
            </w:r>
            <w:r>
              <w:rPr>
                <w:rFonts w:cs="Calibri"/>
                <w:noProof/>
                <w:color w:val="000000"/>
                <w:sz w:val="16"/>
                <w:szCs w:val="16"/>
                <w:lang w:eastAsia="en-GB"/>
              </w:rPr>
              <w:t> </w:t>
            </w:r>
            <w:r>
              <w:rPr>
                <w:rFonts w:ascii="EC Square Sans Cond Pro" w:hAnsi="EC Square Sans Cond Pro"/>
                <w:noProof/>
                <w:sz w:val="16"/>
                <w:vertAlign w:val="superscript"/>
              </w:rPr>
              <w:t>(1)</w:t>
            </w:r>
          </w:p>
        </w:tc>
        <w:tc>
          <w:tcPr>
            <w:tcW w:w="956" w:type="dxa"/>
            <w:vAlign w:val="center"/>
          </w:tcPr>
          <w:p w:rsidR="0060634A" w:rsidRDefault="0060634A">
            <w:pPr>
              <w:jc w:val="center"/>
              <w:rPr>
                <w:rFonts w:ascii="EC Square Sans Cond Pro" w:hAnsi="EC Square Sans Cond Pro"/>
                <w:noProof/>
                <w:sz w:val="16"/>
                <w:szCs w:val="16"/>
                <w:lang w:eastAsia="en-GB"/>
              </w:rPr>
            </w:pPr>
          </w:p>
        </w:tc>
        <w:tc>
          <w:tcPr>
            <w:tcW w:w="4666"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79930" cy="127000"/>
                  <wp:effectExtent l="0" t="0" r="1270" b="6350"/>
                  <wp:docPr id="1564" name="Chart 15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tc>
        <w:tc>
          <w:tcPr>
            <w:tcW w:w="777"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90%</w:t>
            </w:r>
          </w:p>
        </w:tc>
        <w:tc>
          <w:tcPr>
            <w:tcW w:w="2096"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82% compared to 90% milestones</w:t>
            </w:r>
          </w:p>
        </w:tc>
      </w:tr>
      <w:tr w:rsidR="0060634A">
        <w:tblPrEx>
          <w:tblCellMar>
            <w:left w:w="108" w:type="dxa"/>
            <w:right w:w="108" w:type="dxa"/>
          </w:tblCellMar>
        </w:tblPrEx>
        <w:trPr>
          <w:trHeight w:val="298"/>
        </w:trPr>
        <w:tc>
          <w:tcPr>
            <w:tcW w:w="2255" w:type="dxa"/>
            <w:vAlign w:val="center"/>
          </w:tcPr>
          <w:p w:rsidR="0060634A" w:rsidRDefault="00F76D44">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Direct actions’ scientific productivity</w:t>
            </w:r>
            <w:r>
              <w:rPr>
                <w:rFonts w:ascii="EC Square Sans Cond Pro" w:hAnsi="EC Square Sans Cond Pro"/>
                <w:noProof/>
                <w:sz w:val="16"/>
              </w:rPr>
              <w:t xml:space="preserve"> </w:t>
            </w:r>
            <w:r>
              <w:rPr>
                <w:rFonts w:ascii="EC Square Sans Cond Pro" w:hAnsi="EC Square Sans Cond Pro"/>
                <w:noProof/>
                <w:sz w:val="16"/>
                <w:vertAlign w:val="superscript"/>
              </w:rPr>
              <w:t>(2)</w:t>
            </w:r>
          </w:p>
        </w:tc>
        <w:tc>
          <w:tcPr>
            <w:tcW w:w="956" w:type="dxa"/>
            <w:vAlign w:val="center"/>
          </w:tcPr>
          <w:p w:rsidR="0060634A" w:rsidRDefault="0060634A">
            <w:pPr>
              <w:jc w:val="center"/>
              <w:rPr>
                <w:rFonts w:ascii="EC Square Sans Cond Pro" w:hAnsi="EC Square Sans Cond Pro"/>
                <w:noProof/>
                <w:sz w:val="16"/>
                <w:szCs w:val="16"/>
              </w:rPr>
            </w:pPr>
          </w:p>
        </w:tc>
        <w:tc>
          <w:tcPr>
            <w:tcW w:w="4666"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79930" cy="127000"/>
                  <wp:effectExtent l="0" t="0" r="1270" b="6350"/>
                  <wp:docPr id="1565" name="Chart 15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tc>
        <w:tc>
          <w:tcPr>
            <w:tcW w:w="777"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435</w:t>
            </w:r>
          </w:p>
        </w:tc>
        <w:tc>
          <w:tcPr>
            <w:tcW w:w="2096"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332 out of 435 occurrences</w:t>
            </w:r>
          </w:p>
        </w:tc>
      </w:tr>
      <w:tr w:rsidR="0060634A">
        <w:tblPrEx>
          <w:tblCellMar>
            <w:left w:w="108" w:type="dxa"/>
            <w:right w:w="108" w:type="dxa"/>
          </w:tblCellMar>
        </w:tblPrEx>
        <w:trPr>
          <w:trHeight w:val="298"/>
        </w:trPr>
        <w:tc>
          <w:tcPr>
            <w:tcW w:w="2255" w:type="dxa"/>
            <w:vAlign w:val="center"/>
          </w:tcPr>
          <w:p w:rsidR="0060634A" w:rsidRDefault="00F76D44">
            <w:pPr>
              <w:ind w:left="142"/>
              <w:jc w:val="right"/>
              <w:rPr>
                <w:rFonts w:ascii="EC Square Sans Cond Pro" w:hAnsi="EC Square Sans Cond Pro"/>
                <w:noProof/>
                <w:sz w:val="16"/>
                <w:lang w:val="en-GB"/>
              </w:rPr>
            </w:pPr>
            <w:r>
              <w:rPr>
                <w:rFonts w:ascii="EC Square Sans Cond Pro" w:hAnsi="EC Square Sans Cond Pro" w:cs="EC Square Sans Cond Pro"/>
                <w:noProof/>
                <w:color w:val="000000"/>
                <w:sz w:val="16"/>
                <w:szCs w:val="16"/>
                <w:lang w:val="en-GB" w:eastAsia="en-GB"/>
              </w:rPr>
              <w:t>Technical and scientific policy support provided by the Joint Research Centre</w:t>
            </w:r>
            <w:r>
              <w:rPr>
                <w:rFonts w:ascii="EC Square Sans Cond Pro" w:hAnsi="EC Square Sans Cond Pro"/>
                <w:noProof/>
                <w:sz w:val="16"/>
                <w:lang w:val="en-GB"/>
              </w:rPr>
              <w:t xml:space="preserve"> </w:t>
            </w:r>
            <w:r>
              <w:rPr>
                <w:rFonts w:ascii="EC Square Sans Cond Pro" w:hAnsi="EC Square Sans Cond Pro"/>
                <w:noProof/>
                <w:sz w:val="16"/>
                <w:vertAlign w:val="superscript"/>
                <w:lang w:val="en-GB"/>
              </w:rPr>
              <w:t>(2)</w:t>
            </w:r>
          </w:p>
        </w:tc>
        <w:tc>
          <w:tcPr>
            <w:tcW w:w="956" w:type="dxa"/>
            <w:vAlign w:val="center"/>
          </w:tcPr>
          <w:p w:rsidR="0060634A" w:rsidRDefault="0060634A">
            <w:pPr>
              <w:jc w:val="center"/>
              <w:rPr>
                <w:rFonts w:ascii="EC Square Sans Cond Pro" w:hAnsi="EC Square Sans Cond Pro"/>
                <w:noProof/>
                <w:sz w:val="16"/>
                <w:szCs w:val="16"/>
                <w:lang w:val="en-GB"/>
              </w:rPr>
            </w:pPr>
          </w:p>
        </w:tc>
        <w:tc>
          <w:tcPr>
            <w:tcW w:w="4666" w:type="dxa"/>
            <w:vAlign w:val="center"/>
          </w:tcPr>
          <w:p w:rsidR="0060634A" w:rsidRDefault="00F76D44">
            <w:pPr>
              <w:ind w:left="142"/>
              <w:rPr>
                <w:noProof/>
                <w:lang w:eastAsia="en-GB"/>
              </w:rPr>
            </w:pPr>
            <w:r>
              <w:rPr>
                <w:noProof/>
                <w:lang w:eastAsia="fr-BE"/>
              </w:rPr>
              <w:drawing>
                <wp:inline distT="0" distB="0" distL="0" distR="0">
                  <wp:extent cx="1979930" cy="127000"/>
                  <wp:effectExtent l="0" t="0" r="1270" b="6350"/>
                  <wp:docPr id="1566" name="Chart 15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tc>
        <w:tc>
          <w:tcPr>
            <w:tcW w:w="777"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1 164</w:t>
            </w:r>
          </w:p>
        </w:tc>
        <w:tc>
          <w:tcPr>
            <w:tcW w:w="2096" w:type="dxa"/>
            <w:gridSpan w:val="2"/>
            <w:vAlign w:val="center"/>
          </w:tcPr>
          <w:p w:rsidR="0060634A" w:rsidRDefault="00F76D44">
            <w:pPr>
              <w:ind w:left="142"/>
              <w:rPr>
                <w:rFonts w:ascii="EC Square Sans Cond Pro" w:hAnsi="EC Square Sans Cond Pro" w:cs="Calibri"/>
                <w:noProof/>
                <w:color w:val="000000"/>
                <w:sz w:val="16"/>
              </w:rPr>
            </w:pPr>
            <w:r>
              <w:rPr>
                <w:rFonts w:ascii="EC Square Sans Cond Pro" w:hAnsi="EC Square Sans Cond Pro" w:cs="EC Square Sans Cond Pro"/>
                <w:noProof/>
                <w:color w:val="000000"/>
                <w:sz w:val="16"/>
                <w:szCs w:val="16"/>
                <w:lang w:eastAsia="en-GB"/>
              </w:rPr>
              <w:t>993 out of 1 164 occurrences</w:t>
            </w:r>
          </w:p>
        </w:tc>
      </w:tr>
      <w:tr w:rsidR="0060634A">
        <w:trPr>
          <w:trHeight w:val="247"/>
        </w:trPr>
        <w:tc>
          <w:tcPr>
            <w:tcW w:w="10750" w:type="dxa"/>
            <w:gridSpan w:val="6"/>
            <w:tcBorders>
              <w:top w:val="nil"/>
              <w:bottom w:val="nil"/>
            </w:tcBorders>
            <w:vAlign w:val="center"/>
          </w:tcPr>
          <w:tbl>
            <w:tblPr>
              <w:tblStyle w:val="TableGrid"/>
              <w:tblW w:w="10740"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46"/>
              <w:gridCol w:w="707"/>
              <w:gridCol w:w="3458"/>
              <w:gridCol w:w="662"/>
              <w:gridCol w:w="2867"/>
            </w:tblGrid>
            <w:tr w:rsidR="0060634A">
              <w:trPr>
                <w:trHeight w:val="247"/>
              </w:trPr>
              <w:tc>
                <w:tcPr>
                  <w:tcW w:w="3046" w:type="dxa"/>
                  <w:tcBorders>
                    <w:bottom w:val="nil"/>
                  </w:tcBorders>
                  <w:vAlign w:val="center"/>
                </w:tcPr>
                <w:p w:rsidR="0060634A" w:rsidRDefault="00F76D44">
                  <w:pPr>
                    <w:ind w:left="142"/>
                    <w:jc w:val="right"/>
                    <w:rPr>
                      <w:noProof/>
                      <w:sz w:val="16"/>
                      <w:szCs w:val="16"/>
                    </w:rPr>
                  </w:pPr>
                  <w:r>
                    <w:rPr>
                      <w:noProof/>
                      <w:sz w:val="16"/>
                      <w:szCs w:val="16"/>
                    </w:rPr>
                    <w:t xml:space="preserve">    </w:t>
                  </w:r>
                </w:p>
              </w:tc>
              <w:tc>
                <w:tcPr>
                  <w:tcW w:w="707" w:type="dxa"/>
                  <w:tcBorders>
                    <w:bottom w:val="nil"/>
                  </w:tcBorders>
                </w:tcPr>
                <w:p w:rsidR="0060634A" w:rsidRDefault="0060634A">
                  <w:pPr>
                    <w:ind w:left="142"/>
                    <w:rPr>
                      <w:noProof/>
                      <w:sz w:val="16"/>
                      <w:szCs w:val="16"/>
                      <w:lang w:eastAsia="en-GB"/>
                    </w:rPr>
                  </w:pPr>
                </w:p>
              </w:tc>
              <w:tc>
                <w:tcPr>
                  <w:tcW w:w="3458" w:type="dxa"/>
                  <w:tcBorders>
                    <w:bottom w:val="nil"/>
                  </w:tcBorders>
                  <w:vAlign w:val="center"/>
                </w:tcPr>
                <w:p w:rsidR="0060634A" w:rsidRDefault="00F76D44">
                  <w:pPr>
                    <w:spacing w:before="120"/>
                    <w:rPr>
                      <w:noProof/>
                      <w:sz w:val="16"/>
                      <w:szCs w:val="16"/>
                      <w:lang w:val="en-GB"/>
                    </w:rPr>
                  </w:pPr>
                  <w:r>
                    <w:rPr>
                      <w:noProof/>
                      <w:sz w:val="16"/>
                      <w:szCs w:val="16"/>
                      <w:lang w:eastAsia="fr-BE"/>
                    </w:rPr>
                    <mc:AlternateContent>
                      <mc:Choice Requires="wps">
                        <w:drawing>
                          <wp:anchor distT="0" distB="0" distL="114300" distR="114300" simplePos="0" relativeHeight="251648000"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414" name="Rectangle 414"/>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4B76D" id="Rectangle 414" o:spid="_x0000_s1026" style="position:absolute;margin-left:-9.45pt;margin-top:6.1pt;width:6.35pt;height: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" fillcolor="#28296e" stroked="f" strokeweight="1pt">
                            <w10:wrap type="through"/>
                          </v:rect>
                        </w:pict>
                      </mc:Fallback>
                    </mc:AlternateContent>
                  </w:r>
                  <w:r>
                    <w:rPr>
                      <w:noProof/>
                      <w:sz w:val="16"/>
                      <w:szCs w:val="16"/>
                      <w:lang w:val="en-GB"/>
                    </w:rPr>
                    <w:t>% of target achieved by the end of 2019</w:t>
                  </w:r>
                </w:p>
              </w:tc>
              <w:tc>
                <w:tcPr>
                  <w:tcW w:w="662" w:type="dxa"/>
                  <w:tcBorders>
                    <w:bottom w:val="nil"/>
                  </w:tcBorders>
                </w:tcPr>
                <w:p w:rsidR="0060634A" w:rsidRDefault="0060634A">
                  <w:pPr>
                    <w:ind w:left="142"/>
                    <w:rPr>
                      <w:noProof/>
                      <w:sz w:val="16"/>
                      <w:szCs w:val="16"/>
                      <w:lang w:val="en-GB" w:eastAsia="en-GB"/>
                    </w:rPr>
                  </w:pPr>
                </w:p>
              </w:tc>
              <w:tc>
                <w:tcPr>
                  <w:tcW w:w="2867" w:type="dxa"/>
                  <w:tcBorders>
                    <w:bottom w:val="nil"/>
                  </w:tcBorders>
                  <w:vAlign w:val="center"/>
                </w:tcPr>
                <w:p w:rsidR="0060634A" w:rsidRDefault="0060634A">
                  <w:pPr>
                    <w:ind w:left="142"/>
                    <w:rPr>
                      <w:noProof/>
                      <w:sz w:val="16"/>
                      <w:szCs w:val="16"/>
                      <w:lang w:val="en-GB"/>
                    </w:rPr>
                  </w:pPr>
                </w:p>
              </w:tc>
            </w:tr>
          </w:tbl>
          <w:p w:rsidR="0060634A" w:rsidRDefault="00F76D44">
            <w:pPr>
              <w:ind w:left="142"/>
              <w:rPr>
                <w:noProof/>
                <w:sz w:val="14"/>
                <w:szCs w:val="16"/>
                <w:lang w:val="en-GB"/>
              </w:rPr>
            </w:pPr>
            <w:r>
              <w:rPr>
                <w:noProof/>
                <w:sz w:val="14"/>
                <w:szCs w:val="16"/>
                <w:lang w:val="en-GB"/>
              </w:rPr>
              <w:t>(</w:t>
            </w:r>
            <w:r>
              <w:rPr>
                <w:noProof/>
                <w:sz w:val="14"/>
                <w:szCs w:val="16"/>
                <w:vertAlign w:val="superscript"/>
                <w:lang w:val="en-GB"/>
              </w:rPr>
              <w:t>1</w:t>
            </w:r>
            <w:r>
              <w:rPr>
                <w:noProof/>
                <w:sz w:val="14"/>
                <w:szCs w:val="16"/>
                <w:lang w:val="en-GB"/>
              </w:rPr>
              <w:t>) Latest results from 2018.</w:t>
            </w:r>
          </w:p>
          <w:p w:rsidR="0060634A" w:rsidRDefault="00F76D44">
            <w:pPr>
              <w:ind w:left="142"/>
              <w:rPr>
                <w:noProof/>
                <w:sz w:val="14"/>
                <w:szCs w:val="16"/>
                <w:lang w:val="en-GB"/>
              </w:rPr>
            </w:pPr>
            <w:r>
              <w:rPr>
                <w:noProof/>
                <w:sz w:val="14"/>
                <w:szCs w:val="16"/>
                <w:lang w:val="en-GB"/>
              </w:rPr>
              <w:t>(</w:t>
            </w:r>
            <w:r>
              <w:rPr>
                <w:noProof/>
                <w:sz w:val="14"/>
                <w:szCs w:val="16"/>
                <w:vertAlign w:val="superscript"/>
                <w:lang w:val="en-GB"/>
              </w:rPr>
              <w:t>2</w:t>
            </w:r>
            <w:r>
              <w:rPr>
                <w:noProof/>
                <w:sz w:val="14"/>
                <w:szCs w:val="16"/>
                <w:lang w:val="en-GB"/>
              </w:rPr>
              <w:t>)</w:t>
            </w:r>
            <w:r>
              <w:rPr>
                <w:noProof/>
                <w:sz w:val="14"/>
                <w:szCs w:val="16"/>
                <w:vertAlign w:val="superscript"/>
                <w:lang w:val="en-GB"/>
              </w:rPr>
              <w:t xml:space="preserve"> </w:t>
            </w:r>
            <w:r>
              <w:rPr>
                <w:noProof/>
                <w:sz w:val="14"/>
                <w:szCs w:val="16"/>
                <w:lang w:val="en-GB"/>
              </w:rPr>
              <w:t>Cumulative results for 2014-2019.</w:t>
            </w:r>
          </w:p>
        </w:tc>
      </w:tr>
    </w:tbl>
    <w:p w:rsidR="0060634A" w:rsidRDefault="00F76D44">
      <w:pPr>
        <w:pStyle w:val="PPOTitle3"/>
        <w:rPr>
          <w:rFonts w:ascii="EC Square Sans Cond Pro" w:eastAsiaTheme="minorEastAsia" w:hAnsi="EC Square Sans Cond Pro"/>
          <w:color w:val="1F497D"/>
          <w:sz w:val="16"/>
          <w:szCs w:val="18"/>
        </w:rPr>
      </w:pPr>
      <w:r>
        <w:rPr>
          <w:rFonts w:eastAsiaTheme="minorEastAsia"/>
        </w:rPr>
        <w:t>Where are we in the implementation?</w:t>
      </w:r>
    </w:p>
    <w:p w:rsidR="0060634A" w:rsidRDefault="00F76D44">
      <w:pPr>
        <w:pStyle w:val="PPOTitle4-BlackBold9pt"/>
        <w:rPr>
          <w:rFonts w:eastAsiaTheme="minorEastAsia"/>
        </w:rPr>
      </w:pPr>
      <w:r>
        <w:rPr>
          <w:rFonts w:eastAsiaTheme="minorEastAsia"/>
        </w:rPr>
        <w:t>Indirect actions</w:t>
      </w:r>
    </w:p>
    <w:p w:rsidR="0060634A" w:rsidRDefault="00F76D44">
      <w:pPr>
        <w:pStyle w:val="PPOBlackBULLETS-L1"/>
        <w:rPr>
          <w:rFonts w:eastAsiaTheme="minorHAnsi"/>
          <w:noProof/>
          <w:lang w:val="en-IE"/>
        </w:rPr>
      </w:pPr>
      <w:r>
        <w:rPr>
          <w:noProof/>
        </w:rPr>
        <w:t xml:space="preserve">In fission research, four calls for proposals were concluded and 192 eligible proposals </w:t>
      </w:r>
      <w:r>
        <w:rPr>
          <w:noProof/>
        </w:rPr>
        <w:t>were submitted, requesting a Euratom financial contribution of EUR</w:t>
      </w:r>
      <w:r>
        <w:rPr>
          <w:rFonts w:ascii="Calibri" w:hAnsi="Calibri" w:cs="Calibri"/>
          <w:noProof/>
        </w:rPr>
        <w:t> </w:t>
      </w:r>
      <w:r>
        <w:rPr>
          <w:noProof/>
        </w:rPr>
        <w:t>726 million. Of these, 62 were selected for funding, with a Euratom contribution of EUR</w:t>
      </w:r>
      <w:r>
        <w:rPr>
          <w:rFonts w:ascii="Calibri" w:hAnsi="Calibri" w:cs="Calibri"/>
          <w:noProof/>
        </w:rPr>
        <w:t> </w:t>
      </w:r>
      <w:r>
        <w:rPr>
          <w:noProof/>
        </w:rPr>
        <w:t>271 million. A fifth call for proposals was closed in September 2019. A total of 62 eligible proposal</w:t>
      </w:r>
      <w:r>
        <w:rPr>
          <w:noProof/>
        </w:rPr>
        <w:t>s were submitted, requesting a Euratom financial contribution of EUR</w:t>
      </w:r>
      <w:r>
        <w:rPr>
          <w:rFonts w:ascii="Calibri" w:hAnsi="Calibri" w:cs="Calibri"/>
          <w:noProof/>
        </w:rPr>
        <w:t> </w:t>
      </w:r>
      <w:r>
        <w:rPr>
          <w:noProof/>
        </w:rPr>
        <w:t>265 million. After evaluation, the Commission recommended 31 proposals for funding, with a Euratom contribution of EUR</w:t>
      </w:r>
      <w:r>
        <w:rPr>
          <w:rFonts w:ascii="Calibri" w:hAnsi="Calibri" w:cs="Calibri"/>
          <w:noProof/>
        </w:rPr>
        <w:t> </w:t>
      </w:r>
      <w:r>
        <w:rPr>
          <w:noProof/>
        </w:rPr>
        <w:t>133 million. The grants should be signed in 2020.</w:t>
      </w:r>
    </w:p>
    <w:p w:rsidR="0060634A" w:rsidRDefault="00F76D44">
      <w:pPr>
        <w:pStyle w:val="PPOBlackBULLETS-L1"/>
        <w:rPr>
          <w:noProof/>
        </w:rPr>
      </w:pPr>
      <w:r>
        <w:rPr>
          <w:noProof/>
        </w:rPr>
        <w:t>For fusion researc</w:t>
      </w:r>
      <w:r>
        <w:rPr>
          <w:noProof/>
        </w:rPr>
        <w:t xml:space="preserve">h, following adoption by the Council of the regulation on the Euratom research and training programme for 2019-2020, the EUROfusion grant was extended until the end of 2022. The extension of the duration beyond 2020 will provide a smooth transition to the </w:t>
      </w:r>
      <w:r>
        <w:rPr>
          <w:noProof/>
        </w:rPr>
        <w:t>future Euratom programme.</w:t>
      </w:r>
    </w:p>
    <w:p w:rsidR="0060634A" w:rsidRDefault="00F76D44">
      <w:pPr>
        <w:pStyle w:val="PPOTitle4-BlackBold9pt"/>
        <w:rPr>
          <w:rFonts w:eastAsiaTheme="minorEastAsia"/>
        </w:rPr>
      </w:pPr>
      <w:r>
        <w:rPr>
          <w:rFonts w:eastAsiaTheme="minorEastAsia"/>
        </w:rPr>
        <w:t>Direct actions</w:t>
      </w:r>
    </w:p>
    <w:p w:rsidR="0060634A" w:rsidRDefault="00F76D44">
      <w:pPr>
        <w:pStyle w:val="PPOBlackBULLETS-L1"/>
        <w:rPr>
          <w:bCs w:val="0"/>
          <w:noProof/>
        </w:rPr>
      </w:pPr>
      <w:r>
        <w:rPr>
          <w:bCs w:val="0"/>
          <w:noProof/>
        </w:rPr>
        <w:t xml:space="preserve">The work programme of the </w:t>
      </w:r>
      <w:r>
        <w:rPr>
          <w:noProof/>
        </w:rPr>
        <w:t>Joint Research Centre</w:t>
      </w:r>
      <w:r>
        <w:rPr>
          <w:bCs w:val="0"/>
          <w:noProof/>
        </w:rPr>
        <w:t xml:space="preserve"> covered research and training in all the areas defined by the specific objectives of the programme.</w:t>
      </w:r>
    </w:p>
    <w:p w:rsidR="0060634A" w:rsidRDefault="00F76D44">
      <w:pPr>
        <w:pStyle w:val="PPOTitle3"/>
        <w:rPr>
          <w:rFonts w:eastAsiaTheme="minorEastAsia"/>
        </w:rPr>
      </w:pPr>
      <w:r>
        <w:rPr>
          <w:rFonts w:eastAsiaTheme="minorEastAsia"/>
        </w:rPr>
        <w:t>Performance assessment</w:t>
      </w:r>
    </w:p>
    <w:p w:rsidR="0060634A" w:rsidRDefault="00F76D44">
      <w:pPr>
        <w:pStyle w:val="PPOBlackBULLETS-L1"/>
        <w:rPr>
          <w:noProof/>
        </w:rPr>
      </w:pPr>
      <w:r>
        <w:rPr>
          <w:noProof/>
        </w:rPr>
        <w:t>The indirect actions in fission research are</w:t>
      </w:r>
      <w:r>
        <w:rPr>
          <w:noProof/>
        </w:rPr>
        <w:t xml:space="preserve"> making progress towards achieving the objectives of supporting the safety of nuclear systems and developing solutions for nuclear waste, which are fundamental for the transition of the EU economy towards a sustainable future. This is confirmed by the numb</w:t>
      </w:r>
      <w:r>
        <w:rPr>
          <w:noProof/>
        </w:rPr>
        <w:t xml:space="preserve">er of projects likely to lead to an improvement in nuclear safety practices in Member States and in the management of nuclear waste (indicators 1 and 2).  </w:t>
      </w:r>
    </w:p>
    <w:p w:rsidR="0060634A" w:rsidRDefault="00F76D44">
      <w:pPr>
        <w:pStyle w:val="PPOBlackBULLETS-L1"/>
        <w:rPr>
          <w:noProof/>
        </w:rPr>
      </w:pPr>
      <w:r>
        <w:rPr>
          <w:noProof/>
        </w:rPr>
        <w:t>The Euratom programme has also made substantial scientific and technological progress in all roadmap</w:t>
      </w:r>
      <w:r>
        <w:rPr>
          <w:noProof/>
        </w:rPr>
        <w:t xml:space="preserve"> missions aimed at demonstrating the feasibility of fusion as a future energy source. The first priority of the programme in this area was to provide scientific support for the ITER construction and its future exploitation. The new organisational structure</w:t>
      </w:r>
      <w:r>
        <w:rPr>
          <w:noProof/>
        </w:rPr>
        <w:t xml:space="preserve"> established in 2014, involving all national fusion laboratories in Europe, has created the conditions for implementing a joint programme in line with the European fusion roadmap (indicators 3, 4 and 5). Delays were encountered in a few projects, due to th</w:t>
      </w:r>
      <w:r>
        <w:rPr>
          <w:noProof/>
        </w:rPr>
        <w:t xml:space="preserve">e nature and unpredictability of cutting-edge scientific research.  </w:t>
      </w:r>
    </w:p>
    <w:p w:rsidR="0060634A" w:rsidRDefault="00F76D44">
      <w:pPr>
        <w:pStyle w:val="PPOBlackBULLETS-L1"/>
        <w:rPr>
          <w:noProof/>
        </w:rPr>
      </w:pPr>
      <w:r>
        <w:rPr>
          <w:noProof/>
        </w:rPr>
        <w:t xml:space="preserve">The results achieved by the direct actions of the Euratom programme are encouraging. The </w:t>
      </w:r>
      <w:r>
        <w:rPr>
          <w:rFonts w:cs="EC Square Sans Cond Pro"/>
          <w:noProof/>
          <w:color w:val="000000"/>
          <w:szCs w:val="18"/>
        </w:rPr>
        <w:t xml:space="preserve">Joint Research Centre </w:t>
      </w:r>
      <w:r>
        <w:rPr>
          <w:noProof/>
        </w:rPr>
        <w:t>has been successfully supporting the Commission in its policymaking activiti</w:t>
      </w:r>
      <w:r>
        <w:rPr>
          <w:noProof/>
        </w:rPr>
        <w:t xml:space="preserve">es through research related to the overarching political priorities. However, due to the length of the approval cycle in peer-reviewed publications (indicator 5), the indicators for 2019 do not yet capture the whole picture and show fewer results than the </w:t>
      </w:r>
      <w:r>
        <w:rPr>
          <w:noProof/>
        </w:rPr>
        <w:t>consolidated numbers for the previous years (indicator 6).</w:t>
      </w:r>
    </w:p>
    <w:p w:rsidR="0060634A" w:rsidRDefault="00F76D44">
      <w:pPr>
        <w:pStyle w:val="PPOTitle3"/>
        <w:rPr>
          <w:rFonts w:eastAsiaTheme="minorEastAsia"/>
        </w:rPr>
      </w:pPr>
      <w:r>
        <w:rPr>
          <w:rFonts w:eastAsiaTheme="minorEastAsia"/>
        </w:rPr>
        <w:t>Concrete examples of achievements</w:t>
      </w:r>
    </w:p>
    <w:tbl>
      <w:tblPr>
        <w:tblStyle w:val="Simpletable1"/>
        <w:tblW w:w="9126" w:type="dxa"/>
        <w:jc w:val="center"/>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3042"/>
        <w:gridCol w:w="3042"/>
        <w:gridCol w:w="3042"/>
      </w:tblGrid>
      <w:tr w:rsidR="0060634A">
        <w:trPr>
          <w:trHeight w:val="133"/>
          <w:jc w:val="center"/>
        </w:trPr>
        <w:tc>
          <w:tcPr>
            <w:tcW w:w="3042" w:type="dxa"/>
            <w:shd w:val="clear" w:color="auto" w:fill="00ADDC"/>
          </w:tcPr>
          <w:p w:rsidR="0060634A" w:rsidRDefault="00F76D44">
            <w:pPr>
              <w:pStyle w:val="PPOExamplesTABLEHeader"/>
              <w:rPr>
                <w:rFonts w:eastAsiaTheme="minorEastAsia"/>
              </w:rPr>
            </w:pPr>
            <w:r>
              <w:rPr>
                <w:rFonts w:eastAsiaTheme="minorEastAsia"/>
              </w:rPr>
              <w:t>1 350 researchers</w:t>
            </w:r>
          </w:p>
        </w:tc>
        <w:tc>
          <w:tcPr>
            <w:tcW w:w="3042" w:type="dxa"/>
            <w:shd w:val="clear" w:color="auto" w:fill="00ADDC"/>
          </w:tcPr>
          <w:p w:rsidR="0060634A" w:rsidRDefault="00F76D44">
            <w:pPr>
              <w:pStyle w:val="PPOExamplesTABLEHeader"/>
              <w:rPr>
                <w:rFonts w:eastAsiaTheme="minorEastAsia"/>
              </w:rPr>
            </w:pPr>
            <w:r>
              <w:rPr>
                <w:rFonts w:eastAsiaTheme="minorEastAsia"/>
              </w:rPr>
              <w:t>822 articles</w:t>
            </w:r>
          </w:p>
        </w:tc>
        <w:tc>
          <w:tcPr>
            <w:tcW w:w="3042" w:type="dxa"/>
            <w:shd w:val="clear" w:color="auto" w:fill="00ADDC"/>
          </w:tcPr>
          <w:p w:rsidR="0060634A" w:rsidRDefault="00F76D44">
            <w:pPr>
              <w:pStyle w:val="PPOExamplesTABLEHeader"/>
              <w:rPr>
                <w:rFonts w:eastAsiaTheme="minorEastAsia"/>
              </w:rPr>
            </w:pPr>
            <w:r>
              <w:rPr>
                <w:rFonts w:eastAsiaTheme="minorEastAsia"/>
              </w:rPr>
              <w:t>750 PhD students</w:t>
            </w:r>
          </w:p>
        </w:tc>
      </w:tr>
      <w:tr w:rsidR="0060634A">
        <w:trPr>
          <w:trHeight w:val="286"/>
          <w:jc w:val="center"/>
        </w:trPr>
        <w:tc>
          <w:tcPr>
            <w:tcW w:w="3042" w:type="dxa"/>
            <w:shd w:val="clear" w:color="auto" w:fill="DCE6F2"/>
          </w:tcPr>
          <w:p w:rsidR="0060634A" w:rsidRDefault="00F76D44">
            <w:pPr>
              <w:pStyle w:val="PPOExamplesTABLEText"/>
              <w:spacing w:line="240" w:lineRule="auto"/>
              <w:rPr>
                <w:noProof/>
              </w:rPr>
            </w:pPr>
            <w:r>
              <w:rPr>
                <w:noProof/>
              </w:rPr>
              <w:t>had access to advanced research infrastructures through the EUROFusion consortium.</w:t>
            </w:r>
          </w:p>
        </w:tc>
        <w:tc>
          <w:tcPr>
            <w:tcW w:w="3042" w:type="dxa"/>
            <w:shd w:val="clear" w:color="auto" w:fill="DCE6F2"/>
          </w:tcPr>
          <w:p w:rsidR="0060634A" w:rsidRDefault="00F76D44">
            <w:pPr>
              <w:pStyle w:val="PPOExamplesTABLEText"/>
              <w:spacing w:line="240" w:lineRule="auto"/>
              <w:rPr>
                <w:noProof/>
              </w:rPr>
            </w:pPr>
            <w:r>
              <w:rPr>
                <w:noProof/>
              </w:rPr>
              <w:t xml:space="preserve">were published in 2019 in </w:t>
            </w:r>
            <w:r>
              <w:rPr>
                <w:noProof/>
              </w:rPr>
              <w:t>peer-reviewed high-impact journals thanks to the support of the Euratom programme.</w:t>
            </w:r>
          </w:p>
        </w:tc>
        <w:tc>
          <w:tcPr>
            <w:tcW w:w="3042" w:type="dxa"/>
            <w:shd w:val="clear" w:color="auto" w:fill="DCE6F2"/>
          </w:tcPr>
          <w:p w:rsidR="0060634A" w:rsidRDefault="00F76D44">
            <w:pPr>
              <w:pStyle w:val="PPOExamplesTABLEText"/>
              <w:spacing w:line="240" w:lineRule="auto"/>
              <w:rPr>
                <w:noProof/>
              </w:rPr>
            </w:pPr>
            <w:r>
              <w:rPr>
                <w:noProof/>
              </w:rPr>
              <w:t>were supported in fusion physics and technology through the EUROFusion consortium.</w:t>
            </w:r>
          </w:p>
        </w:tc>
      </w:tr>
    </w:tbl>
    <w:p w:rsidR="0060634A" w:rsidRDefault="00F76D44">
      <w:pPr>
        <w:pStyle w:val="PPOBlackBULLETS-L1"/>
        <w:spacing w:before="160"/>
        <w:rPr>
          <w:noProof/>
        </w:rPr>
      </w:pPr>
      <w:r>
        <w:rPr>
          <w:noProof/>
        </w:rPr>
        <w:t>Euratom’s support for the new European joint programme on radioactive waste management re</w:t>
      </w:r>
      <w:r>
        <w:rPr>
          <w:noProof/>
        </w:rPr>
        <w:t xml:space="preserve">presents a step change in European collaboration towards safe radioactive waste management, including disposal. </w:t>
      </w:r>
    </w:p>
    <w:p w:rsidR="0060634A" w:rsidRDefault="00F76D44">
      <w:pPr>
        <w:pStyle w:val="PPOBlackBULLETS-L1"/>
        <w:rPr>
          <w:noProof/>
        </w:rPr>
      </w:pPr>
      <w:r>
        <w:rPr>
          <w:noProof/>
        </w:rPr>
        <w:t xml:space="preserve">The Harmonic (health effects of cardiac fluoroscopy and modern radiotherapy in paediatrics) project was launched in 2019 with 24 partners from </w:t>
      </w:r>
      <w:r>
        <w:rPr>
          <w:noProof/>
        </w:rPr>
        <w:t>11 Member States, Switzerland and Ukraine in order to study the long-term health consequences of radiological and radiotherapeutic procedures on children and adolescents. The project will develop tools and guidelines to guide treatments towards a reduction</w:t>
      </w:r>
      <w:r>
        <w:rPr>
          <w:noProof/>
        </w:rPr>
        <w:t xml:space="preserve"> of patient doses in paediatric cardiology and oncology.</w:t>
      </w:r>
    </w:p>
    <w:p w:rsidR="0060634A" w:rsidRDefault="00F76D44">
      <w:pPr>
        <w:pStyle w:val="PPOBlackBULLETS-L1"/>
        <w:rPr>
          <w:noProof/>
        </w:rPr>
      </w:pPr>
      <w:r>
        <w:rPr>
          <w:noProof/>
        </w:rPr>
        <w:t>In 2019, under the direct actions, Joint Research Centre scientists published 98 articles and conference contributions in peer-reviewed periodicals, including 12 related to radioactivity in the envir</w:t>
      </w:r>
      <w:r>
        <w:rPr>
          <w:noProof/>
        </w:rPr>
        <w:t>onment and 16 related to medical applications of nuclear science, and 37 articles in monographs or other periodicals. The Joint Research Centre organised 25 training events for professionals and students from Member States and Commission services. In addit</w:t>
      </w:r>
      <w:r>
        <w:rPr>
          <w:noProof/>
        </w:rPr>
        <w:t>ion, it produced 106 technical reports, contributed to nine policy documents analysing the implementation of the nuclear waste directive and the radioactive waste shipment directive, and contributed to the impact assessment of dual-use export control measu</w:t>
      </w:r>
      <w:r>
        <w:rPr>
          <w:noProof/>
        </w:rPr>
        <w:t xml:space="preserve">res. Eleven reference methods and measurements were delivered, as were 13 technical systems and six scientific databases including essential outputs for the Euratom nuclear safeguards system. </w:t>
      </w:r>
    </w:p>
    <w:p w:rsidR="0060634A" w:rsidRDefault="0060634A">
      <w:pPr>
        <w:pStyle w:val="PPObodyText"/>
        <w:rPr>
          <w:noProof/>
        </w:rPr>
        <w:sectPr w:rsidR="0060634A">
          <w:headerReference w:type="even" r:id="rId244"/>
          <w:headerReference w:type="default" r:id="rId245"/>
          <w:footerReference w:type="even" r:id="rId246"/>
          <w:footerReference w:type="default" r:id="rId247"/>
          <w:headerReference w:type="first" r:id="rId248"/>
          <w:footerReference w:type="first" r:id="rId249"/>
          <w:pgSz w:w="11906" w:h="16838" w:code="9"/>
          <w:pgMar w:top="567" w:right="567" w:bottom="567" w:left="567" w:header="567" w:footer="454" w:gutter="0"/>
          <w:paperSrc w:first="15" w:other="15"/>
          <w:cols w:space="720"/>
          <w:docGrid w:linePitch="360"/>
        </w:sectPr>
      </w:pPr>
    </w:p>
    <w:p w:rsidR="0060634A" w:rsidRDefault="00F76D44">
      <w:pPr>
        <w:pStyle w:val="PPO1AsidebarTitleBlue"/>
        <w:rPr>
          <w:rFonts w:eastAsiaTheme="minorEastAsia"/>
        </w:rPr>
      </w:pPr>
      <w:r>
        <w:rPr>
          <w:rFonts w:eastAsiaTheme="minorEastAsia"/>
          <w:lang w:val="fr-BE" w:eastAsia="fr-BE"/>
        </w:rPr>
        <mc:AlternateContent>
          <mc:Choice Requires="wps">
            <w:drawing>
              <wp:anchor distT="0" distB="0" distL="0" distR="0" simplePos="0" relativeHeight="251581440" behindDoc="0" locked="1" layoutInCell="1" allowOverlap="1">
                <wp:simplePos x="0" y="0"/>
                <wp:positionH relativeFrom="page">
                  <wp:posOffset>359410</wp:posOffset>
                </wp:positionH>
                <wp:positionV relativeFrom="page">
                  <wp:posOffset>593725</wp:posOffset>
                </wp:positionV>
                <wp:extent cx="1458000" cy="777600"/>
                <wp:effectExtent l="0" t="0" r="85090" b="3810"/>
                <wp:wrapTopAndBottom/>
                <wp:docPr id="441" name="Text Box 441"/>
                <wp:cNvGraphicFramePr/>
                <a:graphic xmlns:a="http://schemas.openxmlformats.org/drawingml/2006/main">
                  <a:graphicData uri="http://schemas.microsoft.com/office/word/2010/wordprocessingShape">
                    <wps:wsp>
                      <wps:cNvSpPr txBox="1"/>
                      <wps:spPr>
                        <a:xfrm>
                          <a:off x="0" y="0"/>
                          <a:ext cx="1458000" cy="777600"/>
                        </a:xfrm>
                        <a:prstGeom prst="wedgeRectCallout">
                          <a:avLst>
                            <a:gd name="adj1" fmla="val 54107"/>
                            <a:gd name="adj2" fmla="val -21878"/>
                          </a:avLst>
                        </a:prstGeom>
                        <a:solidFill>
                          <a:srgbClr val="28296E"/>
                        </a:solidFill>
                        <a:ln w="6350">
                          <a:noFill/>
                        </a:ln>
                      </wps:spPr>
                      <wps:txbx>
                        <w:txbxContent>
                          <w:p w:rsidR="0060634A" w:rsidRDefault="00F76D44">
                            <w:pPr>
                              <w:pStyle w:val="PPOsidebarLegalBasisBOXHeading"/>
                              <w:rPr>
                                <w:rFonts w:eastAsiaTheme="minorEastAsia"/>
                              </w:rPr>
                            </w:pPr>
                            <w:r>
                              <w:rPr>
                                <w:rFonts w:eastAsiaTheme="minorEastAsia"/>
                              </w:rPr>
                              <w:t>LEGAL BASIS</w:t>
                            </w:r>
                          </w:p>
                          <w:p w:rsidR="0060634A" w:rsidRDefault="00F76D44">
                            <w:pPr>
                              <w:pStyle w:val="PPOsidebarLegalBasisBOXtext"/>
                              <w:rPr>
                                <w:rFonts w:eastAsiaTheme="minorEastAsia"/>
                                <w:sz w:val="18"/>
                                <w:szCs w:val="20"/>
                              </w:rPr>
                            </w:pPr>
                            <w:r>
                              <w:rPr>
                                <w:rFonts w:eastAsiaTheme="minorEastAsia"/>
                              </w:rPr>
                              <w:t>Regulation (EU) No 1287/2013 of the European Parliament and of the Council</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1" o:spid="_x0000_s1096" type="#_x0000_t61" style="position:absolute;left:0;text-align:left;margin-left:28.3pt;margin-top:46.75pt;width:114.8pt;height:61.25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" adj="22487,6074" fillcolor="#28296e" stroked="f" strokeweight=".5pt">
                <v:textbox inset="2.5mm,1.3mm,2.5mm,1.3mm">
                  <w:txbxContent>
                    <w:p w:rsidR="0060634A" w:rsidRDefault="00F76D44">
                      <w:pPr>
                        <w:pStyle w:val="PPOsidebarLegalBasisBOXHeading"/>
                        <w:rPr>
                          <w:rFonts w:eastAsiaTheme="minorEastAsia"/>
                        </w:rPr>
                      </w:pPr>
                      <w:r>
                        <w:rPr>
                          <w:rFonts w:eastAsiaTheme="minorEastAsia"/>
                        </w:rPr>
                        <w:t>LEGAL BASIS</w:t>
                      </w:r>
                    </w:p>
                    <w:p w:rsidR="0060634A" w:rsidRDefault="00F76D44">
                      <w:pPr>
                        <w:pStyle w:val="PPOsidebarLegalBasisBOXtext"/>
                        <w:rPr>
                          <w:rFonts w:eastAsiaTheme="minorEastAsia"/>
                          <w:sz w:val="18"/>
                          <w:szCs w:val="20"/>
                        </w:rPr>
                      </w:pPr>
                      <w:r>
                        <w:rPr>
                          <w:rFonts w:eastAsiaTheme="minorEastAsia"/>
                        </w:rPr>
                        <w:t>Regulation (EU) No 1287/2013 of the European Parliament and of the Council</w:t>
                      </w:r>
                    </w:p>
                  </w:txbxContent>
                </v:textbox>
                <w10:wrap type="topAndBottom" anchorx="page" anchory="page"/>
                <w10:anchorlock/>
              </v:shape>
            </w:pict>
          </mc:Fallback>
        </mc:AlternateContent>
      </w:r>
      <w:r>
        <w:rPr>
          <w:rFonts w:eastAsiaTheme="minorEastAsia"/>
        </w:rPr>
        <w:t>MORE INFORMATION</w:t>
      </w:r>
    </w:p>
    <w:p w:rsidR="0060634A" w:rsidRDefault="00F76D44">
      <w:pPr>
        <w:pStyle w:val="PPOsidebartext"/>
        <w:rPr>
          <w:rStyle w:val="PPOChar-Hyperlink"/>
          <w:rFonts w:eastAsiaTheme="minorEastAsia"/>
        </w:rPr>
      </w:pPr>
      <w:hyperlink r:id="rId250" w:history="1">
        <w:r>
          <w:rPr>
            <w:rStyle w:val="PPOChar-Hyperlink"/>
            <w:rFonts w:eastAsiaTheme="minorEastAsia"/>
          </w:rPr>
          <w:t>http://europa.eu/!ng64Kw</w:t>
        </w:r>
      </w:hyperlink>
    </w:p>
    <w:p w:rsidR="0060634A" w:rsidRDefault="00F76D44">
      <w:pPr>
        <w:pStyle w:val="PPO1AsidebarTitleBlue"/>
        <w:rPr>
          <w:rFonts w:eastAsiaTheme="minorEastAsia"/>
        </w:rPr>
      </w:pPr>
      <w:r>
        <w:rPr>
          <w:rFonts w:eastAsiaTheme="minorEastAsia"/>
        </w:rPr>
        <w:t>FINANCIAL PROGRAMMING</w:t>
      </w:r>
    </w:p>
    <w:p w:rsidR="0060634A" w:rsidRDefault="00F76D44">
      <w:pPr>
        <w:pStyle w:val="PPO1AsidebarTablecaption"/>
      </w:pPr>
      <w:r>
        <w:t>(million EUR)</w:t>
      </w:r>
    </w:p>
    <w:tbl>
      <w:tblPr>
        <w:tblOverlap w:val="never"/>
        <w:tblW w:w="0" w:type="dxa"/>
        <w:jc w:val="right"/>
        <w:tblLayout w:type="fixed"/>
        <w:tblCellMar>
          <w:top w:w="28" w:type="dxa"/>
          <w:left w:w="28" w:type="dxa"/>
          <w:bottom w:w="28" w:type="dxa"/>
          <w:right w:w="28" w:type="dxa"/>
        </w:tblCellMar>
        <w:tblLook w:val="04A0" w:firstRow="1" w:lastRow="0" w:firstColumn="1" w:lastColumn="0" w:noHBand="0" w:noVBand="1"/>
      </w:tblPr>
      <w:tblGrid>
        <w:gridCol w:w="1134"/>
        <w:gridCol w:w="1162"/>
      </w:tblGrid>
      <w:tr w:rsidR="0060634A">
        <w:trPr>
          <w:trHeight w:hRule="exact" w:val="229"/>
          <w:jc w:val="right"/>
        </w:trPr>
        <w:tc>
          <w:tcPr>
            <w:tcW w:w="1134" w:type="dxa"/>
            <w:tcBorders>
              <w:top w:val="nil"/>
              <w:left w:val="nil"/>
              <w:bottom w:val="single" w:sz="6" w:space="0" w:color="FFFFFF" w:themeColor="background1"/>
              <w:right w:val="nil"/>
            </w:tcBorders>
            <w:shd w:val="clear" w:color="auto" w:fill="DCE6F2"/>
            <w:vAlign w:val="center"/>
            <w:hideMark/>
          </w:tcPr>
          <w:p w:rsidR="0060634A" w:rsidRDefault="00F76D44">
            <w:pPr>
              <w:pStyle w:val="PPOsidebarTabletext"/>
              <w:rPr>
                <w:b/>
              </w:rPr>
            </w:pPr>
            <w:r>
              <w:t>2014</w:t>
            </w:r>
          </w:p>
        </w:tc>
        <w:tc>
          <w:tcPr>
            <w:tcW w:w="1162" w:type="dxa"/>
            <w:shd w:val="clear" w:color="auto" w:fill="FFFFFF"/>
            <w:vAlign w:val="center"/>
            <w:hideMark/>
          </w:tcPr>
          <w:p w:rsidR="0060634A" w:rsidRDefault="00F76D44">
            <w:pPr>
              <w:pStyle w:val="PPOsidebarTabletext"/>
              <w:rPr>
                <w:b/>
              </w:rPr>
            </w:pPr>
            <w:r>
              <w:t>254.1</w:t>
            </w:r>
          </w:p>
        </w:tc>
      </w:tr>
      <w:tr w:rsidR="0060634A">
        <w:trPr>
          <w:trHeight w:hRule="exact" w:val="225"/>
          <w:jc w:val="right"/>
        </w:trPr>
        <w:tc>
          <w:tcPr>
            <w:tcW w:w="1134" w:type="dxa"/>
            <w:tcBorders>
              <w:top w:val="single" w:sz="6" w:space="0" w:color="FFFFFF" w:themeColor="background1"/>
              <w:left w:val="nil"/>
              <w:bottom w:val="single" w:sz="6" w:space="0" w:color="FFFFFF" w:themeColor="background1"/>
              <w:right w:val="nil"/>
            </w:tcBorders>
            <w:shd w:val="clear" w:color="auto" w:fill="DCE6F2"/>
            <w:vAlign w:val="center"/>
            <w:hideMark/>
          </w:tcPr>
          <w:p w:rsidR="0060634A" w:rsidRDefault="00F76D44">
            <w:pPr>
              <w:pStyle w:val="PPOsidebarTabletext"/>
              <w:rPr>
                <w:b/>
              </w:rPr>
            </w:pPr>
            <w:r>
              <w:t>2015</w:t>
            </w:r>
          </w:p>
        </w:tc>
        <w:tc>
          <w:tcPr>
            <w:tcW w:w="1162" w:type="dxa"/>
            <w:tcBorders>
              <w:top w:val="single" w:sz="4" w:space="0" w:color="auto"/>
              <w:left w:val="nil"/>
              <w:bottom w:val="nil"/>
              <w:right w:val="nil"/>
            </w:tcBorders>
            <w:shd w:val="clear" w:color="auto" w:fill="FFFFFF"/>
            <w:vAlign w:val="center"/>
            <w:hideMark/>
          </w:tcPr>
          <w:p w:rsidR="0060634A" w:rsidRDefault="00F76D44">
            <w:pPr>
              <w:pStyle w:val="PPOsidebarTabletext"/>
              <w:rPr>
                <w:b/>
              </w:rPr>
            </w:pPr>
            <w:r>
              <w:t>304.1</w:t>
            </w:r>
          </w:p>
        </w:tc>
      </w:tr>
      <w:tr w:rsidR="0060634A">
        <w:trPr>
          <w:trHeight w:hRule="exact" w:val="229"/>
          <w:jc w:val="right"/>
        </w:trPr>
        <w:tc>
          <w:tcPr>
            <w:tcW w:w="1134" w:type="dxa"/>
            <w:tcBorders>
              <w:top w:val="single" w:sz="6" w:space="0" w:color="FFFFFF" w:themeColor="background1"/>
              <w:left w:val="nil"/>
              <w:bottom w:val="single" w:sz="6" w:space="0" w:color="FFFFFF" w:themeColor="background1"/>
              <w:right w:val="nil"/>
            </w:tcBorders>
            <w:shd w:val="clear" w:color="auto" w:fill="DCE6F2"/>
            <w:vAlign w:val="center"/>
            <w:hideMark/>
          </w:tcPr>
          <w:p w:rsidR="0060634A" w:rsidRDefault="00F76D44">
            <w:pPr>
              <w:pStyle w:val="PPOsidebarTabletext"/>
              <w:rPr>
                <w:b/>
              </w:rPr>
            </w:pPr>
            <w:r>
              <w:t>2016</w:t>
            </w:r>
          </w:p>
        </w:tc>
        <w:tc>
          <w:tcPr>
            <w:tcW w:w="1162" w:type="dxa"/>
            <w:tcBorders>
              <w:top w:val="single" w:sz="4" w:space="0" w:color="auto"/>
              <w:left w:val="nil"/>
              <w:bottom w:val="nil"/>
              <w:right w:val="nil"/>
            </w:tcBorders>
            <w:shd w:val="clear" w:color="auto" w:fill="FFFFFF"/>
            <w:vAlign w:val="center"/>
            <w:hideMark/>
          </w:tcPr>
          <w:p w:rsidR="0060634A" w:rsidRDefault="00F76D44">
            <w:pPr>
              <w:pStyle w:val="PPOsidebarTabletext"/>
              <w:rPr>
                <w:b/>
              </w:rPr>
            </w:pPr>
            <w:r>
              <w:t>311.9</w:t>
            </w:r>
          </w:p>
        </w:tc>
      </w:tr>
      <w:tr w:rsidR="0060634A">
        <w:trPr>
          <w:trHeight w:hRule="exact" w:val="225"/>
          <w:jc w:val="right"/>
        </w:trPr>
        <w:tc>
          <w:tcPr>
            <w:tcW w:w="1134" w:type="dxa"/>
            <w:tcBorders>
              <w:top w:val="single" w:sz="6" w:space="0" w:color="FFFFFF" w:themeColor="background1"/>
              <w:left w:val="nil"/>
              <w:bottom w:val="single" w:sz="6" w:space="0" w:color="FFFFFF" w:themeColor="background1"/>
              <w:right w:val="nil"/>
            </w:tcBorders>
            <w:shd w:val="clear" w:color="auto" w:fill="DCE6F2"/>
            <w:vAlign w:val="center"/>
            <w:hideMark/>
          </w:tcPr>
          <w:p w:rsidR="0060634A" w:rsidRDefault="00F76D44">
            <w:pPr>
              <w:pStyle w:val="PPOsidebarTabletext"/>
              <w:rPr>
                <w:b/>
              </w:rPr>
            </w:pPr>
            <w:r>
              <w:t>2017</w:t>
            </w:r>
          </w:p>
        </w:tc>
        <w:tc>
          <w:tcPr>
            <w:tcW w:w="1162" w:type="dxa"/>
            <w:tcBorders>
              <w:top w:val="single" w:sz="4" w:space="0" w:color="auto"/>
              <w:left w:val="nil"/>
              <w:bottom w:val="nil"/>
              <w:right w:val="nil"/>
            </w:tcBorders>
            <w:shd w:val="clear" w:color="auto" w:fill="FFFFFF"/>
            <w:vAlign w:val="center"/>
            <w:hideMark/>
          </w:tcPr>
          <w:p w:rsidR="0060634A" w:rsidRDefault="00F76D44">
            <w:pPr>
              <w:pStyle w:val="PPOsidebarTabletext"/>
              <w:rPr>
                <w:b/>
              </w:rPr>
            </w:pPr>
            <w:r>
              <w:t>349.4</w:t>
            </w:r>
          </w:p>
        </w:tc>
      </w:tr>
      <w:tr w:rsidR="0060634A">
        <w:trPr>
          <w:trHeight w:hRule="exact" w:val="225"/>
          <w:jc w:val="right"/>
        </w:trPr>
        <w:tc>
          <w:tcPr>
            <w:tcW w:w="1134" w:type="dxa"/>
            <w:tcBorders>
              <w:top w:val="single" w:sz="6" w:space="0" w:color="FFFFFF" w:themeColor="background1"/>
              <w:left w:val="nil"/>
              <w:bottom w:val="single" w:sz="6" w:space="0" w:color="FFFFFF" w:themeColor="background1"/>
              <w:right w:val="nil"/>
            </w:tcBorders>
            <w:shd w:val="clear" w:color="auto" w:fill="DCE6F2"/>
            <w:vAlign w:val="center"/>
            <w:hideMark/>
          </w:tcPr>
          <w:p w:rsidR="0060634A" w:rsidRDefault="00F76D44">
            <w:pPr>
              <w:pStyle w:val="PPOsidebarTabletext"/>
              <w:rPr>
                <w:b/>
              </w:rPr>
            </w:pPr>
            <w:r>
              <w:t>2018</w:t>
            </w:r>
          </w:p>
        </w:tc>
        <w:tc>
          <w:tcPr>
            <w:tcW w:w="1162" w:type="dxa"/>
            <w:tcBorders>
              <w:top w:val="single" w:sz="4" w:space="0" w:color="auto"/>
              <w:left w:val="nil"/>
              <w:bottom w:val="nil"/>
              <w:right w:val="nil"/>
            </w:tcBorders>
            <w:shd w:val="clear" w:color="auto" w:fill="FFFFFF"/>
            <w:vAlign w:val="center"/>
            <w:hideMark/>
          </w:tcPr>
          <w:p w:rsidR="0060634A" w:rsidRDefault="00F76D44">
            <w:pPr>
              <w:pStyle w:val="PPOsidebarTabletext"/>
              <w:rPr>
                <w:b/>
              </w:rPr>
            </w:pPr>
            <w:r>
              <w:t>354.2</w:t>
            </w:r>
          </w:p>
        </w:tc>
      </w:tr>
      <w:tr w:rsidR="0060634A">
        <w:trPr>
          <w:trHeight w:hRule="exact" w:val="225"/>
          <w:jc w:val="right"/>
        </w:trPr>
        <w:tc>
          <w:tcPr>
            <w:tcW w:w="1134" w:type="dxa"/>
            <w:tcBorders>
              <w:top w:val="single" w:sz="6" w:space="0" w:color="FFFFFF" w:themeColor="background1"/>
              <w:left w:val="nil"/>
              <w:bottom w:val="single" w:sz="6" w:space="0" w:color="FFFFFF" w:themeColor="background1"/>
              <w:right w:val="nil"/>
            </w:tcBorders>
            <w:shd w:val="clear" w:color="auto" w:fill="DCE6F2"/>
            <w:vAlign w:val="center"/>
            <w:hideMark/>
          </w:tcPr>
          <w:p w:rsidR="0060634A" w:rsidRDefault="00F76D44">
            <w:pPr>
              <w:pStyle w:val="PPOsidebarTabletext"/>
              <w:rPr>
                <w:b/>
              </w:rPr>
            </w:pPr>
            <w:r>
              <w:t>2019</w:t>
            </w:r>
          </w:p>
        </w:tc>
        <w:tc>
          <w:tcPr>
            <w:tcW w:w="1162" w:type="dxa"/>
            <w:tcBorders>
              <w:top w:val="single" w:sz="4" w:space="0" w:color="auto"/>
              <w:left w:val="nil"/>
              <w:bottom w:val="nil"/>
              <w:right w:val="nil"/>
            </w:tcBorders>
            <w:shd w:val="clear" w:color="auto" w:fill="FFFFFF"/>
            <w:vAlign w:val="center"/>
            <w:hideMark/>
          </w:tcPr>
          <w:p w:rsidR="0060634A" w:rsidRDefault="00F76D44">
            <w:pPr>
              <w:pStyle w:val="PPOsidebarTabletext"/>
              <w:rPr>
                <w:b/>
              </w:rPr>
            </w:pPr>
            <w:r>
              <w:t>367.2</w:t>
            </w:r>
          </w:p>
        </w:tc>
      </w:tr>
      <w:tr w:rsidR="0060634A">
        <w:trPr>
          <w:trHeight w:hRule="exact" w:val="225"/>
          <w:jc w:val="right"/>
        </w:trPr>
        <w:tc>
          <w:tcPr>
            <w:tcW w:w="1134" w:type="dxa"/>
            <w:tcBorders>
              <w:top w:val="single" w:sz="6" w:space="0" w:color="FFFFFF" w:themeColor="background1"/>
              <w:left w:val="nil"/>
              <w:bottom w:val="nil"/>
              <w:right w:val="nil"/>
            </w:tcBorders>
            <w:shd w:val="clear" w:color="auto" w:fill="DCE6F2"/>
            <w:vAlign w:val="center"/>
            <w:hideMark/>
          </w:tcPr>
          <w:p w:rsidR="0060634A" w:rsidRDefault="00F76D44">
            <w:pPr>
              <w:pStyle w:val="PPOsidebarTabletext"/>
              <w:rPr>
                <w:b/>
              </w:rPr>
            </w:pPr>
            <w:r>
              <w:t>2020</w:t>
            </w:r>
          </w:p>
        </w:tc>
        <w:tc>
          <w:tcPr>
            <w:tcW w:w="1162" w:type="dxa"/>
            <w:tcBorders>
              <w:top w:val="single" w:sz="4" w:space="0" w:color="auto"/>
              <w:left w:val="nil"/>
              <w:bottom w:val="nil"/>
              <w:right w:val="nil"/>
            </w:tcBorders>
            <w:shd w:val="clear" w:color="auto" w:fill="FFFFFF"/>
            <w:vAlign w:val="center"/>
            <w:hideMark/>
          </w:tcPr>
          <w:p w:rsidR="0060634A" w:rsidRDefault="00F76D44">
            <w:pPr>
              <w:pStyle w:val="PPOsidebarTabletext"/>
              <w:rPr>
                <w:b/>
              </w:rPr>
            </w:pPr>
            <w:r>
              <w:t>418.1</w:t>
            </w:r>
          </w:p>
        </w:tc>
      </w:tr>
      <w:tr w:rsidR="0060634A">
        <w:trPr>
          <w:trHeight w:hRule="exact" w:val="258"/>
          <w:jc w:val="right"/>
        </w:trPr>
        <w:tc>
          <w:tcPr>
            <w:tcW w:w="1134" w:type="dxa"/>
            <w:shd w:val="clear" w:color="auto" w:fill="00ADDC"/>
            <w:vAlign w:val="center"/>
            <w:hideMark/>
          </w:tcPr>
          <w:p w:rsidR="0060634A" w:rsidRDefault="00F76D44">
            <w:pPr>
              <w:pStyle w:val="PPOsidebarTabletext"/>
            </w:pPr>
            <w:r>
              <w:t>Total</w:t>
            </w:r>
          </w:p>
        </w:tc>
        <w:tc>
          <w:tcPr>
            <w:tcW w:w="1162" w:type="dxa"/>
            <w:tcBorders>
              <w:top w:val="single" w:sz="4" w:space="0" w:color="auto"/>
              <w:left w:val="nil"/>
              <w:bottom w:val="nil"/>
              <w:right w:val="nil"/>
            </w:tcBorders>
            <w:shd w:val="clear" w:color="auto" w:fill="FFFFFF"/>
            <w:vAlign w:val="center"/>
            <w:hideMark/>
          </w:tcPr>
          <w:p w:rsidR="0060634A" w:rsidRDefault="00F76D44">
            <w:pPr>
              <w:pStyle w:val="PPOsidebarTabletext"/>
              <w:rPr>
                <w:b/>
              </w:rPr>
            </w:pPr>
            <w:r>
              <w:t>2 359.0</w:t>
            </w:r>
          </w:p>
        </w:tc>
      </w:tr>
    </w:tbl>
    <w:p w:rsidR="0060634A" w:rsidRDefault="00F76D44">
      <w:pPr>
        <w:pStyle w:val="PPO1AsidebarTitleBlue"/>
        <w:rPr>
          <w:rFonts w:eastAsiaTheme="minorEastAsia"/>
        </w:rPr>
      </w:pPr>
      <w:r>
        <w:rPr>
          <w:rFonts w:eastAsiaTheme="minorEastAsia"/>
          <w:lang w:val="fr-BE" w:eastAsia="fr-BE"/>
        </w:rPr>
        <mc:AlternateContent>
          <mc:Choice Requires="wpg">
            <w:drawing>
              <wp:anchor distT="0" distB="0" distL="114300" distR="114300" simplePos="0" relativeHeight="251650048" behindDoc="1" locked="1" layoutInCell="1" allowOverlap="1">
                <wp:simplePos x="0" y="0"/>
                <wp:positionH relativeFrom="column">
                  <wp:posOffset>-264795</wp:posOffset>
                </wp:positionH>
                <wp:positionV relativeFrom="paragraph">
                  <wp:posOffset>577850</wp:posOffset>
                </wp:positionV>
                <wp:extent cx="1871980" cy="1454150"/>
                <wp:effectExtent l="0" t="0" r="0" b="0"/>
                <wp:wrapSquare wrapText="bothSides"/>
                <wp:docPr id="440" name="Group 440"/>
                <wp:cNvGraphicFramePr/>
                <a:graphic xmlns:a="http://schemas.openxmlformats.org/drawingml/2006/main">
                  <a:graphicData uri="http://schemas.microsoft.com/office/word/2010/wordprocessingGroup">
                    <wpg:wgp>
                      <wpg:cNvGrpSpPr/>
                      <wpg:grpSpPr>
                        <a:xfrm>
                          <a:off x="0" y="0"/>
                          <a:ext cx="1871980" cy="1454150"/>
                          <a:chOff x="0" y="0"/>
                          <a:chExt cx="2492055" cy="1453317"/>
                        </a:xfrm>
                      </wpg:grpSpPr>
                      <wpg:graphicFrame>
                        <wpg:cNvPr id="281" name="Chart 281"/>
                        <wpg:cNvFrPr/>
                        <wpg:xfrm>
                          <a:off x="0" y="0"/>
                          <a:ext cx="2492055" cy="1453317"/>
                        </wpg:xfrm>
                        <a:graphic>
                          <a:graphicData uri="http://schemas.openxmlformats.org/drawingml/2006/chart">
                            <c:chart xmlns:c="http://schemas.openxmlformats.org/drawingml/2006/chart" xmlns:r="http://schemas.openxmlformats.org/officeDocument/2006/relationships" r:id="rId251"/>
                          </a:graphicData>
                        </a:graphic>
                      </wpg:graphicFrame>
                      <wps:wsp>
                        <wps:cNvPr id="282" name="Text Box 2"/>
                        <wps:cNvSpPr txBox="1">
                          <a:spLocks noChangeArrowheads="1"/>
                        </wps:cNvSpPr>
                        <wps:spPr bwMode="auto">
                          <a:xfrm>
                            <a:off x="825807" y="459592"/>
                            <a:ext cx="1276742" cy="600139"/>
                          </a:xfrm>
                          <a:prstGeom prst="rect">
                            <a:avLst/>
                          </a:prstGeom>
                          <a:noFill/>
                          <a:ln w="9525">
                            <a:noFill/>
                            <a:miter lim="800000"/>
                            <a:headEnd/>
                            <a:tailEnd/>
                          </a:ln>
                        </wps:spPr>
                        <wps:txbx>
                          <w:txbxContent>
                            <w:p w:rsidR="0060634A" w:rsidRDefault="00F76D44">
                              <w:pPr>
                                <w:pStyle w:val="PPO1AsidebarchartCenterText"/>
                                <w:rPr>
                                  <w:rFonts w:eastAsiaTheme="minorEastAsia"/>
                                </w:rPr>
                              </w:pPr>
                              <w:r>
                                <w:rPr>
                                  <w:rFonts w:eastAsiaTheme="minorEastAsia"/>
                                </w:rPr>
                                <w:t>EUR</w:t>
                              </w:r>
                              <w:r>
                                <w:rPr>
                                  <w:rFonts w:eastAsiaTheme="minorEastAsia"/>
                                  <w:b/>
                                </w:rPr>
                                <w:t xml:space="preserve"> 2 359.0</w:t>
                              </w:r>
                              <w:r>
                                <w:rPr>
                                  <w:rFonts w:eastAsiaTheme="minorEastAsia"/>
                                </w:rPr>
                                <w:br/>
                                <w:t>million</w:t>
                              </w:r>
                            </w:p>
                          </w:txbxContent>
                        </wps:txbx>
                        <wps:bodyPr rot="0" vert="horz" wrap="square" lIns="91440" tIns="45720" rIns="91440" bIns="45720" anchor="t" anchorCtr="0">
                          <a:noAutofit/>
                        </wps:bodyPr>
                      </wps:wsp>
                      <wps:wsp>
                        <wps:cNvPr id="283" name="Text Box 2"/>
                        <wps:cNvSpPr txBox="1">
                          <a:spLocks noChangeArrowheads="1"/>
                        </wps:cNvSpPr>
                        <wps:spPr bwMode="auto">
                          <a:xfrm>
                            <a:off x="1050850" y="1104609"/>
                            <a:ext cx="700344" cy="229870"/>
                          </a:xfrm>
                          <a:prstGeom prst="rect">
                            <a:avLst/>
                          </a:prstGeom>
                          <a:noFill/>
                          <a:ln w="9525">
                            <a:noFill/>
                            <a:miter lim="800000"/>
                            <a:headEnd/>
                            <a:tailEnd/>
                          </a:ln>
                        </wps:spPr>
                        <wps:txbx>
                          <w:txbxContent>
                            <w:p w:rsidR="0060634A" w:rsidRDefault="00F76D44">
                              <w:pPr>
                                <w:spacing w:after="120"/>
                                <w:jc w:val="center"/>
                                <w:rPr>
                                  <w:color w:val="00ADDC"/>
                                  <w:lang w:val="fr-BE"/>
                                </w:rPr>
                              </w:pPr>
                              <w:r>
                                <w:rPr>
                                  <w:b/>
                                  <w:color w:val="00ADDC"/>
                                  <w:lang w:val="fr-BE"/>
                                </w:rPr>
                                <w:t>46%%</w:t>
                              </w:r>
                            </w:p>
                          </w:txbxContent>
                        </wps:txbx>
                        <wps:bodyPr rot="0" vert="horz" wrap="square" lIns="91440" tIns="45720" rIns="91440" bIns="45720" anchor="t" anchorCtr="0">
                          <a:noAutofit/>
                        </wps:bodyPr>
                      </wps:wsp>
                      <wps:wsp>
                        <wps:cNvPr id="284" name="Text Box 2"/>
                        <wps:cNvSpPr txBox="1">
                          <a:spLocks noChangeArrowheads="1"/>
                        </wps:cNvSpPr>
                        <wps:spPr bwMode="auto">
                          <a:xfrm>
                            <a:off x="441266" y="242793"/>
                            <a:ext cx="741153" cy="266065"/>
                          </a:xfrm>
                          <a:prstGeom prst="rect">
                            <a:avLst/>
                          </a:prstGeom>
                          <a:noFill/>
                          <a:ln w="9525">
                            <a:noFill/>
                            <a:miter lim="800000"/>
                            <a:headEnd/>
                            <a:tailEnd/>
                          </a:ln>
                        </wps:spPr>
                        <wps:txbx>
                          <w:txbxContent>
                            <w:p w:rsidR="0060634A" w:rsidRDefault="00F76D44">
                              <w:pPr>
                                <w:spacing w:after="120"/>
                                <w:jc w:val="center"/>
                                <w:rPr>
                                  <w:color w:val="28296E"/>
                                  <w:lang w:val="fr-BE"/>
                                </w:rPr>
                              </w:pPr>
                              <w:r>
                                <w:rPr>
                                  <w:b/>
                                  <w:color w:val="28296E"/>
                                  <w:lang w:val="fr-BE"/>
                                </w:rPr>
                                <w:t>82%%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40" o:spid="_x0000_s1097" style="position:absolute;left:0;text-align:left;margin-left:-20.85pt;margin-top:45.5pt;width:147.4pt;height:114.5pt;z-index:-251666432;mso-width-relative:margin;mso-height-relative:margin"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KAAAAAAAAACEAAhbk7LQiAAC0IgAALQAAAGRycy9lbWJlZGRpbmdzL01pY3Jvc29mdF9FeGNl&#10;bF9Xb3Jrc2hlZXQueGxzeFBLAwQUAAYACAAAACEA3SuLWGwBAAAQBQAAEwAIAltDb250ZW50X1R5&#10;cGVzXS54bWw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">
                <v:shape id="Chart 281" o:spid="_x0000_s1098" type="#_x0000_t75" style="position:absolute;left:6492;top:1218;width:16230;height:121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">
                  <v:imagedata r:id="rId252" o:title=""/>
                  <o:lock v:ext="edit" aspectratio="f"/>
                </v:shape>
                <v:shape id="_x0000_s1099" type="#_x0000_t202" style="position:absolute;left:8258;top:4595;width:12767;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rsidR="0060634A" w:rsidRDefault="00F76D44">
                        <w:pPr>
                          <w:pStyle w:val="PPO1AsidebarchartCenterText"/>
                          <w:rPr>
                            <w:rFonts w:eastAsiaTheme="minorEastAsia"/>
                          </w:rPr>
                        </w:pPr>
                        <w:r>
                          <w:rPr>
                            <w:rFonts w:eastAsiaTheme="minorEastAsia"/>
                          </w:rPr>
                          <w:t>EUR</w:t>
                        </w:r>
                        <w:r>
                          <w:rPr>
                            <w:rFonts w:eastAsiaTheme="minorEastAsia"/>
                            <w:b/>
                          </w:rPr>
                          <w:t xml:space="preserve"> 2 359.0</w:t>
                        </w:r>
                        <w:r>
                          <w:rPr>
                            <w:rFonts w:eastAsiaTheme="minorEastAsia"/>
                          </w:rPr>
                          <w:br/>
                          <w:t>million</w:t>
                        </w:r>
                      </w:p>
                    </w:txbxContent>
                  </v:textbox>
                </v:shape>
                <v:shape id="_x0000_s1100" type="#_x0000_t202" style="position:absolute;left:10508;top:11046;width:7003;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rsidR="0060634A" w:rsidRDefault="00F76D44">
                        <w:pPr>
                          <w:spacing w:after="120"/>
                          <w:jc w:val="center"/>
                          <w:rPr>
                            <w:color w:val="00ADDC"/>
                            <w:lang w:val="fr-BE"/>
                          </w:rPr>
                        </w:pPr>
                        <w:r>
                          <w:rPr>
                            <w:b/>
                            <w:color w:val="00ADDC"/>
                            <w:lang w:val="fr-BE"/>
                          </w:rPr>
                          <w:t>46%%</w:t>
                        </w:r>
                      </w:p>
                    </w:txbxContent>
                  </v:textbox>
                </v:shape>
                <v:shape id="_x0000_s1101" type="#_x0000_t202" style="position:absolute;left:4412;top:2427;width:741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rsidR="0060634A" w:rsidRDefault="00F76D44">
                        <w:pPr>
                          <w:spacing w:after="120"/>
                          <w:jc w:val="center"/>
                          <w:rPr>
                            <w:color w:val="28296E"/>
                            <w:lang w:val="fr-BE"/>
                          </w:rPr>
                        </w:pPr>
                        <w:r>
                          <w:rPr>
                            <w:b/>
                            <w:color w:val="28296E"/>
                            <w:lang w:val="fr-BE"/>
                          </w:rPr>
                          <w:t>82%%</w:t>
                        </w:r>
                      </w:p>
                    </w:txbxContent>
                  </v:textbox>
                </v:shape>
                <w10:wrap type="square"/>
                <w10:anchorlock/>
              </v:group>
              <o:OLEObject Type="Embed" ProgID="Excel.Chart.8" ShapeID="Chart 281" DrawAspect="Content" ObjectID="_1654495730" r:id="rId253">
                <o:FieldCodes>\s</o:FieldCodes>
              </o:OLEObject>
            </w:pict>
          </mc:Fallback>
        </mc:AlternateContent>
      </w:r>
      <w:r>
        <w:rPr>
          <w:rFonts w:eastAsiaTheme="minorEastAsia"/>
        </w:rPr>
        <w:t xml:space="preserve">OVERALL EXECUTION </w:t>
      </w:r>
      <w:r>
        <w:rPr>
          <w:rFonts w:eastAsiaTheme="minorEastAsia"/>
        </w:rPr>
        <w:br/>
      </w:r>
      <w:r>
        <w:rPr>
          <w:rFonts w:eastAsiaTheme="minorEastAsia"/>
        </w:rPr>
        <w:t xml:space="preserve">(2014-2019) </w:t>
      </w:r>
    </w:p>
    <w:p w:rsidR="0060634A" w:rsidRDefault="00F76D44">
      <w:pPr>
        <w:rPr>
          <w:noProof/>
          <w:sz w:val="18"/>
        </w:rPr>
      </w:pPr>
      <w:r>
        <w:rPr>
          <w:noProof/>
          <w:lang w:val="fr-BE" w:eastAsia="fr-BE"/>
        </w:rPr>
        <mc:AlternateContent>
          <mc:Choice Requires="wps">
            <w:drawing>
              <wp:anchor distT="45720" distB="45720" distL="114300" distR="114300" simplePos="0" relativeHeight="251651072" behindDoc="0" locked="1" layoutInCell="1" allowOverlap="1">
                <wp:simplePos x="0" y="0"/>
                <wp:positionH relativeFrom="page">
                  <wp:posOffset>2249170</wp:posOffset>
                </wp:positionH>
                <wp:positionV relativeFrom="page">
                  <wp:posOffset>5156200</wp:posOffset>
                </wp:positionV>
                <wp:extent cx="2437130" cy="2865120"/>
                <wp:effectExtent l="0" t="0" r="1270" b="0"/>
                <wp:wrapTopAndBottom/>
                <wp:docPr id="4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865120"/>
                        </a:xfrm>
                        <a:prstGeom prst="rect">
                          <a:avLst/>
                        </a:prstGeom>
                        <a:solidFill>
                          <a:srgbClr val="FFFFFF"/>
                        </a:solidFill>
                        <a:ln w="9525">
                          <a:noFill/>
                          <a:miter lim="800000"/>
                          <a:headEnd/>
                          <a:tailEnd/>
                        </a:ln>
                      </wps:spPr>
                      <wps:txbx>
                        <w:txbxContent>
                          <w:p w:rsidR="0060634A" w:rsidRDefault="00F76D44">
                            <w:pPr>
                              <w:pStyle w:val="PPOTitle3-nospacebefore"/>
                              <w:rPr>
                                <w:rFonts w:eastAsiaTheme="minorEastAsia"/>
                              </w:rPr>
                            </w:pPr>
                            <w:r>
                              <w:rPr>
                                <w:rFonts w:eastAsiaTheme="minorEastAsia"/>
                              </w:rPr>
                              <w:t>Why is it necessary?</w:t>
                            </w:r>
                          </w:p>
                          <w:p w:rsidR="0060634A" w:rsidRDefault="00F76D44">
                            <w:pPr>
                              <w:pStyle w:val="PPObodyText"/>
                              <w:rPr>
                                <w:noProof/>
                              </w:rPr>
                            </w:pPr>
                            <w:r>
                              <w:rPr>
                                <w:noProof/>
                              </w:rPr>
                              <w:t>The additional value of action at the EU level relies on the following four main sources.</w:t>
                            </w:r>
                          </w:p>
                          <w:p w:rsidR="0060634A" w:rsidRDefault="00F76D44">
                            <w:pPr>
                              <w:pStyle w:val="PPOBlackBULLETS-L1"/>
                              <w:rPr>
                                <w:noProof/>
                              </w:rPr>
                            </w:pPr>
                            <w:r>
                              <w:rPr>
                                <w:noProof/>
                              </w:rPr>
                              <w:t>Strengthening the single market by overcoming market fragmentation in areas such as venture capital investment, cross-border fina</w:t>
                            </w:r>
                            <w:r>
                              <w:rPr>
                                <w:noProof/>
                              </w:rPr>
                              <w:t>ncing and credit enhancement, along with informational and organisational constraints that prevent SMEs from taking advantage of the opportunities that the single market offers.</w:t>
                            </w:r>
                          </w:p>
                          <w:p w:rsidR="0060634A" w:rsidRDefault="00F76D44">
                            <w:pPr>
                              <w:pStyle w:val="PPOBlackBULLETS-L1"/>
                              <w:rPr>
                                <w:noProof/>
                              </w:rPr>
                            </w:pPr>
                            <w:r>
                              <w:rPr>
                                <w:noProof/>
                              </w:rPr>
                              <w:t>Demonstration and catalytic effects through the dissemination of industrial an</w:t>
                            </w:r>
                            <w:r>
                              <w:rPr>
                                <w:noProof/>
                              </w:rPr>
                              <w:t>d policy best practices.</w:t>
                            </w:r>
                          </w:p>
                          <w:p w:rsidR="0060634A" w:rsidRDefault="00F76D44">
                            <w:pPr>
                              <w:pStyle w:val="PPOBlackBULLETS-L1"/>
                              <w:rPr>
                                <w:rFonts w:cs="EC Square Sans Cond Pro"/>
                                <w:noProof/>
                                <w:color w:val="000000"/>
                                <w:szCs w:val="18"/>
                              </w:rPr>
                            </w:pPr>
                            <w:r>
                              <w:rPr>
                                <w:noProof/>
                              </w:rPr>
                              <w:t>Economies of scale in areas where it would be difficult for individual Member States to achieve the required critical mass.</w:t>
                            </w:r>
                          </w:p>
                          <w:p w:rsidR="0060634A" w:rsidRDefault="00F76D44">
                            <w:pPr>
                              <w:pStyle w:val="PPOBlackBULLETS-L1"/>
                              <w:rPr>
                                <w:rFonts w:cs="EC Square Sans Cond Pro"/>
                                <w:noProof/>
                                <w:color w:val="000000"/>
                                <w:szCs w:val="18"/>
                              </w:rPr>
                            </w:pPr>
                            <w:r>
                              <w:rPr>
                                <w:noProof/>
                              </w:rPr>
                              <w:t>Coherence and consistency in national measures through benchmarking and the exchange of best practices at t</w:t>
                            </w:r>
                            <w:r>
                              <w:rPr>
                                <w:noProof/>
                              </w:rPr>
                              <w:t>he EU level.</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39" o:spid="_x0000_s1102" type="#_x0000_t202" style="position:absolute;margin-left:177.1pt;margin-top:406pt;width:191.9pt;height:225.6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" stroked="f">
                <v:textbox inset="0">
                  <w:txbxContent>
                    <w:p w:rsidR="0060634A" w:rsidRDefault="00F76D44">
                      <w:pPr>
                        <w:pStyle w:val="PPOTitle3-nospacebefore"/>
                        <w:rPr>
                          <w:rFonts w:eastAsiaTheme="minorEastAsia"/>
                        </w:rPr>
                      </w:pPr>
                      <w:r>
                        <w:rPr>
                          <w:rFonts w:eastAsiaTheme="minorEastAsia"/>
                        </w:rPr>
                        <w:t>Why is it necessary?</w:t>
                      </w:r>
                    </w:p>
                    <w:p w:rsidR="0060634A" w:rsidRDefault="00F76D44">
                      <w:pPr>
                        <w:pStyle w:val="PPObodyText"/>
                        <w:rPr>
                          <w:noProof/>
                        </w:rPr>
                      </w:pPr>
                      <w:r>
                        <w:rPr>
                          <w:noProof/>
                        </w:rPr>
                        <w:t>The additional value of action at the EU level relies on the following four main sources.</w:t>
                      </w:r>
                    </w:p>
                    <w:p w:rsidR="0060634A" w:rsidRDefault="00F76D44">
                      <w:pPr>
                        <w:pStyle w:val="PPOBlackBULLETS-L1"/>
                        <w:rPr>
                          <w:noProof/>
                        </w:rPr>
                      </w:pPr>
                      <w:r>
                        <w:rPr>
                          <w:noProof/>
                        </w:rPr>
                        <w:t>Strengthening the single market by overcoming market fragmentation in areas such as venture capital investment, cross-border fina</w:t>
                      </w:r>
                      <w:r>
                        <w:rPr>
                          <w:noProof/>
                        </w:rPr>
                        <w:t>ncing and credit enhancement, along with informational and organisational constraints that prevent SMEs from taking advantage of the opportunities that the single market offers.</w:t>
                      </w:r>
                    </w:p>
                    <w:p w:rsidR="0060634A" w:rsidRDefault="00F76D44">
                      <w:pPr>
                        <w:pStyle w:val="PPOBlackBULLETS-L1"/>
                        <w:rPr>
                          <w:noProof/>
                        </w:rPr>
                      </w:pPr>
                      <w:r>
                        <w:rPr>
                          <w:noProof/>
                        </w:rPr>
                        <w:t>Demonstration and catalytic effects through the dissemination of industrial an</w:t>
                      </w:r>
                      <w:r>
                        <w:rPr>
                          <w:noProof/>
                        </w:rPr>
                        <w:t>d policy best practices.</w:t>
                      </w:r>
                    </w:p>
                    <w:p w:rsidR="0060634A" w:rsidRDefault="00F76D44">
                      <w:pPr>
                        <w:pStyle w:val="PPOBlackBULLETS-L1"/>
                        <w:rPr>
                          <w:rFonts w:cs="EC Square Sans Cond Pro"/>
                          <w:noProof/>
                          <w:color w:val="000000"/>
                          <w:szCs w:val="18"/>
                        </w:rPr>
                      </w:pPr>
                      <w:r>
                        <w:rPr>
                          <w:noProof/>
                        </w:rPr>
                        <w:t>Economies of scale in areas where it would be difficult for individual Member States to achieve the required critical mass.</w:t>
                      </w:r>
                    </w:p>
                    <w:p w:rsidR="0060634A" w:rsidRDefault="00F76D44">
                      <w:pPr>
                        <w:pStyle w:val="PPOBlackBULLETS-L1"/>
                        <w:rPr>
                          <w:rFonts w:cs="EC Square Sans Cond Pro"/>
                          <w:noProof/>
                          <w:color w:val="000000"/>
                          <w:szCs w:val="18"/>
                        </w:rPr>
                      </w:pPr>
                      <w:r>
                        <w:rPr>
                          <w:noProof/>
                        </w:rPr>
                        <w:t>Coherence and consistency in national measures through benchmarking and the exchange of best practices at t</w:t>
                      </w:r>
                      <w:r>
                        <w:rPr>
                          <w:noProof/>
                        </w:rPr>
                        <w:t>he EU level.</w:t>
                      </w:r>
                    </w:p>
                  </w:txbxContent>
                </v:textbox>
                <w10:wrap type="topAndBottom" anchorx="page" anchory="page"/>
                <w10:anchorlock/>
              </v:shape>
            </w:pict>
          </mc:Fallback>
        </mc:AlternateContent>
      </w:r>
    </w:p>
    <w:p w:rsidR="0060634A" w:rsidRDefault="00F76D44">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654144" behindDoc="0" locked="1" layoutInCell="1" allowOverlap="1">
                <wp:simplePos x="0" y="0"/>
                <wp:positionH relativeFrom="column">
                  <wp:posOffset>539750</wp:posOffset>
                </wp:positionH>
                <wp:positionV relativeFrom="paragraph">
                  <wp:posOffset>1270</wp:posOffset>
                </wp:positionV>
                <wp:extent cx="114935" cy="114935"/>
                <wp:effectExtent l="0" t="0" r="0" b="0"/>
                <wp:wrapNone/>
                <wp:docPr id="438" name="Oval 438"/>
                <wp:cNvGraphicFramePr/>
                <a:graphic xmlns:a="http://schemas.openxmlformats.org/drawingml/2006/main">
                  <a:graphicData uri="http://schemas.microsoft.com/office/word/2010/wordprocessingShape">
                    <wps:wsp>
                      <wps:cNvSpPr/>
                      <wps:spPr>
                        <a:xfrm>
                          <a:off x="0" y="0"/>
                          <a:ext cx="114935" cy="114935"/>
                        </a:xfrm>
                        <a:prstGeom prst="ellipse">
                          <a:avLst/>
                        </a:prstGeom>
                        <a:solidFill>
                          <a:srgbClr val="00AD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CB6960" id="Oval 438" o:spid="_x0000_s1026" style="position:absolute;margin-left:42.5pt;margin-top:.1pt;width:9.05pt;height:9.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" fillcolor="#00addc" stroked="f" strokeweight="1pt">
                <v:stroke joinstyle="miter"/>
                <w10:anchorlock/>
              </v:oval>
            </w:pict>
          </mc:Fallback>
        </mc:AlternateContent>
      </w:r>
      <w:r>
        <w:rPr>
          <w:rFonts w:eastAsiaTheme="minorEastAsia"/>
          <w:lang w:val="fr-BE" w:eastAsia="fr-BE"/>
        </w:rPr>
        <w:drawing>
          <wp:anchor distT="0" distB="0" distL="114300" distR="114300" simplePos="0" relativeHeight="251649024" behindDoc="1" locked="1" layoutInCell="1" allowOverlap="1">
            <wp:simplePos x="0" y="0"/>
            <wp:positionH relativeFrom="page">
              <wp:posOffset>-415925</wp:posOffset>
            </wp:positionH>
            <wp:positionV relativeFrom="paragraph">
              <wp:posOffset>-1605915</wp:posOffset>
            </wp:positionV>
            <wp:extent cx="3412490" cy="1990725"/>
            <wp:effectExtent l="0" t="0" r="0" b="0"/>
            <wp:wrapNone/>
            <wp:docPr id="437" name="Chart 4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652096" behindDoc="0" locked="1" layoutInCell="1" allowOverlap="1">
                <wp:simplePos x="0" y="0"/>
                <wp:positionH relativeFrom="column">
                  <wp:posOffset>539750</wp:posOffset>
                </wp:positionH>
                <wp:positionV relativeFrom="paragraph">
                  <wp:posOffset>195580</wp:posOffset>
                </wp:positionV>
                <wp:extent cx="114935" cy="114935"/>
                <wp:effectExtent l="0" t="0" r="0" b="0"/>
                <wp:wrapNone/>
                <wp:docPr id="436" name="Oval 436"/>
                <wp:cNvGraphicFramePr/>
                <a:graphic xmlns:a="http://schemas.openxmlformats.org/drawingml/2006/main">
                  <a:graphicData uri="http://schemas.microsoft.com/office/word/2010/wordprocessingShape">
                    <wps:wsp>
                      <wps:cNvSpPr/>
                      <wps:spPr>
                        <a:xfrm>
                          <a:off x="0" y="0"/>
                          <a:ext cx="114935" cy="114935"/>
                        </a:xfrm>
                        <a:prstGeom prst="ellipse">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6C330D" id="Oval 436" o:spid="_x0000_s1026" style="position:absolute;margin-left:42.5pt;margin-top:15.4pt;width:9.05pt;height:9.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" fillcolor="#28296e" stroked="f" strokeweight="1pt">
                <v:stroke joinstyle="miter"/>
                <w10:anchorlock/>
              </v:oval>
            </w:pict>
          </mc:Fallback>
        </mc:AlternateContent>
      </w:r>
      <w:r>
        <w:rPr>
          <w:rFonts w:eastAsiaTheme="minorEastAsia"/>
        </w:rPr>
        <w:t>Payments</w:t>
      </w:r>
    </w:p>
    <w:p w:rsidR="0060634A" w:rsidRDefault="00F76D44">
      <w:pPr>
        <w:pStyle w:val="PPOsidebarchartLegends"/>
        <w:rPr>
          <w:rFonts w:eastAsiaTheme="minorEastAsia"/>
        </w:rPr>
      </w:pPr>
      <w:r>
        <w:rPr>
          <w:rFonts w:eastAsiaTheme="minorEastAsia"/>
        </w:rPr>
        <w:t>Commitments</w:t>
      </w:r>
    </w:p>
    <w:p w:rsidR="0060634A" w:rsidRDefault="00F76D44">
      <w:pPr>
        <w:pStyle w:val="PPO1AsidebarTitleLightBlue"/>
        <w:rPr>
          <w:rFonts w:eastAsiaTheme="minorEastAsia"/>
        </w:rPr>
      </w:pPr>
      <w:r>
        <w:rPr>
          <w:rFonts w:eastAsiaTheme="minorEastAsia"/>
        </w:rPr>
        <w:t>Evaluations/</w:t>
      </w:r>
      <w:r>
        <w:rPr>
          <w:rFonts w:eastAsiaTheme="minorEastAsia"/>
        </w:rPr>
        <w:br/>
        <w:t>studies conducted</w:t>
      </w:r>
    </w:p>
    <w:p w:rsidR="0060634A" w:rsidRDefault="00F76D44">
      <w:pPr>
        <w:pStyle w:val="PPOsidebartext"/>
        <w:rPr>
          <w:rFonts w:eastAsiaTheme="minorEastAsia"/>
        </w:rPr>
      </w:pPr>
      <w:r>
        <w:rPr>
          <w:rFonts w:eastAsiaTheme="minorEastAsia"/>
        </w:rPr>
        <w:t>An interim evaluation of the programme for the competitiveness of enterprises and small and medium-sized enterprises (2014-2020) was carried out in 2017. For further information please co</w:t>
      </w:r>
      <w:r>
        <w:rPr>
          <w:rFonts w:eastAsiaTheme="minorEastAsia"/>
        </w:rPr>
        <w:t>nsult:</w:t>
      </w:r>
    </w:p>
    <w:p w:rsidR="0060634A" w:rsidRDefault="00F76D44">
      <w:pPr>
        <w:pStyle w:val="PPOsidebartext"/>
        <w:rPr>
          <w:rStyle w:val="PPOChar-Hyperlink"/>
          <w:rFonts w:eastAsiaTheme="minorEastAsia"/>
        </w:rPr>
      </w:pPr>
      <w:hyperlink r:id="rId255" w:history="1">
        <w:r>
          <w:rPr>
            <w:rStyle w:val="PPOChar-Hyperlink"/>
            <w:rFonts w:eastAsiaTheme="minorEastAsia"/>
          </w:rPr>
          <w:t>http://europa.eu/!RD83Xc</w:t>
        </w:r>
      </w:hyperlink>
    </w:p>
    <w:p w:rsidR="0060634A" w:rsidRDefault="00F76D44">
      <w:pPr>
        <w:pStyle w:val="PPO1AsidebarTitleLightBlue"/>
        <w:rPr>
          <w:rFonts w:eastAsiaTheme="minorEastAsia"/>
        </w:rPr>
      </w:pPr>
      <w:r>
        <w:rPr>
          <w:rFonts w:eastAsiaTheme="minorEastAsia"/>
        </w:rPr>
        <w:t>How is it implemented?</w:t>
      </w:r>
    </w:p>
    <w:tbl>
      <w:tblPr>
        <w:tblStyle w:val="TableGrid"/>
        <w:tblpPr w:vertAnchor="page" w:horzAnchor="page" w:tblpX="3544" w:tblpY="13629"/>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bottom w:w="57" w:type="dxa"/>
          <w:right w:w="0" w:type="dxa"/>
        </w:tblCellMar>
        <w:tblLook w:val="04A0" w:firstRow="1" w:lastRow="0" w:firstColumn="1" w:lastColumn="0" w:noHBand="0" w:noVBand="1"/>
      </w:tblPr>
      <w:tblGrid>
        <w:gridCol w:w="3471"/>
        <w:gridCol w:w="850"/>
        <w:gridCol w:w="3471"/>
      </w:tblGrid>
      <w:tr w:rsidR="0060634A">
        <w:trPr>
          <w:cantSplit/>
        </w:trPr>
        <w:tc>
          <w:tcPr>
            <w:tcW w:w="7792" w:type="dxa"/>
            <w:gridSpan w:val="3"/>
            <w:vAlign w:val="center"/>
            <w:hideMark/>
          </w:tcPr>
          <w:p w:rsidR="0060634A" w:rsidRDefault="00F76D44">
            <w:pPr>
              <w:pStyle w:val="PPOTitle3-nospacebefore"/>
              <w:rPr>
                <w:rFonts w:eastAsiaTheme="minorEastAsia"/>
                <w:lang w:val="en-GB"/>
              </w:rPr>
            </w:pPr>
            <w:r>
              <w:rPr>
                <w:rFonts w:eastAsiaTheme="minorEastAsia"/>
                <w:lang w:val="en-GB"/>
              </w:rPr>
              <w:t>Voted budget execution (in million EUR)</w:t>
            </w:r>
          </w:p>
        </w:tc>
      </w:tr>
      <w:tr w:rsidR="0060634A">
        <w:trPr>
          <w:cantSplit/>
        </w:trPr>
        <w:tc>
          <w:tcPr>
            <w:tcW w:w="3471" w:type="dxa"/>
            <w:shd w:val="clear" w:color="auto" w:fill="00ADDC"/>
            <w:tcMar>
              <w:top w:w="57" w:type="dxa"/>
              <w:left w:w="0" w:type="dxa"/>
              <w:bottom w:w="57" w:type="dxa"/>
              <w:right w:w="0" w:type="dxa"/>
            </w:tcMar>
            <w:vAlign w:val="center"/>
            <w:hideMark/>
          </w:tcPr>
          <w:p w:rsidR="0060634A" w:rsidRDefault="00F76D44">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00ADDC"/>
            <w:tcMar>
              <w:top w:w="57" w:type="dxa"/>
              <w:left w:w="0" w:type="dxa"/>
              <w:bottom w:w="57" w:type="dxa"/>
              <w:right w:w="0" w:type="dxa"/>
            </w:tcMar>
            <w:vAlign w:val="center"/>
          </w:tcPr>
          <w:p w:rsidR="0060634A" w:rsidRDefault="0060634A">
            <w:pPr>
              <w:spacing w:afterAutospacing="1"/>
              <w:jc w:val="center"/>
              <w:rPr>
                <w:noProof/>
                <w:sz w:val="18"/>
              </w:rPr>
            </w:pPr>
          </w:p>
        </w:tc>
        <w:tc>
          <w:tcPr>
            <w:tcW w:w="3471" w:type="dxa"/>
            <w:shd w:val="clear" w:color="auto" w:fill="00ADDC"/>
            <w:tcMar>
              <w:top w:w="57" w:type="dxa"/>
              <w:left w:w="0" w:type="dxa"/>
              <w:bottom w:w="57" w:type="dxa"/>
              <w:right w:w="0" w:type="dxa"/>
            </w:tcMar>
            <w:vAlign w:val="center"/>
            <w:hideMark/>
          </w:tcPr>
          <w:p w:rsidR="0060634A" w:rsidRDefault="00F76D44">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60634A">
        <w:trPr>
          <w:cantSplit/>
        </w:trPr>
        <w:tc>
          <w:tcPr>
            <w:tcW w:w="3471" w:type="dxa"/>
            <w:shd w:val="clear" w:color="auto" w:fill="DCE6F2"/>
            <w:vAlign w:val="center"/>
            <w:hideMark/>
          </w:tcPr>
          <w:p w:rsidR="0060634A" w:rsidRDefault="00F76D44">
            <w:pPr>
              <w:spacing w:after="100" w:afterAutospacing="1"/>
              <w:jc w:val="center"/>
              <w:rPr>
                <w:noProof/>
                <w:color w:val="0070C0"/>
                <w:sz w:val="18"/>
              </w:rPr>
            </w:pPr>
            <w:r>
              <w:rPr>
                <w:noProof/>
                <w:lang w:eastAsia="fr-BE"/>
              </w:rPr>
              <w:drawing>
                <wp:inline distT="0" distB="0" distL="0" distR="0">
                  <wp:extent cx="2160000" cy="889200"/>
                  <wp:effectExtent l="0" t="0" r="0" b="0"/>
                  <wp:docPr id="432" name="Pictur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56" cstate="email">
                            <a:extLst>
                              <a:ext uri="{28A0092B-C50C-407E-A947-70E740481C1C}">
                                <a14:useLocalDpi xmlns:a14="http://schemas.microsoft.com/office/drawing/2010/main"/>
                              </a:ext>
                            </a:extLst>
                          </a:blip>
                          <a:srcRect l="-871" t="-28587" r="-5344" b="-29330"/>
                          <a:stretch>
                            <a:fillRect/>
                          </a:stretch>
                        </pic:blipFill>
                        <pic:spPr bwMode="auto">
                          <a:xfrm>
                            <a:off x="0" y="0"/>
                            <a:ext cx="2160000" cy="889200"/>
                          </a:xfrm>
                          <a:prstGeom prst="rect">
                            <a:avLst/>
                          </a:prstGeom>
                          <a:noFill/>
                          <a:ln>
                            <a:noFill/>
                          </a:ln>
                        </pic:spPr>
                      </pic:pic>
                    </a:graphicData>
                  </a:graphic>
                </wp:inline>
              </w:drawing>
            </w:r>
          </w:p>
        </w:tc>
        <w:tc>
          <w:tcPr>
            <w:tcW w:w="850" w:type="dxa"/>
            <w:shd w:val="clear" w:color="auto" w:fill="DCE6F2"/>
            <w:vAlign w:val="center"/>
            <w:hideMark/>
          </w:tcPr>
          <w:p w:rsidR="0060634A" w:rsidRDefault="00F76D44">
            <w:pPr>
              <w:pStyle w:val="PPO1AVotedbudgetTABLEtextBlue"/>
              <w:framePr w:hSpace="0" w:wrap="auto" w:vAnchor="margin" w:hAnchor="text" w:xAlign="left" w:yAlign="inline"/>
              <w:suppressOverlap w:val="0"/>
              <w:rPr>
                <w:rFonts w:eastAsiaTheme="minorEastAsia"/>
              </w:rPr>
            </w:pPr>
            <w:r>
              <w:rPr>
                <w:rFonts w:eastAsiaTheme="minorEastAsia"/>
              </w:rPr>
              <w:t>2017</w:t>
            </w:r>
          </w:p>
          <w:p w:rsidR="0060634A" w:rsidRDefault="00F76D44">
            <w:pPr>
              <w:pStyle w:val="PPO1AVotedbudgetTABLEtextBlue"/>
              <w:framePr w:hSpace="0" w:wrap="auto" w:vAnchor="margin" w:hAnchor="text" w:xAlign="left" w:yAlign="inline"/>
              <w:suppressOverlap w:val="0"/>
              <w:rPr>
                <w:rFonts w:eastAsiaTheme="minorEastAsia"/>
              </w:rPr>
            </w:pPr>
            <w:r>
              <w:rPr>
                <w:rFonts w:eastAsiaTheme="minorEastAsia"/>
              </w:rPr>
              <w:t>2018</w:t>
            </w:r>
          </w:p>
          <w:p w:rsidR="0060634A" w:rsidRDefault="00F76D44">
            <w:pPr>
              <w:pStyle w:val="PPO1AVotedbudgetTABLEtextBlue"/>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DCE6F2"/>
            <w:vAlign w:val="center"/>
            <w:hideMark/>
          </w:tcPr>
          <w:p w:rsidR="0060634A" w:rsidRDefault="00F76D44">
            <w:pPr>
              <w:spacing w:after="100" w:afterAutospacing="1"/>
              <w:jc w:val="center"/>
              <w:rPr>
                <w:noProof/>
                <w:color w:val="FFFFFF" w:themeColor="background1"/>
                <w:sz w:val="18"/>
              </w:rPr>
            </w:pPr>
            <w:r>
              <w:rPr>
                <w:noProof/>
                <w:lang w:eastAsia="fr-BE"/>
              </w:rPr>
              <w:drawing>
                <wp:inline distT="0" distB="0" distL="0" distR="0">
                  <wp:extent cx="2160000" cy="887730"/>
                  <wp:effectExtent l="0" t="0" r="0" b="0"/>
                  <wp:docPr id="431" name="Pictur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257" cstate="email">
                            <a:extLst>
                              <a:ext uri="{28A0092B-C50C-407E-A947-70E740481C1C}">
                                <a14:useLocalDpi xmlns:a14="http://schemas.microsoft.com/office/drawing/2010/main"/>
                              </a:ext>
                            </a:extLst>
                          </a:blip>
                          <a:srcRect l="-8768" t="-31134" r="-35634" b="-30672"/>
                          <a:stretch>
                            <a:fillRect/>
                          </a:stretch>
                        </pic:blipFill>
                        <pic:spPr bwMode="auto">
                          <a:xfrm>
                            <a:off x="0" y="0"/>
                            <a:ext cx="2160000" cy="887730"/>
                          </a:xfrm>
                          <a:prstGeom prst="rect">
                            <a:avLst/>
                          </a:prstGeom>
                          <a:noFill/>
                          <a:ln>
                            <a:noFill/>
                          </a:ln>
                        </pic:spPr>
                      </pic:pic>
                    </a:graphicData>
                  </a:graphic>
                </wp:inline>
              </w:drawing>
            </w:r>
          </w:p>
        </w:tc>
      </w:tr>
    </w:tbl>
    <w:p w:rsidR="0060634A" w:rsidRDefault="00F76D44">
      <w:pPr>
        <w:pStyle w:val="PPOsidebartext"/>
        <w:rPr>
          <w:rFonts w:eastAsiaTheme="minorEastAsia"/>
        </w:rPr>
      </w:pPr>
      <w:r>
        <w:rPr>
          <w:rFonts w:eastAsiaTheme="minorEastAsia"/>
        </w:rPr>
        <w:t xml:space="preserve">The Directorate-General for Internal Market, Industry, </w:t>
      </w:r>
      <w:r>
        <w:rPr>
          <w:rFonts w:eastAsiaTheme="minorEastAsia"/>
        </w:rPr>
        <w:t>Entrepreneurship and SMEs is the lead DG for the implementation of the programme. The programme is implemented by means of direct (grants and procurement) and indirect management through the European Investment Fund.</w:t>
      </w:r>
    </w:p>
    <w:p w:rsidR="0060634A" w:rsidRDefault="00F76D44">
      <w:pPr>
        <w:pStyle w:val="PPO1ATitle1"/>
        <w:rPr>
          <w:rFonts w:eastAsiaTheme="minorEastAsia"/>
        </w:rPr>
      </w:pPr>
      <w:r>
        <w:rPr>
          <w:rFonts w:eastAsiaTheme="minorEastAsia"/>
          <w:b w:val="0"/>
        </w:rPr>
        <w:br w:type="column"/>
      </w:r>
      <w:bookmarkStart w:id="19" w:name="_Toc39583679"/>
      <w:r>
        <w:rPr>
          <w:rFonts w:eastAsiaTheme="minorEastAsia"/>
        </w:rPr>
        <w:t>COSME</w:t>
      </w:r>
      <w:bookmarkEnd w:id="19"/>
    </w:p>
    <w:p w:rsidR="0060634A" w:rsidRDefault="00F76D44">
      <w:pPr>
        <w:pStyle w:val="PPO1ATitle2"/>
        <w:rPr>
          <w:rFonts w:eastAsiaTheme="minorEastAsia"/>
          <w:sz w:val="32"/>
        </w:rPr>
      </w:pPr>
      <w:r>
        <w:rPr>
          <w:rFonts w:eastAsiaTheme="minorEastAsia"/>
        </w:rPr>
        <w:t>PROGRAMME FOR THE COMPETITIVENES</w:t>
      </w:r>
      <w:r>
        <w:rPr>
          <w:rFonts w:eastAsiaTheme="minorEastAsia"/>
        </w:rPr>
        <w:t>S OF ENTERPRISES AND SMALL AND MEDIUM-SIZED ENTERPRISES</w:t>
      </w:r>
    </w:p>
    <w:p w:rsidR="0060634A" w:rsidRDefault="00F76D44">
      <w:pPr>
        <w:pStyle w:val="PPOTitle3"/>
        <w:rPr>
          <w:rFonts w:eastAsiaTheme="minorEastAsia"/>
        </w:rPr>
      </w:pPr>
      <w:r>
        <w:rPr>
          <w:rFonts w:eastAsiaTheme="minorEastAsia"/>
        </w:rPr>
        <w:t>What is COSME?</w:t>
      </w:r>
    </w:p>
    <w:p w:rsidR="0060634A" w:rsidRDefault="00F76D44">
      <w:pPr>
        <w:pStyle w:val="PPObodyText"/>
        <w:rPr>
          <w:noProof/>
        </w:rPr>
      </w:pPr>
      <w:r>
        <w:rPr>
          <w:noProof/>
          <w:lang w:val="fr-BE" w:eastAsia="fr-BE"/>
        </w:rPr>
        <mc:AlternateContent>
          <mc:Choice Requires="wps">
            <w:drawing>
              <wp:anchor distT="0" distB="0" distL="114300" distR="114300" simplePos="0" relativeHeight="251653120" behindDoc="0" locked="1" layoutInCell="1" allowOverlap="1">
                <wp:simplePos x="0" y="0"/>
                <wp:positionH relativeFrom="page">
                  <wp:posOffset>4762500</wp:posOffset>
                </wp:positionH>
                <wp:positionV relativeFrom="page">
                  <wp:posOffset>5155565</wp:posOffset>
                </wp:positionV>
                <wp:extent cx="2437130" cy="1328420"/>
                <wp:effectExtent l="0" t="0" r="1270" b="5080"/>
                <wp:wrapTopAndBottom/>
                <wp:docPr id="435" name="Text Box 435"/>
                <wp:cNvGraphicFramePr/>
                <a:graphic xmlns:a="http://schemas.openxmlformats.org/drawingml/2006/main">
                  <a:graphicData uri="http://schemas.microsoft.com/office/word/2010/wordprocessingShape">
                    <wps:wsp>
                      <wps:cNvSpPr txBox="1"/>
                      <wps:spPr>
                        <a:xfrm>
                          <a:off x="0" y="0"/>
                          <a:ext cx="2437130" cy="1328420"/>
                        </a:xfrm>
                        <a:prstGeom prst="rect">
                          <a:avLst/>
                        </a:prstGeom>
                        <a:solidFill>
                          <a:schemeClr val="lt1"/>
                        </a:solidFill>
                        <a:ln w="6350">
                          <a:noFill/>
                        </a:ln>
                      </wps:spPr>
                      <wps:txbx>
                        <w:txbxContent>
                          <w:p w:rsidR="0060634A" w:rsidRDefault="00F76D44">
                            <w:pPr>
                              <w:pStyle w:val="PPOTitle3-nospacebefore"/>
                              <w:rPr>
                                <w:rFonts w:eastAsiaTheme="minorEastAsia"/>
                              </w:rPr>
                            </w:pPr>
                            <w:r>
                              <w:rPr>
                                <w:rFonts w:eastAsiaTheme="minorEastAsia"/>
                              </w:rPr>
                              <w:t>Outlook for the 2021-2027 period</w:t>
                            </w:r>
                          </w:p>
                          <w:p w:rsidR="0060634A" w:rsidRDefault="00F76D44">
                            <w:pPr>
                              <w:pStyle w:val="PPObodyText"/>
                              <w:rPr>
                                <w:noProof/>
                              </w:rPr>
                            </w:pPr>
                            <w:r>
                              <w:rPr>
                                <w:noProof/>
                              </w:rPr>
                              <w:t>The Commission proposed to include this programme within the new single market programme for the next multiannual financial framework.</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5" o:spid="_x0000_s1103" type="#_x0000_t202" style="position:absolute;left:0;text-align:left;margin-left:375pt;margin-top:405.95pt;width:191.9pt;height:104.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" fillcolor="white [3201]" stroked="f" strokeweight=".5pt">
                <v:textbox inset=",,0">
                  <w:txbxContent>
                    <w:p w:rsidR="0060634A" w:rsidRDefault="00F76D44">
                      <w:pPr>
                        <w:pStyle w:val="PPOTitle3-nospacebefore"/>
                        <w:rPr>
                          <w:rFonts w:eastAsiaTheme="minorEastAsia"/>
                        </w:rPr>
                      </w:pPr>
                      <w:r>
                        <w:rPr>
                          <w:rFonts w:eastAsiaTheme="minorEastAsia"/>
                        </w:rPr>
                        <w:t>Outlook for the 2021-2027 period</w:t>
                      </w:r>
                    </w:p>
                    <w:p w:rsidR="0060634A" w:rsidRDefault="00F76D44">
                      <w:pPr>
                        <w:pStyle w:val="PPObodyText"/>
                        <w:rPr>
                          <w:noProof/>
                        </w:rPr>
                      </w:pPr>
                      <w:r>
                        <w:rPr>
                          <w:noProof/>
                        </w:rPr>
                        <w:t>The Commission proposed to include this programme within the new single market programme for the next multiannual financial framework.</w:t>
                      </w:r>
                    </w:p>
                  </w:txbxContent>
                </v:textbox>
                <w10:wrap type="topAndBottom" anchorx="page" anchory="page"/>
                <w10:anchorlock/>
              </v:shape>
            </w:pict>
          </mc:Fallback>
        </mc:AlternateContent>
      </w:r>
      <w:r>
        <w:rPr>
          <w:noProof/>
        </w:rPr>
        <w:t>COSME is the E</w:t>
      </w:r>
      <w:r>
        <w:rPr>
          <w:noProof/>
        </w:rPr>
        <w:t>U programme for the competitiveness of enterprises and SMEs.</w:t>
      </w:r>
    </w:p>
    <w:p w:rsidR="0060634A" w:rsidRDefault="00F76D44">
      <w:pPr>
        <w:pStyle w:val="PPObodyText"/>
        <w:rPr>
          <w:noProof/>
        </w:rPr>
      </w:pPr>
      <w:r>
        <w:rPr>
          <w:noProof/>
        </w:rPr>
        <w:t>With a total budget of EUR</w:t>
      </w:r>
      <w:r>
        <w:rPr>
          <w:rFonts w:ascii="Calibri" w:hAnsi="Calibri" w:cs="Calibri"/>
          <w:noProof/>
        </w:rPr>
        <w:t> </w:t>
      </w:r>
      <w:r>
        <w:rPr>
          <w:noProof/>
        </w:rPr>
        <w:t>2.3</w:t>
      </w:r>
      <w:r>
        <w:rPr>
          <w:rFonts w:ascii="Calibri" w:hAnsi="Calibri" w:cs="Calibri"/>
          <w:noProof/>
        </w:rPr>
        <w:t> </w:t>
      </w:r>
      <w:r>
        <w:rPr>
          <w:noProof/>
        </w:rPr>
        <w:t xml:space="preserve">billion, COSME contributes to strengthening the competitiveness and growth of companies in the EU. Tailored principally to small and medium-sized enterprises, the </w:t>
      </w:r>
      <w:r>
        <w:rPr>
          <w:noProof/>
        </w:rPr>
        <w:t>programme eases access to finance; delivers business advisory services to support access to markets and internationalisation; and promotes a better business environment and entrepreneurship.</w:t>
      </w:r>
    </w:p>
    <w:p w:rsidR="0060634A" w:rsidRDefault="00F76D44">
      <w:pPr>
        <w:pStyle w:val="PPObodyText"/>
        <w:rPr>
          <w:noProof/>
        </w:rPr>
      </w:pPr>
      <w:r>
        <w:rPr>
          <w:noProof/>
        </w:rPr>
        <w:t>Thanks to an extensive network of intermediaries, it ensures prox</w:t>
      </w:r>
      <w:r>
        <w:rPr>
          <w:noProof/>
        </w:rPr>
        <w:t>imity with SMEs, the target beneficiaries of the programme.</w:t>
      </w:r>
    </w:p>
    <w:p w:rsidR="0060634A" w:rsidRDefault="00F76D44">
      <w:pPr>
        <w:pStyle w:val="PPObodyText"/>
        <w:spacing w:after="360"/>
        <w:rPr>
          <w:noProof/>
        </w:rPr>
      </w:pPr>
      <w:r>
        <w:rPr>
          <w:noProof/>
        </w:rPr>
        <w:t>COSME is an essential tool to implement both the SME strategy for a sustainable and digital Europe and the new industrial strategy for Europe. It will also contribute to the Green Deal and the dig</w:t>
      </w:r>
      <w:r>
        <w:rPr>
          <w:noProof/>
        </w:rPr>
        <w:t>italisation agenda.</w:t>
      </w:r>
    </w:p>
    <w:tbl>
      <w:tblPr>
        <w:tblStyle w:val="TableGrid"/>
        <w:tblpPr w:leftFromText="181" w:rightFromText="340" w:vertAnchor="text" w:tblpX="108" w:tblpY="1"/>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7763"/>
      </w:tblGrid>
      <w:tr w:rsidR="0060634A">
        <w:trPr>
          <w:trHeight w:val="1984"/>
        </w:trPr>
        <w:tc>
          <w:tcPr>
            <w:tcW w:w="7763" w:type="dxa"/>
            <w:shd w:val="clear" w:color="auto" w:fill="F2F2F2" w:themeFill="background1" w:themeFillShade="F2"/>
            <w:hideMark/>
          </w:tcPr>
          <w:p w:rsidR="0060634A" w:rsidRDefault="00F76D44">
            <w:pPr>
              <w:pStyle w:val="PPO1ASpecificobjectivesBOX-HeadingLightBlue"/>
              <w:rPr>
                <w:rFonts w:eastAsiaTheme="minorEastAsia"/>
              </w:rPr>
            </w:pPr>
            <w:r>
              <w:rPr>
                <w:rFonts w:eastAsiaTheme="minorEastAsia"/>
              </w:rPr>
              <w:t>Specific objectives</w:t>
            </w:r>
            <w:r>
              <w:rPr>
                <w:rFonts w:eastAsiaTheme="minorEastAsia"/>
                <w:lang w:eastAsia="fr-BE"/>
              </w:rPr>
              <mc:AlternateContent>
                <mc:Choice Requires="wps">
                  <w:drawing>
                    <wp:anchor distT="0" distB="0" distL="114300" distR="114300" simplePos="0" relativeHeight="251655168" behindDoc="0" locked="1" layoutInCell="1" allowOverlap="1">
                      <wp:simplePos x="0" y="0"/>
                      <wp:positionH relativeFrom="column">
                        <wp:posOffset>50800</wp:posOffset>
                      </wp:positionH>
                      <wp:positionV relativeFrom="page">
                        <wp:posOffset>17780</wp:posOffset>
                      </wp:positionV>
                      <wp:extent cx="269875" cy="269875"/>
                      <wp:effectExtent l="0" t="0" r="0" b="0"/>
                      <wp:wrapThrough wrapText="bothSides">
                        <wp:wrapPolygon edited="0">
                          <wp:start x="13722" y="0"/>
                          <wp:lineTo x="0" y="4574"/>
                          <wp:lineTo x="0" y="19821"/>
                          <wp:lineTo x="15247" y="19821"/>
                          <wp:lineTo x="19821" y="7624"/>
                          <wp:lineTo x="19821" y="0"/>
                          <wp:lineTo x="13722" y="0"/>
                        </wp:wrapPolygon>
                      </wp:wrapThrough>
                      <wp:docPr id="232"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69875" cy="269875"/>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00ADDC"/>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A6D89E5" id="Freeform 232" o:spid="_x0000_s1026" style="position:absolute;margin-left:4pt;margin-top:1.4pt;width:21.25pt;height:2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00addc" stroked="f">
                      <v:path arrowok="t" o:connecttype="custom" o:connectlocs="268392,45473;268886,43991;269381,41025;268886,40036;268392,38554;265921,36576;264932,36082;262955,35588;233299,6920;232804,4943;232310,3954;230333,1483;229344,989;228356,0;225390,989;224402,1483;222919,2966;205125,20760;186342,39542;185848,41025;184859,42014;184859,76613;107752,54865;107752,269875;187825,90453;227367,84521;228850,84027;230333,83533;231321,82544;249610,64256;268392,45968;223907,54865;248621,48439;224896,72659;212045,66727;224896,72659;203148,39048;197216,63762;221436,40036;215505,27185;221436,40036;107752,258012;107752,66727;158168,103304;29657,162123;185354,162123;179422,98855;143340,162123;71670,162123;128018,132960;107752,144329;107752,180411;123569,154709;143340,162123;107752,114672;107752,210068;145317,132960;173491,162123;42014,162123;149766,111707" o:connectangles="0,0,0,0,0,0,0,0,0,0,0,0,0,0,0,0,0,0,0,0,0,0,0,0,0,0,0,0,0,0,0,0,0,0,0,0,0,0,0,0,0,0,0,0,0,0,0,0,0,0,0,0,0,0,0,0,0,0,0,0"/>
                      <o:lock v:ext="edit" verticies="t"/>
                      <w10:wrap type="through" anchory="page"/>
                      <w10:anchorlock/>
                    </v:shape>
                  </w:pict>
                </mc:Fallback>
              </mc:AlternateContent>
            </w:r>
          </w:p>
          <w:p w:rsidR="0060634A" w:rsidRDefault="00F76D44">
            <w:pPr>
              <w:pStyle w:val="PPO1ASpecificobjectivesBOX-BulletLightBlue"/>
              <w:rPr>
                <w:lang w:val="en-GB"/>
              </w:rPr>
            </w:pPr>
            <w:r>
              <w:rPr>
                <w:lang w:val="en-GB"/>
              </w:rPr>
              <w:t>To improve framework conditions for the competitiveness and sustainability of EU enterprises, particularly SMEs, including in the tourism sector.</w:t>
            </w:r>
          </w:p>
          <w:p w:rsidR="0060634A" w:rsidRDefault="00F76D44">
            <w:pPr>
              <w:pStyle w:val="PPO1ASpecificobjectivesBOX-BulletLightBlue"/>
              <w:rPr>
                <w:rFonts w:ascii="EC Square Sans Cond Pro" w:hAnsi="EC Square Sans Cond Pro"/>
              </w:rPr>
            </w:pPr>
            <w:r>
              <w:rPr>
                <w:rFonts w:ascii="EC Square Sans Cond Pro" w:hAnsi="EC Square Sans Cond Pro"/>
              </w:rPr>
              <w:t>To promote entrepreneurship and an entrepreneurial culture.</w:t>
            </w:r>
          </w:p>
          <w:p w:rsidR="0060634A" w:rsidRDefault="00F76D44">
            <w:pPr>
              <w:pStyle w:val="PPO1ASpecificobjectivesBOX-BulletLightBlue"/>
              <w:rPr>
                <w:rFonts w:ascii="EC Square Sans Cond Pro" w:hAnsi="EC Square Sans Cond Pro"/>
                <w:lang w:val="en-GB"/>
              </w:rPr>
            </w:pPr>
            <w:r>
              <w:rPr>
                <w:rFonts w:ascii="EC Square Sans Cond Pro" w:hAnsi="EC Square Sans Cond Pro"/>
                <w:lang w:val="en-GB"/>
              </w:rPr>
              <w:t xml:space="preserve">To </w:t>
            </w:r>
            <w:r>
              <w:rPr>
                <w:rFonts w:ascii="EC Square Sans Cond Pro" w:hAnsi="EC Square Sans Cond Pro"/>
                <w:lang w:val="en-GB"/>
              </w:rPr>
              <w:t>improve access to finance for SMEs in the form of equity and debt.</w:t>
            </w:r>
          </w:p>
          <w:p w:rsidR="0060634A" w:rsidRDefault="00F76D44">
            <w:pPr>
              <w:pStyle w:val="PPO1ASpecificobjectivesBOX-BulletLightBlue"/>
              <w:rPr>
                <w:szCs w:val="14"/>
                <w:lang w:val="en-GB"/>
              </w:rPr>
            </w:pPr>
            <w:r>
              <w:rPr>
                <w:rFonts w:ascii="EC Square Sans Cond Pro" w:hAnsi="EC Square Sans Cond Pro"/>
                <w:lang w:val="en-GB"/>
              </w:rPr>
              <w:t>To improve access to markets, particularly within the EU but also at the global level.</w:t>
            </w:r>
          </w:p>
        </w:tc>
      </w:tr>
    </w:tbl>
    <w:p w:rsidR="0060634A" w:rsidRDefault="0060634A">
      <w:pPr>
        <w:rPr>
          <w:b/>
          <w:noProof/>
          <w:color w:val="1F95A5"/>
        </w:rPr>
        <w:sectPr w:rsidR="0060634A">
          <w:headerReference w:type="even" r:id="rId258"/>
          <w:headerReference w:type="default" r:id="rId259"/>
          <w:footerReference w:type="even" r:id="rId260"/>
          <w:footerReference w:type="default" r:id="rId261"/>
          <w:headerReference w:type="first" r:id="rId262"/>
          <w:footerReference w:type="first" r:id="rId263"/>
          <w:pgSz w:w="11906" w:h="16838"/>
          <w:pgMar w:top="567" w:right="567" w:bottom="567" w:left="567" w:header="567" w:footer="454" w:gutter="0"/>
          <w:paperSrc w:first="15" w:other="15"/>
          <w:cols w:num="2" w:space="720" w:equalWidth="0">
            <w:col w:w="2269" w:space="708"/>
            <w:col w:w="7795"/>
          </w:cols>
          <w:docGrid w:linePitch="272"/>
        </w:sectPr>
      </w:pPr>
    </w:p>
    <w:p w:rsidR="0060634A" w:rsidRDefault="00F76D44">
      <w:pPr>
        <w:pStyle w:val="PPOTitle3-nospacebefore"/>
        <w:rPr>
          <w:rFonts w:eastAsiaTheme="minorEastAsia"/>
          <w:color w:val="000000"/>
        </w:rPr>
      </w:pPr>
      <w:r>
        <w:rPr>
          <w:rFonts w:eastAsiaTheme="minorEastAsia"/>
        </w:rPr>
        <w:t>Key performance indicators</w:t>
      </w:r>
    </w:p>
    <w:tbl>
      <w:tblPr>
        <w:tblStyle w:val="TableGrid"/>
        <w:tblW w:w="10685"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2978"/>
        <w:gridCol w:w="707"/>
        <w:gridCol w:w="3508"/>
        <w:gridCol w:w="741"/>
        <w:gridCol w:w="2751"/>
      </w:tblGrid>
      <w:tr w:rsidR="0060634A">
        <w:trPr>
          <w:trHeight w:val="333"/>
        </w:trPr>
        <w:tc>
          <w:tcPr>
            <w:tcW w:w="2978" w:type="dxa"/>
            <w:tcBorders>
              <w:top w:val="nil"/>
              <w:left w:val="nil"/>
              <w:bottom w:val="single" w:sz="4" w:space="0" w:color="D9D9D9"/>
              <w:right w:val="nil"/>
            </w:tcBorders>
            <w:vAlign w:val="center"/>
          </w:tcPr>
          <w:p w:rsidR="0060634A" w:rsidRDefault="0060634A">
            <w:pPr>
              <w:ind w:left="142"/>
              <w:jc w:val="right"/>
              <w:rPr>
                <w:noProof/>
                <w:sz w:val="16"/>
                <w:szCs w:val="16"/>
              </w:rPr>
            </w:pPr>
          </w:p>
        </w:tc>
        <w:tc>
          <w:tcPr>
            <w:tcW w:w="707" w:type="dxa"/>
            <w:tcBorders>
              <w:top w:val="nil"/>
              <w:left w:val="nil"/>
              <w:bottom w:val="single" w:sz="4" w:space="0" w:color="D9D9D9"/>
              <w:right w:val="nil"/>
            </w:tcBorders>
            <w:vAlign w:val="bottom"/>
            <w:hideMark/>
          </w:tcPr>
          <w:p w:rsidR="0060634A" w:rsidRDefault="00F76D44">
            <w:pPr>
              <w:jc w:val="center"/>
              <w:rPr>
                <w:b/>
                <w:noProof/>
                <w:color w:val="28296E"/>
                <w:sz w:val="16"/>
                <w:szCs w:val="16"/>
              </w:rPr>
            </w:pPr>
            <w:r>
              <w:rPr>
                <w:b/>
                <w:noProof/>
                <w:color w:val="28296E"/>
                <w:sz w:val="16"/>
                <w:szCs w:val="16"/>
              </w:rPr>
              <w:t>Baseline</w:t>
            </w:r>
          </w:p>
        </w:tc>
        <w:tc>
          <w:tcPr>
            <w:tcW w:w="3508" w:type="dxa"/>
            <w:tcBorders>
              <w:top w:val="nil"/>
              <w:left w:val="nil"/>
              <w:bottom w:val="single" w:sz="4" w:space="0" w:color="D9D9D9"/>
              <w:right w:val="nil"/>
            </w:tcBorders>
            <w:vAlign w:val="center"/>
            <w:hideMark/>
          </w:tcPr>
          <w:p w:rsidR="0060634A" w:rsidRDefault="00F76D44">
            <w:pPr>
              <w:ind w:left="142"/>
              <w:jc w:val="center"/>
              <w:rPr>
                <w:b/>
                <w:noProof/>
                <w:color w:val="28296E"/>
                <w:sz w:val="16"/>
                <w:szCs w:val="16"/>
              </w:rPr>
            </w:pPr>
            <w:r>
              <w:rPr>
                <w:b/>
                <w:noProof/>
                <w:color w:val="28296E"/>
                <w:sz w:val="16"/>
                <w:szCs w:val="16"/>
              </w:rPr>
              <w:t>PROGRESS TOWARDS THE TARGET</w:t>
            </w:r>
          </w:p>
        </w:tc>
        <w:tc>
          <w:tcPr>
            <w:tcW w:w="741" w:type="dxa"/>
            <w:tcBorders>
              <w:top w:val="nil"/>
              <w:left w:val="nil"/>
              <w:bottom w:val="single" w:sz="4" w:space="0" w:color="D9D9D9"/>
              <w:right w:val="nil"/>
            </w:tcBorders>
            <w:vAlign w:val="bottom"/>
            <w:hideMark/>
          </w:tcPr>
          <w:p w:rsidR="0060634A" w:rsidRDefault="00F76D44">
            <w:pPr>
              <w:jc w:val="center"/>
              <w:rPr>
                <w:b/>
                <w:noProof/>
                <w:color w:val="28296E"/>
                <w:sz w:val="16"/>
                <w:szCs w:val="16"/>
              </w:rPr>
            </w:pPr>
            <w:r>
              <w:rPr>
                <w:b/>
                <w:noProof/>
                <w:color w:val="28296E"/>
                <w:sz w:val="16"/>
                <w:szCs w:val="16"/>
              </w:rPr>
              <w:t>Target</w:t>
            </w:r>
          </w:p>
        </w:tc>
        <w:tc>
          <w:tcPr>
            <w:tcW w:w="2751" w:type="dxa"/>
            <w:tcBorders>
              <w:top w:val="nil"/>
              <w:left w:val="nil"/>
              <w:bottom w:val="single" w:sz="4" w:space="0" w:color="D9D9D9"/>
              <w:right w:val="nil"/>
            </w:tcBorders>
            <w:vAlign w:val="bottom"/>
            <w:hideMark/>
          </w:tcPr>
          <w:p w:rsidR="0060634A" w:rsidRDefault="00F76D44">
            <w:pPr>
              <w:jc w:val="center"/>
              <w:rPr>
                <w:b/>
                <w:noProof/>
                <w:color w:val="28296E"/>
                <w:sz w:val="16"/>
                <w:szCs w:val="16"/>
              </w:rPr>
            </w:pPr>
            <w:r>
              <w:rPr>
                <w:b/>
                <w:noProof/>
                <w:color w:val="28296E"/>
                <w:sz w:val="16"/>
                <w:szCs w:val="16"/>
              </w:rPr>
              <w:t>Results</w:t>
            </w:r>
          </w:p>
        </w:tc>
      </w:tr>
      <w:tr w:rsidR="0060634A">
        <w:trPr>
          <w:trHeight w:val="344"/>
        </w:trPr>
        <w:tc>
          <w:tcPr>
            <w:tcW w:w="2978"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Tourism – number of destinations adopting </w:t>
            </w:r>
            <w:r>
              <w:rPr>
                <w:rFonts w:ascii="EC Square Sans Cond Pro" w:hAnsi="EC Square Sans Cond Pro" w:cs="EC Square Sans Cond Pro"/>
                <w:noProof/>
                <w:color w:val="000000"/>
                <w:sz w:val="16"/>
                <w:szCs w:val="16"/>
                <w:lang w:val="en-GB" w:eastAsia="en-GB"/>
              </w:rPr>
              <w:t>sustainable tourism development models promoted by the European Destination of Excellence</w:t>
            </w:r>
            <w:r>
              <w:rPr>
                <w:rFonts w:ascii="EC Square Sans Cond Pro" w:hAnsi="EC Square Sans Cond Pro" w:cs="EC Square Sans Cond Pro"/>
                <w:noProof/>
                <w:color w:val="000000"/>
                <w:sz w:val="16"/>
                <w:szCs w:val="16"/>
                <w:lang w:val="en-GB"/>
              </w:rPr>
              <w:t xml:space="preserve"> (</w:t>
            </w:r>
            <w:r>
              <w:rPr>
                <w:rFonts w:ascii="EC Square Sans Cond Pro" w:hAnsi="EC Square Sans Cond Pro" w:cs="EC Square Sans Cond Pro"/>
                <w:noProof/>
                <w:color w:val="000000"/>
                <w:sz w:val="16"/>
                <w:szCs w:val="16"/>
                <w:vertAlign w:val="superscript"/>
                <w:lang w:val="en-GB"/>
              </w:rPr>
              <w:t>1</w:t>
            </w:r>
            <w:r>
              <w:rPr>
                <w:rFonts w:ascii="EC Square Sans Cond Pro" w:hAnsi="EC Square Sans Cond Pro" w:cs="EC Square Sans Cond Pro"/>
                <w:noProof/>
                <w:color w:val="000000"/>
                <w:sz w:val="16"/>
                <w:szCs w:val="16"/>
                <w:lang w:val="en-GB"/>
              </w:rPr>
              <w:t>)</w:t>
            </w:r>
          </w:p>
        </w:tc>
        <w:tc>
          <w:tcPr>
            <w:tcW w:w="707"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60634A" w:rsidRDefault="00F76D44">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rPr>
              <w:t>98</w:t>
            </w:r>
          </w:p>
        </w:tc>
        <w:tc>
          <w:tcPr>
            <w:tcW w:w="3508"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60634A" w:rsidRDefault="00F76D44">
            <w:pPr>
              <w:ind w:left="142"/>
              <w:rPr>
                <w:rFonts w:ascii="EC Square Sans Cond Pro" w:hAnsi="EC Square Sans Cond Pro"/>
                <w:noProof/>
                <w:sz w:val="16"/>
                <w:szCs w:val="16"/>
                <w:lang w:eastAsia="en-US"/>
              </w:rPr>
            </w:pPr>
            <w:r>
              <w:rPr>
                <w:noProof/>
                <w:lang w:eastAsia="fr-BE"/>
              </w:rPr>
              <w:drawing>
                <wp:inline distT="0" distB="0" distL="0" distR="0">
                  <wp:extent cx="1963420" cy="121285"/>
                  <wp:effectExtent l="0" t="0" r="0" b="0"/>
                  <wp:docPr id="430" name="Pictur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5"/>
                          <pic:cNvPicPr>
                            <a:picLocks noChangeArrowheads="1"/>
                          </pic:cNvPicPr>
                        </pic:nvPicPr>
                        <pic:blipFill>
                          <a:blip r:embed="rId264" cstate="email">
                            <a:extLst>
                              <a:ext uri="{28A0092B-C50C-407E-A947-70E740481C1C}">
                                <a14:useLocalDpi xmlns:a14="http://schemas.microsoft.com/office/drawing/2010/main"/>
                              </a:ext>
                            </a:extLst>
                          </a:blip>
                          <a:srcRect/>
                          <a:stretch>
                            <a:fillRect/>
                          </a:stretch>
                        </pic:blipFill>
                        <pic:spPr bwMode="auto">
                          <a:xfrm>
                            <a:off x="0" y="0"/>
                            <a:ext cx="1963420" cy="121285"/>
                          </a:xfrm>
                          <a:prstGeom prst="rect">
                            <a:avLst/>
                          </a:prstGeom>
                          <a:noFill/>
                          <a:ln>
                            <a:noFill/>
                          </a:ln>
                        </pic:spPr>
                      </pic:pic>
                    </a:graphicData>
                  </a:graphic>
                </wp:inline>
              </w:drawing>
            </w:r>
          </w:p>
        </w:tc>
        <w:tc>
          <w:tcPr>
            <w:tcW w:w="741"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200</w:t>
            </w:r>
          </w:p>
        </w:tc>
        <w:tc>
          <w:tcPr>
            <w:tcW w:w="2751"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158 out of 200</w:t>
            </w:r>
          </w:p>
        </w:tc>
      </w:tr>
      <w:tr w:rsidR="0060634A">
        <w:trPr>
          <w:trHeight w:val="318"/>
        </w:trPr>
        <w:tc>
          <w:tcPr>
            <w:tcW w:w="2978"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Loan Guarantee Facility – volume of debt financing mobilised</w:t>
            </w:r>
          </w:p>
        </w:tc>
        <w:tc>
          <w:tcPr>
            <w:tcW w:w="707" w:type="dxa"/>
            <w:tcBorders>
              <w:top w:val="single" w:sz="4" w:space="0" w:color="D9D9D9"/>
              <w:left w:val="nil"/>
              <w:bottom w:val="single" w:sz="4" w:space="0" w:color="D9D9D9"/>
              <w:right w:val="nil"/>
            </w:tcBorders>
            <w:tcMar>
              <w:top w:w="0" w:type="dxa"/>
              <w:left w:w="108" w:type="dxa"/>
              <w:bottom w:w="0" w:type="dxa"/>
              <w:right w:w="108" w:type="dxa"/>
            </w:tcMar>
            <w:vAlign w:val="center"/>
          </w:tcPr>
          <w:p w:rsidR="0060634A" w:rsidRDefault="0060634A">
            <w:pPr>
              <w:jc w:val="center"/>
              <w:rPr>
                <w:rFonts w:ascii="EC Square Sans Cond Pro" w:hAnsi="EC Square Sans Cond Pro"/>
                <w:noProof/>
                <w:sz w:val="16"/>
                <w:szCs w:val="16"/>
                <w:lang w:val="en-GB" w:eastAsia="en-GB"/>
              </w:rPr>
            </w:pPr>
          </w:p>
        </w:tc>
        <w:tc>
          <w:tcPr>
            <w:tcW w:w="3508"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60634A" w:rsidRDefault="00F76D44">
            <w:pPr>
              <w:ind w:left="142"/>
              <w:rPr>
                <w:rFonts w:ascii="EC Square Sans Cond Pro" w:hAnsi="EC Square Sans Cond Pro"/>
                <w:noProof/>
                <w:sz w:val="16"/>
                <w:szCs w:val="16"/>
                <w:lang w:eastAsia="en-US"/>
              </w:rPr>
            </w:pPr>
            <w:r>
              <w:rPr>
                <w:noProof/>
                <w:lang w:eastAsia="fr-BE"/>
              </w:rPr>
              <w:drawing>
                <wp:inline distT="0" distB="0" distL="0" distR="0">
                  <wp:extent cx="1963420" cy="121285"/>
                  <wp:effectExtent l="0" t="0" r="0" b="0"/>
                  <wp:docPr id="429" name="Pictur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8"/>
                          <pic:cNvPicPr>
                            <a:picLocks noChangeArrowheads="1"/>
                          </pic:cNvPicPr>
                        </pic:nvPicPr>
                        <pic:blipFill>
                          <a:blip r:embed="rId265" cstate="email">
                            <a:extLst>
                              <a:ext uri="{28A0092B-C50C-407E-A947-70E740481C1C}">
                                <a14:useLocalDpi xmlns:a14="http://schemas.microsoft.com/office/drawing/2010/main"/>
                              </a:ext>
                            </a:extLst>
                          </a:blip>
                          <a:srcRect/>
                          <a:stretch>
                            <a:fillRect/>
                          </a:stretch>
                        </pic:blipFill>
                        <pic:spPr bwMode="auto">
                          <a:xfrm>
                            <a:off x="0" y="0"/>
                            <a:ext cx="1963420" cy="121285"/>
                          </a:xfrm>
                          <a:prstGeom prst="rect">
                            <a:avLst/>
                          </a:prstGeom>
                          <a:noFill/>
                          <a:ln>
                            <a:noFill/>
                          </a:ln>
                        </pic:spPr>
                      </pic:pic>
                    </a:graphicData>
                  </a:graphic>
                </wp:inline>
              </w:drawing>
            </w:r>
          </w:p>
        </w:tc>
        <w:tc>
          <w:tcPr>
            <w:tcW w:w="741"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14.3 b</w:t>
            </w:r>
          </w:p>
        </w:tc>
        <w:tc>
          <w:tcPr>
            <w:tcW w:w="2751"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60634A" w:rsidRDefault="00F76D44">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EUR 31.7 billion, compared to a target of EUR 14.3 billion</w:t>
            </w:r>
          </w:p>
        </w:tc>
      </w:tr>
      <w:tr w:rsidR="0060634A">
        <w:trPr>
          <w:trHeight w:val="309"/>
        </w:trPr>
        <w:tc>
          <w:tcPr>
            <w:tcW w:w="2978"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Loan </w:t>
            </w:r>
            <w:r>
              <w:rPr>
                <w:rFonts w:ascii="EC Square Sans Cond Pro" w:hAnsi="EC Square Sans Cond Pro" w:cs="EC Square Sans Cond Pro"/>
                <w:noProof/>
                <w:color w:val="000000"/>
                <w:sz w:val="16"/>
                <w:szCs w:val="16"/>
                <w:lang w:val="en-GB" w:eastAsia="en-GB"/>
              </w:rPr>
              <w:t>Guarantee Facility – number of firms benefiting from debt financing</w:t>
            </w:r>
          </w:p>
        </w:tc>
        <w:tc>
          <w:tcPr>
            <w:tcW w:w="707" w:type="dxa"/>
            <w:tcBorders>
              <w:top w:val="single" w:sz="4" w:space="0" w:color="D9D9D9"/>
              <w:left w:val="nil"/>
              <w:bottom w:val="single" w:sz="4" w:space="0" w:color="D9D9D9"/>
              <w:right w:val="nil"/>
            </w:tcBorders>
            <w:tcMar>
              <w:top w:w="0" w:type="dxa"/>
              <w:left w:w="108" w:type="dxa"/>
              <w:bottom w:w="0" w:type="dxa"/>
              <w:right w:w="108" w:type="dxa"/>
            </w:tcMar>
            <w:vAlign w:val="center"/>
          </w:tcPr>
          <w:p w:rsidR="0060634A" w:rsidRDefault="0060634A">
            <w:pPr>
              <w:jc w:val="center"/>
              <w:rPr>
                <w:rFonts w:ascii="EC Square Sans Cond Pro" w:hAnsi="EC Square Sans Cond Pro"/>
                <w:noProof/>
                <w:sz w:val="16"/>
                <w:szCs w:val="16"/>
                <w:lang w:val="en-GB"/>
              </w:rPr>
            </w:pPr>
          </w:p>
        </w:tc>
        <w:tc>
          <w:tcPr>
            <w:tcW w:w="3508"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3420" cy="121285"/>
                  <wp:effectExtent l="0" t="0" r="0" b="0"/>
                  <wp:docPr id="428" name="Pictur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7"/>
                          <pic:cNvPicPr>
                            <a:picLocks noChangeArrowheads="1"/>
                          </pic:cNvPicPr>
                        </pic:nvPicPr>
                        <pic:blipFill>
                          <a:blip r:embed="rId265" cstate="email">
                            <a:extLst>
                              <a:ext uri="{28A0092B-C50C-407E-A947-70E740481C1C}">
                                <a14:useLocalDpi xmlns:a14="http://schemas.microsoft.com/office/drawing/2010/main"/>
                              </a:ext>
                            </a:extLst>
                          </a:blip>
                          <a:srcRect/>
                          <a:stretch>
                            <a:fillRect/>
                          </a:stretch>
                        </pic:blipFill>
                        <pic:spPr bwMode="auto">
                          <a:xfrm>
                            <a:off x="0" y="0"/>
                            <a:ext cx="1963420" cy="121285"/>
                          </a:xfrm>
                          <a:prstGeom prst="rect">
                            <a:avLst/>
                          </a:prstGeom>
                          <a:noFill/>
                          <a:ln>
                            <a:noFill/>
                          </a:ln>
                        </pic:spPr>
                      </pic:pic>
                    </a:graphicData>
                  </a:graphic>
                </wp:inline>
              </w:drawing>
            </w:r>
          </w:p>
        </w:tc>
        <w:tc>
          <w:tcPr>
            <w:tcW w:w="741"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220 000</w:t>
            </w:r>
          </w:p>
        </w:tc>
        <w:tc>
          <w:tcPr>
            <w:tcW w:w="2751"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60634A" w:rsidRDefault="00F76D44">
            <w:pPr>
              <w:ind w:left="142"/>
              <w:rPr>
                <w:rFonts w:ascii="EC Square Sans Cond Pro" w:hAnsi="EC Square Sans Cond Pro"/>
                <w:noProof/>
                <w:sz w:val="16"/>
                <w:szCs w:val="16"/>
                <w:lang w:val="en-GB"/>
              </w:rPr>
            </w:pPr>
            <w:r>
              <w:rPr>
                <w:rFonts w:ascii="EC Square Sans Cond Pro" w:eastAsiaTheme="minorEastAsia" w:hAnsi="EC Square Sans Cond Pro" w:cs="EC Square Sans Cond Pro"/>
                <w:noProof/>
                <w:color w:val="000000"/>
                <w:sz w:val="16"/>
                <w:szCs w:val="16"/>
                <w:lang w:val="en-GB" w:eastAsia="en-GB"/>
              </w:rPr>
              <w:t xml:space="preserve">553 925, compared to a target of </w:t>
            </w:r>
            <w:r>
              <w:rPr>
                <w:rFonts w:ascii="EC Square Sans Cond Pro" w:eastAsiaTheme="minorEastAsia" w:hAnsi="EC Square Sans Cond Pro" w:cs="EC Square Sans Cond Pro"/>
                <w:noProof/>
                <w:color w:val="000000"/>
                <w:sz w:val="16"/>
                <w:szCs w:val="16"/>
                <w:lang w:val="en-GB" w:eastAsia="en-GB"/>
              </w:rPr>
              <w:br/>
              <w:t>220 000</w:t>
            </w:r>
          </w:p>
        </w:tc>
      </w:tr>
      <w:tr w:rsidR="0060634A">
        <w:trPr>
          <w:trHeight w:val="327"/>
        </w:trPr>
        <w:tc>
          <w:tcPr>
            <w:tcW w:w="2978"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Enterprise European Network – number of partnership agreements signed</w:t>
            </w:r>
            <w:r>
              <w:rPr>
                <w:rFonts w:ascii="EC Square Sans Cond Pro" w:hAnsi="EC Square Sans Cond Pro" w:cs="EC Square Sans Cond Pro"/>
                <w:noProof/>
                <w:color w:val="000000"/>
                <w:sz w:val="16"/>
                <w:szCs w:val="16"/>
                <w:lang w:val="en-GB"/>
              </w:rPr>
              <w:t xml:space="preserve"> (</w:t>
            </w:r>
            <w:r>
              <w:rPr>
                <w:rFonts w:ascii="EC Square Sans Cond Pro" w:hAnsi="EC Square Sans Cond Pro" w:cs="EC Square Sans Cond Pro"/>
                <w:noProof/>
                <w:color w:val="000000"/>
                <w:sz w:val="16"/>
                <w:szCs w:val="16"/>
                <w:vertAlign w:val="superscript"/>
                <w:lang w:val="en-GB"/>
              </w:rPr>
              <w:t>2</w:t>
            </w:r>
            <w:r>
              <w:rPr>
                <w:rFonts w:ascii="EC Square Sans Cond Pro" w:hAnsi="EC Square Sans Cond Pro" w:cs="EC Square Sans Cond Pro"/>
                <w:noProof/>
                <w:color w:val="000000"/>
                <w:sz w:val="16"/>
                <w:szCs w:val="16"/>
                <w:lang w:val="en-GB"/>
              </w:rPr>
              <w:t>)</w:t>
            </w:r>
          </w:p>
        </w:tc>
        <w:tc>
          <w:tcPr>
            <w:tcW w:w="707"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60634A" w:rsidRDefault="00F76D44">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rPr>
              <w:t>2 295</w:t>
            </w:r>
          </w:p>
        </w:tc>
        <w:tc>
          <w:tcPr>
            <w:tcW w:w="3508"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60634A" w:rsidRDefault="00F76D44">
            <w:pPr>
              <w:ind w:left="142"/>
              <w:rPr>
                <w:rFonts w:ascii="EC Square Sans Cond Pro" w:hAnsi="EC Square Sans Cond Pro"/>
                <w:noProof/>
                <w:sz w:val="16"/>
                <w:szCs w:val="16"/>
                <w:lang w:eastAsia="en-US"/>
              </w:rPr>
            </w:pPr>
            <w:r>
              <w:rPr>
                <w:noProof/>
                <w:lang w:eastAsia="fr-BE"/>
              </w:rPr>
              <w:drawing>
                <wp:inline distT="0" distB="0" distL="0" distR="0">
                  <wp:extent cx="1963420" cy="121285"/>
                  <wp:effectExtent l="0" t="0" r="0" b="0"/>
                  <wp:docPr id="427" name="Pictur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9"/>
                          <pic:cNvPicPr>
                            <a:picLocks noChangeArrowheads="1"/>
                          </pic:cNvPicPr>
                        </pic:nvPicPr>
                        <pic:blipFill>
                          <a:blip r:embed="rId266" cstate="email">
                            <a:extLst>
                              <a:ext uri="{28A0092B-C50C-407E-A947-70E740481C1C}">
                                <a14:useLocalDpi xmlns:a14="http://schemas.microsoft.com/office/drawing/2010/main"/>
                              </a:ext>
                            </a:extLst>
                          </a:blip>
                          <a:srcRect/>
                          <a:stretch>
                            <a:fillRect/>
                          </a:stretch>
                        </pic:blipFill>
                        <pic:spPr bwMode="auto">
                          <a:xfrm>
                            <a:off x="0" y="0"/>
                            <a:ext cx="1963420" cy="121285"/>
                          </a:xfrm>
                          <a:prstGeom prst="rect">
                            <a:avLst/>
                          </a:prstGeom>
                          <a:noFill/>
                          <a:ln>
                            <a:noFill/>
                          </a:ln>
                        </pic:spPr>
                      </pic:pic>
                    </a:graphicData>
                  </a:graphic>
                </wp:inline>
              </w:drawing>
            </w:r>
          </w:p>
        </w:tc>
        <w:tc>
          <w:tcPr>
            <w:tcW w:w="741"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17 500</w:t>
            </w:r>
          </w:p>
        </w:tc>
        <w:tc>
          <w:tcPr>
            <w:tcW w:w="2751" w:type="dxa"/>
            <w:tcBorders>
              <w:top w:val="single" w:sz="4" w:space="0" w:color="D9D9D9"/>
              <w:left w:val="nil"/>
              <w:bottom w:val="single" w:sz="4" w:space="0" w:color="D9D9D9"/>
              <w:right w:val="nil"/>
            </w:tcBorders>
            <w:tcMar>
              <w:top w:w="0" w:type="dxa"/>
              <w:left w:w="108" w:type="dxa"/>
              <w:bottom w:w="0" w:type="dxa"/>
              <w:right w:w="108" w:type="dxa"/>
            </w:tcMar>
            <w:vAlign w:val="center"/>
            <w:hideMark/>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16 214 out of 17 500</w:t>
            </w:r>
          </w:p>
        </w:tc>
      </w:tr>
      <w:tr w:rsidR="0060634A">
        <w:trPr>
          <w:trHeight w:val="247"/>
        </w:trPr>
        <w:tc>
          <w:tcPr>
            <w:tcW w:w="2978" w:type="dxa"/>
            <w:tcBorders>
              <w:top w:val="single" w:sz="4" w:space="0" w:color="D9D9D9"/>
              <w:left w:val="nil"/>
              <w:bottom w:val="nil"/>
              <w:right w:val="nil"/>
            </w:tcBorders>
            <w:vAlign w:val="center"/>
            <w:hideMark/>
          </w:tcPr>
          <w:p w:rsidR="0060634A" w:rsidRDefault="00F76D44">
            <w:pPr>
              <w:ind w:left="142"/>
              <w:jc w:val="right"/>
              <w:rPr>
                <w:noProof/>
                <w:sz w:val="16"/>
                <w:szCs w:val="16"/>
              </w:rPr>
            </w:pPr>
            <w:r>
              <w:rPr>
                <w:noProof/>
                <w:sz w:val="16"/>
                <w:szCs w:val="16"/>
              </w:rPr>
              <w:t xml:space="preserve">    </w:t>
            </w:r>
          </w:p>
        </w:tc>
        <w:tc>
          <w:tcPr>
            <w:tcW w:w="707" w:type="dxa"/>
            <w:tcBorders>
              <w:top w:val="single" w:sz="4" w:space="0" w:color="D9D9D9"/>
              <w:left w:val="nil"/>
              <w:bottom w:val="nil"/>
              <w:right w:val="nil"/>
            </w:tcBorders>
          </w:tcPr>
          <w:p w:rsidR="0060634A" w:rsidRDefault="0060634A">
            <w:pPr>
              <w:ind w:left="142"/>
              <w:rPr>
                <w:noProof/>
                <w:sz w:val="16"/>
                <w:szCs w:val="16"/>
                <w:lang w:eastAsia="en-GB"/>
              </w:rPr>
            </w:pPr>
          </w:p>
        </w:tc>
        <w:tc>
          <w:tcPr>
            <w:tcW w:w="3508" w:type="dxa"/>
            <w:tcBorders>
              <w:top w:val="single" w:sz="4" w:space="0" w:color="D9D9D9"/>
              <w:left w:val="nil"/>
              <w:bottom w:val="nil"/>
              <w:right w:val="nil"/>
            </w:tcBorders>
            <w:vAlign w:val="center"/>
            <w:hideMark/>
          </w:tcPr>
          <w:p w:rsidR="0060634A" w:rsidRDefault="00F76D44">
            <w:pPr>
              <w:spacing w:before="120"/>
              <w:rPr>
                <w:noProof/>
                <w:sz w:val="16"/>
                <w:szCs w:val="16"/>
                <w:lang w:val="en-GB" w:eastAsia="en-US"/>
              </w:rPr>
            </w:pPr>
            <w:r>
              <w:rPr>
                <w:noProof/>
                <w:lang w:eastAsia="fr-BE"/>
              </w:rPr>
              <mc:AlternateContent>
                <mc:Choice Requires="wps">
                  <w:drawing>
                    <wp:anchor distT="0" distB="0" distL="114300" distR="114300" simplePos="0" relativeHeight="251656192"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433" name="Rectangle 433"/>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A8EAD" id="Rectangle 433" o:spid="_x0000_s1026" style="position:absolute;margin-left:-9.45pt;margin-top:6.1pt;width:6.35pt;height: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" fillcolor="#28296e" stroked="f" strokeweight="1pt">
                      <w10:wrap type="through"/>
                    </v:rect>
                  </w:pict>
                </mc:Fallback>
              </mc:AlternateContent>
            </w:r>
            <w:r>
              <w:rPr>
                <w:noProof/>
                <w:sz w:val="16"/>
                <w:szCs w:val="16"/>
                <w:lang w:val="en-GB"/>
              </w:rPr>
              <w:t xml:space="preserve">% of target </w:t>
            </w:r>
            <w:r>
              <w:rPr>
                <w:noProof/>
                <w:sz w:val="16"/>
                <w:szCs w:val="16"/>
                <w:lang w:val="en-GB"/>
              </w:rPr>
              <w:t>achieved by the end of 2019</w:t>
            </w:r>
          </w:p>
        </w:tc>
        <w:tc>
          <w:tcPr>
            <w:tcW w:w="741" w:type="dxa"/>
            <w:tcBorders>
              <w:top w:val="single" w:sz="4" w:space="0" w:color="D9D9D9"/>
              <w:left w:val="nil"/>
              <w:bottom w:val="nil"/>
              <w:right w:val="nil"/>
            </w:tcBorders>
          </w:tcPr>
          <w:p w:rsidR="0060634A" w:rsidRDefault="0060634A">
            <w:pPr>
              <w:ind w:left="142"/>
              <w:rPr>
                <w:noProof/>
                <w:sz w:val="16"/>
                <w:szCs w:val="16"/>
                <w:lang w:val="en-GB" w:eastAsia="en-GB"/>
              </w:rPr>
            </w:pPr>
          </w:p>
        </w:tc>
        <w:tc>
          <w:tcPr>
            <w:tcW w:w="2751" w:type="dxa"/>
            <w:tcBorders>
              <w:top w:val="single" w:sz="4" w:space="0" w:color="D9D9D9"/>
              <w:left w:val="nil"/>
              <w:bottom w:val="nil"/>
              <w:right w:val="nil"/>
            </w:tcBorders>
            <w:vAlign w:val="center"/>
          </w:tcPr>
          <w:p w:rsidR="0060634A" w:rsidRDefault="0060634A">
            <w:pPr>
              <w:ind w:left="142"/>
              <w:rPr>
                <w:noProof/>
                <w:sz w:val="16"/>
                <w:szCs w:val="16"/>
                <w:lang w:val="en-GB" w:eastAsia="en-US"/>
              </w:rPr>
            </w:pPr>
          </w:p>
        </w:tc>
      </w:tr>
      <w:tr w:rsidR="0060634A">
        <w:trPr>
          <w:trHeight w:val="247"/>
        </w:trPr>
        <w:tc>
          <w:tcPr>
            <w:tcW w:w="10685" w:type="dxa"/>
            <w:gridSpan w:val="5"/>
            <w:vAlign w:val="center"/>
            <w:hideMark/>
          </w:tcPr>
          <w:p w:rsidR="0060634A" w:rsidRDefault="00F76D44">
            <w:pPr>
              <w:ind w:left="142"/>
              <w:jc w:val="both"/>
              <w:rPr>
                <w:noProof/>
                <w:sz w:val="14"/>
                <w:szCs w:val="16"/>
                <w:lang w:val="en-GB"/>
              </w:rPr>
            </w:pPr>
            <w:r>
              <w:rPr>
                <w:noProof/>
                <w:sz w:val="14"/>
                <w:szCs w:val="16"/>
                <w:lang w:val="en-GB"/>
              </w:rPr>
              <w:t>(</w:t>
            </w:r>
            <w:r>
              <w:rPr>
                <w:noProof/>
                <w:sz w:val="14"/>
                <w:szCs w:val="16"/>
                <w:vertAlign w:val="superscript"/>
                <w:lang w:val="en-GB"/>
              </w:rPr>
              <w:t>1</w:t>
            </w:r>
            <w:r>
              <w:rPr>
                <w:noProof/>
                <w:sz w:val="14"/>
                <w:szCs w:val="16"/>
                <w:lang w:val="en-GB"/>
              </w:rPr>
              <w:t>) Latest results from 2018. Since 2011 the selection of European Destinations of Excellence has taken place every second year, in alternation with a year dedicated to the promotion of the destinations that have received the</w:t>
            </w:r>
            <w:r>
              <w:rPr>
                <w:noProof/>
                <w:sz w:val="14"/>
                <w:szCs w:val="16"/>
                <w:lang w:val="en-GB"/>
              </w:rPr>
              <w:t xml:space="preserve"> award. For 2019, around 176 European Destinations of Excellence were expected to receive the award.</w:t>
            </w:r>
          </w:p>
          <w:p w:rsidR="0060634A" w:rsidRDefault="00F76D44">
            <w:pPr>
              <w:ind w:left="142"/>
              <w:rPr>
                <w:noProof/>
                <w:sz w:val="14"/>
                <w:szCs w:val="16"/>
                <w:lang w:val="en-GB"/>
              </w:rPr>
            </w:pPr>
            <w:r>
              <w:rPr>
                <w:noProof/>
                <w:sz w:val="14"/>
                <w:szCs w:val="16"/>
                <w:lang w:val="en-GB"/>
              </w:rPr>
              <w:t>(</w:t>
            </w:r>
            <w:r>
              <w:rPr>
                <w:noProof/>
                <w:sz w:val="14"/>
                <w:szCs w:val="16"/>
                <w:vertAlign w:val="superscript"/>
                <w:lang w:val="en-GB"/>
              </w:rPr>
              <w:t>2</w:t>
            </w:r>
            <w:r>
              <w:rPr>
                <w:noProof/>
                <w:sz w:val="14"/>
                <w:szCs w:val="16"/>
                <w:lang w:val="en-GB"/>
              </w:rPr>
              <w:t>) Cumulative results for 2015-2019 are 14 695 under COSME. 16 214 includes those agreements signed in 2014 under the previous programme.</w:t>
            </w:r>
          </w:p>
        </w:tc>
      </w:tr>
    </w:tbl>
    <w:p w:rsidR="0060634A" w:rsidRDefault="00F76D44">
      <w:pPr>
        <w:pStyle w:val="PPOTitle3"/>
        <w:rPr>
          <w:rFonts w:ascii="EC Square Sans Cond Pro" w:hAnsi="EC Square Sans Cond Pro"/>
          <w:color w:val="1F497D"/>
          <w:sz w:val="16"/>
          <w:szCs w:val="18"/>
        </w:rPr>
      </w:pPr>
      <w:r>
        <w:t>Where are we in</w:t>
      </w:r>
      <w:r>
        <w:t xml:space="preserve"> the implementation?</w:t>
      </w:r>
    </w:p>
    <w:p w:rsidR="0060634A" w:rsidRDefault="00F76D44">
      <w:pPr>
        <w:pStyle w:val="PPOBlackBULLETS-L1"/>
        <w:rPr>
          <w:noProof/>
        </w:rPr>
      </w:pPr>
      <w:r>
        <w:rPr>
          <w:noProof/>
        </w:rPr>
        <w:t>The COSME Loan Guarantee Facility has been enhanced with support from the European Fund for Strategic Investments. By the end of 2019 an additional risk-bearing capacity of EUR</w:t>
      </w:r>
      <w:r>
        <w:rPr>
          <w:rFonts w:ascii="Calibri" w:hAnsi="Calibri" w:cs="Calibri"/>
          <w:noProof/>
        </w:rPr>
        <w:t> </w:t>
      </w:r>
      <w:r>
        <w:rPr>
          <w:noProof/>
        </w:rPr>
        <w:t>1.3</w:t>
      </w:r>
      <w:r>
        <w:rPr>
          <w:rFonts w:ascii="Calibri" w:hAnsi="Calibri" w:cs="Calibri"/>
          <w:noProof/>
        </w:rPr>
        <w:t> </w:t>
      </w:r>
      <w:r>
        <w:rPr>
          <w:noProof/>
        </w:rPr>
        <w:t>billion had been created, including for transactions r</w:t>
      </w:r>
      <w:r>
        <w:rPr>
          <w:noProof/>
        </w:rPr>
        <w:t>elated to a digitalisation pilot launched during that year.</w:t>
      </w:r>
    </w:p>
    <w:p w:rsidR="0060634A" w:rsidRDefault="00F76D44">
      <w:pPr>
        <w:pStyle w:val="PPOBlackBULLETS-L1"/>
        <w:rPr>
          <w:noProof/>
        </w:rPr>
      </w:pPr>
      <w:r>
        <w:rPr>
          <w:noProof/>
        </w:rPr>
        <w:t>As of 31 December 2019, the European Investment Fund had invested in 17 funds through the Equity Facility for Growth, for a total investment amount of EUR</w:t>
      </w:r>
      <w:r>
        <w:rPr>
          <w:rFonts w:ascii="Calibri" w:hAnsi="Calibri" w:cs="Calibri"/>
          <w:noProof/>
        </w:rPr>
        <w:t> </w:t>
      </w:r>
      <w:r>
        <w:rPr>
          <w:noProof/>
        </w:rPr>
        <w:t>242</w:t>
      </w:r>
      <w:r>
        <w:rPr>
          <w:rFonts w:ascii="Calibri" w:hAnsi="Calibri" w:cs="Calibri"/>
          <w:noProof/>
        </w:rPr>
        <w:t> </w:t>
      </w:r>
      <w:r>
        <w:rPr>
          <w:noProof/>
        </w:rPr>
        <w:t>million. Of these funds, six were mul</w:t>
      </w:r>
      <w:r>
        <w:rPr>
          <w:noProof/>
        </w:rPr>
        <w:t>ti-stage funds combined with the InnovFin Equity Facility for early stage financing, which was set up under Horizon 2020.</w:t>
      </w:r>
    </w:p>
    <w:p w:rsidR="0060634A" w:rsidRDefault="00F76D44">
      <w:pPr>
        <w:pStyle w:val="PPOBlackBULLETS-L1"/>
        <w:rPr>
          <w:noProof/>
        </w:rPr>
      </w:pPr>
      <w:r>
        <w:rPr>
          <w:noProof/>
        </w:rPr>
        <w:t>In 2019 the Enterprise Europe Network’s services are expected to have reached 250</w:t>
      </w:r>
      <w:r>
        <w:rPr>
          <w:rFonts w:ascii="Calibri" w:hAnsi="Calibri" w:cs="Calibri"/>
          <w:noProof/>
        </w:rPr>
        <w:t> </w:t>
      </w:r>
      <w:r>
        <w:rPr>
          <w:noProof/>
        </w:rPr>
        <w:t>000 SMEs. With organisations from Kosovo</w:t>
      </w:r>
      <w:r>
        <w:rPr>
          <w:rStyle w:val="fnRef"/>
          <w:rFonts w:ascii="Arial" w:hAnsi="Arial" w:cs="Arial"/>
        </w:rPr>
        <w:t> </w:t>
      </w:r>
      <w:r>
        <w:rPr>
          <w:rStyle w:val="fnRef"/>
        </w:rPr>
        <w:t>(</w:t>
      </w:r>
      <w:r>
        <w:rPr>
          <w:rStyle w:val="fnRefNo"/>
        </w:rPr>
        <w:t>90</w:t>
      </w:r>
      <w:r>
        <w:rPr>
          <w:rStyle w:val="fnRef"/>
        </w:rPr>
        <w:t>)</w:t>
      </w:r>
      <w:r>
        <w:rPr>
          <w:noProof/>
        </w:rPr>
        <w:t xml:space="preserve"> having</w:t>
      </w:r>
      <w:r>
        <w:rPr>
          <w:noProof/>
        </w:rPr>
        <w:t xml:space="preserve"> joined the network, it now covers all 39 countries participating in COSME. The network is now present in 67 countries, including business cooperation centres in 28 non-EU countries.</w:t>
      </w:r>
    </w:p>
    <w:p w:rsidR="0060634A" w:rsidRDefault="00F76D44">
      <w:pPr>
        <w:pStyle w:val="PPOBlackBULLETS-L1"/>
        <w:rPr>
          <w:noProof/>
        </w:rPr>
      </w:pPr>
      <w:r>
        <w:rPr>
          <w:noProof/>
        </w:rPr>
        <w:t>The Erasmus for young entrepreneurs mobility scheme has a broad geographi</w:t>
      </w:r>
      <w:r>
        <w:rPr>
          <w:noProof/>
        </w:rPr>
        <w:t>cal spread, implemented by a network of 194 local intermediary organisations in 37 countries (out of the 39 that participate). As of 2020, local intermediary organisations are expected to be in place for the first time in Kosovo and in Martinique.</w:t>
      </w:r>
    </w:p>
    <w:p w:rsidR="0060634A" w:rsidRDefault="00F76D44">
      <w:pPr>
        <w:pStyle w:val="PPOBlackBULLETS-L1"/>
        <w:rPr>
          <w:noProof/>
        </w:rPr>
      </w:pPr>
      <w:r>
        <w:rPr>
          <w:noProof/>
        </w:rPr>
        <w:t>The Euro</w:t>
      </w:r>
      <w:r>
        <w:rPr>
          <w:noProof/>
        </w:rPr>
        <w:t>pean Cluster Collaboration Platform includes 1</w:t>
      </w:r>
      <w:r>
        <w:rPr>
          <w:rFonts w:ascii="Calibri" w:hAnsi="Calibri" w:cs="Calibri"/>
          <w:noProof/>
        </w:rPr>
        <w:t> </w:t>
      </w:r>
      <w:r>
        <w:rPr>
          <w:noProof/>
        </w:rPr>
        <w:t>112 industrial cluster organisations. They collaborate with approximately 120</w:t>
      </w:r>
      <w:r>
        <w:rPr>
          <w:rFonts w:ascii="Calibri" w:hAnsi="Calibri" w:cs="Calibri"/>
          <w:noProof/>
        </w:rPr>
        <w:t> </w:t>
      </w:r>
      <w:r>
        <w:rPr>
          <w:noProof/>
        </w:rPr>
        <w:t>000 SMEs, 8</w:t>
      </w:r>
      <w:r>
        <w:rPr>
          <w:rFonts w:ascii="Calibri" w:hAnsi="Calibri" w:cs="Calibri"/>
          <w:noProof/>
        </w:rPr>
        <w:t> </w:t>
      </w:r>
      <w:r>
        <w:rPr>
          <w:noProof/>
        </w:rPr>
        <w:t>000 large firms and 11</w:t>
      </w:r>
      <w:r>
        <w:rPr>
          <w:rFonts w:ascii="Calibri" w:hAnsi="Calibri" w:cs="Calibri"/>
          <w:noProof/>
        </w:rPr>
        <w:t> </w:t>
      </w:r>
      <w:r>
        <w:rPr>
          <w:noProof/>
        </w:rPr>
        <w:t>000 research organisations or technology centres. The platforms act as multipliers and bridge-bu</w:t>
      </w:r>
      <w:r>
        <w:rPr>
          <w:noProof/>
        </w:rPr>
        <w:t>ilders to connect industrial ecosystem actors and serve as policy accelerators for the EU’s industrial strategy. For instance, there are 400 digital clusters and 250 green-tech clusters registered on the platform that are ready to team up and help implemen</w:t>
      </w:r>
      <w:r>
        <w:rPr>
          <w:noProof/>
        </w:rPr>
        <w:t>t the European Green Deal.</w:t>
      </w:r>
    </w:p>
    <w:p w:rsidR="0060634A" w:rsidRDefault="00F76D44">
      <w:pPr>
        <w:pStyle w:val="PPOTitle3"/>
        <w:rPr>
          <w:rFonts w:eastAsiaTheme="minorEastAsia"/>
        </w:rPr>
      </w:pPr>
      <w:r>
        <w:rPr>
          <w:rFonts w:eastAsiaTheme="minorEastAsia"/>
        </w:rPr>
        <w:t>Performance assessment</w:t>
      </w:r>
    </w:p>
    <w:p w:rsidR="0060634A" w:rsidRDefault="00F76D44">
      <w:pPr>
        <w:pStyle w:val="PPOBlackBULLETS-L1"/>
        <w:rPr>
          <w:noProof/>
        </w:rPr>
      </w:pPr>
      <w:r>
        <w:rPr>
          <w:noProof/>
        </w:rPr>
        <w:t>The reinforcement of the COSME Loan Guarantee Facility resources from the SME window of the European Fund for Strategic Investments, which doubled the available resources, meant that it was already possible</w:t>
      </w:r>
      <w:r>
        <w:rPr>
          <w:noProof/>
        </w:rPr>
        <w:t xml:space="preserve"> to achieve the targets set for the overall programming period (2014-2020) in 2018. In 2019 the Loan Guarantee Facility, as enhanced by the SME window of the European Fund for Strategic Investments, continues making financial support available to small and</w:t>
      </w:r>
      <w:r>
        <w:rPr>
          <w:noProof/>
        </w:rPr>
        <w:t xml:space="preserve"> medium-sized enterprises with more than 88% of SMEs having less than 10 employees and almost 50% being start-ups with an operational history of less than 5 years. As of 31</w:t>
      </w:r>
      <w:r>
        <w:rPr>
          <w:rFonts w:ascii="Calibri" w:hAnsi="Calibri" w:cs="Calibri"/>
          <w:noProof/>
        </w:rPr>
        <w:t> </w:t>
      </w:r>
      <w:r>
        <w:rPr>
          <w:noProof/>
        </w:rPr>
        <w:t>December 2019 more than 553</w:t>
      </w:r>
      <w:r>
        <w:rPr>
          <w:rFonts w:ascii="Calibri" w:hAnsi="Calibri" w:cs="Calibri"/>
          <w:noProof/>
        </w:rPr>
        <w:t> </w:t>
      </w:r>
      <w:r>
        <w:rPr>
          <w:noProof/>
        </w:rPr>
        <w:t>000 SMEs in 32 countries had received financing of almo</w:t>
      </w:r>
      <w:r>
        <w:rPr>
          <w:noProof/>
        </w:rPr>
        <w:t>st EUR</w:t>
      </w:r>
      <w:r>
        <w:rPr>
          <w:rFonts w:ascii="Calibri" w:hAnsi="Calibri" w:cs="Calibri"/>
          <w:noProof/>
        </w:rPr>
        <w:t> </w:t>
      </w:r>
      <w:r>
        <w:rPr>
          <w:noProof/>
        </w:rPr>
        <w:t>32 billion (indicators 2 and 3), confirming the attractiveness of the programme</w:t>
      </w:r>
      <w:r>
        <w:rPr>
          <w:rStyle w:val="Bodytext2Exact"/>
        </w:rPr>
        <w:t>.</w:t>
      </w:r>
    </w:p>
    <w:p w:rsidR="0060634A" w:rsidRDefault="00F76D44">
      <w:pPr>
        <w:pStyle w:val="PPOBlackBULLETS-L1"/>
        <w:rPr>
          <w:noProof/>
        </w:rPr>
      </w:pPr>
      <w:r>
        <w:rPr>
          <w:noProof/>
        </w:rPr>
        <w:t>The outreach of the Enterprise Europe Network is in line with its target (indicator 4). Earlier findings on the impact evaluation of the network concluded that the aver</w:t>
      </w:r>
      <w:r>
        <w:rPr>
          <w:noProof/>
        </w:rPr>
        <w:t>age net effect for participating SMEs was an increase of approximately 3</w:t>
      </w:r>
      <w:r>
        <w:rPr>
          <w:rFonts w:ascii="Calibri" w:hAnsi="Calibri" w:cs="Calibri"/>
          <w:noProof/>
        </w:rPr>
        <w:t> </w:t>
      </w:r>
      <w:r>
        <w:rPr>
          <w:noProof/>
        </w:rPr>
        <w:t>percentage points in annual turnover (compared to SMEs not receiving Enterprise Europe Network services).</w:t>
      </w:r>
    </w:p>
    <w:p w:rsidR="0060634A" w:rsidRDefault="00F76D44">
      <w:pPr>
        <w:pStyle w:val="PPOBlackBULLETS-L1"/>
        <w:rPr>
          <w:noProof/>
        </w:rPr>
      </w:pPr>
      <w:r>
        <w:rPr>
          <w:noProof/>
        </w:rPr>
        <w:t xml:space="preserve">To enhance the coherence of the financial instruments available under the EU </w:t>
      </w:r>
      <w:r>
        <w:rPr>
          <w:noProof/>
        </w:rPr>
        <w:t xml:space="preserve">budget, the successor facilities to the COSME Loan Guarantee Facility and the Equity Facility for Growth will be established under the SME window of the new InvestEU programme. </w:t>
      </w:r>
    </w:p>
    <w:p w:rsidR="0060634A" w:rsidRDefault="00F76D44">
      <w:pPr>
        <w:pStyle w:val="PPOTitle3"/>
        <w:rPr>
          <w:rFonts w:eastAsiaTheme="minorEastAsia"/>
        </w:rPr>
      </w:pPr>
      <w:r>
        <w:rPr>
          <w:rFonts w:eastAsiaTheme="minorEastAsia"/>
        </w:rPr>
        <w:t>Concrete examples of achievements</w:t>
      </w:r>
    </w:p>
    <w:tbl>
      <w:tblPr>
        <w:tblStyle w:val="TableGrid"/>
        <w:tblpPr w:leftFromText="180" w:rightFromText="180" w:vertAnchor="text" w:horzAnchor="margin" w:tblpXSpec="center" w:tblpY="82"/>
        <w:tblW w:w="0"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1814"/>
        <w:gridCol w:w="1985"/>
        <w:gridCol w:w="1843"/>
        <w:gridCol w:w="2551"/>
        <w:gridCol w:w="2609"/>
      </w:tblGrid>
      <w:tr w:rsidR="0060634A">
        <w:trPr>
          <w:trHeight w:val="128"/>
        </w:trPr>
        <w:tc>
          <w:tcPr>
            <w:tcW w:w="1814" w:type="dxa"/>
            <w:tcBorders>
              <w:top w:val="nil"/>
              <w:left w:val="nil"/>
              <w:bottom w:val="single" w:sz="8" w:space="0" w:color="FFFFFF" w:themeColor="background1"/>
              <w:right w:val="single" w:sz="8" w:space="0" w:color="FFFFFF" w:themeColor="background1"/>
            </w:tcBorders>
            <w:shd w:val="clear" w:color="auto" w:fill="00ADDC"/>
            <w:hideMark/>
          </w:tcPr>
          <w:p w:rsidR="0060634A" w:rsidRDefault="00F76D44">
            <w:pPr>
              <w:pStyle w:val="PPOExamplesTABLEHeader"/>
              <w:rPr>
                <w:rFonts w:eastAsiaTheme="minorEastAsia"/>
                <w:lang w:eastAsia="en-US"/>
              </w:rPr>
            </w:pPr>
            <w:r>
              <w:rPr>
                <w:rFonts w:eastAsiaTheme="minorEastAsia"/>
                <w:lang w:eastAsia="en-US"/>
              </w:rPr>
              <w:t>250</w:t>
            </w:r>
            <w:r>
              <w:rPr>
                <w:rFonts w:ascii="Calibri" w:eastAsiaTheme="minorEastAsia" w:hAnsi="Calibri" w:cs="Calibri"/>
                <w:lang w:eastAsia="en-US"/>
              </w:rPr>
              <w:t> </w:t>
            </w:r>
            <w:r>
              <w:rPr>
                <w:rFonts w:eastAsiaTheme="minorEastAsia"/>
                <w:lang w:eastAsia="en-US"/>
              </w:rPr>
              <w:t>000 SMEs</w:t>
            </w:r>
          </w:p>
        </w:tc>
        <w:tc>
          <w:tcPr>
            <w:tcW w:w="1985" w:type="dxa"/>
            <w:tcBorders>
              <w:top w:val="nil"/>
              <w:left w:val="single" w:sz="8" w:space="0" w:color="FFFFFF" w:themeColor="background1"/>
              <w:bottom w:val="single" w:sz="8" w:space="0" w:color="FFFFFF" w:themeColor="background1"/>
              <w:right w:val="single" w:sz="8" w:space="0" w:color="FFFFFF" w:themeColor="background1"/>
            </w:tcBorders>
            <w:shd w:val="clear" w:color="auto" w:fill="00ADDC"/>
            <w:hideMark/>
          </w:tcPr>
          <w:p w:rsidR="0060634A" w:rsidRDefault="00F76D44">
            <w:pPr>
              <w:pStyle w:val="PPOExamplesTABLEHeader"/>
              <w:rPr>
                <w:rFonts w:eastAsiaTheme="minorEastAsia"/>
                <w:lang w:eastAsia="en-US"/>
              </w:rPr>
            </w:pPr>
            <w:r>
              <w:rPr>
                <w:rFonts w:eastAsiaTheme="minorEastAsia"/>
                <w:lang w:eastAsia="en-US"/>
              </w:rPr>
              <w:t>16</w:t>
            </w:r>
            <w:r>
              <w:rPr>
                <w:rFonts w:ascii="Calibri" w:eastAsiaTheme="minorEastAsia" w:hAnsi="Calibri" w:cs="Calibri"/>
                <w:lang w:eastAsia="en-US"/>
              </w:rPr>
              <w:t> </w:t>
            </w:r>
            <w:r>
              <w:rPr>
                <w:rFonts w:eastAsiaTheme="minorEastAsia"/>
                <w:lang w:eastAsia="en-US"/>
              </w:rPr>
              <w:t xml:space="preserve">500 entrepreneurs </w:t>
            </w:r>
          </w:p>
        </w:tc>
        <w:tc>
          <w:tcPr>
            <w:tcW w:w="1843" w:type="dxa"/>
            <w:tcBorders>
              <w:top w:val="nil"/>
              <w:left w:val="single" w:sz="8" w:space="0" w:color="FFFFFF" w:themeColor="background1"/>
              <w:bottom w:val="single" w:sz="8" w:space="0" w:color="FFFFFF" w:themeColor="background1"/>
              <w:right w:val="single" w:sz="8" w:space="0" w:color="FFFFFF" w:themeColor="background1"/>
            </w:tcBorders>
            <w:shd w:val="clear" w:color="auto" w:fill="00ADDC"/>
            <w:hideMark/>
          </w:tcPr>
          <w:p w:rsidR="0060634A" w:rsidRDefault="00F76D44">
            <w:pPr>
              <w:pStyle w:val="PPOExamplesTABLEHeader"/>
              <w:rPr>
                <w:rFonts w:eastAsiaTheme="minorEastAsia"/>
                <w:lang w:eastAsia="en-US"/>
              </w:rPr>
            </w:pPr>
            <w:r>
              <w:rPr>
                <w:rFonts w:eastAsiaTheme="minorEastAsia"/>
                <w:lang w:eastAsia="en-US"/>
              </w:rPr>
              <w:t>500</w:t>
            </w:r>
            <w:r>
              <w:rPr>
                <w:rFonts w:ascii="Calibri" w:eastAsiaTheme="minorEastAsia" w:hAnsi="Calibri" w:cs="Calibri"/>
                <w:lang w:eastAsia="en-US"/>
              </w:rPr>
              <w:t> </w:t>
            </w:r>
            <w:r>
              <w:rPr>
                <w:rFonts w:eastAsiaTheme="minorEastAsia"/>
                <w:lang w:eastAsia="en-US"/>
              </w:rPr>
              <w:t>000 S</w:t>
            </w:r>
            <w:r>
              <w:rPr>
                <w:rFonts w:eastAsiaTheme="minorEastAsia"/>
                <w:lang w:eastAsia="en-US"/>
              </w:rPr>
              <w:t>MEs</w:t>
            </w:r>
          </w:p>
        </w:tc>
        <w:tc>
          <w:tcPr>
            <w:tcW w:w="2551" w:type="dxa"/>
            <w:tcBorders>
              <w:top w:val="nil"/>
              <w:left w:val="single" w:sz="8" w:space="0" w:color="FFFFFF" w:themeColor="background1"/>
              <w:bottom w:val="single" w:sz="8" w:space="0" w:color="FFFFFF" w:themeColor="background1"/>
              <w:right w:val="single" w:sz="8" w:space="0" w:color="FFFFFF" w:themeColor="background1"/>
            </w:tcBorders>
            <w:shd w:val="clear" w:color="auto" w:fill="00ADDC"/>
            <w:hideMark/>
          </w:tcPr>
          <w:p w:rsidR="0060634A" w:rsidRDefault="00F76D44">
            <w:pPr>
              <w:pStyle w:val="PPOExamplesTABLEHeader"/>
              <w:rPr>
                <w:rFonts w:eastAsiaTheme="minorEastAsia"/>
                <w:lang w:eastAsia="en-US"/>
              </w:rPr>
            </w:pPr>
            <w:r>
              <w:rPr>
                <w:rFonts w:eastAsiaTheme="minorEastAsia"/>
                <w:lang w:eastAsia="en-US"/>
              </w:rPr>
              <w:t>200 stakeholders</w:t>
            </w:r>
          </w:p>
        </w:tc>
        <w:tc>
          <w:tcPr>
            <w:tcW w:w="2609" w:type="dxa"/>
            <w:tcBorders>
              <w:top w:val="nil"/>
              <w:left w:val="single" w:sz="8" w:space="0" w:color="FFFFFF" w:themeColor="background1"/>
              <w:bottom w:val="single" w:sz="8" w:space="0" w:color="FFFFFF" w:themeColor="background1"/>
              <w:right w:val="nil"/>
            </w:tcBorders>
            <w:shd w:val="clear" w:color="auto" w:fill="00ADDC"/>
            <w:hideMark/>
          </w:tcPr>
          <w:p w:rsidR="0060634A" w:rsidRDefault="00F76D44">
            <w:pPr>
              <w:pStyle w:val="PPOExamplesTABLEHeader"/>
              <w:rPr>
                <w:rFonts w:eastAsiaTheme="minorEastAsia"/>
                <w:lang w:eastAsia="en-US"/>
              </w:rPr>
            </w:pPr>
            <w:r>
              <w:rPr>
                <w:rFonts w:eastAsiaTheme="minorEastAsia"/>
                <w:lang w:eastAsia="en-US"/>
              </w:rPr>
              <w:t>1</w:t>
            </w:r>
            <w:r>
              <w:rPr>
                <w:rFonts w:ascii="Calibri" w:eastAsiaTheme="minorEastAsia" w:hAnsi="Calibri" w:cs="Calibri"/>
                <w:lang w:eastAsia="en-US"/>
              </w:rPr>
              <w:t> </w:t>
            </w:r>
            <w:r>
              <w:rPr>
                <w:rFonts w:eastAsiaTheme="minorEastAsia"/>
                <w:lang w:eastAsia="en-US"/>
              </w:rPr>
              <w:t>039 organisations</w:t>
            </w:r>
          </w:p>
        </w:tc>
      </w:tr>
      <w:tr w:rsidR="0060634A">
        <w:trPr>
          <w:trHeight w:val="604"/>
        </w:trPr>
        <w:tc>
          <w:tcPr>
            <w:tcW w:w="1814" w:type="dxa"/>
            <w:tcBorders>
              <w:top w:val="single" w:sz="8" w:space="0" w:color="FFFFFF" w:themeColor="background1"/>
              <w:left w:val="nil"/>
              <w:bottom w:val="nil"/>
              <w:right w:val="single" w:sz="8" w:space="0" w:color="FFFFFF" w:themeColor="background1"/>
            </w:tcBorders>
            <w:shd w:val="clear" w:color="auto" w:fill="DCE6F2"/>
            <w:hideMark/>
          </w:tcPr>
          <w:p w:rsidR="0060634A" w:rsidRDefault="00F76D44">
            <w:pPr>
              <w:pStyle w:val="PPOExamplesTABLEText"/>
              <w:spacing w:line="240" w:lineRule="auto"/>
              <w:rPr>
                <w:noProof/>
                <w:lang w:val="en-GB" w:eastAsia="en-US"/>
              </w:rPr>
            </w:pPr>
            <w:r>
              <w:rPr>
                <w:noProof/>
                <w:lang w:val="en-GB" w:eastAsia="en-US"/>
              </w:rPr>
              <w:t>received support from the Enterprise Europe Network in 2019.</w:t>
            </w:r>
          </w:p>
        </w:tc>
        <w:tc>
          <w:tcPr>
            <w:tcW w:w="1985" w:type="dxa"/>
            <w:tcBorders>
              <w:top w:val="single" w:sz="8" w:space="0" w:color="FFFFFF" w:themeColor="background1"/>
              <w:left w:val="single" w:sz="8" w:space="0" w:color="FFFFFF" w:themeColor="background1"/>
              <w:bottom w:val="nil"/>
              <w:right w:val="single" w:sz="8" w:space="0" w:color="FFFFFF" w:themeColor="background1"/>
            </w:tcBorders>
            <w:shd w:val="clear" w:color="auto" w:fill="DCE6F2"/>
            <w:hideMark/>
          </w:tcPr>
          <w:p w:rsidR="0060634A" w:rsidRDefault="00F76D44">
            <w:pPr>
              <w:pStyle w:val="PPOExamplesTABLEText"/>
              <w:spacing w:line="240" w:lineRule="auto"/>
              <w:rPr>
                <w:noProof/>
                <w:lang w:val="en-GB" w:eastAsia="en-US"/>
              </w:rPr>
            </w:pPr>
            <w:r>
              <w:rPr>
                <w:noProof/>
                <w:lang w:val="en-GB" w:eastAsia="en-US"/>
              </w:rPr>
              <w:t>were involved in the Erasmus for young entrepreneurs mobility scheme.</w:t>
            </w:r>
          </w:p>
        </w:tc>
        <w:tc>
          <w:tcPr>
            <w:tcW w:w="1843" w:type="dxa"/>
            <w:tcBorders>
              <w:top w:val="single" w:sz="8" w:space="0" w:color="FFFFFF" w:themeColor="background1"/>
              <w:left w:val="single" w:sz="8" w:space="0" w:color="FFFFFF" w:themeColor="background1"/>
              <w:bottom w:val="nil"/>
              <w:right w:val="single" w:sz="8" w:space="0" w:color="FFFFFF" w:themeColor="background1"/>
            </w:tcBorders>
            <w:shd w:val="clear" w:color="auto" w:fill="DCE6F2"/>
            <w:hideMark/>
          </w:tcPr>
          <w:p w:rsidR="0060634A" w:rsidRDefault="00F76D44">
            <w:pPr>
              <w:pStyle w:val="PPOExamplesTABLEText"/>
              <w:spacing w:line="240" w:lineRule="auto"/>
              <w:rPr>
                <w:b/>
                <w:noProof/>
                <w:color w:val="FFFFFF" w:themeColor="background1"/>
                <w:lang w:val="en-GB" w:eastAsia="en-US"/>
              </w:rPr>
            </w:pPr>
            <w:r>
              <w:rPr>
                <w:noProof/>
                <w:lang w:val="en-GB" w:eastAsia="en-US"/>
              </w:rPr>
              <w:t>received support from the COSME Loan Guarantee Facility.</w:t>
            </w:r>
          </w:p>
        </w:tc>
        <w:tc>
          <w:tcPr>
            <w:tcW w:w="2551" w:type="dxa"/>
            <w:tcBorders>
              <w:top w:val="single" w:sz="8" w:space="0" w:color="FFFFFF" w:themeColor="background1"/>
              <w:left w:val="single" w:sz="8" w:space="0" w:color="FFFFFF" w:themeColor="background1"/>
              <w:bottom w:val="nil"/>
              <w:right w:val="single" w:sz="8" w:space="0" w:color="FFFFFF" w:themeColor="background1"/>
            </w:tcBorders>
            <w:shd w:val="clear" w:color="auto" w:fill="DCE6F2"/>
            <w:hideMark/>
          </w:tcPr>
          <w:p w:rsidR="0060634A" w:rsidRDefault="00F76D44">
            <w:pPr>
              <w:pStyle w:val="PPOExamplesTABLEText"/>
              <w:spacing w:line="240" w:lineRule="auto"/>
              <w:rPr>
                <w:noProof/>
                <w:lang w:val="en-GB" w:eastAsia="en-US"/>
              </w:rPr>
            </w:pPr>
            <w:r>
              <w:rPr>
                <w:noProof/>
                <w:lang w:val="en-GB" w:eastAsia="en-US"/>
              </w:rPr>
              <w:t>discussed the potential of</w:t>
            </w:r>
            <w:r>
              <w:rPr>
                <w:noProof/>
                <w:lang w:val="en-GB" w:eastAsia="en-US"/>
              </w:rPr>
              <w:t xml:space="preserve"> digitalisation for the EU’s tourism industry in the European Tourism Forum of Helsinki (October 2019).</w:t>
            </w:r>
          </w:p>
        </w:tc>
        <w:tc>
          <w:tcPr>
            <w:tcW w:w="2609" w:type="dxa"/>
            <w:tcBorders>
              <w:top w:val="single" w:sz="8" w:space="0" w:color="FFFFFF" w:themeColor="background1"/>
              <w:left w:val="single" w:sz="8" w:space="0" w:color="FFFFFF" w:themeColor="background1"/>
              <w:bottom w:val="nil"/>
              <w:right w:val="nil"/>
            </w:tcBorders>
            <w:shd w:val="clear" w:color="auto" w:fill="DCE6F2"/>
            <w:hideMark/>
          </w:tcPr>
          <w:p w:rsidR="0060634A" w:rsidRDefault="00F76D44">
            <w:pPr>
              <w:pStyle w:val="PPOExamplesTABLEText"/>
              <w:spacing w:line="240" w:lineRule="auto"/>
              <w:rPr>
                <w:noProof/>
                <w:lang w:val="en-GB" w:eastAsia="en-US"/>
              </w:rPr>
            </w:pPr>
            <w:r>
              <w:rPr>
                <w:noProof/>
                <w:lang w:val="en-GB" w:eastAsia="en-US"/>
              </w:rPr>
              <w:t>were included in the European Cluster Collaboration Platform, which reaches out to around 120</w:t>
            </w:r>
            <w:r>
              <w:rPr>
                <w:rFonts w:ascii="Calibri" w:hAnsi="Calibri" w:cs="Calibri"/>
                <w:noProof/>
                <w:lang w:val="en-GB" w:eastAsia="en-US"/>
              </w:rPr>
              <w:t> </w:t>
            </w:r>
            <w:r>
              <w:rPr>
                <w:noProof/>
                <w:lang w:val="en-GB" w:eastAsia="en-US"/>
              </w:rPr>
              <w:t>000 SMEs, 8</w:t>
            </w:r>
            <w:r>
              <w:rPr>
                <w:rFonts w:ascii="Calibri" w:hAnsi="Calibri" w:cs="Calibri"/>
                <w:noProof/>
                <w:lang w:val="en-GB" w:eastAsia="en-US"/>
              </w:rPr>
              <w:t> </w:t>
            </w:r>
            <w:r>
              <w:rPr>
                <w:noProof/>
                <w:lang w:val="en-GB" w:eastAsia="en-US"/>
              </w:rPr>
              <w:t>000 large firms and 11</w:t>
            </w:r>
            <w:r>
              <w:rPr>
                <w:rFonts w:ascii="Calibri" w:hAnsi="Calibri" w:cs="Calibri"/>
                <w:noProof/>
                <w:lang w:val="en-GB" w:eastAsia="en-US"/>
              </w:rPr>
              <w:t> </w:t>
            </w:r>
            <w:r>
              <w:rPr>
                <w:noProof/>
                <w:lang w:val="en-GB" w:eastAsia="en-US"/>
              </w:rPr>
              <w:t>000 research organisati</w:t>
            </w:r>
            <w:r>
              <w:rPr>
                <w:noProof/>
                <w:lang w:val="en-GB" w:eastAsia="en-US"/>
              </w:rPr>
              <w:t>ons or technology centres.</w:t>
            </w:r>
          </w:p>
        </w:tc>
      </w:tr>
    </w:tbl>
    <w:p w:rsidR="0060634A" w:rsidRDefault="00F76D44">
      <w:pPr>
        <w:pStyle w:val="PPOBlackBULLETS-L1"/>
        <w:spacing w:before="160"/>
        <w:rPr>
          <w:noProof/>
        </w:rPr>
      </w:pPr>
      <w:r>
        <w:rPr>
          <w:b/>
          <w:noProof/>
          <w:color w:val="005D95"/>
          <w:spacing w:val="1"/>
          <w:lang w:val="fr-BE" w:eastAsia="fr-BE"/>
        </w:rPr>
        <mc:AlternateContent>
          <mc:Choice Requires="wpg">
            <w:drawing>
              <wp:anchor distT="144145" distB="0" distL="114300" distR="114300" simplePos="0" relativeHeight="251585536" behindDoc="0" locked="0" layoutInCell="1" allowOverlap="1">
                <wp:simplePos x="0" y="0"/>
                <wp:positionH relativeFrom="column">
                  <wp:posOffset>0</wp:posOffset>
                </wp:positionH>
                <wp:positionV relativeFrom="margin">
                  <wp:align>bottom</wp:align>
                </wp:positionV>
                <wp:extent cx="6840000" cy="306000"/>
                <wp:effectExtent l="0" t="0" r="0" b="0"/>
                <wp:wrapSquare wrapText="bothSides"/>
                <wp:docPr id="275" name="Group 275"/>
                <wp:cNvGraphicFramePr/>
                <a:graphic xmlns:a="http://schemas.openxmlformats.org/drawingml/2006/main">
                  <a:graphicData uri="http://schemas.microsoft.com/office/word/2010/wordprocessingGroup">
                    <wpg:wgp>
                      <wpg:cNvGrpSpPr/>
                      <wpg:grpSpPr>
                        <a:xfrm>
                          <a:off x="0" y="0"/>
                          <a:ext cx="6840000" cy="306000"/>
                          <a:chOff x="0" y="0"/>
                          <a:chExt cx="8122500" cy="305941"/>
                        </a:xfrm>
                      </wpg:grpSpPr>
                      <wps:wsp>
                        <wps:cNvPr id="297" name="Text Box 297"/>
                        <wps:cNvSpPr txBox="1"/>
                        <wps:spPr>
                          <a:xfrm>
                            <a:off x="0" y="54320"/>
                            <a:ext cx="8122500" cy="251621"/>
                          </a:xfrm>
                          <a:prstGeom prst="rect">
                            <a:avLst/>
                          </a:prstGeom>
                          <a:noFill/>
                          <a:ln w="6350">
                            <a:noFill/>
                          </a:ln>
                        </wps:spPr>
                        <wps:txbx>
                          <w:txbxContent>
                            <w:p w:rsidR="0060634A" w:rsidRDefault="00F76D44">
                              <w:pPr>
                                <w:pStyle w:val="FootnoteText"/>
                                <w:rPr>
                                  <w:lang w:val="en-IE"/>
                                </w:rPr>
                              </w:pPr>
                              <w:r>
                                <w:rPr>
                                  <w:rStyle w:val="fnRef"/>
                                </w:rPr>
                                <w:t>(</w:t>
                              </w:r>
                              <w:r>
                                <w:rPr>
                                  <w:rStyle w:val="fnRefNo"/>
                                </w:rPr>
                                <w:t>90</w:t>
                              </w:r>
                              <w:r>
                                <w:rPr>
                                  <w:rStyle w:val="fnRef"/>
                                </w:rPr>
                                <w:t>)</w:t>
                              </w:r>
                              <w:r>
                                <w:rPr>
                                  <w:rStyle w:val="fnRef"/>
                                </w:rPr>
                                <w:tab/>
                              </w:r>
                              <w:r>
                                <w:t>This designation is without prejudice to positions on status, and is in line with UNSCR 1244/1999 and the ICJ Opinion on the Kosovo declaration of independence.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298" name="Straight Connector 298"/>
                        <wps:cNvCnPr/>
                        <wps:spPr>
                          <a:xfrm>
                            <a:off x="0" y="0"/>
                            <a:ext cx="183197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75" o:spid="_x0000_s1104" style="position:absolute;left:0;text-align:left;margin-left:0;margin-top:0;width:538.6pt;height:24.1pt;z-index:251585536;mso-wrap-distance-top:11.35pt;mso-position-vertical:bottom;mso-position-vertical-relative:margin;mso-width-relative:margin;mso-height-relative:margin" coordsize="81225,3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">
                <v:shape id="Text Box 297" o:spid="_x0000_s1105" type="#_x0000_t202" style="position:absolute;top:543;width:81225;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" filled="f" stroked="f" strokeweight=".5pt">
                  <v:textbox inset="0,0,0,0">
                    <w:txbxContent>
                      <w:p w:rsidR="0060634A" w:rsidRDefault="00F76D44">
                        <w:pPr>
                          <w:pStyle w:val="FootnoteText"/>
                          <w:rPr>
                            <w:lang w:val="en-IE"/>
                          </w:rPr>
                        </w:pPr>
                        <w:r>
                          <w:rPr>
                            <w:rStyle w:val="fnRef"/>
                          </w:rPr>
                          <w:t>(</w:t>
                        </w:r>
                        <w:r>
                          <w:rPr>
                            <w:rStyle w:val="fnRefNo"/>
                          </w:rPr>
                          <w:t>90</w:t>
                        </w:r>
                        <w:r>
                          <w:rPr>
                            <w:rStyle w:val="fnRef"/>
                          </w:rPr>
                          <w:t>)</w:t>
                        </w:r>
                        <w:r>
                          <w:rPr>
                            <w:rStyle w:val="fnRef"/>
                          </w:rPr>
                          <w:tab/>
                        </w:r>
                        <w:r>
                          <w:t>This designation is without prejudice to positions on status, and is in line with UNSCR 1244/1999 and the ICJ Opinion on the Kosovo declaration of independence.</w:t>
                        </w:r>
                      </w:p>
                    </w:txbxContent>
                  </v:textbox>
                </v:shape>
                <v:line id="Straight Connector 298" o:spid="_x0000_s1106" style="position:absolute;visibility:visible;mso-wrap-style:square" from="0,0" to="18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" strokecolor="black [3213]" strokeweight=".25pt">
                  <v:stroke joinstyle="miter"/>
                </v:line>
                <w10:wrap type="square" anchory="margin"/>
              </v:group>
            </w:pict>
          </mc:Fallback>
        </mc:AlternateContent>
      </w:r>
      <w:r>
        <w:rPr>
          <w:noProof/>
        </w:rPr>
        <w:t xml:space="preserve">The Enterprise Europe Network’s services range from </w:t>
      </w:r>
      <w:r>
        <w:rPr>
          <w:noProof/>
        </w:rPr>
        <w:t>information on EU matters, company visits and awareness-raising campaigns to specialist advisory services, company missions, and matchmaking and technology brokerage events. Some 3</w:t>
      </w:r>
      <w:r>
        <w:rPr>
          <w:rFonts w:ascii="Calibri" w:hAnsi="Calibri" w:cs="Calibri"/>
          <w:noProof/>
        </w:rPr>
        <w:t> </w:t>
      </w:r>
      <w:r>
        <w:rPr>
          <w:noProof/>
        </w:rPr>
        <w:t>000 network staff have been active at local events, providing advisory serv</w:t>
      </w:r>
      <w:r>
        <w:rPr>
          <w:noProof/>
        </w:rPr>
        <w:t>ices to 70</w:t>
      </w:r>
      <w:r>
        <w:rPr>
          <w:rFonts w:ascii="Calibri" w:hAnsi="Calibri" w:cs="Calibri"/>
          <w:noProof/>
        </w:rPr>
        <w:t> </w:t>
      </w:r>
      <w:r>
        <w:rPr>
          <w:noProof/>
        </w:rPr>
        <w:t>000 SMEs on access to finance, intellectual property rights, business and technology, resource-efficiency services, individual partnering support, etc., and around 80</w:t>
      </w:r>
      <w:r>
        <w:rPr>
          <w:rFonts w:ascii="Calibri" w:hAnsi="Calibri" w:cs="Calibri"/>
          <w:noProof/>
        </w:rPr>
        <w:t> </w:t>
      </w:r>
      <w:r>
        <w:rPr>
          <w:noProof/>
        </w:rPr>
        <w:t xml:space="preserve">000 meetings between SMEs were organised at matchmaking events. The network’s </w:t>
      </w:r>
      <w:r>
        <w:rPr>
          <w:noProof/>
        </w:rPr>
        <w:t>scale-up advisors are now active in all consortia, helping scale-ups develop their business outside their home country. The most requested services are business partnering, access to finance and investor relationship building.</w:t>
      </w:r>
    </w:p>
    <w:p w:rsidR="0060634A" w:rsidRDefault="00F76D44">
      <w:pPr>
        <w:pStyle w:val="PPOBlackBULLETS-L1"/>
        <w:rPr>
          <w:noProof/>
        </w:rPr>
      </w:pPr>
      <w:r>
        <w:rPr>
          <w:noProof/>
        </w:rPr>
        <w:t>COSME funded capacity buildin</w:t>
      </w:r>
      <w:r>
        <w:rPr>
          <w:noProof/>
        </w:rPr>
        <w:t xml:space="preserve">g amongst SMEs in the tourism sector (e.g. by increasing their ability to adapt to more sustainable business models, or to come up with more sustainable products). Exchanges of best practice also encouraged the EU’s tourism industry to adapt to challenges </w:t>
      </w:r>
      <w:r>
        <w:rPr>
          <w:noProof/>
        </w:rPr>
        <w:t>and emerging global trends. In particular, six cross-border and cross-sectoral cooperation and capacity-building schemes will now work with SMEs on innovative solutions for sustainable tourism and foster the capacities and skills of companies (more than 30</w:t>
      </w:r>
      <w:r>
        <w:rPr>
          <w:noProof/>
        </w:rPr>
        <w:t>0 SMEs) to improve their sustainable management practices and increase standards.</w:t>
      </w:r>
    </w:p>
    <w:p w:rsidR="0060634A" w:rsidRDefault="00F76D44">
      <w:pPr>
        <w:pStyle w:val="PPOBlackBULLETS-L1"/>
        <w:rPr>
          <w:noProof/>
        </w:rPr>
      </w:pPr>
      <w:r>
        <w:rPr>
          <w:noProof/>
        </w:rPr>
        <w:t>By the end of 2019 approximately 8</w:t>
      </w:r>
      <w:r>
        <w:rPr>
          <w:rFonts w:ascii="Calibri" w:hAnsi="Calibri" w:cs="Calibri"/>
          <w:noProof/>
        </w:rPr>
        <w:t> </w:t>
      </w:r>
      <w:r>
        <w:rPr>
          <w:noProof/>
        </w:rPr>
        <w:t xml:space="preserve">300 exchanges had taken place under the Erasmus for young entrepreneurs mobility scheme. New entrepreneurs who participated in the </w:t>
      </w:r>
      <w:r>
        <w:rPr>
          <w:noProof/>
        </w:rPr>
        <w:t>programme between 2014 and 2016 have created 251 new companies so far, and over 1</w:t>
      </w:r>
      <w:r>
        <w:rPr>
          <w:rFonts w:ascii="Calibri" w:hAnsi="Calibri" w:cs="Calibri"/>
          <w:noProof/>
        </w:rPr>
        <w:t> </w:t>
      </w:r>
      <w:r>
        <w:rPr>
          <w:noProof/>
        </w:rPr>
        <w:t>000 new jobs. Host entrepreneurs also confirmed the positive effects: along with over 1</w:t>
      </w:r>
      <w:r>
        <w:rPr>
          <w:rFonts w:ascii="Calibri" w:hAnsi="Calibri" w:cs="Calibri"/>
          <w:noProof/>
        </w:rPr>
        <w:t> </w:t>
      </w:r>
      <w:r>
        <w:rPr>
          <w:noProof/>
        </w:rPr>
        <w:t xml:space="preserve">100 new jobs having been created on their side, 58% of experienced entrepreneurs have </w:t>
      </w:r>
      <w:r>
        <w:rPr>
          <w:noProof/>
        </w:rPr>
        <w:t>seen an increase in turnover and 41% have seen an increase in employment.</w:t>
      </w:r>
    </w:p>
    <w:p w:rsidR="0060634A" w:rsidRDefault="0060634A">
      <w:pPr>
        <w:pStyle w:val="PPObodyText"/>
        <w:rPr>
          <w:noProof/>
        </w:rPr>
        <w:sectPr w:rsidR="0060634A">
          <w:headerReference w:type="even" r:id="rId267"/>
          <w:headerReference w:type="default" r:id="rId268"/>
          <w:footerReference w:type="even" r:id="rId269"/>
          <w:footerReference w:type="default" r:id="rId270"/>
          <w:headerReference w:type="first" r:id="rId271"/>
          <w:footerReference w:type="first" r:id="rId272"/>
          <w:pgSz w:w="11906" w:h="16838" w:code="9"/>
          <w:pgMar w:top="567" w:right="567" w:bottom="567" w:left="567" w:header="567" w:footer="454" w:gutter="0"/>
          <w:paperSrc w:first="15" w:other="15"/>
          <w:cols w:space="720"/>
          <w:docGrid w:linePitch="360"/>
        </w:sectPr>
      </w:pPr>
    </w:p>
    <w:p w:rsidR="0060634A" w:rsidRDefault="00F76D44">
      <w:pPr>
        <w:pStyle w:val="PPO1AsidebarTitleBlue"/>
        <w:rPr>
          <w:rFonts w:eastAsiaTheme="minorEastAsia"/>
        </w:rPr>
      </w:pPr>
      <w:r>
        <w:rPr>
          <w:rFonts w:eastAsiaTheme="minorEastAsia"/>
          <w:lang w:val="fr-BE" w:eastAsia="fr-BE"/>
        </w:rPr>
        <mc:AlternateContent>
          <mc:Choice Requires="wps">
            <w:drawing>
              <wp:anchor distT="0" distB="0" distL="0" distR="0" simplePos="0" relativeHeight="251577344" behindDoc="0" locked="1" layoutInCell="1" allowOverlap="1">
                <wp:simplePos x="0" y="0"/>
                <wp:positionH relativeFrom="page">
                  <wp:posOffset>361950</wp:posOffset>
                </wp:positionH>
                <wp:positionV relativeFrom="page">
                  <wp:posOffset>592455</wp:posOffset>
                </wp:positionV>
                <wp:extent cx="1457960" cy="1371600"/>
                <wp:effectExtent l="0" t="0" r="85090" b="0"/>
                <wp:wrapTopAndBottom/>
                <wp:docPr id="442" name="Text Box 442"/>
                <wp:cNvGraphicFramePr/>
                <a:graphic xmlns:a="http://schemas.openxmlformats.org/drawingml/2006/main">
                  <a:graphicData uri="http://schemas.microsoft.com/office/word/2010/wordprocessingShape">
                    <wps:wsp>
                      <wps:cNvSpPr txBox="1"/>
                      <wps:spPr>
                        <a:xfrm>
                          <a:off x="0" y="0"/>
                          <a:ext cx="1457960" cy="1371600"/>
                        </a:xfrm>
                        <a:prstGeom prst="wedgeRectCallout">
                          <a:avLst>
                            <a:gd name="adj1" fmla="val 54107"/>
                            <a:gd name="adj2" fmla="val -21878"/>
                          </a:avLst>
                        </a:prstGeom>
                        <a:solidFill>
                          <a:srgbClr val="28296E"/>
                        </a:solidFill>
                        <a:ln w="6350">
                          <a:noFill/>
                        </a:ln>
                      </wps:spPr>
                      <wps:txbx>
                        <w:txbxContent>
                          <w:p w:rsidR="0060634A" w:rsidRDefault="00F76D44">
                            <w:pPr>
                              <w:pStyle w:val="PPOsidebarLegalBasisBOXHeading"/>
                              <w:rPr>
                                <w:rFonts w:eastAsiaTheme="minorEastAsia"/>
                              </w:rPr>
                            </w:pPr>
                            <w:r>
                              <w:rPr>
                                <w:rFonts w:eastAsiaTheme="minorEastAsia"/>
                              </w:rPr>
                              <w:t>LEGAL BASIS</w:t>
                            </w:r>
                          </w:p>
                          <w:p w:rsidR="0060634A" w:rsidRDefault="00F76D44">
                            <w:pPr>
                              <w:pStyle w:val="PPOsidebarLegalBasisBOXtext"/>
                              <w:rPr>
                                <w:rFonts w:eastAsiaTheme="minorEastAsia"/>
                              </w:rPr>
                            </w:pPr>
                            <w:r>
                              <w:rPr>
                                <w:rFonts w:eastAsiaTheme="minorEastAsia"/>
                              </w:rPr>
                              <w:t xml:space="preserve">Regulation (EU) No 1288/2013 of the European Parliament and of the Council as amended by Regulation (EU) 2018/1475 and repealing Decisions No 1719/2006/EC, No 1720/2006/EC and No 1298/2008/EC </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2" o:spid="_x0000_s1107" type="#_x0000_t61" style="position:absolute;left:0;text-align:left;margin-left:28.5pt;margin-top:46.65pt;width:114.8pt;height:108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" adj="22487,6074" fillcolor="#28296e" stroked="f" strokeweight=".5pt">
                <v:textbox inset="2.5mm,1.3mm,2.5mm,1.3mm">
                  <w:txbxContent>
                    <w:p w:rsidR="0060634A" w:rsidRDefault="00F76D44">
                      <w:pPr>
                        <w:pStyle w:val="PPOsidebarLegalBasisBOXHeading"/>
                        <w:rPr>
                          <w:rFonts w:eastAsiaTheme="minorEastAsia"/>
                        </w:rPr>
                      </w:pPr>
                      <w:r>
                        <w:rPr>
                          <w:rFonts w:eastAsiaTheme="minorEastAsia"/>
                        </w:rPr>
                        <w:t>LEGAL BASIS</w:t>
                      </w:r>
                    </w:p>
                    <w:p w:rsidR="0060634A" w:rsidRDefault="00F76D44">
                      <w:pPr>
                        <w:pStyle w:val="PPOsidebarLegalBasisBOXtext"/>
                        <w:rPr>
                          <w:rFonts w:eastAsiaTheme="minorEastAsia"/>
                        </w:rPr>
                      </w:pPr>
                      <w:r>
                        <w:rPr>
                          <w:rFonts w:eastAsiaTheme="minorEastAsia"/>
                        </w:rPr>
                        <w:t xml:space="preserve">Regulation (EU) No 1288/2013 of the European Parliament and of the Council as amended by Regulation (EU) 2018/1475 and repealing Decisions No 1719/2006/EC, No 1720/2006/EC and No 1298/2008/EC </w:t>
                      </w:r>
                    </w:p>
                  </w:txbxContent>
                </v:textbox>
                <w10:wrap type="topAndBottom" anchorx="page" anchory="page"/>
                <w10:anchorlock/>
              </v:shape>
            </w:pict>
          </mc:Fallback>
        </mc:AlternateContent>
      </w:r>
      <w:r>
        <w:rPr>
          <w:rFonts w:eastAsiaTheme="minorEastAsia"/>
        </w:rPr>
        <w:t>MORE INFORMAT</w:t>
      </w:r>
      <w:r>
        <w:rPr>
          <w:rFonts w:eastAsiaTheme="minorEastAsia"/>
        </w:rPr>
        <w:t>ION</w:t>
      </w:r>
    </w:p>
    <w:p w:rsidR="0060634A" w:rsidRDefault="00F76D44">
      <w:pPr>
        <w:pStyle w:val="PPOsidebartext"/>
        <w:rPr>
          <w:rStyle w:val="PPOChar-Hyperlink"/>
          <w:rFonts w:eastAsiaTheme="minorEastAsia"/>
        </w:rPr>
      </w:pPr>
      <w:hyperlink r:id="rId273" w:history="1">
        <w:r>
          <w:rPr>
            <w:rStyle w:val="PPOChar-Hyperlink"/>
            <w:rFonts w:eastAsiaTheme="minorEastAsia"/>
          </w:rPr>
          <w:t>http://europa.eu/!tU79tW</w:t>
        </w:r>
      </w:hyperlink>
    </w:p>
    <w:p w:rsidR="0060634A" w:rsidRDefault="00F76D44">
      <w:pPr>
        <w:pStyle w:val="PPO1AsidebarTitleBlue"/>
        <w:rPr>
          <w:rFonts w:eastAsiaTheme="minorEastAsia"/>
        </w:rPr>
      </w:pPr>
      <w:r>
        <w:rPr>
          <w:rFonts w:eastAsiaTheme="minorEastAsia"/>
        </w:rPr>
        <w:t>FINANCIAL PROGRAMMING</w:t>
      </w:r>
    </w:p>
    <w:p w:rsidR="0060634A" w:rsidRDefault="00F76D44">
      <w:pPr>
        <w:pStyle w:val="PPO1AsidebarTablecaption"/>
      </w:pPr>
      <w:r>
        <w:t xml:space="preserve"> (million EUR)</w:t>
      </w:r>
    </w:p>
    <w:tbl>
      <w:tblPr>
        <w:tblOverlap w:val="never"/>
        <w:tblW w:w="2296" w:type="dxa"/>
        <w:jc w:val="right"/>
        <w:tblLayout w:type="fixed"/>
        <w:tblCellMar>
          <w:top w:w="28" w:type="dxa"/>
          <w:left w:w="28" w:type="dxa"/>
          <w:bottom w:w="28" w:type="dxa"/>
          <w:right w:w="28" w:type="dxa"/>
        </w:tblCellMar>
        <w:tblLook w:val="0000" w:firstRow="0" w:lastRow="0" w:firstColumn="0" w:lastColumn="0" w:noHBand="0" w:noVBand="0"/>
      </w:tblPr>
      <w:tblGrid>
        <w:gridCol w:w="1134"/>
        <w:gridCol w:w="1162"/>
      </w:tblGrid>
      <w:tr w:rsidR="0060634A">
        <w:trPr>
          <w:trHeight w:hRule="exact" w:val="229"/>
          <w:jc w:val="right"/>
        </w:trPr>
        <w:tc>
          <w:tcPr>
            <w:tcW w:w="1134" w:type="dxa"/>
            <w:tcBorders>
              <w:bottom w:val="single" w:sz="6" w:space="0" w:color="FFFFFF" w:themeColor="background1"/>
            </w:tcBorders>
            <w:shd w:val="clear" w:color="auto" w:fill="DCE6F2"/>
            <w:vAlign w:val="center"/>
          </w:tcPr>
          <w:p w:rsidR="0060634A" w:rsidRDefault="00F76D44">
            <w:pPr>
              <w:pStyle w:val="PPOsidebarTabletext"/>
              <w:rPr>
                <w:b/>
              </w:rPr>
            </w:pPr>
            <w:r>
              <w:t>2014</w:t>
            </w:r>
          </w:p>
        </w:tc>
        <w:tc>
          <w:tcPr>
            <w:tcW w:w="1162" w:type="dxa"/>
            <w:shd w:val="clear" w:color="auto" w:fill="FFFFFF"/>
            <w:vAlign w:val="center"/>
          </w:tcPr>
          <w:p w:rsidR="0060634A" w:rsidRDefault="00F76D44">
            <w:pPr>
              <w:pStyle w:val="PPOsidebarTabletext"/>
              <w:rPr>
                <w:b/>
              </w:rPr>
            </w:pPr>
            <w:r>
              <w:t>1 558.8</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2015</w:t>
            </w:r>
          </w:p>
        </w:tc>
        <w:tc>
          <w:tcPr>
            <w:tcW w:w="1162" w:type="dxa"/>
            <w:tcBorders>
              <w:top w:val="single" w:sz="4" w:space="0" w:color="auto"/>
            </w:tcBorders>
            <w:shd w:val="clear" w:color="auto" w:fill="FFFFFF"/>
            <w:vAlign w:val="center"/>
          </w:tcPr>
          <w:p w:rsidR="0060634A" w:rsidRDefault="00F76D44">
            <w:pPr>
              <w:pStyle w:val="PPOsidebarTabletext"/>
              <w:rPr>
                <w:b/>
              </w:rPr>
            </w:pPr>
            <w:r>
              <w:t>1 608.1</w:t>
            </w:r>
          </w:p>
        </w:tc>
      </w:tr>
      <w:tr w:rsidR="0060634A">
        <w:trPr>
          <w:trHeight w:hRule="exact" w:val="229"/>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2016</w:t>
            </w:r>
          </w:p>
        </w:tc>
        <w:tc>
          <w:tcPr>
            <w:tcW w:w="1162" w:type="dxa"/>
            <w:tcBorders>
              <w:top w:val="single" w:sz="4" w:space="0" w:color="auto"/>
            </w:tcBorders>
            <w:shd w:val="clear" w:color="auto" w:fill="FFFFFF"/>
            <w:vAlign w:val="center"/>
          </w:tcPr>
          <w:p w:rsidR="0060634A" w:rsidRDefault="00F76D44">
            <w:pPr>
              <w:pStyle w:val="PPOsidebarTabletext"/>
              <w:rPr>
                <w:b/>
              </w:rPr>
            </w:pPr>
            <w:r>
              <w:t>1 734.7</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2017</w:t>
            </w:r>
          </w:p>
        </w:tc>
        <w:tc>
          <w:tcPr>
            <w:tcW w:w="1162" w:type="dxa"/>
            <w:tcBorders>
              <w:top w:val="single" w:sz="4" w:space="0" w:color="auto"/>
            </w:tcBorders>
            <w:shd w:val="clear" w:color="auto" w:fill="FFFFFF"/>
            <w:vAlign w:val="center"/>
          </w:tcPr>
          <w:p w:rsidR="0060634A" w:rsidRDefault="00F76D44">
            <w:pPr>
              <w:pStyle w:val="PPOsidebarTabletext"/>
              <w:rPr>
                <w:b/>
              </w:rPr>
            </w:pPr>
            <w:r>
              <w:t>2 070.2</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2018</w:t>
            </w:r>
          </w:p>
        </w:tc>
        <w:tc>
          <w:tcPr>
            <w:tcW w:w="1162" w:type="dxa"/>
            <w:tcBorders>
              <w:top w:val="single" w:sz="4" w:space="0" w:color="auto"/>
            </w:tcBorders>
            <w:shd w:val="clear" w:color="auto" w:fill="FFFFFF"/>
            <w:vAlign w:val="center"/>
          </w:tcPr>
          <w:p w:rsidR="0060634A" w:rsidRDefault="00F76D44">
            <w:pPr>
              <w:pStyle w:val="PPOsidebarTabletext"/>
              <w:rPr>
                <w:b/>
              </w:rPr>
            </w:pPr>
            <w:r>
              <w:t>2 314.5</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2019</w:t>
            </w:r>
          </w:p>
        </w:tc>
        <w:tc>
          <w:tcPr>
            <w:tcW w:w="1162" w:type="dxa"/>
            <w:tcBorders>
              <w:top w:val="single" w:sz="4" w:space="0" w:color="auto"/>
            </w:tcBorders>
            <w:shd w:val="clear" w:color="auto" w:fill="FFFFFF"/>
            <w:vAlign w:val="center"/>
          </w:tcPr>
          <w:p w:rsidR="0060634A" w:rsidRDefault="00F76D44">
            <w:pPr>
              <w:pStyle w:val="PPOsidebarTabletext"/>
              <w:rPr>
                <w:b/>
              </w:rPr>
            </w:pPr>
            <w:r>
              <w:t>2 786.4</w:t>
            </w:r>
          </w:p>
        </w:tc>
      </w:tr>
      <w:tr w:rsidR="0060634A">
        <w:trPr>
          <w:trHeight w:hRule="exact" w:val="225"/>
          <w:jc w:val="right"/>
        </w:trPr>
        <w:tc>
          <w:tcPr>
            <w:tcW w:w="1134" w:type="dxa"/>
            <w:tcBorders>
              <w:top w:val="single" w:sz="6" w:space="0" w:color="FFFFFF" w:themeColor="background1"/>
            </w:tcBorders>
            <w:shd w:val="clear" w:color="auto" w:fill="DCE6F2"/>
            <w:vAlign w:val="center"/>
          </w:tcPr>
          <w:p w:rsidR="0060634A" w:rsidRDefault="00F76D44">
            <w:pPr>
              <w:pStyle w:val="PPOsidebarTabletext"/>
              <w:rPr>
                <w:b/>
              </w:rPr>
            </w:pPr>
            <w:r>
              <w:t>2020</w:t>
            </w:r>
          </w:p>
        </w:tc>
        <w:tc>
          <w:tcPr>
            <w:tcW w:w="1162" w:type="dxa"/>
            <w:tcBorders>
              <w:top w:val="single" w:sz="4" w:space="0" w:color="auto"/>
            </w:tcBorders>
            <w:shd w:val="clear" w:color="auto" w:fill="FFFFFF"/>
            <w:vAlign w:val="center"/>
          </w:tcPr>
          <w:p w:rsidR="0060634A" w:rsidRDefault="00F76D44">
            <w:pPr>
              <w:pStyle w:val="PPOsidebarTabletext"/>
              <w:rPr>
                <w:b/>
              </w:rPr>
            </w:pPr>
            <w:r>
              <w:t>2 885.4</w:t>
            </w:r>
          </w:p>
        </w:tc>
      </w:tr>
      <w:tr w:rsidR="0060634A">
        <w:trPr>
          <w:trHeight w:hRule="exact" w:val="258"/>
          <w:jc w:val="right"/>
        </w:trPr>
        <w:tc>
          <w:tcPr>
            <w:tcW w:w="1134" w:type="dxa"/>
            <w:shd w:val="clear" w:color="auto" w:fill="00ADDC"/>
            <w:vAlign w:val="center"/>
          </w:tcPr>
          <w:p w:rsidR="0060634A" w:rsidRDefault="00F76D44">
            <w:pPr>
              <w:pStyle w:val="PPOsidebarTabletext"/>
            </w:pPr>
            <w:r>
              <w:t>Total</w:t>
            </w:r>
          </w:p>
        </w:tc>
        <w:tc>
          <w:tcPr>
            <w:tcW w:w="1162" w:type="dxa"/>
            <w:tcBorders>
              <w:top w:val="single" w:sz="4" w:space="0" w:color="auto"/>
            </w:tcBorders>
            <w:shd w:val="clear" w:color="auto" w:fill="FFFFFF"/>
            <w:vAlign w:val="center"/>
          </w:tcPr>
          <w:p w:rsidR="0060634A" w:rsidRDefault="00F76D44">
            <w:pPr>
              <w:pStyle w:val="PPOsidebarTabletext"/>
              <w:rPr>
                <w:b/>
              </w:rPr>
            </w:pPr>
            <w:r>
              <w:t>14 958.1</w:t>
            </w:r>
          </w:p>
        </w:tc>
      </w:tr>
    </w:tbl>
    <w:p w:rsidR="0060634A" w:rsidRDefault="00F76D44">
      <w:pPr>
        <w:pStyle w:val="PPO1AsidebarTitleBlue"/>
        <w:rPr>
          <w:rFonts w:eastAsiaTheme="minorEastAsia"/>
        </w:rPr>
      </w:pPr>
      <w:r>
        <w:rPr>
          <w:rFonts w:eastAsiaTheme="minorEastAsia"/>
          <w:lang w:val="fr-BE" w:eastAsia="fr-BE"/>
        </w:rPr>
        <mc:AlternateContent>
          <mc:Choice Requires="wpg">
            <w:drawing>
              <wp:anchor distT="0" distB="0" distL="114300" distR="114300" simplePos="0" relativeHeight="251660288" behindDoc="1" locked="1" layoutInCell="1" allowOverlap="1">
                <wp:simplePos x="0" y="0"/>
                <wp:positionH relativeFrom="column">
                  <wp:posOffset>-264795</wp:posOffset>
                </wp:positionH>
                <wp:positionV relativeFrom="paragraph">
                  <wp:posOffset>525145</wp:posOffset>
                </wp:positionV>
                <wp:extent cx="1871980" cy="1454150"/>
                <wp:effectExtent l="0" t="0" r="0" b="0"/>
                <wp:wrapSquare wrapText="bothSides"/>
                <wp:docPr id="443" name="Group 443"/>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444" name="Chart 444"/>
                        <wpg:cNvFrPr/>
                        <wpg:xfrm>
                          <a:off x="461310" y="264194"/>
                          <a:ext cx="2492055" cy="1453317"/>
                        </wpg:xfrm>
                        <a:graphic>
                          <a:graphicData uri="http://schemas.openxmlformats.org/drawingml/2006/chart">
                            <c:chart xmlns:c="http://schemas.openxmlformats.org/drawingml/2006/chart" xmlns:r="http://schemas.openxmlformats.org/officeDocument/2006/relationships" r:id="rId274"/>
                          </a:graphicData>
                        </a:graphic>
                      </wpg:graphicFrame>
                      <wps:wsp>
                        <wps:cNvPr id="445" name="Text Box 2"/>
                        <wps:cNvSpPr txBox="1">
                          <a:spLocks noChangeArrowheads="1"/>
                        </wps:cNvSpPr>
                        <wps:spPr bwMode="auto">
                          <a:xfrm>
                            <a:off x="1217200" y="727061"/>
                            <a:ext cx="1476646" cy="600139"/>
                          </a:xfrm>
                          <a:prstGeom prst="rect">
                            <a:avLst/>
                          </a:prstGeom>
                          <a:noFill/>
                          <a:ln w="9525">
                            <a:noFill/>
                            <a:miter lim="800000"/>
                            <a:headEnd/>
                            <a:tailEnd/>
                          </a:ln>
                        </wps:spPr>
                        <wps:txbx>
                          <w:txbxContent>
                            <w:p w:rsidR="0060634A" w:rsidRDefault="00F76D44">
                              <w:pPr>
                                <w:pStyle w:val="PPO1AsidebarchartCenterText"/>
                                <w:rPr>
                                  <w:rFonts w:eastAsiaTheme="minorEastAsia"/>
                                </w:rPr>
                              </w:pPr>
                              <w:r>
                                <w:rPr>
                                  <w:rFonts w:eastAsiaTheme="minorEastAsia"/>
                                </w:rPr>
                                <w:t>EUR</w:t>
                              </w:r>
                              <w:r>
                                <w:rPr>
                                  <w:rFonts w:eastAsiaTheme="minorEastAsia"/>
                                  <w:b/>
                                </w:rPr>
                                <w:t xml:space="preserve"> </w:t>
                              </w:r>
                              <w:r>
                                <w:rPr>
                                  <w:rFonts w:eastAsiaTheme="minorEastAsia"/>
                                  <w:b/>
                                </w:rPr>
                                <w:br/>
                                <w:t>14 958.1</w:t>
                              </w:r>
                              <w:r>
                                <w:rPr>
                                  <w:rFonts w:eastAsiaTheme="minorEastAsia"/>
                                </w:rPr>
                                <w:t xml:space="preserve"> </w:t>
                              </w:r>
                              <w:r>
                                <w:rPr>
                                  <w:rFonts w:eastAsiaTheme="minorEastAsia"/>
                                </w:rPr>
                                <w:br/>
                                <w:t>million</w:t>
                              </w:r>
                            </w:p>
                          </w:txbxContent>
                        </wps:txbx>
                        <wps:bodyPr rot="0" vert="horz" wrap="square" lIns="91440" tIns="45720" rIns="91440" bIns="45720" anchor="t" anchorCtr="0">
                          <a:noAutofit/>
                        </wps:bodyPr>
                      </wps:wsp>
                      <wps:wsp>
                        <wps:cNvPr id="446" name="Text Box 2"/>
                        <wps:cNvSpPr txBox="1">
                          <a:spLocks noChangeArrowheads="1"/>
                        </wps:cNvSpPr>
                        <wps:spPr bwMode="auto">
                          <a:xfrm>
                            <a:off x="993452" y="780416"/>
                            <a:ext cx="700344" cy="229870"/>
                          </a:xfrm>
                          <a:prstGeom prst="rect">
                            <a:avLst/>
                          </a:prstGeom>
                          <a:noFill/>
                          <a:ln w="9525">
                            <a:noFill/>
                            <a:miter lim="800000"/>
                            <a:headEnd/>
                            <a:tailEnd/>
                          </a:ln>
                        </wps:spPr>
                        <wps:txbx>
                          <w:txbxContent>
                            <w:p w:rsidR="0060634A" w:rsidRDefault="00F76D44">
                              <w:pPr>
                                <w:spacing w:after="120"/>
                                <w:jc w:val="center"/>
                                <w:rPr>
                                  <w:color w:val="00ADDC"/>
                                  <w:lang w:val="fr-BE"/>
                                </w:rPr>
                              </w:pPr>
                              <w:r>
                                <w:rPr>
                                  <w:b/>
                                  <w:color w:val="00ADDC"/>
                                  <w:lang w:val="fr-BE"/>
                                </w:rPr>
                                <w:t>75%%</w:t>
                              </w:r>
                            </w:p>
                          </w:txbxContent>
                        </wps:txbx>
                        <wps:bodyPr rot="0" vert="horz" wrap="square" lIns="91440" tIns="45720" rIns="91440" bIns="45720" anchor="t" anchorCtr="0">
                          <a:noAutofit/>
                        </wps:bodyPr>
                      </wps:wsp>
                      <wps:wsp>
                        <wps:cNvPr id="447" name="Text Box 2"/>
                        <wps:cNvSpPr txBox="1">
                          <a:spLocks noChangeArrowheads="1"/>
                        </wps:cNvSpPr>
                        <wps:spPr bwMode="auto">
                          <a:xfrm>
                            <a:off x="799637" y="514351"/>
                            <a:ext cx="741153" cy="266065"/>
                          </a:xfrm>
                          <a:prstGeom prst="rect">
                            <a:avLst/>
                          </a:prstGeom>
                          <a:noFill/>
                          <a:ln w="9525">
                            <a:noFill/>
                            <a:miter lim="800000"/>
                            <a:headEnd/>
                            <a:tailEnd/>
                          </a:ln>
                        </wps:spPr>
                        <wps:txbx>
                          <w:txbxContent>
                            <w:p w:rsidR="0060634A" w:rsidRDefault="00F76D44">
                              <w:pPr>
                                <w:spacing w:after="120"/>
                                <w:jc w:val="center"/>
                                <w:rPr>
                                  <w:color w:val="28296E"/>
                                  <w:lang w:val="fr-BE"/>
                                </w:rPr>
                              </w:pPr>
                              <w:r>
                                <w:rPr>
                                  <w:b/>
                                  <w:color w:val="28296E"/>
                                  <w:lang w:val="fr-BE"/>
                                </w:rPr>
                                <w:t>81%%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43" o:spid="_x0000_s1108" style="position:absolute;left:0;text-align:left;margin-left:-20.85pt;margin-top:41.35pt;width:147.4pt;height:114.5pt;z-index:-251656192;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KAAAAAAAAACEACOVlfrUiAAC1IgAALQAAAGRycy9lbWJlZGRpbmdz&#10;L01pY3Jvc29mdF9FeGNlbF9Xb3Jrc2hlZXQueGxzeFBLAwQUAAYACAAAACEA3SuLWGwBAAAQBQAA&#10;EwAIAltDb250ZW50X1R5cGVzXS54bWw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">
                <v:shape id="Chart 444" o:spid="_x0000_s1109"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">
                  <v:imagedata r:id="rId275" o:title=""/>
                  <o:lock v:ext="edit" aspectratio="f"/>
                </v:shape>
                <v:shape id="_x0000_s1110" type="#_x0000_t202" style="position:absolute;left:12172;top:7270;width:14766;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Y8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abqCvzPxCMj8BgAA//8DAFBLAQItABQABgAIAAAAIQDb4fbL7gAAAIUBAAATAAAAAAAAAAAA&#10;AAAAAAAAAABbQ29udGVudF9UeXBlc10ueG1sUEsBAi0AFAAGAAgAAAAhAFr0LFu/AAAAFQEAAAsA&#10;AAAAAAAAAAAAAAAAHwEAAF9yZWxzLy5yZWxzUEsBAi0AFAAGAAgAAAAhAAcjpjzEAAAA3AAAAA8A&#10;AAAAAAAAAAAAAAAABwIAAGRycy9kb3ducmV2LnhtbFBLBQYAAAAAAwADALcAAAD4AgAAAAA=&#10;" filled="f" stroked="f">
                  <v:textbox>
                    <w:txbxContent>
                      <w:p w:rsidR="0060634A" w:rsidRDefault="00F76D44">
                        <w:pPr>
                          <w:pStyle w:val="PPO1AsidebarchartCenterText"/>
                          <w:rPr>
                            <w:rFonts w:eastAsiaTheme="minorEastAsia"/>
                          </w:rPr>
                        </w:pPr>
                        <w:r>
                          <w:rPr>
                            <w:rFonts w:eastAsiaTheme="minorEastAsia"/>
                          </w:rPr>
                          <w:t>EUR</w:t>
                        </w:r>
                        <w:r>
                          <w:rPr>
                            <w:rFonts w:eastAsiaTheme="minorEastAsia"/>
                            <w:b/>
                          </w:rPr>
                          <w:t xml:space="preserve"> </w:t>
                        </w:r>
                        <w:r>
                          <w:rPr>
                            <w:rFonts w:eastAsiaTheme="minorEastAsia"/>
                            <w:b/>
                          </w:rPr>
                          <w:br/>
                          <w:t>14 958.1</w:t>
                        </w:r>
                        <w:r>
                          <w:rPr>
                            <w:rFonts w:eastAsiaTheme="minorEastAsia"/>
                          </w:rPr>
                          <w:t xml:space="preserve"> </w:t>
                        </w:r>
                        <w:r>
                          <w:rPr>
                            <w:rFonts w:eastAsiaTheme="minorEastAsia"/>
                          </w:rPr>
                          <w:br/>
                          <w:t>million</w:t>
                        </w:r>
                      </w:p>
                    </w:txbxContent>
                  </v:textbox>
                </v:shape>
                <v:shape id="_x0000_s1111" type="#_x0000_t202" style="position:absolute;left:9934;top:7804;width:7003;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" filled="f" stroked="f">
                  <v:textbox>
                    <w:txbxContent>
                      <w:p w:rsidR="0060634A" w:rsidRDefault="00F76D44">
                        <w:pPr>
                          <w:spacing w:after="120"/>
                          <w:jc w:val="center"/>
                          <w:rPr>
                            <w:color w:val="00ADDC"/>
                            <w:lang w:val="fr-BE"/>
                          </w:rPr>
                        </w:pPr>
                        <w:r>
                          <w:rPr>
                            <w:b/>
                            <w:color w:val="00ADDC"/>
                            <w:lang w:val="fr-BE"/>
                          </w:rPr>
                          <w:t>75%%</w:t>
                        </w:r>
                      </w:p>
                    </w:txbxContent>
                  </v:textbox>
                </v:shape>
                <v:shape id="_x0000_s1112" type="#_x0000_t202" style="position:absolute;left:7996;top:5143;width:741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rsidR="0060634A" w:rsidRDefault="00F76D44">
                        <w:pPr>
                          <w:spacing w:after="120"/>
                          <w:jc w:val="center"/>
                          <w:rPr>
                            <w:color w:val="28296E"/>
                            <w:lang w:val="fr-BE"/>
                          </w:rPr>
                        </w:pPr>
                        <w:r>
                          <w:rPr>
                            <w:b/>
                            <w:color w:val="28296E"/>
                            <w:lang w:val="fr-BE"/>
                          </w:rPr>
                          <w:t>81%%</w:t>
                        </w:r>
                      </w:p>
                    </w:txbxContent>
                  </v:textbox>
                </v:shape>
                <w10:wrap type="square"/>
                <w10:anchorlock/>
              </v:group>
              <o:OLEObject Type="Embed" ProgID="Excel.Chart.8" ShapeID="Chart 444" DrawAspect="Content" ObjectID="_1654495731" r:id="rId276">
                <o:FieldCodes>\s</o:FieldCodes>
              </o:OLEObject>
            </w:pict>
          </mc:Fallback>
        </mc:AlternateContent>
      </w:r>
      <w:r>
        <w:rPr>
          <w:rFonts w:eastAsiaTheme="minorEastAsia"/>
        </w:rPr>
        <w:t xml:space="preserve">OVERALL EXECUTION </w:t>
      </w:r>
      <w:r>
        <w:rPr>
          <w:rFonts w:eastAsiaTheme="minorEastAsia"/>
        </w:rPr>
        <w:br/>
        <w:t xml:space="preserve">(2014-2019) </w:t>
      </w:r>
    </w:p>
    <w:p w:rsidR="0060634A" w:rsidRDefault="00F76D44">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741184" behindDoc="0" locked="1" layoutInCell="1" allowOverlap="1">
                <wp:simplePos x="0" y="0"/>
                <wp:positionH relativeFrom="page">
                  <wp:posOffset>2242185</wp:posOffset>
                </wp:positionH>
                <wp:positionV relativeFrom="page">
                  <wp:posOffset>4733290</wp:posOffset>
                </wp:positionV>
                <wp:extent cx="2437130" cy="2599690"/>
                <wp:effectExtent l="0" t="0" r="1270" b="0"/>
                <wp:wrapTopAndBottom/>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599690"/>
                        </a:xfrm>
                        <a:prstGeom prst="rect">
                          <a:avLst/>
                        </a:prstGeom>
                        <a:solidFill>
                          <a:srgbClr val="FFFFFF"/>
                        </a:solidFill>
                        <a:ln w="9525">
                          <a:noFill/>
                          <a:miter lim="800000"/>
                          <a:headEnd/>
                          <a:tailEnd/>
                        </a:ln>
                      </wps:spPr>
                      <wps:txbx id="54">
                        <w:txbxContent>
                          <w:p w:rsidR="0060634A" w:rsidRDefault="00F76D44">
                            <w:pPr>
                              <w:pStyle w:val="PPOTitle3-nospacebefore"/>
                              <w:rPr>
                                <w:rFonts w:eastAsiaTheme="minorEastAsia"/>
                              </w:rPr>
                            </w:pPr>
                            <w:r>
                              <w:rPr>
                                <w:rFonts w:eastAsiaTheme="minorEastAsia"/>
                              </w:rPr>
                              <w:t>Why is it necessary?</w:t>
                            </w:r>
                          </w:p>
                          <w:p w:rsidR="0060634A" w:rsidRDefault="00F76D44">
                            <w:pPr>
                              <w:pStyle w:val="PPObodyText"/>
                              <w:rPr>
                                <w:noProof/>
                              </w:rPr>
                            </w:pPr>
                            <w:r>
                              <w:rPr>
                                <w:noProof/>
                              </w:rPr>
                              <w:t xml:space="preserve">The Erasmus+ programme develops a European dimension to education. Erasmus+ offers young people, learners and staff of all ages opportunities to study, train, gain experience and volunteer abroad, in Europe or beyond. It has stimulated student and teacher </w:t>
                            </w:r>
                            <w:r>
                              <w:rPr>
                                <w:noProof/>
                              </w:rPr>
                              <w:t xml:space="preserve">mobility, cooperation between institutions and organisations, supported the harmonisation of university degree structures and helped make higher education systems more compatible. </w:t>
                            </w:r>
                          </w:p>
                          <w:p w:rsidR="0060634A" w:rsidRDefault="00F76D44">
                            <w:pPr>
                              <w:pStyle w:val="PPObodyText"/>
                              <w:rPr>
                                <w:noProof/>
                              </w:rPr>
                            </w:pPr>
                            <w:r>
                              <w:rPr>
                                <w:noProof/>
                              </w:rPr>
                              <w:t>Erasmus+ also promotes activities outside formal education – building the c</w:t>
                            </w:r>
                            <w:r>
                              <w:rPr>
                                <w:noProof/>
                              </w:rPr>
                              <w:t xml:space="preserve">apacity of youth workers and enabling young people to develop their skills, intercultural awareness and active citizenship. It has also worked to make qualifications and skills for learners and workers more transparent. </w:t>
                            </w:r>
                          </w:p>
                          <w:p w:rsidR="0060634A" w:rsidRDefault="00F76D44">
                            <w:pPr>
                              <w:pStyle w:val="PPObodyText"/>
                              <w:rPr>
                                <w:noProof/>
                              </w:rPr>
                            </w:pPr>
                            <w:r>
                              <w:rPr>
                                <w:noProof/>
                              </w:rPr>
                              <w:t>Erasmus+ guarantees that schools, e</w:t>
                            </w:r>
                            <w:r>
                              <w:rPr>
                                <w:noProof/>
                              </w:rPr>
                              <w:t xml:space="preserve">ducational institutions at all levels, youth organisations and young people in all participating countries can benefit from mobility and the exchange of good practices. </w:t>
                            </w:r>
                            <w:r>
                              <w:rPr>
                                <w:noProof/>
                                <w:lang w:val="en-IE"/>
                              </w:rPr>
                              <w:t>The EU is helping to build bridges between people and bring about a border-free Europe</w:t>
                            </w:r>
                            <w:r>
                              <w:rPr>
                                <w:noProof/>
                              </w:rPr>
                              <w:t>.</w:t>
                            </w:r>
                            <w:r>
                              <w:rPr>
                                <w:noProof/>
                              </w:rPr>
                              <w:t xml:space="preserve"> </w:t>
                            </w:r>
                          </w:p>
                          <w:p w:rsidR="0060634A" w:rsidRDefault="00F76D44">
                            <w:pPr>
                              <w:pStyle w:val="PPOTitle3-nospacebefore"/>
                              <w:rPr>
                                <w:rFonts w:eastAsiaTheme="minorEastAsia"/>
                              </w:rPr>
                            </w:pPr>
                            <w:r>
                              <w:rPr>
                                <w:rFonts w:eastAsiaTheme="minorEastAsia"/>
                              </w:rPr>
                              <w:t>Outlook for the 2021-2027 period</w:t>
                            </w:r>
                          </w:p>
                          <w:p w:rsidR="0060634A" w:rsidRDefault="00F76D44">
                            <w:pPr>
                              <w:pStyle w:val="PPObodyText"/>
                              <w:rPr>
                                <w:noProof/>
                              </w:rPr>
                            </w:pPr>
                            <w:r>
                              <w:rPr>
                                <w:noProof/>
                              </w:rPr>
                              <w:t>The Commission’s proposal for the new Erasmus programme for 2021-2027 aims to make the programme more inclusive and accessible to people from all social backgrounds; more innovative; more international and more supportive</w:t>
                            </w:r>
                            <w:r>
                              <w:rPr>
                                <w:noProof/>
                              </w:rPr>
                              <w:t xml:space="preserve"> of a European identity.</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176.55pt;margin-top:372.7pt;width:191.9pt;height:204.7pt;z-index:2517411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" stroked="f">
                <v:textbox style="mso-next-textbox:#Text Box 259" inset="0">
                  <w:txbxContent>
                    <w:p w:rsidR="0060634A" w:rsidRDefault="00F76D44">
                      <w:pPr>
                        <w:pStyle w:val="PPOTitle3-nospacebefore"/>
                        <w:rPr>
                          <w:rFonts w:eastAsiaTheme="minorEastAsia"/>
                        </w:rPr>
                      </w:pPr>
                      <w:r>
                        <w:rPr>
                          <w:rFonts w:eastAsiaTheme="minorEastAsia"/>
                        </w:rPr>
                        <w:t>Why is it necessary?</w:t>
                      </w:r>
                    </w:p>
                    <w:p w:rsidR="0060634A" w:rsidRDefault="00F76D44">
                      <w:pPr>
                        <w:pStyle w:val="PPObodyText"/>
                        <w:rPr>
                          <w:noProof/>
                        </w:rPr>
                      </w:pPr>
                      <w:r>
                        <w:rPr>
                          <w:noProof/>
                        </w:rPr>
                        <w:t xml:space="preserve">The Erasmus+ programme develops a European dimension to education. Erasmus+ offers young people, learners and staff of all ages opportunities to study, train, gain experience and volunteer abroad, in Europe or beyond. It has stimulated student and teacher </w:t>
                      </w:r>
                      <w:r>
                        <w:rPr>
                          <w:noProof/>
                        </w:rPr>
                        <w:t xml:space="preserve">mobility, cooperation between institutions and organisations, supported the harmonisation of university degree structures and helped make higher education systems more compatible. </w:t>
                      </w:r>
                    </w:p>
                    <w:p w:rsidR="0060634A" w:rsidRDefault="00F76D44">
                      <w:pPr>
                        <w:pStyle w:val="PPObodyText"/>
                        <w:rPr>
                          <w:noProof/>
                        </w:rPr>
                      </w:pPr>
                      <w:r>
                        <w:rPr>
                          <w:noProof/>
                        </w:rPr>
                        <w:t>Erasmus+ also promotes activities outside formal education – building the c</w:t>
                      </w:r>
                      <w:r>
                        <w:rPr>
                          <w:noProof/>
                        </w:rPr>
                        <w:t xml:space="preserve">apacity of youth workers and enabling young people to develop their skills, intercultural awareness and active citizenship. It has also worked to make qualifications and skills for learners and workers more transparent. </w:t>
                      </w:r>
                    </w:p>
                    <w:p w:rsidR="0060634A" w:rsidRDefault="00F76D44">
                      <w:pPr>
                        <w:pStyle w:val="PPObodyText"/>
                        <w:rPr>
                          <w:noProof/>
                        </w:rPr>
                      </w:pPr>
                      <w:r>
                        <w:rPr>
                          <w:noProof/>
                        </w:rPr>
                        <w:t>Erasmus+ guarantees that schools, e</w:t>
                      </w:r>
                      <w:r>
                        <w:rPr>
                          <w:noProof/>
                        </w:rPr>
                        <w:t xml:space="preserve">ducational institutions at all levels, youth organisations and young people in all participating countries can benefit from mobility and the exchange of good practices. </w:t>
                      </w:r>
                      <w:r>
                        <w:rPr>
                          <w:noProof/>
                          <w:lang w:val="en-IE"/>
                        </w:rPr>
                        <w:t>The EU is helping to build bridges between people and bring about a border-free Europe</w:t>
                      </w:r>
                      <w:r>
                        <w:rPr>
                          <w:noProof/>
                        </w:rPr>
                        <w:t>.</w:t>
                      </w:r>
                      <w:r>
                        <w:rPr>
                          <w:noProof/>
                        </w:rPr>
                        <w:t xml:space="preserve"> </w:t>
                      </w:r>
                    </w:p>
                    <w:p w:rsidR="0060634A" w:rsidRDefault="00F76D44">
                      <w:pPr>
                        <w:pStyle w:val="PPOTitle3-nospacebefore"/>
                        <w:rPr>
                          <w:rFonts w:eastAsiaTheme="minorEastAsia"/>
                        </w:rPr>
                      </w:pPr>
                      <w:r>
                        <w:rPr>
                          <w:rFonts w:eastAsiaTheme="minorEastAsia"/>
                        </w:rPr>
                        <w:t>Outlook for the 2021-2027 period</w:t>
                      </w:r>
                    </w:p>
                    <w:p w:rsidR="0060634A" w:rsidRDefault="00F76D44">
                      <w:pPr>
                        <w:pStyle w:val="PPObodyText"/>
                        <w:rPr>
                          <w:noProof/>
                        </w:rPr>
                      </w:pPr>
                      <w:r>
                        <w:rPr>
                          <w:noProof/>
                        </w:rPr>
                        <w:t>The Commission’s proposal for the new Erasmus programme for 2021-2027 aims to make the programme more inclusive and accessible to people from all social backgrounds; more innovative; more international and more supportive</w:t>
                      </w:r>
                      <w:r>
                        <w:rPr>
                          <w:noProof/>
                        </w:rPr>
                        <w:t xml:space="preserve"> of a European identity.</w:t>
                      </w:r>
                    </w:p>
                  </w:txbxContent>
                </v:textbox>
                <w10:wrap type="topAndBottom" anchorx="page" anchory="page"/>
                <w10:anchorlock/>
              </v:shape>
            </w:pict>
          </mc:Fallback>
        </mc:AlternateContent>
      </w:r>
    </w:p>
    <w:p w:rsidR="0060634A" w:rsidRDefault="00F76D44">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658240" behindDoc="0" locked="1" layoutInCell="1" allowOverlap="1">
                <wp:simplePos x="0" y="0"/>
                <wp:positionH relativeFrom="column">
                  <wp:posOffset>539750</wp:posOffset>
                </wp:positionH>
                <wp:positionV relativeFrom="paragraph">
                  <wp:posOffset>1270</wp:posOffset>
                </wp:positionV>
                <wp:extent cx="115200" cy="115200"/>
                <wp:effectExtent l="0" t="0" r="0" b="0"/>
                <wp:wrapNone/>
                <wp:docPr id="257" name="Oval 257"/>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00AD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963928" id="Oval 257" o:spid="_x0000_s1026" style="position:absolute;margin-left:42.5pt;margin-top:.1pt;width:9.05pt;height: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" fillcolor="#00addc" stroked="f" strokeweight="1pt">
                <v:stroke joinstyle="miter"/>
                <w10:anchorlock/>
              </v:oval>
            </w:pict>
          </mc:Fallback>
        </mc:AlternateContent>
      </w:r>
      <w:r>
        <w:rPr>
          <w:rFonts w:eastAsiaTheme="minorEastAsia"/>
          <w:lang w:val="fr-BE" w:eastAsia="fr-BE"/>
        </w:rPr>
        <w:drawing>
          <wp:anchor distT="0" distB="0" distL="114300" distR="114300" simplePos="0" relativeHeight="251659264" behindDoc="1" locked="1" layoutInCell="1" allowOverlap="1">
            <wp:simplePos x="0" y="0"/>
            <wp:positionH relativeFrom="page">
              <wp:posOffset>-415925</wp:posOffset>
            </wp:positionH>
            <wp:positionV relativeFrom="paragraph">
              <wp:posOffset>-1598295</wp:posOffset>
            </wp:positionV>
            <wp:extent cx="3412800" cy="1990800"/>
            <wp:effectExtent l="0" t="0" r="0" b="0"/>
            <wp:wrapNone/>
            <wp:docPr id="265" name="Chart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657216" behindDoc="0" locked="1" layoutInCell="1" allowOverlap="1">
                <wp:simplePos x="0" y="0"/>
                <wp:positionH relativeFrom="column">
                  <wp:posOffset>539750</wp:posOffset>
                </wp:positionH>
                <wp:positionV relativeFrom="paragraph">
                  <wp:posOffset>195580</wp:posOffset>
                </wp:positionV>
                <wp:extent cx="115200" cy="115200"/>
                <wp:effectExtent l="0" t="0" r="0" b="0"/>
                <wp:wrapNone/>
                <wp:docPr id="258" name="Oval 258"/>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C1956D" id="Oval 258" o:spid="_x0000_s1026" style="position:absolute;margin-left:42.5pt;margin-top:15.4pt;width:9.05pt;height:9.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" fillcolor="#28296e" stroked="f" strokeweight="1pt">
                <v:stroke joinstyle="miter"/>
                <w10:anchorlock/>
              </v:oval>
            </w:pict>
          </mc:Fallback>
        </mc:AlternateContent>
      </w:r>
      <w:r>
        <w:rPr>
          <w:rFonts w:eastAsiaTheme="minorEastAsia"/>
        </w:rPr>
        <w:t>Payments</w:t>
      </w:r>
    </w:p>
    <w:p w:rsidR="0060634A" w:rsidRDefault="00F76D44">
      <w:pPr>
        <w:pStyle w:val="PPOsidebarchartLegends"/>
        <w:rPr>
          <w:rFonts w:eastAsiaTheme="minorEastAsia"/>
        </w:rPr>
      </w:pPr>
      <w:r>
        <w:rPr>
          <w:rFonts w:eastAsiaTheme="minorEastAsia"/>
        </w:rPr>
        <w:t>Commitments</w:t>
      </w:r>
    </w:p>
    <w:p w:rsidR="0060634A" w:rsidRDefault="00F76D44">
      <w:pPr>
        <w:pStyle w:val="PPO1AsidebarTitleLightBlue"/>
        <w:rPr>
          <w:rFonts w:eastAsiaTheme="minorEastAsia"/>
        </w:rPr>
      </w:pPr>
      <w:r>
        <w:rPr>
          <w:rFonts w:eastAsiaTheme="minorEastAsia"/>
        </w:rPr>
        <w:t>Evaluations/</w:t>
      </w:r>
      <w:r>
        <w:rPr>
          <w:rFonts w:eastAsiaTheme="minorEastAsia"/>
        </w:rPr>
        <w:br/>
        <w:t xml:space="preserve">studies conducted </w:t>
      </w:r>
    </w:p>
    <w:p w:rsidR="0060634A" w:rsidRDefault="00F76D44">
      <w:pPr>
        <w:pStyle w:val="PPOsidebartext"/>
        <w:rPr>
          <w:rFonts w:eastAsiaTheme="minorEastAsia"/>
        </w:rPr>
      </w:pPr>
      <w:r>
        <w:rPr>
          <w:rFonts w:eastAsiaTheme="minorEastAsia"/>
        </w:rPr>
        <w:t>In 2019, the results of two new Erasmus+ impact studies were made available.</w:t>
      </w:r>
    </w:p>
    <w:p w:rsidR="0060634A" w:rsidRDefault="00F76D44">
      <w:pPr>
        <w:pStyle w:val="PPOsidebartext"/>
        <w:rPr>
          <w:rStyle w:val="PPOChar-Hyperlink"/>
          <w:rFonts w:eastAsiaTheme="minorEastAsia"/>
        </w:rPr>
      </w:pPr>
      <w:hyperlink r:id="rId278" w:tgtFrame="_blank" w:history="1">
        <w:r>
          <w:rPr>
            <w:rStyle w:val="PPOChar-Hyperlink"/>
            <w:rFonts w:eastAsiaTheme="minorEastAsia"/>
          </w:rPr>
          <w:t>https://europa.eu/!RH98bU</w:t>
        </w:r>
      </w:hyperlink>
    </w:p>
    <w:p w:rsidR="0060634A" w:rsidRDefault="00F76D44">
      <w:pPr>
        <w:pStyle w:val="PPOsidebartext"/>
        <w:rPr>
          <w:rStyle w:val="PPOChar-Hyperlink"/>
          <w:rFonts w:eastAsiaTheme="minorEastAsia"/>
        </w:rPr>
      </w:pPr>
      <w:hyperlink r:id="rId279" w:tgtFrame="_blank" w:history="1">
        <w:r>
          <w:rPr>
            <w:rStyle w:val="PPOChar-Hyperlink"/>
            <w:rFonts w:eastAsiaTheme="minorEastAsia"/>
          </w:rPr>
          <w:t>https://europa.eu/!RD46kH</w:t>
        </w:r>
      </w:hyperlink>
    </w:p>
    <w:p w:rsidR="0060634A" w:rsidRDefault="00F76D44">
      <w:pPr>
        <w:pStyle w:val="PPO1AsidebarTitleLightBlue"/>
        <w:rPr>
          <w:rFonts w:eastAsiaTheme="minorEastAsia"/>
        </w:rPr>
      </w:pPr>
      <w:r>
        <w:rPr>
          <w:rFonts w:eastAsiaTheme="minorEastAsia"/>
        </w:rPr>
        <w:t>How is it implemented?</w:t>
      </w:r>
    </w:p>
    <w:p w:rsidR="0060634A" w:rsidRDefault="00F76D44">
      <w:pPr>
        <w:pStyle w:val="PPOsidebartext"/>
        <w:rPr>
          <w:rFonts w:eastAsiaTheme="minorEastAsia"/>
        </w:rPr>
      </w:pPr>
      <w:r>
        <w:rPr>
          <w:rFonts w:eastAsiaTheme="minorEastAsia"/>
        </w:rPr>
        <w:t>The Directorate-General for Education and Culture is the lead DG for the implementation of the programme. It is implemented through a combination of direct and indirect m</w:t>
      </w:r>
      <w:r>
        <w:rPr>
          <w:rFonts w:eastAsiaTheme="minorEastAsia"/>
        </w:rPr>
        <w:t>anagement (through grants and procurements) and financial instruments.</w:t>
      </w:r>
    </w:p>
    <w:p w:rsidR="0060634A" w:rsidRDefault="00F76D44">
      <w:pPr>
        <w:pStyle w:val="PPO1ATitle1"/>
        <w:rPr>
          <w:rFonts w:eastAsiaTheme="minorEastAsia"/>
        </w:rPr>
      </w:pPr>
      <w:r>
        <w:rPr>
          <w:rFonts w:eastAsiaTheme="minorEastAsia"/>
        </w:rPr>
        <w:br w:type="column"/>
      </w:r>
      <w:bookmarkStart w:id="20" w:name="_Toc39583680"/>
      <w:r>
        <w:rPr>
          <w:rFonts w:eastAsiaTheme="minorEastAsia"/>
        </w:rPr>
        <w:t>ERASMUS+</w:t>
      </w:r>
      <w:bookmarkEnd w:id="20"/>
    </w:p>
    <w:p w:rsidR="0060634A" w:rsidRDefault="00F76D44">
      <w:pPr>
        <w:pStyle w:val="PPO1ATitle2"/>
        <w:rPr>
          <w:rFonts w:eastAsiaTheme="minorEastAsia"/>
        </w:rPr>
      </w:pPr>
      <w:r>
        <w:rPr>
          <w:rFonts w:eastAsiaTheme="minorEastAsia"/>
        </w:rPr>
        <w:t>THE EU PROGRAMME FOR EDUCATION, TRAINING, YOUTH AND SPORT</w:t>
      </w:r>
    </w:p>
    <w:p w:rsidR="0060634A" w:rsidRDefault="00F76D44">
      <w:pPr>
        <w:pStyle w:val="PPOTitle3"/>
        <w:rPr>
          <w:rFonts w:eastAsiaTheme="minorEastAsia"/>
        </w:rPr>
      </w:pPr>
      <w:r>
        <w:rPr>
          <w:rFonts w:eastAsiaTheme="minorEastAsia"/>
        </w:rPr>
        <w:t>What is Erasmus+?</w:t>
      </w:r>
    </w:p>
    <w:p w:rsidR="0060634A" w:rsidRDefault="00F76D44">
      <w:pPr>
        <w:pStyle w:val="PPObodyText"/>
        <w:spacing w:after="480"/>
        <w:rPr>
          <w:noProof/>
        </w:rPr>
      </w:pPr>
      <w:r>
        <w:rPr>
          <w:noProof/>
          <w:lang w:val="fr-BE" w:eastAsia="fr-BE"/>
        </w:rPr>
        <mc:AlternateContent>
          <mc:Choice Requires="wps">
            <w:drawing>
              <wp:anchor distT="0" distB="0" distL="114300" distR="114300" simplePos="0" relativeHeight="251736064" behindDoc="0" locked="1" layoutInCell="1" allowOverlap="1">
                <wp:simplePos x="0" y="0"/>
                <wp:positionH relativeFrom="page">
                  <wp:posOffset>4762500</wp:posOffset>
                </wp:positionH>
                <wp:positionV relativeFrom="page">
                  <wp:posOffset>4977765</wp:posOffset>
                </wp:positionV>
                <wp:extent cx="2437130" cy="2452370"/>
                <wp:effectExtent l="0" t="0" r="1270" b="5080"/>
                <wp:wrapTopAndBottom/>
                <wp:docPr id="259" name="Text Box 259"/>
                <wp:cNvGraphicFramePr/>
                <a:graphic xmlns:a="http://schemas.openxmlformats.org/drawingml/2006/main">
                  <a:graphicData uri="http://schemas.microsoft.com/office/word/2010/wordprocessingShape">
                    <wps:wsp>
                      <wps:cNvSpPr txBox="1"/>
                      <wps:spPr>
                        <a:xfrm>
                          <a:off x="0" y="0"/>
                          <a:ext cx="2437130" cy="2452370"/>
                        </a:xfrm>
                        <a:prstGeom prst="rect">
                          <a:avLst/>
                        </a:prstGeom>
                        <a:solidFill>
                          <a:schemeClr val="lt1"/>
                        </a:solidFill>
                        <a:ln w="6350">
                          <a:noFill/>
                        </a:ln>
                      </wps:spPr>
                      <wps:linkedTxbx id="54"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9" o:spid="_x0000_s1114" type="#_x0000_t202" style="position:absolute;left:0;text-align:left;margin-left:375pt;margin-top:391.95pt;width:191.9pt;height:193.1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" fillcolor="white [3201]" stroked="f" strokeweight=".5pt">
                <v:textbox inset=",,0">
                  <w:txbxContent/>
                </v:textbox>
                <w10:wrap type="topAndBottom" anchorx="page" anchory="page"/>
                <w10:anchorlock/>
              </v:shape>
            </w:pict>
          </mc:Fallback>
        </mc:AlternateContent>
      </w:r>
      <w:r>
        <w:rPr>
          <w:noProof/>
        </w:rPr>
        <w:t>Erasmus+ is the EU’s flagship programme to support and strengthen education, training, youth and s</w:t>
      </w:r>
      <w:r>
        <w:rPr>
          <w:noProof/>
        </w:rPr>
        <w:t>port. For the past three decades, Erasmus+ and its predecessors have offered opportunities for young people, learners and staff of all ages to study, train, gain experience and volunteer abroad, in Europe or beyond, and has fostered the sharing of knowledg</w:t>
      </w:r>
      <w:r>
        <w:rPr>
          <w:noProof/>
        </w:rPr>
        <w:t>e and experience between institutions, organisations and policymakers in different countries. At the same time the programme fosters European identity and reinforces European values.</w:t>
      </w:r>
    </w:p>
    <w:tbl>
      <w:tblPr>
        <w:tblStyle w:val="TableGrid"/>
        <w:tblpPr w:leftFromText="181" w:rightFromText="340" w:vertAnchor="text" w:tblpX="108" w:tblpY="1"/>
        <w:tblW w:w="7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7817"/>
      </w:tblGrid>
      <w:tr w:rsidR="0060634A">
        <w:trPr>
          <w:trHeight w:val="2303"/>
        </w:trPr>
        <w:tc>
          <w:tcPr>
            <w:tcW w:w="7817" w:type="dxa"/>
            <w:shd w:val="clear" w:color="auto" w:fill="F2F2F2" w:themeFill="background1" w:themeFillShade="F2"/>
          </w:tcPr>
          <w:p w:rsidR="0060634A" w:rsidRDefault="00F76D44">
            <w:pPr>
              <w:pStyle w:val="PPO1ASpecificobjectivesBOX-HeadingLightBlue"/>
              <w:rPr>
                <w:rFonts w:eastAsiaTheme="minorEastAsia"/>
                <w:lang w:val="en-GB"/>
              </w:rPr>
            </w:pPr>
            <w:r>
              <w:rPr>
                <w:rFonts w:eastAsiaTheme="minorEastAsia"/>
                <w:lang w:eastAsia="fr-BE"/>
              </w:rPr>
              <mc:AlternateContent>
                <mc:Choice Requires="wps">
                  <w:drawing>
                    <wp:anchor distT="0" distB="0" distL="114300" distR="114300" simplePos="0" relativeHeight="251662336"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23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00ADDC"/>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FA05002" id="Freeform 6" o:spid="_x0000_s1026" style="position:absolute;margin-left:4pt;margin-top:1.4pt;width:21.25pt;height:2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00addc"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rFonts w:eastAsiaTheme="minorEastAsia"/>
                <w:lang w:val="en-GB"/>
              </w:rPr>
              <w:t>Specific objectives</w:t>
            </w:r>
          </w:p>
          <w:p w:rsidR="0060634A" w:rsidRDefault="00F76D44">
            <w:pPr>
              <w:pStyle w:val="PPOTitle3"/>
              <w:ind w:left="113"/>
              <w:rPr>
                <w:rFonts w:eastAsiaTheme="minorEastAsia"/>
                <w:lang w:val="en-GB"/>
              </w:rPr>
            </w:pPr>
            <w:r>
              <w:rPr>
                <w:rFonts w:eastAsiaTheme="minorEastAsia"/>
                <w:lang w:val="en-GB"/>
              </w:rPr>
              <w:t>Supporting education and training</w:t>
            </w:r>
          </w:p>
          <w:p w:rsidR="0060634A" w:rsidRDefault="00F76D44">
            <w:pPr>
              <w:pStyle w:val="PPO1ASpecificobjectivesBOX-BulletLightBlue"/>
              <w:rPr>
                <w:lang w:val="en-GB"/>
              </w:rPr>
            </w:pPr>
            <w:r>
              <w:rPr>
                <w:lang w:val="en-GB"/>
              </w:rPr>
              <w:t xml:space="preserve">The programme </w:t>
            </w:r>
            <w:r>
              <w:rPr>
                <w:lang w:val="en-GB"/>
              </w:rPr>
              <w:t>contributes to the achievement of the objectives of the Europe 2020 strategy, notably the headline education target; the objectives of the strategic framework for European cooperation in education and training for sustainable development of higher educatio</w:t>
            </w:r>
            <w:r>
              <w:rPr>
                <w:lang w:val="en-GB"/>
              </w:rPr>
              <w:t>n in partner countries; the objectives of the renewed framework for European cooperation in the youth field (2010-2018) for building best practices in education policy, gathering and disseminating knowledge and promoting educational policy reforms at natio</w:t>
            </w:r>
            <w:r>
              <w:rPr>
                <w:lang w:val="en-GB"/>
              </w:rPr>
              <w:t>nal and regional levels; the objective of developing the European dimension in sport; and the promotion of European values in accordance with Article</w:t>
            </w:r>
            <w:r>
              <w:rPr>
                <w:rFonts w:ascii="Calibri" w:hAnsi="Calibri" w:cs="Calibri"/>
                <w:lang w:val="en-GB"/>
              </w:rPr>
              <w:t> </w:t>
            </w:r>
            <w:r>
              <w:rPr>
                <w:lang w:val="en-GB"/>
              </w:rPr>
              <w:t>2 of the Treaty on European Union.</w:t>
            </w:r>
          </w:p>
        </w:tc>
      </w:tr>
    </w:tbl>
    <w:tbl>
      <w:tblPr>
        <w:tblStyle w:val="TableGrid"/>
        <w:tblpPr w:vertAnchor="page" w:horzAnchor="page" w:tblpX="3544" w:tblpY="13622"/>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bottom w:w="57" w:type="dxa"/>
          <w:right w:w="0" w:type="dxa"/>
        </w:tblCellMar>
        <w:tblLook w:val="04A0" w:firstRow="1" w:lastRow="0" w:firstColumn="1" w:lastColumn="0" w:noHBand="0" w:noVBand="1"/>
      </w:tblPr>
      <w:tblGrid>
        <w:gridCol w:w="3471"/>
        <w:gridCol w:w="850"/>
        <w:gridCol w:w="3471"/>
      </w:tblGrid>
      <w:tr w:rsidR="0060634A">
        <w:trPr>
          <w:cantSplit/>
        </w:trPr>
        <w:tc>
          <w:tcPr>
            <w:tcW w:w="7792" w:type="dxa"/>
            <w:gridSpan w:val="3"/>
            <w:vAlign w:val="center"/>
            <w:hideMark/>
          </w:tcPr>
          <w:p w:rsidR="0060634A" w:rsidRDefault="00F76D44">
            <w:pPr>
              <w:pStyle w:val="Title3"/>
              <w:rPr>
                <w:rFonts w:eastAsiaTheme="minorEastAsia"/>
                <w:lang w:val="en-GB"/>
              </w:rPr>
            </w:pPr>
            <w:r>
              <w:rPr>
                <w:rFonts w:eastAsiaTheme="minorEastAsia"/>
                <w:lang w:val="en-GB"/>
              </w:rPr>
              <w:t>Voted budget execution (in million EUR)</w:t>
            </w:r>
          </w:p>
        </w:tc>
      </w:tr>
      <w:tr w:rsidR="0060634A">
        <w:trPr>
          <w:cantSplit/>
        </w:trPr>
        <w:tc>
          <w:tcPr>
            <w:tcW w:w="3471" w:type="dxa"/>
            <w:shd w:val="clear" w:color="auto" w:fill="585EAA"/>
            <w:tcMar>
              <w:top w:w="57" w:type="dxa"/>
              <w:left w:w="0" w:type="dxa"/>
              <w:bottom w:w="57" w:type="dxa"/>
              <w:right w:w="0" w:type="dxa"/>
            </w:tcMar>
            <w:vAlign w:val="center"/>
            <w:hideMark/>
          </w:tcPr>
          <w:p w:rsidR="0060634A" w:rsidRDefault="00F76D44">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585EAA"/>
            <w:tcMar>
              <w:top w:w="57" w:type="dxa"/>
              <w:left w:w="0" w:type="dxa"/>
              <w:bottom w:w="57" w:type="dxa"/>
              <w:right w:w="0" w:type="dxa"/>
            </w:tcMar>
            <w:vAlign w:val="center"/>
          </w:tcPr>
          <w:p w:rsidR="0060634A" w:rsidRDefault="0060634A">
            <w:pPr>
              <w:rPr>
                <w:noProof/>
              </w:rPr>
            </w:pPr>
          </w:p>
        </w:tc>
        <w:tc>
          <w:tcPr>
            <w:tcW w:w="3471" w:type="dxa"/>
            <w:shd w:val="clear" w:color="auto" w:fill="585EAA"/>
            <w:tcMar>
              <w:top w:w="57" w:type="dxa"/>
              <w:left w:w="0" w:type="dxa"/>
              <w:bottom w:w="57" w:type="dxa"/>
              <w:right w:w="0" w:type="dxa"/>
            </w:tcMar>
            <w:vAlign w:val="center"/>
            <w:hideMark/>
          </w:tcPr>
          <w:p w:rsidR="0060634A" w:rsidRDefault="00F76D44">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60634A">
        <w:trPr>
          <w:cantSplit/>
        </w:trPr>
        <w:tc>
          <w:tcPr>
            <w:tcW w:w="3471" w:type="dxa"/>
            <w:shd w:val="clear" w:color="auto" w:fill="E6E0EC"/>
            <w:vAlign w:val="center"/>
            <w:hideMark/>
          </w:tcPr>
          <w:p w:rsidR="0060634A" w:rsidRDefault="00F76D44">
            <w:pPr>
              <w:spacing w:after="100" w:afterAutospacing="1"/>
              <w:jc w:val="center"/>
              <w:rPr>
                <w:noProof/>
                <w:color w:val="0070C0"/>
                <w:sz w:val="18"/>
              </w:rPr>
            </w:pPr>
            <w:r>
              <w:rPr>
                <w:noProof/>
                <w:color w:val="0070C0"/>
                <w:sz w:val="18"/>
                <w:lang w:eastAsia="fr-BE"/>
              </w:rPr>
              <w:drawing>
                <wp:inline distT="0" distB="0" distL="0" distR="0">
                  <wp:extent cx="2158365" cy="890270"/>
                  <wp:effectExtent l="0" t="0" r="0" b="0"/>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c>
          <w:tcPr>
            <w:tcW w:w="850" w:type="dxa"/>
            <w:shd w:val="clear" w:color="auto" w:fill="E6E0EC"/>
            <w:vAlign w:val="center"/>
            <w:hideMark/>
          </w:tcPr>
          <w:p w:rsidR="0060634A" w:rsidRDefault="00F76D44">
            <w:pPr>
              <w:pStyle w:val="PPO1AVotedbudgetTABLEtextBlue"/>
              <w:framePr w:hSpace="0" w:wrap="auto" w:vAnchor="margin" w:hAnchor="text" w:xAlign="left" w:yAlign="inline"/>
              <w:suppressOverlap w:val="0"/>
              <w:rPr>
                <w:rFonts w:eastAsiaTheme="minorEastAsia"/>
              </w:rPr>
            </w:pPr>
            <w:r>
              <w:rPr>
                <w:rFonts w:eastAsiaTheme="minorEastAsia"/>
              </w:rPr>
              <w:t>2017</w:t>
            </w:r>
          </w:p>
          <w:p w:rsidR="0060634A" w:rsidRDefault="00F76D44">
            <w:pPr>
              <w:pStyle w:val="PPO1AVotedbudgetTABLEtextBlue"/>
              <w:framePr w:hSpace="0" w:wrap="auto" w:vAnchor="margin" w:hAnchor="text" w:xAlign="left" w:yAlign="inline"/>
              <w:suppressOverlap w:val="0"/>
              <w:rPr>
                <w:rFonts w:eastAsiaTheme="minorEastAsia"/>
              </w:rPr>
            </w:pPr>
            <w:r>
              <w:rPr>
                <w:rFonts w:eastAsiaTheme="minorEastAsia"/>
              </w:rPr>
              <w:t>2018</w:t>
            </w:r>
          </w:p>
          <w:p w:rsidR="0060634A" w:rsidRDefault="00F76D44">
            <w:pPr>
              <w:pStyle w:val="PPO1AVotedbudgetTABLEtextBlue"/>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E6E0EC"/>
            <w:vAlign w:val="center"/>
            <w:hideMark/>
          </w:tcPr>
          <w:p w:rsidR="0060634A" w:rsidRDefault="00F76D44">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890270"/>
                  <wp:effectExtent l="0" t="0" r="0" b="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r>
    </w:tbl>
    <w:p w:rsidR="0060634A" w:rsidRDefault="0060634A">
      <w:pPr>
        <w:framePr w:w="6721" w:wrap="auto" w:hAnchor="text" w:x="3544"/>
        <w:jc w:val="both"/>
        <w:rPr>
          <w:b/>
          <w:noProof/>
          <w:color w:val="1F95A5"/>
        </w:rPr>
        <w:sectPr w:rsidR="0060634A">
          <w:headerReference w:type="even" r:id="rId282"/>
          <w:headerReference w:type="default" r:id="rId283"/>
          <w:footerReference w:type="even" r:id="rId284"/>
          <w:footerReference w:type="default" r:id="rId285"/>
          <w:headerReference w:type="first" r:id="rId286"/>
          <w:footerReference w:type="first" r:id="rId287"/>
          <w:pgSz w:w="11906" w:h="16838"/>
          <w:pgMar w:top="567" w:right="567" w:bottom="567" w:left="567" w:header="567" w:footer="454" w:gutter="0"/>
          <w:paperSrc w:first="15" w:other="15"/>
          <w:cols w:num="2" w:space="708" w:equalWidth="0">
            <w:col w:w="2269" w:space="708"/>
            <w:col w:w="7795"/>
          </w:cols>
          <w:docGrid w:linePitch="360"/>
        </w:sectPr>
      </w:pPr>
    </w:p>
    <w:p w:rsidR="0060634A" w:rsidRDefault="00F76D44">
      <w:pPr>
        <w:pStyle w:val="PPOTitle3-nospacebefore"/>
      </w:pPr>
      <w:r>
        <w:t xml:space="preserve">Key performance indicators </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94"/>
        <w:gridCol w:w="707"/>
        <w:gridCol w:w="3497"/>
        <w:gridCol w:w="595"/>
        <w:gridCol w:w="2792"/>
        <w:gridCol w:w="55"/>
      </w:tblGrid>
      <w:tr w:rsidR="0060634A">
        <w:trPr>
          <w:gridAfter w:val="1"/>
          <w:wAfter w:w="55" w:type="dxa"/>
          <w:trHeight w:val="333"/>
        </w:trPr>
        <w:tc>
          <w:tcPr>
            <w:tcW w:w="3094" w:type="dxa"/>
            <w:vAlign w:val="center"/>
          </w:tcPr>
          <w:p w:rsidR="0060634A" w:rsidRDefault="0060634A">
            <w:pPr>
              <w:ind w:left="142"/>
              <w:jc w:val="right"/>
              <w:rPr>
                <w:noProof/>
                <w:sz w:val="16"/>
                <w:szCs w:val="16"/>
              </w:rPr>
            </w:pPr>
          </w:p>
        </w:tc>
        <w:tc>
          <w:tcPr>
            <w:tcW w:w="707" w:type="dxa"/>
            <w:vAlign w:val="bottom"/>
          </w:tcPr>
          <w:p w:rsidR="0060634A" w:rsidRDefault="00F76D44">
            <w:pPr>
              <w:jc w:val="center"/>
              <w:rPr>
                <w:b/>
                <w:noProof/>
                <w:color w:val="28296E"/>
                <w:sz w:val="16"/>
                <w:szCs w:val="16"/>
              </w:rPr>
            </w:pPr>
            <w:r>
              <w:rPr>
                <w:b/>
                <w:noProof/>
                <w:color w:val="28296E"/>
                <w:sz w:val="16"/>
                <w:szCs w:val="16"/>
              </w:rPr>
              <w:t>Baseline</w:t>
            </w:r>
          </w:p>
        </w:tc>
        <w:tc>
          <w:tcPr>
            <w:tcW w:w="3497" w:type="dxa"/>
            <w:vAlign w:val="center"/>
          </w:tcPr>
          <w:p w:rsidR="0060634A" w:rsidRDefault="00F76D44">
            <w:pPr>
              <w:ind w:left="142"/>
              <w:jc w:val="center"/>
              <w:rPr>
                <w:b/>
                <w:noProof/>
                <w:color w:val="28296E"/>
                <w:sz w:val="16"/>
                <w:szCs w:val="16"/>
              </w:rPr>
            </w:pPr>
            <w:r>
              <w:rPr>
                <w:b/>
                <w:noProof/>
                <w:color w:val="28296E"/>
                <w:sz w:val="16"/>
                <w:szCs w:val="16"/>
              </w:rPr>
              <w:t>PROGRESS TOWARDS THE TARGET</w:t>
            </w:r>
          </w:p>
        </w:tc>
        <w:tc>
          <w:tcPr>
            <w:tcW w:w="595" w:type="dxa"/>
            <w:vAlign w:val="bottom"/>
          </w:tcPr>
          <w:p w:rsidR="0060634A" w:rsidRDefault="00F76D44">
            <w:pPr>
              <w:jc w:val="center"/>
              <w:rPr>
                <w:b/>
                <w:noProof/>
                <w:color w:val="28296E"/>
                <w:sz w:val="16"/>
                <w:szCs w:val="16"/>
              </w:rPr>
            </w:pPr>
            <w:r>
              <w:rPr>
                <w:b/>
                <w:noProof/>
                <w:color w:val="28296E"/>
                <w:sz w:val="16"/>
                <w:szCs w:val="16"/>
              </w:rPr>
              <w:t>Target</w:t>
            </w:r>
          </w:p>
        </w:tc>
        <w:tc>
          <w:tcPr>
            <w:tcW w:w="2792" w:type="dxa"/>
            <w:vAlign w:val="bottom"/>
          </w:tcPr>
          <w:p w:rsidR="0060634A" w:rsidRDefault="00F76D44">
            <w:pPr>
              <w:jc w:val="center"/>
              <w:rPr>
                <w:b/>
                <w:noProof/>
                <w:color w:val="28296E"/>
                <w:sz w:val="16"/>
                <w:szCs w:val="16"/>
              </w:rPr>
            </w:pPr>
            <w:r>
              <w:rPr>
                <w:b/>
                <w:noProof/>
                <w:color w:val="28296E"/>
                <w:sz w:val="16"/>
                <w:szCs w:val="16"/>
              </w:rPr>
              <w:t>Results</w:t>
            </w:r>
          </w:p>
        </w:tc>
      </w:tr>
      <w:tr w:rsidR="0060634A">
        <w:tblPrEx>
          <w:tblCellMar>
            <w:left w:w="108" w:type="dxa"/>
            <w:right w:w="108" w:type="dxa"/>
          </w:tblCellMar>
        </w:tblPrEx>
        <w:trPr>
          <w:trHeight w:val="369"/>
        </w:trPr>
        <w:tc>
          <w:tcPr>
            <w:tcW w:w="3094" w:type="dxa"/>
            <w:vAlign w:val="center"/>
          </w:tcPr>
          <w:p w:rsidR="0060634A" w:rsidRDefault="00F76D44">
            <w:pPr>
              <w:ind w:left="142"/>
              <w:jc w:val="right"/>
              <w:rPr>
                <w:rFonts w:ascii="EC Square Sans Cond Pro" w:hAnsi="EC Square Sans Cond Pro"/>
                <w:noProof/>
                <w:sz w:val="16"/>
                <w:szCs w:val="16"/>
                <w:vertAlign w:val="superscript"/>
                <w:lang w:val="en-GB"/>
              </w:rPr>
            </w:pPr>
            <w:r>
              <w:rPr>
                <w:rFonts w:ascii="EC Square Sans Cond Pro" w:hAnsi="EC Square Sans Cond Pro" w:cs="EC Square Sans Cond Pro"/>
                <w:noProof/>
                <w:color w:val="000000"/>
                <w:sz w:val="16"/>
                <w:szCs w:val="16"/>
                <w:lang w:val="en-GB" w:eastAsia="en-GB"/>
              </w:rPr>
              <w:t>Higher education – learners (in thousands)</w:t>
            </w:r>
            <w:r>
              <w:rPr>
                <w:rFonts w:ascii="EC Square Sans Cond Pro" w:hAnsi="EC Square Sans Cond Pro" w:cs="Calibri"/>
                <w:noProof/>
                <w:sz w:val="16"/>
                <w:szCs w:val="16"/>
                <w:lang w:val="en-GB"/>
              </w:rPr>
              <w:t xml:space="preserve"> </w:t>
            </w:r>
            <w:r>
              <w:rPr>
                <w:rFonts w:ascii="EC Square Sans Cond Pro" w:hAnsi="EC Square Sans Cond Pro"/>
                <w:noProof/>
                <w:sz w:val="16"/>
                <w:szCs w:val="16"/>
                <w:lang w:val="en-GB"/>
              </w:rPr>
              <w:t>(</w:t>
            </w:r>
            <w:r>
              <w:rPr>
                <w:rFonts w:ascii="EC Square Sans Cond Pro" w:hAnsi="EC Square Sans Cond Pro"/>
                <w:noProof/>
                <w:sz w:val="16"/>
                <w:szCs w:val="16"/>
                <w:vertAlign w:val="superscript"/>
                <w:lang w:val="en-GB"/>
              </w:rPr>
              <w:t>1</w:t>
            </w:r>
            <w:r>
              <w:rPr>
                <w:rFonts w:ascii="EC Square Sans Cond Pro" w:hAnsi="EC Square Sans Cond Pro"/>
                <w:noProof/>
                <w:sz w:val="16"/>
                <w:szCs w:val="16"/>
                <w:lang w:val="en-GB"/>
              </w:rPr>
              <w:t>)</w:t>
            </w:r>
          </w:p>
        </w:tc>
        <w:tc>
          <w:tcPr>
            <w:tcW w:w="707" w:type="dxa"/>
            <w:vAlign w:val="center"/>
          </w:tcPr>
          <w:p w:rsidR="0060634A" w:rsidRDefault="0060634A">
            <w:pPr>
              <w:jc w:val="center"/>
              <w:rPr>
                <w:rFonts w:ascii="EC Square Sans Cond Pro" w:hAnsi="EC Square Sans Cond Pro"/>
                <w:noProof/>
                <w:sz w:val="16"/>
                <w:szCs w:val="16"/>
                <w:lang w:val="en-GB" w:eastAsia="en-GB"/>
              </w:rPr>
            </w:pPr>
          </w:p>
        </w:tc>
        <w:tc>
          <w:tcPr>
            <w:tcW w:w="3497"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38" name="Chart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8"/>
                    </a:graphicData>
                  </a:graphic>
                </wp:inline>
              </w:drawing>
            </w:r>
          </w:p>
        </w:tc>
        <w:tc>
          <w:tcPr>
            <w:tcW w:w="595"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2 080</w:t>
            </w:r>
          </w:p>
        </w:tc>
        <w:tc>
          <w:tcPr>
            <w:tcW w:w="2847" w:type="dxa"/>
            <w:gridSpan w:val="2"/>
            <w:vAlign w:val="center"/>
          </w:tcPr>
          <w:p w:rsidR="0060634A" w:rsidRDefault="00F76D44">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1 662 out of 2 080 thousand higher education learners</w:t>
            </w:r>
          </w:p>
        </w:tc>
      </w:tr>
      <w:tr w:rsidR="0060634A">
        <w:tblPrEx>
          <w:tblCellMar>
            <w:left w:w="108" w:type="dxa"/>
            <w:right w:w="108" w:type="dxa"/>
          </w:tblCellMar>
        </w:tblPrEx>
        <w:trPr>
          <w:trHeight w:val="369"/>
        </w:trPr>
        <w:tc>
          <w:tcPr>
            <w:tcW w:w="3094"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Vocational education and </w:t>
            </w:r>
            <w:r>
              <w:rPr>
                <w:rFonts w:ascii="EC Square Sans Cond Pro" w:hAnsi="EC Square Sans Cond Pro" w:cs="EC Square Sans Cond Pro"/>
                <w:noProof/>
                <w:color w:val="000000"/>
                <w:sz w:val="16"/>
                <w:szCs w:val="16"/>
                <w:lang w:val="en-GB" w:eastAsia="en-GB"/>
              </w:rPr>
              <w:t>training – learners (in thousands)</w:t>
            </w:r>
          </w:p>
        </w:tc>
        <w:tc>
          <w:tcPr>
            <w:tcW w:w="707" w:type="dxa"/>
            <w:vAlign w:val="center"/>
          </w:tcPr>
          <w:p w:rsidR="0060634A" w:rsidRDefault="0060634A">
            <w:pPr>
              <w:jc w:val="center"/>
              <w:rPr>
                <w:rFonts w:ascii="EC Square Sans Cond Pro" w:hAnsi="EC Square Sans Cond Pro"/>
                <w:noProof/>
                <w:sz w:val="16"/>
                <w:szCs w:val="16"/>
                <w:lang w:val="en-GB" w:eastAsia="en-GB"/>
              </w:rPr>
            </w:pPr>
          </w:p>
        </w:tc>
        <w:tc>
          <w:tcPr>
            <w:tcW w:w="3497"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9"/>
                    </a:graphicData>
                  </a:graphic>
                </wp:inline>
              </w:drawing>
            </w:r>
          </w:p>
        </w:tc>
        <w:tc>
          <w:tcPr>
            <w:tcW w:w="595"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674</w:t>
            </w:r>
          </w:p>
        </w:tc>
        <w:tc>
          <w:tcPr>
            <w:tcW w:w="2847" w:type="dxa"/>
            <w:gridSpan w:val="2"/>
            <w:vAlign w:val="center"/>
          </w:tcPr>
          <w:p w:rsidR="0060634A" w:rsidRDefault="00F76D44">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709 compared to 674 thousand vocational education and training learners</w:t>
            </w:r>
          </w:p>
        </w:tc>
      </w:tr>
      <w:tr w:rsidR="0060634A">
        <w:tblPrEx>
          <w:tblCellMar>
            <w:left w:w="108" w:type="dxa"/>
            <w:right w:w="108" w:type="dxa"/>
          </w:tblCellMar>
        </w:tblPrEx>
        <w:trPr>
          <w:trHeight w:val="369"/>
        </w:trPr>
        <w:tc>
          <w:tcPr>
            <w:tcW w:w="3094" w:type="dxa"/>
            <w:vAlign w:val="center"/>
          </w:tcPr>
          <w:p w:rsidR="0060634A" w:rsidRDefault="00F76D44">
            <w:pPr>
              <w:ind w:left="142"/>
              <w:jc w:val="right"/>
              <w:rPr>
                <w:rFonts w:ascii="EC Square Sans Cond Pro" w:hAnsi="EC Square Sans Cond Pro"/>
                <w:noProof/>
                <w:sz w:val="16"/>
                <w:szCs w:val="16"/>
                <w:vertAlign w:val="superscript"/>
                <w:lang w:val="en-GB"/>
              </w:rPr>
            </w:pPr>
            <w:bookmarkStart w:id="21" w:name="_1647084582"/>
            <w:bookmarkEnd w:id="21"/>
            <w:r>
              <w:rPr>
                <w:rFonts w:ascii="EC Square Sans Cond Pro" w:hAnsi="EC Square Sans Cond Pro" w:cs="EC Square Sans Cond Pro"/>
                <w:noProof/>
                <w:color w:val="000000"/>
                <w:sz w:val="16"/>
                <w:szCs w:val="16"/>
                <w:lang w:val="en-GB" w:eastAsia="en-GB"/>
              </w:rPr>
              <w:t>Higher education, vocational education and training, schools and adult staff supported (in thousands)</w:t>
            </w:r>
            <w:r>
              <w:rPr>
                <w:rFonts w:ascii="EC Square Sans Cond Pro" w:hAnsi="EC Square Sans Cond Pro"/>
                <w:noProof/>
                <w:sz w:val="16"/>
                <w:szCs w:val="16"/>
                <w:lang w:val="en-GB"/>
              </w:rPr>
              <w:t xml:space="preserve"> (</w:t>
            </w:r>
            <w:r>
              <w:rPr>
                <w:rFonts w:ascii="EC Square Sans Cond Pro" w:hAnsi="EC Square Sans Cond Pro"/>
                <w:noProof/>
                <w:sz w:val="16"/>
                <w:szCs w:val="16"/>
                <w:vertAlign w:val="superscript"/>
                <w:lang w:val="en-GB"/>
              </w:rPr>
              <w:t>1</w:t>
            </w:r>
            <w:r>
              <w:rPr>
                <w:rFonts w:ascii="EC Square Sans Cond Pro" w:hAnsi="EC Square Sans Cond Pro"/>
                <w:noProof/>
                <w:sz w:val="16"/>
                <w:szCs w:val="16"/>
                <w:lang w:val="en-GB"/>
              </w:rPr>
              <w:t>)</w:t>
            </w:r>
          </w:p>
        </w:tc>
        <w:tc>
          <w:tcPr>
            <w:tcW w:w="707" w:type="dxa"/>
            <w:vAlign w:val="center"/>
          </w:tcPr>
          <w:p w:rsidR="0060634A" w:rsidRDefault="0060634A">
            <w:pPr>
              <w:jc w:val="center"/>
              <w:rPr>
                <w:rFonts w:ascii="EC Square Sans Cond Pro" w:hAnsi="EC Square Sans Cond Pro"/>
                <w:noProof/>
                <w:sz w:val="16"/>
                <w:szCs w:val="16"/>
                <w:lang w:val="en-GB"/>
              </w:rPr>
            </w:pPr>
          </w:p>
        </w:tc>
        <w:tc>
          <w:tcPr>
            <w:tcW w:w="3497"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68" name="Chart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0"/>
                    </a:graphicData>
                  </a:graphic>
                </wp:inline>
              </w:drawing>
            </w:r>
          </w:p>
        </w:tc>
        <w:tc>
          <w:tcPr>
            <w:tcW w:w="595" w:type="dxa"/>
            <w:vAlign w:val="center"/>
          </w:tcPr>
          <w:p w:rsidR="0060634A" w:rsidRDefault="00F76D44">
            <w:pPr>
              <w:jc w:val="center"/>
              <w:rPr>
                <w:rFonts w:ascii="EC Square Sans Cond Pro" w:hAnsi="EC Square Sans Cond Pro"/>
                <w:noProof/>
                <w:sz w:val="16"/>
                <w:szCs w:val="16"/>
              </w:rPr>
            </w:pPr>
            <w:bookmarkStart w:id="22" w:name="_1647084742"/>
            <w:bookmarkEnd w:id="22"/>
            <w:r>
              <w:rPr>
                <w:rFonts w:ascii="EC Square Sans Cond Pro" w:hAnsi="EC Square Sans Cond Pro" w:cs="EC Square Sans Cond Pro"/>
                <w:noProof/>
                <w:color w:val="000000"/>
                <w:sz w:val="16"/>
                <w:szCs w:val="16"/>
                <w:lang w:val="en-US"/>
              </w:rPr>
              <w:t>650</w:t>
            </w:r>
          </w:p>
        </w:tc>
        <w:tc>
          <w:tcPr>
            <w:tcW w:w="2847" w:type="dxa"/>
            <w:gridSpan w:val="2"/>
            <w:vAlign w:val="center"/>
          </w:tcPr>
          <w:p w:rsidR="0060634A" w:rsidRDefault="00F76D44">
            <w:pPr>
              <w:ind w:left="142"/>
              <w:rPr>
                <w:rFonts w:ascii="EC Square Sans Cond Pro" w:hAnsi="EC Square Sans Cond Pro"/>
                <w:noProof/>
                <w:sz w:val="16"/>
                <w:szCs w:val="16"/>
                <w:lang w:val="en-GB"/>
              </w:rPr>
            </w:pPr>
            <w:bookmarkStart w:id="23" w:name="_1647084854"/>
            <w:bookmarkEnd w:id="23"/>
            <w:r>
              <w:rPr>
                <w:rFonts w:ascii="EC Square Sans Cond Pro" w:hAnsi="EC Square Sans Cond Pro" w:cs="EC Square Sans Cond Pro"/>
                <w:noProof/>
                <w:color w:val="000000"/>
                <w:sz w:val="16"/>
                <w:szCs w:val="16"/>
                <w:lang w:val="en-GB" w:eastAsia="en-GB"/>
              </w:rPr>
              <w:t>654 compared to 650 thousand</w:t>
            </w:r>
            <w:r>
              <w:rPr>
                <w:rFonts w:ascii="EC Square Sans Cond Pro" w:hAnsi="EC Square Sans Cond Pro" w:cs="EC Square Sans Cond Pro"/>
                <w:noProof/>
                <w:color w:val="000000"/>
                <w:sz w:val="16"/>
                <w:szCs w:val="16"/>
                <w:lang w:val="en-GB" w:eastAsia="en-GB"/>
              </w:rPr>
              <w:t xml:space="preserve"> staff supported</w:t>
            </w:r>
          </w:p>
        </w:tc>
      </w:tr>
      <w:tr w:rsidR="0060634A">
        <w:tblPrEx>
          <w:tblCellMar>
            <w:left w:w="108" w:type="dxa"/>
            <w:right w:w="108" w:type="dxa"/>
          </w:tblCellMar>
        </w:tblPrEx>
        <w:trPr>
          <w:trHeight w:val="369"/>
        </w:trPr>
        <w:tc>
          <w:tcPr>
            <w:tcW w:w="3094" w:type="dxa"/>
            <w:vAlign w:val="center"/>
          </w:tcPr>
          <w:p w:rsidR="0060634A" w:rsidRDefault="00F76D44">
            <w:pPr>
              <w:ind w:left="142"/>
              <w:jc w:val="right"/>
              <w:rPr>
                <w:rFonts w:ascii="EC Square Sans Cond Pro" w:hAnsi="EC Square Sans Cond Pro"/>
                <w:noProof/>
                <w:sz w:val="16"/>
                <w:szCs w:val="16"/>
                <w:vertAlign w:val="superscript"/>
                <w:lang w:val="en-GB"/>
              </w:rPr>
            </w:pPr>
            <w:r>
              <w:rPr>
                <w:rFonts w:ascii="EC Square Sans Cond Pro" w:eastAsiaTheme="minorEastAsia" w:hAnsi="EC Square Sans Cond Pro" w:cs="EC Square Sans Cond Pro"/>
                <w:noProof/>
                <w:color w:val="000000"/>
                <w:sz w:val="16"/>
                <w:szCs w:val="16"/>
                <w:lang w:val="en-GB" w:eastAsia="en-GB"/>
              </w:rPr>
              <w:t>Participants declaring an increase in competencies</w:t>
            </w:r>
          </w:p>
        </w:tc>
        <w:tc>
          <w:tcPr>
            <w:tcW w:w="707" w:type="dxa"/>
            <w:vAlign w:val="center"/>
          </w:tcPr>
          <w:p w:rsidR="0060634A" w:rsidRDefault="0060634A">
            <w:pPr>
              <w:jc w:val="center"/>
              <w:rPr>
                <w:rFonts w:ascii="EC Square Sans Cond Pro" w:hAnsi="EC Square Sans Cond Pro"/>
                <w:noProof/>
                <w:sz w:val="16"/>
                <w:szCs w:val="16"/>
                <w:lang w:val="en-GB" w:eastAsia="en-GB"/>
              </w:rPr>
            </w:pPr>
          </w:p>
        </w:tc>
        <w:tc>
          <w:tcPr>
            <w:tcW w:w="3497"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79930" cy="127000"/>
                  <wp:effectExtent l="0" t="0" r="1270" b="6350"/>
                  <wp:docPr id="1567" name="Chart 15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1"/>
                    </a:graphicData>
                  </a:graphic>
                </wp:inline>
              </w:drawing>
            </w:r>
          </w:p>
        </w:tc>
        <w:tc>
          <w:tcPr>
            <w:tcW w:w="595" w:type="dxa"/>
            <w:vAlign w:val="center"/>
          </w:tcPr>
          <w:p w:rsidR="0060634A" w:rsidRDefault="00F76D44">
            <w:pPr>
              <w:jc w:val="center"/>
              <w:rPr>
                <w:rFonts w:ascii="EC Square Sans Cond Pro" w:hAnsi="EC Square Sans Cond Pro"/>
                <w:noProof/>
                <w:sz w:val="16"/>
                <w:szCs w:val="16"/>
              </w:rPr>
            </w:pPr>
            <w:r>
              <w:rPr>
                <w:rFonts w:ascii="EC Square Sans Cond Pro" w:eastAsiaTheme="minorEastAsia" w:hAnsi="EC Square Sans Cond Pro" w:cs="EC Square Sans Cond Pro"/>
                <w:noProof/>
                <w:color w:val="000000"/>
                <w:sz w:val="16"/>
                <w:szCs w:val="16"/>
                <w:lang w:eastAsia="en-GB"/>
              </w:rPr>
              <w:t>88%</w:t>
            </w:r>
          </w:p>
        </w:tc>
        <w:tc>
          <w:tcPr>
            <w:tcW w:w="2847" w:type="dxa"/>
            <w:gridSpan w:val="2"/>
            <w:vAlign w:val="center"/>
          </w:tcPr>
          <w:p w:rsidR="0060634A" w:rsidRDefault="00F76D44">
            <w:pPr>
              <w:ind w:left="142"/>
              <w:rPr>
                <w:rFonts w:ascii="EC Square Sans Cond Pro" w:hAnsi="EC Square Sans Cond Pro"/>
                <w:noProof/>
                <w:sz w:val="16"/>
                <w:szCs w:val="16"/>
              </w:rPr>
            </w:pPr>
            <w:r>
              <w:rPr>
                <w:rFonts w:ascii="EC Square Sans Cond Pro" w:eastAsiaTheme="minorEastAsia" w:hAnsi="EC Square Sans Cond Pro" w:cs="EC Square Sans Cond Pro"/>
                <w:noProof/>
                <w:color w:val="000000"/>
                <w:sz w:val="16"/>
                <w:szCs w:val="16"/>
                <w:lang w:eastAsia="en-GB"/>
              </w:rPr>
              <w:t>93% compared to 88% target</w:t>
            </w:r>
          </w:p>
        </w:tc>
      </w:tr>
      <w:tr w:rsidR="0060634A">
        <w:tblPrEx>
          <w:tblCellMar>
            <w:left w:w="108" w:type="dxa"/>
            <w:right w:w="108" w:type="dxa"/>
          </w:tblCellMar>
        </w:tblPrEx>
        <w:trPr>
          <w:trHeight w:val="368"/>
        </w:trPr>
        <w:tc>
          <w:tcPr>
            <w:tcW w:w="3094" w:type="dxa"/>
            <w:vAlign w:val="center"/>
          </w:tcPr>
          <w:p w:rsidR="0060634A" w:rsidRDefault="00F76D44">
            <w:pPr>
              <w:ind w:left="142"/>
              <w:jc w:val="right"/>
              <w:rPr>
                <w:rFonts w:ascii="EC Square Sans Cond Pro" w:hAnsi="EC Square Sans Cond Pro"/>
                <w:noProof/>
                <w:sz w:val="16"/>
                <w:szCs w:val="16"/>
                <w:vertAlign w:val="superscript"/>
                <w:lang w:val="en-GB"/>
              </w:rPr>
            </w:pPr>
            <w:r>
              <w:rPr>
                <w:rFonts w:ascii="EC Square Sans Cond Pro" w:hAnsi="EC Square Sans Cond Pro" w:cs="EC Square Sans Cond Pro"/>
                <w:noProof/>
                <w:color w:val="000000"/>
                <w:sz w:val="16"/>
                <w:szCs w:val="16"/>
                <w:lang w:val="en-US"/>
              </w:rPr>
              <w:t>Participants who</w:t>
            </w:r>
            <w:r>
              <w:rPr>
                <w:rFonts w:ascii="EC Square Sans Cond Pro" w:hAnsi="EC Square Sans Cond Pro" w:cs="EC Square Sans Cond Pro"/>
                <w:noProof/>
                <w:color w:val="000000"/>
                <w:sz w:val="16"/>
                <w:szCs w:val="16"/>
                <w:lang w:val="en-GB" w:eastAsia="en-GB"/>
              </w:rPr>
              <w:t xml:space="preserve"> have received a</w:t>
            </w:r>
            <w:r>
              <w:rPr>
                <w:rFonts w:ascii="EC Square Sans Cond Pro" w:hAnsi="EC Square Sans Cond Pro" w:cs="EC Square Sans Cond Pro"/>
                <w:noProof/>
                <w:color w:val="000000"/>
                <w:sz w:val="16"/>
                <w:szCs w:val="16"/>
                <w:lang w:val="en-US"/>
              </w:rPr>
              <w:t xml:space="preserve"> certificate or diploma</w:t>
            </w:r>
          </w:p>
        </w:tc>
        <w:tc>
          <w:tcPr>
            <w:tcW w:w="707" w:type="dxa"/>
            <w:vAlign w:val="center"/>
          </w:tcPr>
          <w:p w:rsidR="0060634A" w:rsidRDefault="0060634A">
            <w:pPr>
              <w:jc w:val="center"/>
              <w:rPr>
                <w:rFonts w:ascii="EC Square Sans Cond Pro" w:hAnsi="EC Square Sans Cond Pro"/>
                <w:noProof/>
                <w:sz w:val="16"/>
                <w:szCs w:val="16"/>
                <w:lang w:val="en-GB" w:eastAsia="en-GB"/>
              </w:rPr>
            </w:pPr>
          </w:p>
        </w:tc>
        <w:tc>
          <w:tcPr>
            <w:tcW w:w="3497"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553" name="Chart 15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2"/>
                    </a:graphicData>
                  </a:graphic>
                </wp:inline>
              </w:drawing>
            </w:r>
          </w:p>
        </w:tc>
        <w:tc>
          <w:tcPr>
            <w:tcW w:w="595"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88%</w:t>
            </w:r>
          </w:p>
        </w:tc>
        <w:tc>
          <w:tcPr>
            <w:tcW w:w="2847"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90% compared to 88% target</w:t>
            </w:r>
          </w:p>
        </w:tc>
      </w:tr>
      <w:tr w:rsidR="0060634A">
        <w:tblPrEx>
          <w:tblCellMar>
            <w:left w:w="108" w:type="dxa"/>
            <w:right w:w="108" w:type="dxa"/>
          </w:tblCellMar>
        </w:tblPrEx>
        <w:trPr>
          <w:trHeight w:val="369"/>
        </w:trPr>
        <w:tc>
          <w:tcPr>
            <w:tcW w:w="3094" w:type="dxa"/>
            <w:vAlign w:val="center"/>
          </w:tcPr>
          <w:p w:rsidR="0060634A" w:rsidRDefault="00F76D44">
            <w:pPr>
              <w:ind w:left="142"/>
              <w:jc w:val="right"/>
              <w:rPr>
                <w:rFonts w:ascii="EC Square Sans Cond Pro" w:hAnsi="EC Square Sans Cond Pro"/>
                <w:noProof/>
                <w:sz w:val="16"/>
                <w:szCs w:val="16"/>
                <w:lang w:val="en-GB"/>
              </w:rPr>
            </w:pPr>
            <w:bookmarkStart w:id="24" w:name="_1647084989"/>
            <w:bookmarkEnd w:id="24"/>
            <w:r>
              <w:rPr>
                <w:rFonts w:ascii="EC Square Sans Cond Pro" w:hAnsi="EC Square Sans Cond Pro" w:cs="EC Square Sans Cond Pro"/>
                <w:noProof/>
                <w:color w:val="000000"/>
                <w:sz w:val="16"/>
                <w:szCs w:val="16"/>
                <w:lang w:val="en-US"/>
              </w:rPr>
              <w:t>Youth staff supported (in thousands)</w:t>
            </w:r>
            <w:r>
              <w:rPr>
                <w:rFonts w:ascii="EC Square Sans Cond Pro" w:hAnsi="EC Square Sans Cond Pro"/>
                <w:noProof/>
                <w:sz w:val="16"/>
                <w:szCs w:val="16"/>
                <w:lang w:val="en-GB"/>
              </w:rPr>
              <w:t xml:space="preserve"> (</w:t>
            </w:r>
            <w:r>
              <w:rPr>
                <w:rFonts w:ascii="EC Square Sans Cond Pro" w:hAnsi="EC Square Sans Cond Pro"/>
                <w:noProof/>
                <w:sz w:val="16"/>
                <w:szCs w:val="16"/>
                <w:vertAlign w:val="superscript"/>
                <w:lang w:val="en-GB"/>
              </w:rPr>
              <w:t>1</w:t>
            </w:r>
            <w:r>
              <w:rPr>
                <w:rFonts w:ascii="EC Square Sans Cond Pro" w:hAnsi="EC Square Sans Cond Pro"/>
                <w:noProof/>
                <w:sz w:val="16"/>
                <w:szCs w:val="16"/>
                <w:lang w:val="en-GB"/>
              </w:rPr>
              <w:t>)</w:t>
            </w:r>
          </w:p>
        </w:tc>
        <w:tc>
          <w:tcPr>
            <w:tcW w:w="707" w:type="dxa"/>
            <w:vAlign w:val="center"/>
          </w:tcPr>
          <w:p w:rsidR="0060634A" w:rsidRDefault="0060634A">
            <w:pPr>
              <w:jc w:val="center"/>
              <w:rPr>
                <w:rFonts w:ascii="EC Square Sans Cond Pro" w:hAnsi="EC Square Sans Cond Pro"/>
                <w:noProof/>
                <w:sz w:val="16"/>
                <w:szCs w:val="16"/>
                <w:lang w:val="en-GB"/>
              </w:rPr>
            </w:pPr>
            <w:bookmarkStart w:id="25" w:name="_1647087719"/>
            <w:bookmarkEnd w:id="25"/>
          </w:p>
        </w:tc>
        <w:tc>
          <w:tcPr>
            <w:tcW w:w="3497"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69" name="Chart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inline>
              </w:drawing>
            </w:r>
          </w:p>
        </w:tc>
        <w:tc>
          <w:tcPr>
            <w:tcW w:w="595" w:type="dxa"/>
            <w:vAlign w:val="center"/>
          </w:tcPr>
          <w:p w:rsidR="0060634A" w:rsidRDefault="00F76D44">
            <w:pPr>
              <w:jc w:val="center"/>
              <w:rPr>
                <w:rFonts w:ascii="EC Square Sans Cond Pro" w:hAnsi="EC Square Sans Cond Pro"/>
                <w:noProof/>
                <w:sz w:val="16"/>
                <w:szCs w:val="16"/>
              </w:rPr>
            </w:pPr>
            <w:bookmarkStart w:id="26" w:name="_1647085089"/>
            <w:bookmarkEnd w:id="26"/>
            <w:r>
              <w:rPr>
                <w:rFonts w:ascii="EC Square Sans Cond Pro" w:hAnsi="EC Square Sans Cond Pro" w:cs="EC Square Sans Cond Pro"/>
                <w:noProof/>
                <w:color w:val="000000"/>
                <w:sz w:val="16"/>
                <w:szCs w:val="16"/>
                <w:lang w:val="en-US"/>
              </w:rPr>
              <w:t>162</w:t>
            </w:r>
          </w:p>
        </w:tc>
        <w:tc>
          <w:tcPr>
            <w:tcW w:w="2847" w:type="dxa"/>
            <w:gridSpan w:val="2"/>
            <w:vAlign w:val="center"/>
          </w:tcPr>
          <w:p w:rsidR="0060634A" w:rsidRDefault="00F76D44">
            <w:pPr>
              <w:ind w:left="142"/>
              <w:rPr>
                <w:rFonts w:ascii="EC Square Sans Cond Pro" w:hAnsi="EC Square Sans Cond Pro"/>
                <w:noProof/>
                <w:sz w:val="16"/>
                <w:szCs w:val="16"/>
                <w:lang w:val="en-GB"/>
              </w:rPr>
            </w:pPr>
            <w:bookmarkStart w:id="27" w:name="_1647085229"/>
            <w:bookmarkEnd w:id="27"/>
            <w:r>
              <w:rPr>
                <w:rFonts w:ascii="EC Square Sans Cond Pro" w:hAnsi="EC Square Sans Cond Pro" w:cs="EC Square Sans Cond Pro"/>
                <w:noProof/>
                <w:color w:val="000000"/>
                <w:sz w:val="16"/>
                <w:szCs w:val="16"/>
                <w:lang w:val="en-GB" w:eastAsia="en-GB"/>
              </w:rPr>
              <w:t xml:space="preserve">198 compared </w:t>
            </w:r>
            <w:r>
              <w:rPr>
                <w:rFonts w:ascii="EC Square Sans Cond Pro" w:hAnsi="EC Square Sans Cond Pro" w:cs="EC Square Sans Cond Pro"/>
                <w:noProof/>
                <w:color w:val="000000"/>
                <w:sz w:val="16"/>
                <w:szCs w:val="16"/>
                <w:lang w:val="en-GB" w:eastAsia="en-GB"/>
              </w:rPr>
              <w:t>to 162 thousand staff supported</w:t>
            </w:r>
          </w:p>
        </w:tc>
      </w:tr>
      <w:tr w:rsidR="0060634A">
        <w:tblPrEx>
          <w:tblCellMar>
            <w:left w:w="108" w:type="dxa"/>
            <w:right w:w="108" w:type="dxa"/>
          </w:tblCellMar>
        </w:tblPrEx>
        <w:trPr>
          <w:trHeight w:val="369"/>
        </w:trPr>
        <w:tc>
          <w:tcPr>
            <w:tcW w:w="3094" w:type="dxa"/>
            <w:vAlign w:val="center"/>
          </w:tcPr>
          <w:p w:rsidR="0060634A" w:rsidRDefault="00F76D44">
            <w:pPr>
              <w:ind w:left="142"/>
              <w:jc w:val="right"/>
              <w:rPr>
                <w:rFonts w:ascii="EC Square Sans Cond Pro" w:hAnsi="EC Square Sans Cond Pro"/>
                <w:noProof/>
                <w:sz w:val="16"/>
                <w:vertAlign w:val="superscript"/>
                <w:lang w:val="en-GB"/>
              </w:rPr>
            </w:pPr>
            <w:r>
              <w:rPr>
                <w:rFonts w:ascii="EC Square Sans Cond Pro" w:hAnsi="EC Square Sans Cond Pro" w:cs="EC Square Sans Cond Pro"/>
                <w:noProof/>
                <w:color w:val="000000"/>
                <w:sz w:val="16"/>
                <w:szCs w:val="16"/>
                <w:lang w:val="en-GB" w:eastAsia="en-GB"/>
              </w:rPr>
              <w:t>Long-term mobility – increased language skills</w:t>
            </w:r>
            <w:r>
              <w:rPr>
                <w:rFonts w:ascii="EC Square Sans Cond Pro" w:hAnsi="EC Square Sans Cond Pro"/>
                <w:noProof/>
                <w:sz w:val="16"/>
                <w:vertAlign w:val="superscript"/>
                <w:lang w:val="en-GB"/>
              </w:rPr>
              <w:t xml:space="preserve"> </w:t>
            </w:r>
            <w:r>
              <w:rPr>
                <w:rFonts w:ascii="EC Square Sans Cond Pro" w:hAnsi="EC Square Sans Cond Pro"/>
                <w:noProof/>
                <w:sz w:val="16"/>
                <w:szCs w:val="16"/>
                <w:lang w:val="en-GB"/>
              </w:rPr>
              <w:t>(</w:t>
            </w:r>
            <w:r>
              <w:rPr>
                <w:rFonts w:ascii="EC Square Sans Cond Pro" w:hAnsi="EC Square Sans Cond Pro"/>
                <w:noProof/>
                <w:sz w:val="16"/>
                <w:szCs w:val="16"/>
                <w:vertAlign w:val="superscript"/>
                <w:lang w:val="en-GB"/>
              </w:rPr>
              <w:t>1</w:t>
            </w:r>
            <w:r>
              <w:rPr>
                <w:rFonts w:ascii="EC Square Sans Cond Pro" w:hAnsi="EC Square Sans Cond Pro"/>
                <w:noProof/>
                <w:sz w:val="16"/>
                <w:szCs w:val="16"/>
                <w:lang w:val="en-GB"/>
              </w:rPr>
              <w:t>)</w:t>
            </w:r>
          </w:p>
        </w:tc>
        <w:tc>
          <w:tcPr>
            <w:tcW w:w="707" w:type="dxa"/>
            <w:vAlign w:val="center"/>
          </w:tcPr>
          <w:p w:rsidR="0060634A" w:rsidRDefault="0060634A">
            <w:pPr>
              <w:jc w:val="center"/>
              <w:rPr>
                <w:rFonts w:ascii="EC Square Sans Cond Pro" w:hAnsi="EC Square Sans Cond Pro"/>
                <w:noProof/>
                <w:sz w:val="16"/>
                <w:szCs w:val="16"/>
                <w:lang w:val="en-GB"/>
              </w:rPr>
            </w:pPr>
            <w:bookmarkStart w:id="28" w:name="_1647088608"/>
            <w:bookmarkEnd w:id="28"/>
          </w:p>
        </w:tc>
        <w:tc>
          <w:tcPr>
            <w:tcW w:w="3497"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1554" name="Chart 15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p>
        </w:tc>
        <w:tc>
          <w:tcPr>
            <w:tcW w:w="595"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98%</w:t>
            </w:r>
          </w:p>
        </w:tc>
        <w:tc>
          <w:tcPr>
            <w:tcW w:w="2847"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95% compared to 98% participants</w:t>
            </w:r>
          </w:p>
        </w:tc>
      </w:tr>
      <w:tr w:rsidR="0060634A">
        <w:tblPrEx>
          <w:tblCellMar>
            <w:left w:w="108" w:type="dxa"/>
            <w:right w:w="108" w:type="dxa"/>
          </w:tblCellMar>
        </w:tblPrEx>
        <w:trPr>
          <w:trHeight w:val="369"/>
        </w:trPr>
        <w:tc>
          <w:tcPr>
            <w:tcW w:w="3094" w:type="dxa"/>
            <w:vAlign w:val="center"/>
          </w:tcPr>
          <w:p w:rsidR="0060634A" w:rsidRDefault="00F76D44">
            <w:pPr>
              <w:ind w:left="142"/>
              <w:jc w:val="right"/>
              <w:rPr>
                <w:rFonts w:ascii="EC Square Sans Cond Pro" w:hAnsi="EC Square Sans Cond Pro"/>
                <w:noProof/>
                <w:sz w:val="16"/>
                <w:vertAlign w:val="superscript"/>
                <w:lang w:val="en-GB"/>
              </w:rPr>
            </w:pPr>
            <w:bookmarkStart w:id="29" w:name="_1647088430"/>
            <w:bookmarkEnd w:id="29"/>
            <w:r>
              <w:rPr>
                <w:rFonts w:ascii="EC Square Sans Cond Pro" w:hAnsi="EC Square Sans Cond Pro" w:cs="EC Square Sans Cond Pro"/>
                <w:noProof/>
                <w:color w:val="000000"/>
                <w:sz w:val="16"/>
                <w:szCs w:val="16"/>
                <w:lang w:val="en-GB" w:eastAsia="en-GB"/>
              </w:rPr>
              <w:t>Partner country higher education institutions involved in mobility and cooperation actions</w:t>
            </w:r>
            <w:r>
              <w:rPr>
                <w:rFonts w:ascii="EC Square Sans Cond Pro" w:hAnsi="EC Square Sans Cond Pro"/>
                <w:noProof/>
                <w:sz w:val="16"/>
                <w:vertAlign w:val="superscript"/>
                <w:lang w:val="en-GB"/>
              </w:rPr>
              <w:t xml:space="preserve"> </w:t>
            </w:r>
            <w:r>
              <w:rPr>
                <w:rFonts w:ascii="EC Square Sans Cond Pro" w:hAnsi="EC Square Sans Cond Pro"/>
                <w:noProof/>
                <w:sz w:val="16"/>
                <w:szCs w:val="16"/>
                <w:lang w:val="en-GB"/>
              </w:rPr>
              <w:t>(</w:t>
            </w:r>
            <w:r>
              <w:rPr>
                <w:rFonts w:ascii="EC Square Sans Cond Pro" w:hAnsi="EC Square Sans Cond Pro"/>
                <w:noProof/>
                <w:sz w:val="16"/>
                <w:szCs w:val="16"/>
                <w:vertAlign w:val="superscript"/>
                <w:lang w:val="en-GB"/>
              </w:rPr>
              <w:t>1</w:t>
            </w:r>
            <w:r>
              <w:rPr>
                <w:rFonts w:ascii="EC Square Sans Cond Pro" w:hAnsi="EC Square Sans Cond Pro"/>
                <w:noProof/>
                <w:sz w:val="16"/>
                <w:szCs w:val="16"/>
                <w:lang w:val="en-GB"/>
              </w:rPr>
              <w:t>)</w:t>
            </w:r>
          </w:p>
        </w:tc>
        <w:tc>
          <w:tcPr>
            <w:tcW w:w="707" w:type="dxa"/>
            <w:vAlign w:val="center"/>
          </w:tcPr>
          <w:p w:rsidR="0060634A" w:rsidRDefault="0060634A">
            <w:pPr>
              <w:jc w:val="center"/>
              <w:rPr>
                <w:rFonts w:ascii="EC Square Sans Cond Pro" w:hAnsi="EC Square Sans Cond Pro"/>
                <w:noProof/>
                <w:sz w:val="16"/>
                <w:szCs w:val="16"/>
                <w:lang w:val="en-GB"/>
              </w:rPr>
            </w:pPr>
            <w:bookmarkStart w:id="30" w:name="_1647089173"/>
            <w:bookmarkEnd w:id="30"/>
          </w:p>
        </w:tc>
        <w:tc>
          <w:tcPr>
            <w:tcW w:w="3497"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272" name="Chart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
                    </a:graphicData>
                  </a:graphic>
                </wp:inline>
              </w:drawing>
            </w:r>
          </w:p>
        </w:tc>
        <w:tc>
          <w:tcPr>
            <w:tcW w:w="595" w:type="dxa"/>
            <w:vAlign w:val="center"/>
          </w:tcPr>
          <w:p w:rsidR="0060634A" w:rsidRDefault="00F76D44">
            <w:pPr>
              <w:jc w:val="center"/>
              <w:rPr>
                <w:rFonts w:ascii="EC Square Sans Cond Pro" w:hAnsi="EC Square Sans Cond Pro"/>
                <w:noProof/>
                <w:sz w:val="16"/>
                <w:szCs w:val="16"/>
              </w:rPr>
            </w:pPr>
            <w:bookmarkStart w:id="31" w:name="_1647088737"/>
            <w:bookmarkEnd w:id="31"/>
            <w:r>
              <w:rPr>
                <w:rFonts w:ascii="EC Square Sans Cond Pro" w:hAnsi="EC Square Sans Cond Pro" w:cs="EC Square Sans Cond Pro"/>
                <w:noProof/>
                <w:color w:val="000000"/>
                <w:sz w:val="16"/>
                <w:szCs w:val="16"/>
                <w:lang w:val="en-US"/>
              </w:rPr>
              <w:t>1 300</w:t>
            </w:r>
          </w:p>
        </w:tc>
        <w:tc>
          <w:tcPr>
            <w:tcW w:w="2847" w:type="dxa"/>
            <w:gridSpan w:val="2"/>
            <w:vAlign w:val="center"/>
          </w:tcPr>
          <w:p w:rsidR="0060634A" w:rsidRDefault="00F76D44">
            <w:pPr>
              <w:ind w:left="142"/>
              <w:rPr>
                <w:rFonts w:ascii="EC Square Sans Cond Pro" w:hAnsi="EC Square Sans Cond Pro"/>
                <w:noProof/>
                <w:sz w:val="16"/>
                <w:szCs w:val="16"/>
              </w:rPr>
            </w:pPr>
            <w:bookmarkStart w:id="32" w:name="_1647088913"/>
            <w:bookmarkEnd w:id="32"/>
            <w:r>
              <w:rPr>
                <w:rFonts w:ascii="EC Square Sans Cond Pro" w:hAnsi="EC Square Sans Cond Pro" w:cs="EC Square Sans Cond Pro"/>
                <w:noProof/>
                <w:color w:val="000000"/>
                <w:sz w:val="16"/>
                <w:szCs w:val="16"/>
                <w:lang w:val="en-US"/>
              </w:rPr>
              <w:t xml:space="preserve">1 096 out of 1 300 </w:t>
            </w:r>
            <w:r>
              <w:rPr>
                <w:rFonts w:ascii="EC Square Sans Cond Pro" w:hAnsi="EC Square Sans Cond Pro" w:cs="EC Square Sans Cond Pro"/>
                <w:noProof/>
                <w:color w:val="000000"/>
                <w:sz w:val="16"/>
                <w:szCs w:val="16"/>
                <w:lang w:val="en-US"/>
              </w:rPr>
              <w:t>institutions</w:t>
            </w:r>
          </w:p>
        </w:tc>
      </w:tr>
      <w:tr w:rsidR="0060634A">
        <w:trPr>
          <w:trHeight w:val="247"/>
        </w:trPr>
        <w:tc>
          <w:tcPr>
            <w:tcW w:w="3094" w:type="dxa"/>
            <w:tcBorders>
              <w:bottom w:val="nil"/>
            </w:tcBorders>
            <w:vAlign w:val="center"/>
          </w:tcPr>
          <w:p w:rsidR="0060634A" w:rsidRDefault="0060634A">
            <w:pPr>
              <w:ind w:left="142"/>
              <w:jc w:val="right"/>
              <w:rPr>
                <w:noProof/>
                <w:sz w:val="16"/>
                <w:szCs w:val="16"/>
              </w:rPr>
            </w:pPr>
          </w:p>
        </w:tc>
        <w:tc>
          <w:tcPr>
            <w:tcW w:w="707" w:type="dxa"/>
            <w:tcBorders>
              <w:bottom w:val="nil"/>
            </w:tcBorders>
          </w:tcPr>
          <w:p w:rsidR="0060634A" w:rsidRDefault="00F76D44">
            <w:pPr>
              <w:ind w:left="142"/>
              <w:rPr>
                <w:noProof/>
                <w:sz w:val="16"/>
                <w:szCs w:val="16"/>
                <w:lang w:eastAsia="en-GB"/>
              </w:rPr>
            </w:pPr>
            <w:r>
              <w:rPr>
                <w:noProof/>
                <w:sz w:val="16"/>
                <w:szCs w:val="16"/>
                <w:lang w:eastAsia="fr-BE"/>
              </w:rPr>
              <mc:AlternateContent>
                <mc:Choice Requires="wps">
                  <w:drawing>
                    <wp:anchor distT="0" distB="0" distL="114300" distR="114300" simplePos="0" relativeHeight="251661312" behindDoc="1" locked="0" layoutInCell="1" allowOverlap="1">
                      <wp:simplePos x="0" y="0"/>
                      <wp:positionH relativeFrom="column">
                        <wp:posOffset>312420</wp:posOffset>
                      </wp:positionH>
                      <wp:positionV relativeFrom="paragraph">
                        <wp:posOffset>67945</wp:posOffset>
                      </wp:positionV>
                      <wp:extent cx="80645" cy="99060"/>
                      <wp:effectExtent l="0" t="0" r="0" b="0"/>
                      <wp:wrapThrough wrapText="bothSides">
                        <wp:wrapPolygon edited="0">
                          <wp:start x="0" y="0"/>
                          <wp:lineTo x="0" y="16615"/>
                          <wp:lineTo x="15307" y="16615"/>
                          <wp:lineTo x="15307" y="0"/>
                          <wp:lineTo x="0" y="0"/>
                        </wp:wrapPolygon>
                      </wp:wrapThrough>
                      <wp:docPr id="261" name="Rectangle 261"/>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533DB" id="Rectangle 261" o:spid="_x0000_s1026" style="position:absolute;margin-left:24.6pt;margin-top:5.35pt;width:6.35pt;height:7.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" fillcolor="#28296e" stroked="f" strokeweight="1pt">
                      <w10:wrap type="through"/>
                    </v:rect>
                  </w:pict>
                </mc:Fallback>
              </mc:AlternateContent>
            </w:r>
          </w:p>
        </w:tc>
        <w:tc>
          <w:tcPr>
            <w:tcW w:w="3497" w:type="dxa"/>
            <w:tcBorders>
              <w:bottom w:val="nil"/>
            </w:tcBorders>
            <w:vAlign w:val="center"/>
          </w:tcPr>
          <w:p w:rsidR="0060634A" w:rsidRDefault="00F76D44">
            <w:pPr>
              <w:spacing w:before="120"/>
              <w:rPr>
                <w:noProof/>
                <w:sz w:val="16"/>
                <w:szCs w:val="16"/>
                <w:lang w:val="en-GB"/>
              </w:rPr>
            </w:pPr>
            <w:r>
              <w:rPr>
                <w:noProof/>
                <w:sz w:val="16"/>
                <w:szCs w:val="16"/>
                <w:lang w:val="en-GB"/>
              </w:rPr>
              <w:t>% of target achieved by the end of 2019</w:t>
            </w:r>
          </w:p>
        </w:tc>
        <w:tc>
          <w:tcPr>
            <w:tcW w:w="595" w:type="dxa"/>
            <w:tcBorders>
              <w:bottom w:val="nil"/>
            </w:tcBorders>
          </w:tcPr>
          <w:p w:rsidR="0060634A" w:rsidRDefault="0060634A">
            <w:pPr>
              <w:ind w:left="142"/>
              <w:rPr>
                <w:noProof/>
                <w:sz w:val="16"/>
                <w:szCs w:val="16"/>
                <w:lang w:val="en-GB" w:eastAsia="en-GB"/>
              </w:rPr>
            </w:pPr>
          </w:p>
        </w:tc>
        <w:tc>
          <w:tcPr>
            <w:tcW w:w="2847" w:type="dxa"/>
            <w:gridSpan w:val="2"/>
            <w:tcBorders>
              <w:bottom w:val="nil"/>
            </w:tcBorders>
            <w:vAlign w:val="center"/>
          </w:tcPr>
          <w:p w:rsidR="0060634A" w:rsidRDefault="0060634A">
            <w:pPr>
              <w:ind w:left="142"/>
              <w:rPr>
                <w:noProof/>
                <w:sz w:val="16"/>
                <w:szCs w:val="16"/>
                <w:lang w:val="en-GB"/>
              </w:rPr>
            </w:pPr>
          </w:p>
        </w:tc>
      </w:tr>
      <w:tr w:rsidR="0060634A">
        <w:trPr>
          <w:trHeight w:val="247"/>
        </w:trPr>
        <w:tc>
          <w:tcPr>
            <w:tcW w:w="10740" w:type="dxa"/>
            <w:gridSpan w:val="6"/>
            <w:tcBorders>
              <w:top w:val="nil"/>
              <w:bottom w:val="nil"/>
            </w:tcBorders>
            <w:vAlign w:val="center"/>
          </w:tcPr>
          <w:p w:rsidR="0060634A" w:rsidRDefault="00F76D44">
            <w:pPr>
              <w:ind w:left="142"/>
              <w:rPr>
                <w:noProof/>
                <w:sz w:val="14"/>
                <w:szCs w:val="16"/>
                <w:lang w:val="en-GB"/>
              </w:rPr>
            </w:pPr>
            <w:r>
              <w:rPr>
                <w:rFonts w:ascii="EC Square Sans Cond Pro" w:hAnsi="EC Square Sans Cond Pro"/>
                <w:noProof/>
                <w:sz w:val="16"/>
                <w:szCs w:val="16"/>
                <w:lang w:val="en-GB"/>
              </w:rPr>
              <w:t>(</w:t>
            </w:r>
            <w:r>
              <w:rPr>
                <w:rFonts w:ascii="EC Square Sans Cond Pro" w:hAnsi="EC Square Sans Cond Pro"/>
                <w:noProof/>
                <w:sz w:val="16"/>
                <w:szCs w:val="16"/>
                <w:vertAlign w:val="superscript"/>
                <w:lang w:val="en-GB"/>
              </w:rPr>
              <w:t>1</w:t>
            </w:r>
            <w:r>
              <w:rPr>
                <w:rFonts w:ascii="EC Square Sans Cond Pro" w:hAnsi="EC Square Sans Cond Pro"/>
                <w:noProof/>
                <w:sz w:val="16"/>
                <w:szCs w:val="16"/>
                <w:lang w:val="en-GB"/>
              </w:rPr>
              <w:t>)</w:t>
            </w:r>
            <w:r>
              <w:rPr>
                <w:noProof/>
                <w:sz w:val="14"/>
                <w:szCs w:val="16"/>
                <w:lang w:val="en-GB"/>
              </w:rPr>
              <w:t xml:space="preserve"> Cumulative results for 2014-2019 compared to cumulative targets for 2014-2020.</w:t>
            </w:r>
          </w:p>
        </w:tc>
      </w:tr>
    </w:tbl>
    <w:p w:rsidR="0060634A" w:rsidRDefault="00F76D44">
      <w:pPr>
        <w:pStyle w:val="PPOTitle3"/>
        <w:spacing w:before="120" w:after="80"/>
      </w:pPr>
      <w:r>
        <w:t>Where are we in the implementation?</w:t>
      </w:r>
    </w:p>
    <w:p w:rsidR="0060634A" w:rsidRDefault="00F76D44">
      <w:pPr>
        <w:pStyle w:val="PPOBlackBULLETS-L1"/>
        <w:rPr>
          <w:noProof/>
        </w:rPr>
      </w:pPr>
      <w:r>
        <w:rPr>
          <w:noProof/>
        </w:rPr>
        <w:t xml:space="preserve">In the field of higher education, the European universities initiative </w:t>
      </w:r>
      <w:r>
        <w:rPr>
          <w:noProof/>
        </w:rPr>
        <w:t>started in 2019, when the first 17</w:t>
      </w:r>
      <w:r>
        <w:rPr>
          <w:rFonts w:ascii="Calibri" w:hAnsi="Calibri" w:cs="Calibri"/>
          <w:noProof/>
        </w:rPr>
        <w:t> </w:t>
      </w:r>
      <w:r>
        <w:rPr>
          <w:noProof/>
        </w:rPr>
        <w:t xml:space="preserve"> universities were selected. They include institutions from across the EU, ranging from the fields of applied sciences, technical studies and fine arts to comprehensive and research-intensive universities. The programme f</w:t>
      </w:r>
      <w:r>
        <w:rPr>
          <w:noProof/>
        </w:rPr>
        <w:t>inanced a record 163 new capacity-building projects in higher education. A total of 51</w:t>
      </w:r>
      <w:r>
        <w:rPr>
          <w:rFonts w:ascii="Calibri" w:hAnsi="Calibri" w:cs="Calibri"/>
          <w:noProof/>
        </w:rPr>
        <w:t> </w:t>
      </w:r>
      <w:r>
        <w:rPr>
          <w:noProof/>
        </w:rPr>
        <w:t>new Erasmus Mundus joint master’s degrees and around 55</w:t>
      </w:r>
      <w:r>
        <w:rPr>
          <w:rFonts w:ascii="Calibri" w:hAnsi="Calibri" w:cs="Calibri"/>
          <w:noProof/>
        </w:rPr>
        <w:t> </w:t>
      </w:r>
      <w:r>
        <w:rPr>
          <w:noProof/>
        </w:rPr>
        <w:t>000 new short-term, academic credit mobilities were selected in 2019.</w:t>
      </w:r>
    </w:p>
    <w:p w:rsidR="0060634A" w:rsidRDefault="00F76D44">
      <w:pPr>
        <w:pStyle w:val="PPOBlackBULLETS-L1"/>
        <w:rPr>
          <w:noProof/>
        </w:rPr>
      </w:pPr>
      <w:r>
        <w:rPr>
          <w:noProof/>
        </w:rPr>
        <w:t>In the area of adult education, in 2019 the</w:t>
      </w:r>
      <w:r>
        <w:rPr>
          <w:noProof/>
        </w:rPr>
        <w:t xml:space="preserve"> Erasmus+ programme supported policy priorities such as the supply of high-quality learning opportunities and the development of the competences of educators, with a budgetary increase for both mobility and strategic partnership actions.</w:t>
      </w:r>
    </w:p>
    <w:p w:rsidR="0060634A" w:rsidRDefault="00F76D44">
      <w:pPr>
        <w:pStyle w:val="PPOBlackBULLETS-L1"/>
        <w:rPr>
          <w:noProof/>
        </w:rPr>
      </w:pPr>
      <w:r>
        <w:rPr>
          <w:noProof/>
        </w:rPr>
        <w:t>Concerning vocatio</w:t>
      </w:r>
      <w:r>
        <w:rPr>
          <w:noProof/>
        </w:rPr>
        <w:t>nal education and training, the programme supported more than 153</w:t>
      </w:r>
      <w:r>
        <w:rPr>
          <w:rFonts w:ascii="Calibri" w:hAnsi="Calibri" w:cs="Calibri"/>
          <w:noProof/>
        </w:rPr>
        <w:t> </w:t>
      </w:r>
      <w:r>
        <w:rPr>
          <w:noProof/>
        </w:rPr>
        <w:t>000 learner mobilities. Particular emphasis was placed on ErasmusPro, which supports the long-term mobility of vocational education and training learners and recent graduates. A new action w</w:t>
      </w:r>
      <w:r>
        <w:rPr>
          <w:noProof/>
        </w:rPr>
        <w:t xml:space="preserve">as introduced to support the creation of transnational and national networks and partnerships of providers. </w:t>
      </w:r>
    </w:p>
    <w:p w:rsidR="0060634A" w:rsidRDefault="00F76D44">
      <w:pPr>
        <w:pStyle w:val="PPOBlackBULLETS-L1"/>
        <w:rPr>
          <w:noProof/>
        </w:rPr>
      </w:pPr>
      <w:r>
        <w:rPr>
          <w:noProof/>
        </w:rPr>
        <w:t>The e-twinning community among schools has continued to grow, with some 125</w:t>
      </w:r>
      <w:r>
        <w:rPr>
          <w:rFonts w:ascii="Calibri" w:hAnsi="Calibri" w:cs="Calibri"/>
          <w:noProof/>
        </w:rPr>
        <w:t> </w:t>
      </w:r>
      <w:r>
        <w:rPr>
          <w:noProof/>
        </w:rPr>
        <w:t>000 new members registered in 2019. This represents a significant incre</w:t>
      </w:r>
      <w:r>
        <w:rPr>
          <w:noProof/>
        </w:rPr>
        <w:t>ase of more than 21 % in comparison to 2018. Overall, 764</w:t>
      </w:r>
      <w:r>
        <w:rPr>
          <w:rFonts w:ascii="Calibri" w:hAnsi="Calibri" w:cs="Calibri"/>
          <w:noProof/>
        </w:rPr>
        <w:t> </w:t>
      </w:r>
      <w:r>
        <w:rPr>
          <w:noProof/>
        </w:rPr>
        <w:t>000 registrations have been recorded since the programme started and a new record has been achieved for connecting teachers and classrooms across Europe, to step up support to teachers and foster ex</w:t>
      </w:r>
      <w:r>
        <w:rPr>
          <w:noProof/>
        </w:rPr>
        <w:t xml:space="preserve">changes. </w:t>
      </w:r>
    </w:p>
    <w:p w:rsidR="0060634A" w:rsidRDefault="00F76D44">
      <w:pPr>
        <w:pStyle w:val="PPOBlackBULLETS-L1"/>
        <w:rPr>
          <w:noProof/>
        </w:rPr>
      </w:pPr>
      <w:r>
        <w:rPr>
          <w:noProof/>
        </w:rPr>
        <w:t>Regarding the EU’s cooperation with other regions of the world, during its first 2</w:t>
      </w:r>
      <w:r>
        <w:rPr>
          <w:rFonts w:ascii="Calibri" w:hAnsi="Calibri" w:cs="Calibri"/>
          <w:noProof/>
        </w:rPr>
        <w:t> </w:t>
      </w:r>
      <w:r>
        <w:rPr>
          <w:noProof/>
        </w:rPr>
        <w:t>years of implementation, Erasmus+ virtual exchanges enabled young people living in Europe and the southern Mediterranean area to take part in moderated online deba</w:t>
      </w:r>
      <w:r>
        <w:rPr>
          <w:noProof/>
        </w:rPr>
        <w:t>tes that can form part of a higher education degree or a youth project. More than 17</w:t>
      </w:r>
      <w:r>
        <w:rPr>
          <w:rFonts w:ascii="Calibri" w:hAnsi="Calibri" w:cs="Calibri"/>
          <w:noProof/>
        </w:rPr>
        <w:t> </w:t>
      </w:r>
      <w:r>
        <w:rPr>
          <w:noProof/>
        </w:rPr>
        <w:t>000 higher education students and other stakeholders have taken part in a virtual exchange.</w:t>
      </w:r>
    </w:p>
    <w:p w:rsidR="0060634A" w:rsidRDefault="00F76D44">
      <w:pPr>
        <w:pStyle w:val="PPOBlackBULLETS-L1"/>
        <w:rPr>
          <w:noProof/>
        </w:rPr>
      </w:pPr>
      <w:r>
        <w:rPr>
          <w:noProof/>
        </w:rPr>
        <w:t>In 2019, priority in the area of sport was given to grassroots activities and t</w:t>
      </w:r>
      <w:r>
        <w:rPr>
          <w:noProof/>
        </w:rPr>
        <w:t xml:space="preserve">o increasing participation in sport to promote awareness of the importance of health-enhancing physical activity, in line with the Tartu call for a healthy lifestyle. The 2019 edition of the </w:t>
      </w:r>
      <w:hyperlink r:id="rId296" w:tgtFrame="_blank" w:history="1">
        <w:r>
          <w:rPr>
            <w:rStyle w:val="Hyperlink"/>
          </w:rPr>
          <w:t>Europ</w:t>
        </w:r>
        <w:r>
          <w:rPr>
            <w:rStyle w:val="Hyperlink"/>
          </w:rPr>
          <w:t>ean Week of Sport</w:t>
        </w:r>
      </w:hyperlink>
      <w:r>
        <w:rPr>
          <w:noProof/>
        </w:rPr>
        <w:t xml:space="preserve"> saw a new record of over 14.6 million citizens participating in more than 23</w:t>
      </w:r>
      <w:r>
        <w:rPr>
          <w:rFonts w:ascii="Calibri" w:hAnsi="Calibri" w:cs="Calibri"/>
          <w:noProof/>
        </w:rPr>
        <w:t> </w:t>
      </w:r>
      <w:r>
        <w:rPr>
          <w:noProof/>
        </w:rPr>
        <w:t>000 events in 42 countries and regions. The third edition of the #Beinclusive EU spots awards recognised organisations using the power of sport to increase socia</w:t>
      </w:r>
      <w:r>
        <w:rPr>
          <w:noProof/>
        </w:rPr>
        <w:t>l inclusion for disadvantaged groups.</w:t>
      </w:r>
    </w:p>
    <w:p w:rsidR="0060634A" w:rsidRDefault="00F76D44">
      <w:pPr>
        <w:pStyle w:val="PPOTitle3"/>
        <w:spacing w:before="120" w:after="80"/>
        <w:rPr>
          <w:rFonts w:eastAsiaTheme="minorEastAsia"/>
        </w:rPr>
      </w:pPr>
      <w:r>
        <w:rPr>
          <w:rFonts w:eastAsiaTheme="minorEastAsia"/>
        </w:rPr>
        <w:t>Performance assessment</w:t>
      </w:r>
    </w:p>
    <w:p w:rsidR="0060634A" w:rsidRDefault="00F76D44">
      <w:pPr>
        <w:pStyle w:val="PPOBlackBULLETS-L1"/>
        <w:rPr>
          <w:noProof/>
        </w:rPr>
      </w:pPr>
      <w:r>
        <w:rPr>
          <w:noProof/>
        </w:rPr>
        <w:t>The programme has demonstrated an outstanding track record not only in terms of numbers – delivering results that are consistently in line with or above expectations across different areas and ac</w:t>
      </w:r>
      <w:r>
        <w:rPr>
          <w:noProof/>
        </w:rPr>
        <w:t>tions – but also in terms of social impact. Over the last three decades, 10</w:t>
      </w:r>
      <w:r>
        <w:rPr>
          <w:rFonts w:ascii="Calibri" w:hAnsi="Calibri" w:cs="Calibri"/>
          <w:noProof/>
        </w:rPr>
        <w:t> </w:t>
      </w:r>
      <w:r>
        <w:rPr>
          <w:noProof/>
        </w:rPr>
        <w:t xml:space="preserve">million people have participated in what for many of them turned out to be life-changing experiences under Erasmus+ and its predecessors. </w:t>
      </w:r>
    </w:p>
    <w:p w:rsidR="0060634A" w:rsidRDefault="00F76D44">
      <w:pPr>
        <w:pStyle w:val="PPOBlackBULLETS-L1"/>
        <w:rPr>
          <w:noProof/>
        </w:rPr>
      </w:pPr>
      <w:r>
        <w:rPr>
          <w:noProof/>
        </w:rPr>
        <w:t>After a learning exchange abroad, young p</w:t>
      </w:r>
      <w:r>
        <w:rPr>
          <w:noProof/>
        </w:rPr>
        <w:t>eople, adults, youth workers and teachers say they feel better prepared to take on new challenges, have better career prospects and are more aware of the benefits the EU brings to their daily lives. In 2019, 93% of the participants stated that they had inc</w:t>
      </w:r>
      <w:r>
        <w:rPr>
          <w:noProof/>
        </w:rPr>
        <w:t>reased their key competences.</w:t>
      </w:r>
    </w:p>
    <w:p w:rsidR="0060634A" w:rsidRDefault="00F76D44">
      <w:pPr>
        <w:pStyle w:val="PPOBlackBULLETS-L1"/>
        <w:rPr>
          <w:noProof/>
        </w:rPr>
      </w:pPr>
      <w:r>
        <w:rPr>
          <w:noProof/>
        </w:rPr>
        <w:t>The Erasmus+ programme has built on the experience of previous programmes and has successfully adapted to new priorities. For example in 2019, it was an important instrument for inclusion: in the area of sport, the programme p</w:t>
      </w:r>
      <w:r>
        <w:rPr>
          <w:noProof/>
        </w:rPr>
        <w:t>romoted and supported voluntary activities, together with social inclusion, including refugees and migrants; the role models initiative created a pool of positive role models to promote social inclusion, prevent exclusion and radicalisation and encourage a</w:t>
      </w:r>
      <w:r>
        <w:rPr>
          <w:noProof/>
        </w:rPr>
        <w:t>ctive citizenship and commitment to European values; and two pilot projects in the area of social inclusion of refugees and the monitoring and coaching, through sports, of youngsters at risk of radicalisation are being implemented.</w:t>
      </w:r>
    </w:p>
    <w:p w:rsidR="0060634A" w:rsidRDefault="00F76D44">
      <w:pPr>
        <w:pStyle w:val="PPOTitle3"/>
        <w:spacing w:before="120" w:after="80"/>
        <w:rPr>
          <w:rFonts w:eastAsiaTheme="minorEastAsia"/>
        </w:rPr>
      </w:pPr>
      <w:r>
        <w:rPr>
          <w:rFonts w:eastAsiaTheme="minorEastAsia"/>
        </w:rPr>
        <w:t>Concrete examples of ach</w:t>
      </w:r>
      <w:r>
        <w:rPr>
          <w:rFonts w:eastAsiaTheme="minorEastAsia"/>
        </w:rPr>
        <w:t>ievements</w:t>
      </w:r>
    </w:p>
    <w:tbl>
      <w:tblPr>
        <w:tblStyle w:val="TableGrid"/>
        <w:tblW w:w="10764"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3119"/>
        <w:gridCol w:w="1843"/>
        <w:gridCol w:w="1134"/>
        <w:gridCol w:w="1559"/>
        <w:gridCol w:w="1417"/>
        <w:gridCol w:w="1692"/>
      </w:tblGrid>
      <w:tr w:rsidR="0060634A">
        <w:trPr>
          <w:trHeight w:val="20"/>
        </w:trPr>
        <w:tc>
          <w:tcPr>
            <w:tcW w:w="3119" w:type="dxa"/>
            <w:shd w:val="clear" w:color="auto" w:fill="00ADDC"/>
          </w:tcPr>
          <w:p w:rsidR="0060634A" w:rsidRDefault="00F76D44">
            <w:pPr>
              <w:pStyle w:val="PPOExamplesTABLEHeader"/>
              <w:rPr>
                <w:rFonts w:eastAsiaTheme="minorEastAsia"/>
              </w:rPr>
            </w:pPr>
            <w:r>
              <w:rPr>
                <w:rFonts w:eastAsiaTheme="minorEastAsia"/>
              </w:rPr>
              <w:t>900</w:t>
            </w:r>
            <w:r>
              <w:rPr>
                <w:rFonts w:ascii="Calibri" w:eastAsiaTheme="minorEastAsia" w:hAnsi="Calibri" w:cs="Calibri"/>
              </w:rPr>
              <w:t> </w:t>
            </w:r>
            <w:r>
              <w:rPr>
                <w:rFonts w:eastAsiaTheme="minorEastAsia"/>
              </w:rPr>
              <w:t>000</w:t>
            </w:r>
          </w:p>
        </w:tc>
        <w:tc>
          <w:tcPr>
            <w:tcW w:w="1843" w:type="dxa"/>
            <w:shd w:val="clear" w:color="auto" w:fill="00ADDC"/>
          </w:tcPr>
          <w:p w:rsidR="0060634A" w:rsidRDefault="00F76D44">
            <w:pPr>
              <w:pStyle w:val="PPOExamplesTABLEHeader"/>
              <w:rPr>
                <w:rFonts w:eastAsiaTheme="minorEastAsia"/>
              </w:rPr>
            </w:pPr>
            <w:r>
              <w:rPr>
                <w:rFonts w:eastAsiaTheme="minorEastAsia"/>
              </w:rPr>
              <w:t>30</w:t>
            </w:r>
          </w:p>
        </w:tc>
        <w:tc>
          <w:tcPr>
            <w:tcW w:w="1134" w:type="dxa"/>
            <w:shd w:val="clear" w:color="auto" w:fill="00ADDC"/>
          </w:tcPr>
          <w:p w:rsidR="0060634A" w:rsidRDefault="00F76D44">
            <w:pPr>
              <w:pStyle w:val="PPOExamplesTABLEHeader"/>
              <w:rPr>
                <w:rFonts w:eastAsiaTheme="minorEastAsia"/>
              </w:rPr>
            </w:pPr>
            <w:r>
              <w:rPr>
                <w:rFonts w:eastAsiaTheme="minorEastAsia"/>
              </w:rPr>
              <w:t>125</w:t>
            </w:r>
            <w:r>
              <w:rPr>
                <w:rFonts w:ascii="Calibri" w:eastAsiaTheme="minorEastAsia" w:hAnsi="Calibri" w:cs="Calibri"/>
              </w:rPr>
              <w:t> </w:t>
            </w:r>
            <w:r>
              <w:rPr>
                <w:rFonts w:eastAsiaTheme="minorEastAsia"/>
              </w:rPr>
              <w:t>000</w:t>
            </w:r>
          </w:p>
        </w:tc>
        <w:tc>
          <w:tcPr>
            <w:tcW w:w="1559" w:type="dxa"/>
            <w:shd w:val="clear" w:color="auto" w:fill="00ADDC"/>
          </w:tcPr>
          <w:p w:rsidR="0060634A" w:rsidRDefault="00F76D44">
            <w:pPr>
              <w:pStyle w:val="PPOExamplesTABLEHeader"/>
              <w:rPr>
                <w:rFonts w:eastAsiaTheme="minorEastAsia"/>
              </w:rPr>
            </w:pPr>
            <w:r>
              <w:rPr>
                <w:rFonts w:eastAsiaTheme="minorEastAsia"/>
              </w:rPr>
              <w:t>14.6 million</w:t>
            </w:r>
            <w:r>
              <w:rPr>
                <w:rStyle w:val="Bodytext2Exact"/>
                <w:rFonts w:ascii="EC Square Sans Cond Pro" w:hAnsi="EC Square Sans Cond Pro"/>
                <w:color w:val="000000" w:themeColor="text1"/>
                <w:sz w:val="18"/>
                <w:szCs w:val="18"/>
              </w:rPr>
              <w:t xml:space="preserve"> </w:t>
            </w:r>
          </w:p>
        </w:tc>
        <w:tc>
          <w:tcPr>
            <w:tcW w:w="1417" w:type="dxa"/>
            <w:shd w:val="clear" w:color="auto" w:fill="00ADDC"/>
          </w:tcPr>
          <w:p w:rsidR="0060634A" w:rsidRDefault="00F76D44">
            <w:pPr>
              <w:pStyle w:val="PPOExamplesTABLEHeader"/>
              <w:rPr>
                <w:rFonts w:eastAsiaTheme="minorEastAsia"/>
              </w:rPr>
            </w:pPr>
            <w:r>
              <w:rPr>
                <w:rFonts w:eastAsiaTheme="minorEastAsia"/>
              </w:rPr>
              <w:t>9</w:t>
            </w:r>
            <w:r>
              <w:rPr>
                <w:rFonts w:ascii="Calibri" w:eastAsiaTheme="minorEastAsia" w:hAnsi="Calibri" w:cs="Calibri"/>
              </w:rPr>
              <w:t> </w:t>
            </w:r>
            <w:r>
              <w:rPr>
                <w:rFonts w:eastAsiaTheme="minorEastAsia"/>
              </w:rPr>
              <w:t>000</w:t>
            </w:r>
          </w:p>
        </w:tc>
        <w:tc>
          <w:tcPr>
            <w:tcW w:w="1692" w:type="dxa"/>
            <w:shd w:val="clear" w:color="auto" w:fill="00ADDC"/>
          </w:tcPr>
          <w:p w:rsidR="0060634A" w:rsidRDefault="00F76D44">
            <w:pPr>
              <w:pStyle w:val="PPOExamplesTABLEHeader"/>
              <w:rPr>
                <w:rFonts w:eastAsiaTheme="minorEastAsia"/>
              </w:rPr>
            </w:pPr>
            <w:r>
              <w:rPr>
                <w:rFonts w:eastAsiaTheme="minorEastAsia"/>
              </w:rPr>
              <w:t>2</w:t>
            </w:r>
          </w:p>
        </w:tc>
      </w:tr>
      <w:tr w:rsidR="0060634A">
        <w:trPr>
          <w:trHeight w:val="170"/>
        </w:trPr>
        <w:tc>
          <w:tcPr>
            <w:tcW w:w="3119" w:type="dxa"/>
            <w:shd w:val="clear" w:color="auto" w:fill="DCE6F2"/>
          </w:tcPr>
          <w:p w:rsidR="0060634A" w:rsidRDefault="00F76D44">
            <w:pPr>
              <w:pStyle w:val="PPOExamplesTABLEText"/>
              <w:spacing w:line="240" w:lineRule="auto"/>
              <w:rPr>
                <w:noProof/>
                <w:spacing w:val="-2"/>
                <w:lang w:val="en-GB"/>
              </w:rPr>
            </w:pPr>
            <w:r>
              <w:rPr>
                <w:noProof/>
                <w:spacing w:val="-2"/>
                <w:lang w:val="en-GB"/>
              </w:rPr>
              <w:t>participants gained experience in one of the 34 programme countries in 2019. Among these participants there were close to 360 000 students, 153</w:t>
            </w:r>
            <w:r>
              <w:rPr>
                <w:rFonts w:ascii="Calibri" w:hAnsi="Calibri" w:cs="Calibri"/>
                <w:noProof/>
                <w:spacing w:val="-2"/>
                <w:lang w:val="en-GB"/>
              </w:rPr>
              <w:t> </w:t>
            </w:r>
            <w:r>
              <w:rPr>
                <w:noProof/>
                <w:spacing w:val="-2"/>
                <w:lang w:val="en-GB"/>
              </w:rPr>
              <w:t>000 learners in vocational education and training, 158</w:t>
            </w:r>
            <w:r>
              <w:rPr>
                <w:rFonts w:ascii="Calibri" w:hAnsi="Calibri" w:cs="Calibri"/>
                <w:noProof/>
                <w:spacing w:val="-2"/>
                <w:lang w:val="en-GB"/>
              </w:rPr>
              <w:t> </w:t>
            </w:r>
            <w:r>
              <w:rPr>
                <w:noProof/>
                <w:spacing w:val="-2"/>
                <w:lang w:val="en-GB"/>
              </w:rPr>
              <w:t xml:space="preserve">000 </w:t>
            </w:r>
            <w:r>
              <w:rPr>
                <w:noProof/>
                <w:spacing w:val="-2"/>
                <w:lang w:val="en-GB"/>
              </w:rPr>
              <w:t>members of staff from educational institutions, 39</w:t>
            </w:r>
            <w:r>
              <w:rPr>
                <w:rFonts w:ascii="Calibri" w:hAnsi="Calibri" w:cs="Calibri"/>
                <w:noProof/>
                <w:spacing w:val="-2"/>
                <w:lang w:val="en-GB"/>
              </w:rPr>
              <w:t> </w:t>
            </w:r>
            <w:r>
              <w:rPr>
                <w:noProof/>
                <w:spacing w:val="-2"/>
                <w:lang w:val="en-GB"/>
              </w:rPr>
              <w:t>000 members from youth organisations, 113</w:t>
            </w:r>
            <w:r>
              <w:rPr>
                <w:rFonts w:ascii="Calibri" w:hAnsi="Calibri" w:cs="Calibri"/>
                <w:noProof/>
                <w:spacing w:val="-2"/>
                <w:lang w:val="en-GB"/>
              </w:rPr>
              <w:t> </w:t>
            </w:r>
            <w:r>
              <w:rPr>
                <w:noProof/>
                <w:spacing w:val="-2"/>
                <w:lang w:val="en-GB"/>
              </w:rPr>
              <w:t>000 young people and 55</w:t>
            </w:r>
            <w:r>
              <w:rPr>
                <w:rFonts w:ascii="Calibri" w:hAnsi="Calibri" w:cs="Calibri"/>
                <w:noProof/>
                <w:spacing w:val="-2"/>
                <w:lang w:val="en-GB"/>
              </w:rPr>
              <w:t> </w:t>
            </w:r>
            <w:r>
              <w:rPr>
                <w:noProof/>
                <w:spacing w:val="-2"/>
                <w:lang w:val="en-GB"/>
              </w:rPr>
              <w:t>000 mobilities to and from partner countries.</w:t>
            </w:r>
          </w:p>
        </w:tc>
        <w:tc>
          <w:tcPr>
            <w:tcW w:w="1843" w:type="dxa"/>
            <w:shd w:val="clear" w:color="auto" w:fill="DCE6F2"/>
          </w:tcPr>
          <w:p w:rsidR="0060634A" w:rsidRDefault="00F76D44">
            <w:pPr>
              <w:pStyle w:val="PPOExamplesTABLEText"/>
              <w:spacing w:line="240" w:lineRule="auto"/>
              <w:rPr>
                <w:noProof/>
                <w:spacing w:val="-2"/>
                <w:lang w:val="en-GB"/>
              </w:rPr>
            </w:pPr>
            <w:r>
              <w:rPr>
                <w:noProof/>
                <w:spacing w:val="-2"/>
                <w:lang w:val="en-GB"/>
              </w:rPr>
              <w:t>years of the Jean Monnet actions were marked in 2019. Currently more than 300</w:t>
            </w:r>
            <w:r>
              <w:rPr>
                <w:rFonts w:ascii="Calibri" w:hAnsi="Calibri" w:cs="Calibri"/>
                <w:noProof/>
                <w:spacing w:val="-2"/>
                <w:lang w:val="en-GB"/>
              </w:rPr>
              <w:t> </w:t>
            </w:r>
            <w:r>
              <w:rPr>
                <w:noProof/>
                <w:spacing w:val="-2"/>
                <w:lang w:val="en-GB"/>
              </w:rPr>
              <w:t>000 students be</w:t>
            </w:r>
            <w:r>
              <w:rPr>
                <w:noProof/>
                <w:spacing w:val="-2"/>
                <w:lang w:val="en-GB"/>
              </w:rPr>
              <w:t>nefit from the Jean Monnet Actions every year in more than 1</w:t>
            </w:r>
            <w:r>
              <w:rPr>
                <w:rFonts w:ascii="Calibri" w:hAnsi="Calibri" w:cs="Calibri"/>
                <w:noProof/>
                <w:spacing w:val="-2"/>
                <w:lang w:val="en-GB"/>
              </w:rPr>
              <w:t> </w:t>
            </w:r>
            <w:r>
              <w:rPr>
                <w:noProof/>
                <w:spacing w:val="-2"/>
                <w:lang w:val="en-GB"/>
              </w:rPr>
              <w:t>000 universities and almost 90 countries worldwide.</w:t>
            </w:r>
          </w:p>
        </w:tc>
        <w:tc>
          <w:tcPr>
            <w:tcW w:w="1134" w:type="dxa"/>
            <w:shd w:val="clear" w:color="auto" w:fill="DCE6F2"/>
          </w:tcPr>
          <w:p w:rsidR="0060634A" w:rsidRDefault="00F76D44">
            <w:pPr>
              <w:pStyle w:val="PPOExamplesTABLEText"/>
              <w:spacing w:line="240" w:lineRule="auto"/>
              <w:rPr>
                <w:noProof/>
                <w:spacing w:val="-2"/>
                <w:lang w:val="en-GB"/>
              </w:rPr>
            </w:pPr>
            <w:r>
              <w:rPr>
                <w:noProof/>
                <w:spacing w:val="-2"/>
                <w:lang w:val="en-GB"/>
              </w:rPr>
              <w:t xml:space="preserve">new members registered  with the eTwinning community in 2019.  </w:t>
            </w:r>
          </w:p>
        </w:tc>
        <w:tc>
          <w:tcPr>
            <w:tcW w:w="1559" w:type="dxa"/>
            <w:shd w:val="clear" w:color="auto" w:fill="DCE6F2"/>
          </w:tcPr>
          <w:p w:rsidR="0060634A" w:rsidRDefault="00F76D44">
            <w:pPr>
              <w:pStyle w:val="PPOExamplesTABLEText"/>
              <w:spacing w:line="240" w:lineRule="auto"/>
              <w:rPr>
                <w:noProof/>
                <w:spacing w:val="-2"/>
                <w:lang w:val="en-GB"/>
              </w:rPr>
            </w:pPr>
            <w:r>
              <w:rPr>
                <w:noProof/>
                <w:spacing w:val="-2"/>
                <w:lang w:val="en-GB"/>
              </w:rPr>
              <w:t>citizens participated in more than 23</w:t>
            </w:r>
            <w:r>
              <w:rPr>
                <w:rFonts w:ascii="Calibri" w:hAnsi="Calibri" w:cs="Calibri"/>
                <w:noProof/>
                <w:spacing w:val="-2"/>
                <w:lang w:val="en-GB"/>
              </w:rPr>
              <w:t> </w:t>
            </w:r>
            <w:r>
              <w:rPr>
                <w:noProof/>
                <w:spacing w:val="-2"/>
                <w:lang w:val="en-GB"/>
              </w:rPr>
              <w:t>000 events of the European Week of Sport,</w:t>
            </w:r>
            <w:r>
              <w:rPr>
                <w:noProof/>
                <w:spacing w:val="-2"/>
                <w:lang w:val="en-GB"/>
              </w:rPr>
              <w:t xml:space="preserve"> events in 42 countries and regions in Europe in 2019.</w:t>
            </w:r>
          </w:p>
        </w:tc>
        <w:tc>
          <w:tcPr>
            <w:tcW w:w="1417" w:type="dxa"/>
            <w:shd w:val="clear" w:color="auto" w:fill="DCE6F2"/>
          </w:tcPr>
          <w:p w:rsidR="0060634A" w:rsidRDefault="00F76D44">
            <w:pPr>
              <w:pStyle w:val="PPOExamplesTABLEText"/>
              <w:spacing w:line="240" w:lineRule="auto"/>
              <w:rPr>
                <w:noProof/>
                <w:spacing w:val="-2"/>
                <w:lang w:val="en-GB"/>
              </w:rPr>
            </w:pPr>
            <w:r>
              <w:rPr>
                <w:noProof/>
                <w:spacing w:val="-2"/>
                <w:lang w:val="en-GB"/>
              </w:rPr>
              <w:t xml:space="preserve">students from a variety of study area acquired forward-looking digital skills, under the Erasmus+ digital opportunity traineeships initiative </w:t>
            </w:r>
          </w:p>
        </w:tc>
        <w:tc>
          <w:tcPr>
            <w:tcW w:w="1692" w:type="dxa"/>
            <w:shd w:val="clear" w:color="auto" w:fill="DCE6F2"/>
          </w:tcPr>
          <w:p w:rsidR="0060634A" w:rsidRDefault="00F76D44">
            <w:pPr>
              <w:pStyle w:val="PPOExamplesTABLEText"/>
              <w:spacing w:line="240" w:lineRule="auto"/>
              <w:rPr>
                <w:noProof/>
                <w:spacing w:val="-2"/>
                <w:lang w:val="en-GB"/>
              </w:rPr>
            </w:pPr>
            <w:r>
              <w:rPr>
                <w:noProof/>
                <w:spacing w:val="-2"/>
                <w:lang w:val="en-GB"/>
              </w:rPr>
              <w:t>pilot projects focusing on social inclusion were implement</w:t>
            </w:r>
            <w:r>
              <w:rPr>
                <w:noProof/>
                <w:spacing w:val="-2"/>
                <w:lang w:val="en-GB"/>
              </w:rPr>
              <w:t>ed for social inclusion of refugees, and the monitoring and coaching of youngsters at risk of radicalisation.</w:t>
            </w:r>
          </w:p>
        </w:tc>
      </w:tr>
    </w:tbl>
    <w:p w:rsidR="0060634A" w:rsidRDefault="0060634A">
      <w:pPr>
        <w:pStyle w:val="PPObodyText"/>
        <w:spacing w:line="240" w:lineRule="auto"/>
        <w:rPr>
          <w:noProof/>
          <w:sz w:val="6"/>
          <w:szCs w:val="6"/>
        </w:rPr>
        <w:sectPr w:rsidR="0060634A">
          <w:headerReference w:type="even" r:id="rId297"/>
          <w:headerReference w:type="default" r:id="rId298"/>
          <w:footerReference w:type="even" r:id="rId299"/>
          <w:footerReference w:type="default" r:id="rId300"/>
          <w:headerReference w:type="first" r:id="rId301"/>
          <w:footerReference w:type="first" r:id="rId302"/>
          <w:pgSz w:w="11906" w:h="16838" w:code="9"/>
          <w:pgMar w:top="567" w:right="567" w:bottom="567" w:left="567" w:header="567" w:footer="454" w:gutter="0"/>
          <w:paperSrc w:first="15" w:other="15"/>
          <w:cols w:space="720"/>
          <w:docGrid w:linePitch="360"/>
        </w:sectPr>
      </w:pPr>
    </w:p>
    <w:p w:rsidR="0060634A" w:rsidRDefault="0060634A">
      <w:pPr>
        <w:pStyle w:val="PPObodyText"/>
        <w:spacing w:line="240" w:lineRule="auto"/>
        <w:rPr>
          <w:noProof/>
          <w:sz w:val="6"/>
          <w:szCs w:val="6"/>
        </w:rPr>
      </w:pPr>
    </w:p>
    <w:p w:rsidR="0060634A" w:rsidRDefault="00F76D44">
      <w:pPr>
        <w:pStyle w:val="PPO1AsidebarTitleBlue"/>
        <w:rPr>
          <w:rFonts w:eastAsiaTheme="minorEastAsia"/>
        </w:rPr>
      </w:pPr>
      <w:r>
        <w:rPr>
          <w:rFonts w:eastAsiaTheme="minorEastAsia"/>
          <w:lang w:val="fr-BE" w:eastAsia="fr-BE"/>
        </w:rPr>
        <mc:AlternateContent>
          <mc:Choice Requires="wps">
            <w:drawing>
              <wp:anchor distT="0" distB="0" distL="0" distR="0" simplePos="0" relativeHeight="251666432" behindDoc="0" locked="1" layoutInCell="1" allowOverlap="1">
                <wp:simplePos x="0" y="0"/>
                <wp:positionH relativeFrom="page">
                  <wp:posOffset>359410</wp:posOffset>
                </wp:positionH>
                <wp:positionV relativeFrom="page">
                  <wp:posOffset>593725</wp:posOffset>
                </wp:positionV>
                <wp:extent cx="1458000" cy="777600"/>
                <wp:effectExtent l="0" t="0" r="85090" b="3810"/>
                <wp:wrapTopAndBottom/>
                <wp:docPr id="276" name="Text Box 276"/>
                <wp:cNvGraphicFramePr/>
                <a:graphic xmlns:a="http://schemas.openxmlformats.org/drawingml/2006/main">
                  <a:graphicData uri="http://schemas.microsoft.com/office/word/2010/wordprocessingShape">
                    <wps:wsp>
                      <wps:cNvSpPr txBox="1"/>
                      <wps:spPr>
                        <a:xfrm>
                          <a:off x="0" y="0"/>
                          <a:ext cx="1458000" cy="777600"/>
                        </a:xfrm>
                        <a:prstGeom prst="wedgeRectCallout">
                          <a:avLst>
                            <a:gd name="adj1" fmla="val 54107"/>
                            <a:gd name="adj2" fmla="val -21878"/>
                          </a:avLst>
                        </a:prstGeom>
                        <a:solidFill>
                          <a:srgbClr val="28296E"/>
                        </a:solidFill>
                        <a:ln w="6350">
                          <a:noFill/>
                        </a:ln>
                      </wps:spPr>
                      <wps:txbx>
                        <w:txbxContent>
                          <w:p w:rsidR="0060634A" w:rsidRDefault="00F76D44">
                            <w:pPr>
                              <w:pStyle w:val="PPOsidebarLegalBasisBOXHeading"/>
                              <w:rPr>
                                <w:rFonts w:eastAsiaTheme="minorEastAsia"/>
                              </w:rPr>
                            </w:pPr>
                            <w:r>
                              <w:rPr>
                                <w:rFonts w:eastAsiaTheme="minorEastAsia"/>
                              </w:rPr>
                              <w:t>LEGAL BASIS</w:t>
                            </w:r>
                          </w:p>
                          <w:p w:rsidR="0060634A" w:rsidRDefault="00F76D44">
                            <w:pPr>
                              <w:pStyle w:val="PPOsidebarLegalBasisBOXtext"/>
                              <w:rPr>
                                <w:rFonts w:eastAsiaTheme="minorEastAsia"/>
                              </w:rPr>
                            </w:pPr>
                            <w:r>
                              <w:rPr>
                                <w:rFonts w:eastAsiaTheme="minorEastAsia"/>
                              </w:rPr>
                              <w:t>Regulation (EU) No</w:t>
                            </w:r>
                            <w:r>
                              <w:rPr>
                                <w:rFonts w:ascii="Calibri" w:eastAsiaTheme="minorEastAsia" w:hAnsi="Calibri" w:cs="Calibri"/>
                              </w:rPr>
                              <w:t> </w:t>
                            </w:r>
                            <w:r>
                              <w:rPr>
                                <w:rFonts w:eastAsiaTheme="minorEastAsia"/>
                              </w:rPr>
                              <w:t>1296/2013 of the European Parliament and of the Council</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6" o:spid="_x0000_s1115" type="#_x0000_t61" style="position:absolute;left:0;text-align:left;margin-left:28.3pt;margin-top:46.75pt;width:114.8pt;height:61.2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" adj="22487,6074" fillcolor="#28296e" stroked="f" strokeweight=".5pt">
                <v:textbox inset="2.5mm,1.3mm,2.5mm,1.3mm">
                  <w:txbxContent>
                    <w:p w:rsidR="0060634A" w:rsidRDefault="00F76D44">
                      <w:pPr>
                        <w:pStyle w:val="PPOsidebarLegalBasisBOXHeading"/>
                        <w:rPr>
                          <w:rFonts w:eastAsiaTheme="minorEastAsia"/>
                        </w:rPr>
                      </w:pPr>
                      <w:r>
                        <w:rPr>
                          <w:rFonts w:eastAsiaTheme="minorEastAsia"/>
                        </w:rPr>
                        <w:t>LEGAL BASIS</w:t>
                      </w:r>
                    </w:p>
                    <w:p w:rsidR="0060634A" w:rsidRDefault="00F76D44">
                      <w:pPr>
                        <w:pStyle w:val="PPOsidebarLegalBasisBOXtext"/>
                        <w:rPr>
                          <w:rFonts w:eastAsiaTheme="minorEastAsia"/>
                        </w:rPr>
                      </w:pPr>
                      <w:r>
                        <w:rPr>
                          <w:rFonts w:eastAsiaTheme="minorEastAsia"/>
                        </w:rPr>
                        <w:t>Regulation (EU) No</w:t>
                      </w:r>
                      <w:r>
                        <w:rPr>
                          <w:rFonts w:ascii="Calibri" w:eastAsiaTheme="minorEastAsia" w:hAnsi="Calibri" w:cs="Calibri"/>
                        </w:rPr>
                        <w:t> </w:t>
                      </w:r>
                      <w:r>
                        <w:rPr>
                          <w:rFonts w:eastAsiaTheme="minorEastAsia"/>
                        </w:rPr>
                        <w:t>1296/2013 of the European Parliament and of the Council</w:t>
                      </w:r>
                    </w:p>
                  </w:txbxContent>
                </v:textbox>
                <w10:wrap type="topAndBottom" anchorx="page" anchory="page"/>
                <w10:anchorlock/>
              </v:shape>
            </w:pict>
          </mc:Fallback>
        </mc:AlternateContent>
      </w:r>
      <w:r>
        <w:rPr>
          <w:rFonts w:eastAsiaTheme="minorEastAsia"/>
        </w:rPr>
        <w:t>MORE INFORMATION</w:t>
      </w:r>
    </w:p>
    <w:p w:rsidR="0060634A" w:rsidRDefault="00F76D44">
      <w:pPr>
        <w:pStyle w:val="PPOsidebartext"/>
        <w:rPr>
          <w:rFonts w:eastAsiaTheme="minorEastAsia"/>
        </w:rPr>
      </w:pPr>
      <w:hyperlink r:id="rId303" w:history="1">
        <w:r>
          <w:rPr>
            <w:rStyle w:val="PPOChar-Hyperlink"/>
            <w:rFonts w:eastAsiaTheme="minorEastAsia"/>
          </w:rPr>
          <w:t>http://europa.eu/!Qw97vT</w:t>
        </w:r>
      </w:hyperlink>
    </w:p>
    <w:p w:rsidR="0060634A" w:rsidRDefault="00F76D44">
      <w:pPr>
        <w:pStyle w:val="PPO1AsidebarTitleBlue"/>
        <w:rPr>
          <w:rFonts w:eastAsiaTheme="minorEastAsia"/>
        </w:rPr>
      </w:pPr>
      <w:r>
        <w:rPr>
          <w:rFonts w:eastAsiaTheme="minorEastAsia"/>
        </w:rPr>
        <w:t>FINANCIAL PROGRAMMING</w:t>
      </w:r>
    </w:p>
    <w:p w:rsidR="0060634A" w:rsidRDefault="00F76D44">
      <w:pPr>
        <w:pStyle w:val="PPO1AsidebarTablecaption"/>
      </w:pPr>
      <w:r>
        <w:t>(million EUR)</w:t>
      </w:r>
    </w:p>
    <w:tbl>
      <w:tblPr>
        <w:tblOverlap w:val="never"/>
        <w:tblW w:w="2296" w:type="dxa"/>
        <w:jc w:val="right"/>
        <w:tblLayout w:type="fixed"/>
        <w:tblCellMar>
          <w:top w:w="28" w:type="dxa"/>
          <w:left w:w="28" w:type="dxa"/>
          <w:bottom w:w="28" w:type="dxa"/>
          <w:right w:w="28" w:type="dxa"/>
        </w:tblCellMar>
        <w:tblLook w:val="0000" w:firstRow="0" w:lastRow="0" w:firstColumn="0" w:lastColumn="0" w:noHBand="0" w:noVBand="0"/>
      </w:tblPr>
      <w:tblGrid>
        <w:gridCol w:w="1134"/>
        <w:gridCol w:w="1162"/>
      </w:tblGrid>
      <w:tr w:rsidR="0060634A">
        <w:trPr>
          <w:trHeight w:hRule="exact" w:val="229"/>
          <w:jc w:val="right"/>
        </w:trPr>
        <w:tc>
          <w:tcPr>
            <w:tcW w:w="1134" w:type="dxa"/>
            <w:tcBorders>
              <w:bottom w:val="single" w:sz="6" w:space="0" w:color="FFFFFF" w:themeColor="background1"/>
            </w:tcBorders>
            <w:shd w:val="clear" w:color="auto" w:fill="DCE6F2"/>
            <w:vAlign w:val="center"/>
          </w:tcPr>
          <w:p w:rsidR="0060634A" w:rsidRDefault="00F76D44">
            <w:pPr>
              <w:pStyle w:val="PPOsidebarTabletext"/>
            </w:pPr>
            <w:r>
              <w:t>2014</w:t>
            </w:r>
          </w:p>
        </w:tc>
        <w:tc>
          <w:tcPr>
            <w:tcW w:w="1162" w:type="dxa"/>
            <w:shd w:val="clear" w:color="auto" w:fill="FFFFFF"/>
          </w:tcPr>
          <w:p w:rsidR="0060634A" w:rsidRDefault="00F76D44">
            <w:pPr>
              <w:pStyle w:val="PPOsidebarTabletext"/>
            </w:pPr>
            <w:r>
              <w:t>123.0</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2015</w:t>
            </w:r>
          </w:p>
        </w:tc>
        <w:tc>
          <w:tcPr>
            <w:tcW w:w="1162" w:type="dxa"/>
            <w:tcBorders>
              <w:top w:val="single" w:sz="4" w:space="0" w:color="auto"/>
            </w:tcBorders>
            <w:shd w:val="clear" w:color="auto" w:fill="FFFFFF"/>
          </w:tcPr>
          <w:p w:rsidR="0060634A" w:rsidRDefault="00F76D44">
            <w:pPr>
              <w:pStyle w:val="PPOsidebarTabletext"/>
            </w:pPr>
            <w:r>
              <w:t>128.6</w:t>
            </w:r>
          </w:p>
        </w:tc>
      </w:tr>
      <w:tr w:rsidR="0060634A">
        <w:trPr>
          <w:trHeight w:hRule="exact" w:val="229"/>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2016</w:t>
            </w:r>
          </w:p>
        </w:tc>
        <w:tc>
          <w:tcPr>
            <w:tcW w:w="1162" w:type="dxa"/>
            <w:tcBorders>
              <w:top w:val="single" w:sz="4" w:space="0" w:color="auto"/>
            </w:tcBorders>
            <w:shd w:val="clear" w:color="auto" w:fill="FFFFFF"/>
          </w:tcPr>
          <w:p w:rsidR="0060634A" w:rsidRDefault="00F76D44">
            <w:pPr>
              <w:pStyle w:val="PPOsidebarTabletext"/>
            </w:pPr>
            <w:r>
              <w:t>127.1</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2017</w:t>
            </w:r>
          </w:p>
        </w:tc>
        <w:tc>
          <w:tcPr>
            <w:tcW w:w="1162" w:type="dxa"/>
            <w:tcBorders>
              <w:top w:val="single" w:sz="4" w:space="0" w:color="auto"/>
            </w:tcBorders>
            <w:shd w:val="clear" w:color="auto" w:fill="FFFFFF"/>
          </w:tcPr>
          <w:p w:rsidR="0060634A" w:rsidRDefault="00F76D44">
            <w:pPr>
              <w:pStyle w:val="PPOsidebarTabletext"/>
            </w:pPr>
            <w:r>
              <w:t>136.0</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2018</w:t>
            </w:r>
          </w:p>
        </w:tc>
        <w:tc>
          <w:tcPr>
            <w:tcW w:w="1162" w:type="dxa"/>
            <w:tcBorders>
              <w:top w:val="single" w:sz="4" w:space="0" w:color="auto"/>
            </w:tcBorders>
            <w:shd w:val="clear" w:color="auto" w:fill="FFFFFF"/>
          </w:tcPr>
          <w:p w:rsidR="0060634A" w:rsidRDefault="00F76D44">
            <w:pPr>
              <w:pStyle w:val="PPOsidebarTabletext"/>
            </w:pPr>
            <w:r>
              <w:t>131.7</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2019</w:t>
            </w:r>
          </w:p>
        </w:tc>
        <w:tc>
          <w:tcPr>
            <w:tcW w:w="1162" w:type="dxa"/>
            <w:tcBorders>
              <w:top w:val="single" w:sz="4" w:space="0" w:color="auto"/>
            </w:tcBorders>
            <w:shd w:val="clear" w:color="auto" w:fill="FFFFFF"/>
          </w:tcPr>
          <w:p w:rsidR="0060634A" w:rsidRDefault="00F76D44">
            <w:pPr>
              <w:pStyle w:val="PPOsidebarTabletext"/>
            </w:pPr>
            <w:r>
              <w:t>136.1</w:t>
            </w:r>
          </w:p>
        </w:tc>
      </w:tr>
      <w:tr w:rsidR="0060634A">
        <w:trPr>
          <w:trHeight w:hRule="exact" w:val="225"/>
          <w:jc w:val="right"/>
        </w:trPr>
        <w:tc>
          <w:tcPr>
            <w:tcW w:w="1134" w:type="dxa"/>
            <w:tcBorders>
              <w:top w:val="single" w:sz="6" w:space="0" w:color="FFFFFF" w:themeColor="background1"/>
            </w:tcBorders>
            <w:shd w:val="clear" w:color="auto" w:fill="DCE6F2"/>
            <w:vAlign w:val="center"/>
          </w:tcPr>
          <w:p w:rsidR="0060634A" w:rsidRDefault="00F76D44">
            <w:pPr>
              <w:pStyle w:val="PPOsidebarTabletext"/>
            </w:pPr>
            <w:r>
              <w:t>2020</w:t>
            </w:r>
          </w:p>
        </w:tc>
        <w:tc>
          <w:tcPr>
            <w:tcW w:w="1162" w:type="dxa"/>
            <w:tcBorders>
              <w:top w:val="single" w:sz="4" w:space="0" w:color="auto"/>
            </w:tcBorders>
            <w:shd w:val="clear" w:color="auto" w:fill="FFFFFF"/>
          </w:tcPr>
          <w:p w:rsidR="0060634A" w:rsidRDefault="00F76D44">
            <w:pPr>
              <w:pStyle w:val="PPOsidebarTabletext"/>
            </w:pPr>
            <w:r>
              <w:t>117.1</w:t>
            </w:r>
          </w:p>
        </w:tc>
      </w:tr>
      <w:tr w:rsidR="0060634A">
        <w:trPr>
          <w:trHeight w:hRule="exact" w:val="258"/>
          <w:jc w:val="right"/>
        </w:trPr>
        <w:tc>
          <w:tcPr>
            <w:tcW w:w="1134" w:type="dxa"/>
            <w:shd w:val="clear" w:color="auto" w:fill="00ADDC"/>
            <w:vAlign w:val="center"/>
          </w:tcPr>
          <w:p w:rsidR="0060634A" w:rsidRDefault="00F76D44">
            <w:pPr>
              <w:pStyle w:val="PPOsidebarTabletext"/>
            </w:pPr>
            <w:r>
              <w:t>Total</w:t>
            </w:r>
          </w:p>
        </w:tc>
        <w:tc>
          <w:tcPr>
            <w:tcW w:w="1162" w:type="dxa"/>
            <w:tcBorders>
              <w:top w:val="single" w:sz="4" w:space="0" w:color="auto"/>
            </w:tcBorders>
            <w:shd w:val="clear" w:color="auto" w:fill="FFFFFF"/>
          </w:tcPr>
          <w:p w:rsidR="0060634A" w:rsidRDefault="00F76D44">
            <w:pPr>
              <w:pStyle w:val="PPOsidebarTabletext"/>
            </w:pPr>
            <w:r>
              <w:t>899.6</w:t>
            </w:r>
          </w:p>
        </w:tc>
      </w:tr>
    </w:tbl>
    <w:p w:rsidR="0060634A" w:rsidRDefault="00F76D44">
      <w:pPr>
        <w:pStyle w:val="PPO1AsidebarTitleBlue"/>
        <w:rPr>
          <w:rFonts w:eastAsiaTheme="minorEastAsia"/>
        </w:rPr>
      </w:pPr>
      <w:r>
        <w:rPr>
          <w:rFonts w:eastAsiaTheme="minorEastAsia"/>
          <w:lang w:val="fr-BE" w:eastAsia="fr-BE"/>
        </w:rPr>
        <mc:AlternateContent>
          <mc:Choice Requires="wpg">
            <w:drawing>
              <wp:anchor distT="0" distB="0" distL="114300" distR="114300" simplePos="0" relativeHeight="251664384" behindDoc="1" locked="1" layoutInCell="1" allowOverlap="1">
                <wp:simplePos x="0" y="0"/>
                <wp:positionH relativeFrom="column">
                  <wp:posOffset>-271780</wp:posOffset>
                </wp:positionH>
                <wp:positionV relativeFrom="paragraph">
                  <wp:posOffset>549910</wp:posOffset>
                </wp:positionV>
                <wp:extent cx="1871980" cy="1454150"/>
                <wp:effectExtent l="0" t="0" r="0" b="0"/>
                <wp:wrapSquare wrapText="bothSides"/>
                <wp:docPr id="277" name="Group 277"/>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278" name="Chart 278"/>
                        <wpg:cNvFrPr/>
                        <wpg:xfrm>
                          <a:off x="461310" y="264194"/>
                          <a:ext cx="2492055" cy="1453317"/>
                        </wpg:xfrm>
                        <a:graphic>
                          <a:graphicData uri="http://schemas.openxmlformats.org/drawingml/2006/chart">
                            <c:chart xmlns:c="http://schemas.openxmlformats.org/drawingml/2006/chart" xmlns:r="http://schemas.openxmlformats.org/officeDocument/2006/relationships" r:id="rId304"/>
                          </a:graphicData>
                        </a:graphic>
                      </wpg:graphicFrame>
                      <wps:wsp>
                        <wps:cNvPr id="279" name="Text Box 2"/>
                        <wps:cNvSpPr txBox="1">
                          <a:spLocks noChangeArrowheads="1"/>
                        </wps:cNvSpPr>
                        <wps:spPr bwMode="auto">
                          <a:xfrm>
                            <a:off x="1287117" y="723786"/>
                            <a:ext cx="1276742" cy="600139"/>
                          </a:xfrm>
                          <a:prstGeom prst="rect">
                            <a:avLst/>
                          </a:prstGeom>
                          <a:noFill/>
                          <a:ln w="9525">
                            <a:noFill/>
                            <a:miter lim="800000"/>
                            <a:headEnd/>
                            <a:tailEnd/>
                          </a:ln>
                        </wps:spPr>
                        <wps:txbx>
                          <w:txbxContent>
                            <w:p w:rsidR="0060634A" w:rsidRDefault="00F76D44">
                              <w:pPr>
                                <w:pStyle w:val="PPO1AsidebarchartCenterText"/>
                                <w:rPr>
                                  <w:rFonts w:eastAsiaTheme="minorEastAsia"/>
                                </w:rPr>
                              </w:pPr>
                              <w:r>
                                <w:rPr>
                                  <w:rFonts w:eastAsiaTheme="minorEastAsia"/>
                                </w:rPr>
                                <w:t>EUR</w:t>
                              </w:r>
                              <w:r>
                                <w:rPr>
                                  <w:rFonts w:eastAsiaTheme="minorEastAsia"/>
                                  <w:b/>
                                </w:rPr>
                                <w:t xml:space="preserve"> 899.6</w:t>
                              </w:r>
                              <w:r>
                                <w:rPr>
                                  <w:rFonts w:eastAsiaTheme="minorEastAsia"/>
                                </w:rPr>
                                <w:t xml:space="preserve"> </w:t>
                              </w:r>
                              <w:r>
                                <w:rPr>
                                  <w:rFonts w:eastAsiaTheme="minorEastAsia"/>
                                </w:rPr>
                                <w:br/>
                                <w:t>million</w:t>
                              </w:r>
                            </w:p>
                          </w:txbxContent>
                        </wps:txbx>
                        <wps:bodyPr rot="0" vert="horz" wrap="square" lIns="91440" tIns="45720" rIns="91440" bIns="45720" anchor="t" anchorCtr="0">
                          <a:noAutofit/>
                        </wps:bodyPr>
                      </wps:wsp>
                      <wps:wsp>
                        <wps:cNvPr id="280" name="Text Box 2"/>
                        <wps:cNvSpPr txBox="1">
                          <a:spLocks noChangeArrowheads="1"/>
                        </wps:cNvSpPr>
                        <wps:spPr bwMode="auto">
                          <a:xfrm>
                            <a:off x="1075856" y="1149025"/>
                            <a:ext cx="700344" cy="229870"/>
                          </a:xfrm>
                          <a:prstGeom prst="rect">
                            <a:avLst/>
                          </a:prstGeom>
                          <a:noFill/>
                          <a:ln w="9525">
                            <a:noFill/>
                            <a:miter lim="800000"/>
                            <a:headEnd/>
                            <a:tailEnd/>
                          </a:ln>
                        </wps:spPr>
                        <wps:txbx>
                          <w:txbxContent>
                            <w:p w:rsidR="0060634A" w:rsidRDefault="00F76D44">
                              <w:pPr>
                                <w:spacing w:after="120"/>
                                <w:jc w:val="center"/>
                                <w:rPr>
                                  <w:color w:val="00ADDC"/>
                                  <w:lang w:val="fr-BE"/>
                                </w:rPr>
                              </w:pPr>
                              <w:r>
                                <w:rPr>
                                  <w:b/>
                                  <w:color w:val="00ADDC"/>
                                  <w:lang w:val="fr-BE"/>
                                </w:rPr>
                                <w:t>57%%</w:t>
                              </w:r>
                            </w:p>
                          </w:txbxContent>
                        </wps:txbx>
                        <wps:bodyPr rot="0" vert="horz" wrap="square" lIns="91440" tIns="45720" rIns="91440" bIns="45720" anchor="t" anchorCtr="0">
                          <a:noAutofit/>
                        </wps:bodyPr>
                      </wps:wsp>
                      <wps:wsp>
                        <wps:cNvPr id="285" name="Text Box 2"/>
                        <wps:cNvSpPr txBox="1">
                          <a:spLocks noChangeArrowheads="1"/>
                        </wps:cNvSpPr>
                        <wps:spPr bwMode="auto">
                          <a:xfrm>
                            <a:off x="1062377" y="418592"/>
                            <a:ext cx="741153" cy="266065"/>
                          </a:xfrm>
                          <a:prstGeom prst="rect">
                            <a:avLst/>
                          </a:prstGeom>
                          <a:noFill/>
                          <a:ln w="9525">
                            <a:noFill/>
                            <a:miter lim="800000"/>
                            <a:headEnd/>
                            <a:tailEnd/>
                          </a:ln>
                        </wps:spPr>
                        <wps:txbx>
                          <w:txbxContent>
                            <w:p w:rsidR="0060634A" w:rsidRDefault="00F76D44">
                              <w:pPr>
                                <w:spacing w:after="120"/>
                                <w:jc w:val="center"/>
                                <w:rPr>
                                  <w:color w:val="28296E"/>
                                  <w:lang w:val="fr-BE"/>
                                </w:rPr>
                              </w:pPr>
                              <w:r>
                                <w:rPr>
                                  <w:b/>
                                  <w:color w:val="28296E"/>
                                  <w:lang w:val="fr-BE"/>
                                </w:rPr>
                                <w:t>85%%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77" o:spid="_x0000_s1116" style="position:absolute;left:0;text-align:left;margin-left:-21.4pt;margin-top:43.3pt;width:147.4pt;height:114.5pt;z-index:-251652096;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KAAAAAAAAACEAQ+FQ0b0iAAC9IgAALQAAAGRycy9lbWJlZGRpbmdz&#10;L01pY3Jvc29mdF9FeGNlbF9Xb3Jrc2hlZXQueGxzeFBLAwQUAAYACAAAACEA3SuLWGwBAAAQBQAA&#10;EwAIAltDb250ZW50X1R5cGVzXS54bWw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">
                <v:shape id="Chart 278" o:spid="_x0000_s1117"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">
                  <v:imagedata r:id="rId305" o:title=""/>
                  <o:lock v:ext="edit" aspectratio="f"/>
                </v:shape>
                <v:shape id="_x0000_s1118" type="#_x0000_t202" style="position:absolute;left:12871;top:7237;width:12767;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rsidR="0060634A" w:rsidRDefault="00F76D44">
                        <w:pPr>
                          <w:pStyle w:val="PPO1AsidebarchartCenterText"/>
                          <w:rPr>
                            <w:rFonts w:eastAsiaTheme="minorEastAsia"/>
                          </w:rPr>
                        </w:pPr>
                        <w:r>
                          <w:rPr>
                            <w:rFonts w:eastAsiaTheme="minorEastAsia"/>
                          </w:rPr>
                          <w:t>EUR</w:t>
                        </w:r>
                        <w:r>
                          <w:rPr>
                            <w:rFonts w:eastAsiaTheme="minorEastAsia"/>
                            <w:b/>
                          </w:rPr>
                          <w:t xml:space="preserve"> 899.6</w:t>
                        </w:r>
                        <w:r>
                          <w:rPr>
                            <w:rFonts w:eastAsiaTheme="minorEastAsia"/>
                          </w:rPr>
                          <w:t xml:space="preserve"> </w:t>
                        </w:r>
                        <w:r>
                          <w:rPr>
                            <w:rFonts w:eastAsiaTheme="minorEastAsia"/>
                          </w:rPr>
                          <w:br/>
                          <w:t>million</w:t>
                        </w:r>
                      </w:p>
                    </w:txbxContent>
                  </v:textbox>
                </v:shape>
                <v:shape id="_x0000_s1119" type="#_x0000_t202" style="position:absolute;left:10758;top:11490;width:7004;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rsidR="0060634A" w:rsidRDefault="00F76D44">
                        <w:pPr>
                          <w:spacing w:after="120"/>
                          <w:jc w:val="center"/>
                          <w:rPr>
                            <w:color w:val="00ADDC"/>
                            <w:lang w:val="fr-BE"/>
                          </w:rPr>
                        </w:pPr>
                        <w:r>
                          <w:rPr>
                            <w:b/>
                            <w:color w:val="00ADDC"/>
                            <w:lang w:val="fr-BE"/>
                          </w:rPr>
                          <w:t>57%%</w:t>
                        </w:r>
                      </w:p>
                    </w:txbxContent>
                  </v:textbox>
                </v:shape>
                <v:shape id="_x0000_s1120" type="#_x0000_t202" style="position:absolute;left:10623;top:4185;width:741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rsidR="0060634A" w:rsidRDefault="00F76D44">
                        <w:pPr>
                          <w:spacing w:after="120"/>
                          <w:jc w:val="center"/>
                          <w:rPr>
                            <w:color w:val="28296E"/>
                            <w:lang w:val="fr-BE"/>
                          </w:rPr>
                        </w:pPr>
                        <w:r>
                          <w:rPr>
                            <w:b/>
                            <w:color w:val="28296E"/>
                            <w:lang w:val="fr-BE"/>
                          </w:rPr>
                          <w:t>85%%</w:t>
                        </w:r>
                      </w:p>
                    </w:txbxContent>
                  </v:textbox>
                </v:shape>
                <w10:wrap type="square"/>
                <w10:anchorlock/>
              </v:group>
              <o:OLEObject Type="Embed" ProgID="Excel.Chart.8" ShapeID="Chart 278" DrawAspect="Content" ObjectID="_1654495732" r:id="rId306">
                <o:FieldCodes>\s</o:FieldCodes>
              </o:OLEObject>
            </w:pict>
          </mc:Fallback>
        </mc:AlternateContent>
      </w:r>
      <w:r>
        <w:rPr>
          <w:rFonts w:eastAsiaTheme="minorEastAsia"/>
        </w:rPr>
        <w:t xml:space="preserve">OVERALL EXECUTION </w:t>
      </w:r>
      <w:r>
        <w:rPr>
          <w:rFonts w:eastAsiaTheme="minorEastAsia"/>
        </w:rPr>
        <w:br/>
        <w:t xml:space="preserve">(2014-2019) </w:t>
      </w:r>
    </w:p>
    <w:p w:rsidR="0060634A" w:rsidRDefault="00F76D44">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665408" behindDoc="0" locked="1" layoutInCell="1" allowOverlap="1">
                <wp:simplePos x="0" y="0"/>
                <wp:positionH relativeFrom="page">
                  <wp:posOffset>2241550</wp:posOffset>
                </wp:positionH>
                <wp:positionV relativeFrom="page">
                  <wp:posOffset>4992370</wp:posOffset>
                </wp:positionV>
                <wp:extent cx="2437130" cy="3254375"/>
                <wp:effectExtent l="0" t="0" r="1270" b="3175"/>
                <wp:wrapTopAndBottom/>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3254375"/>
                        </a:xfrm>
                        <a:prstGeom prst="rect">
                          <a:avLst/>
                        </a:prstGeom>
                        <a:solidFill>
                          <a:srgbClr val="FFFFFF"/>
                        </a:solidFill>
                        <a:ln w="9525">
                          <a:noFill/>
                          <a:miter lim="800000"/>
                          <a:headEnd/>
                          <a:tailEnd/>
                        </a:ln>
                      </wps:spPr>
                      <wps:txbx>
                        <w:txbxContent>
                          <w:p w:rsidR="0060634A" w:rsidRDefault="00F76D44">
                            <w:pPr>
                              <w:pStyle w:val="Title3"/>
                              <w:rPr>
                                <w:rFonts w:eastAsiaTheme="minorEastAsia"/>
                              </w:rPr>
                            </w:pPr>
                            <w:r>
                              <w:rPr>
                                <w:rFonts w:eastAsiaTheme="minorEastAsia"/>
                              </w:rPr>
                              <w:t>Why is it necessary?</w:t>
                            </w:r>
                          </w:p>
                          <w:p w:rsidR="0060634A" w:rsidRDefault="00F76D44">
                            <w:pPr>
                              <w:pStyle w:val="PPObodyText"/>
                              <w:rPr>
                                <w:noProof/>
                              </w:rPr>
                            </w:pPr>
                            <w:r>
                              <w:rPr>
                                <w:noProof/>
                              </w:rPr>
                              <w:t xml:space="preserve">The </w:t>
                            </w:r>
                            <w:r>
                              <w:rPr>
                                <w:noProof/>
                              </w:rPr>
                              <w:t>EaSI programme provides EU funds to coordinate the implementation of the employment and social objectives of the Europe 2020 strategy for smart, sustainable and inclusive growth. It focuses on key actions with high EU added value, such as:</w:t>
                            </w:r>
                          </w:p>
                          <w:p w:rsidR="0060634A" w:rsidRDefault="00F76D44">
                            <w:pPr>
                              <w:pStyle w:val="PPOBlackBULLETS-L1"/>
                              <w:rPr>
                                <w:noProof/>
                              </w:rPr>
                            </w:pPr>
                            <w:r>
                              <w:rPr>
                                <w:noProof/>
                              </w:rPr>
                              <w:t xml:space="preserve">supporting EU </w:t>
                            </w:r>
                            <w:r>
                              <w:rPr>
                                <w:noProof/>
                              </w:rPr>
                              <w:t>policymaking;</w:t>
                            </w:r>
                          </w:p>
                          <w:p w:rsidR="0060634A" w:rsidRDefault="00F76D44">
                            <w:pPr>
                              <w:pStyle w:val="PPOBlackBULLETS-L1"/>
                              <w:rPr>
                                <w:noProof/>
                              </w:rPr>
                            </w:pPr>
                            <w:r>
                              <w:rPr>
                                <w:noProof/>
                              </w:rPr>
                              <w:t>focusing on the transnational dimension of employment, social situation, working conditions, and health and safety at work;</w:t>
                            </w:r>
                          </w:p>
                          <w:p w:rsidR="0060634A" w:rsidRDefault="00F76D44">
                            <w:pPr>
                              <w:pStyle w:val="PPOBlackBULLETS-L1"/>
                              <w:rPr>
                                <w:noProof/>
                              </w:rPr>
                            </w:pPr>
                            <w:r>
                              <w:rPr>
                                <w:noProof/>
                              </w:rPr>
                              <w:t>ensuring the development and proper application of EU laws in the fields of employment, working conditions, health and</w:t>
                            </w:r>
                            <w:r>
                              <w:rPr>
                                <w:noProof/>
                              </w:rPr>
                              <w:t xml:space="preserve"> safety at work and social protection;</w:t>
                            </w:r>
                          </w:p>
                          <w:p w:rsidR="0060634A" w:rsidRDefault="00F76D44">
                            <w:pPr>
                              <w:pStyle w:val="PPOBlackBULLETS-L1"/>
                              <w:rPr>
                                <w:noProof/>
                              </w:rPr>
                            </w:pPr>
                            <w:r>
                              <w:rPr>
                                <w:noProof/>
                              </w:rPr>
                              <w:t>promoting workers’ geographical mobility within the EU by developing recruitment and placing services;</w:t>
                            </w:r>
                          </w:p>
                          <w:p w:rsidR="0060634A" w:rsidRDefault="00F76D44">
                            <w:pPr>
                              <w:pStyle w:val="PPOBlackBULLETS-L1"/>
                              <w:rPr>
                                <w:noProof/>
                              </w:rPr>
                            </w:pPr>
                            <w:r>
                              <w:rPr>
                                <w:noProof/>
                              </w:rPr>
                              <w:t xml:space="preserve">increasing the availability and accessibility of microfinance, as additional funding is more likely to be </w:t>
                            </w:r>
                            <w:r>
                              <w:rPr>
                                <w:noProof/>
                              </w:rPr>
                              <w:t>attracted from third-party investors such as the European Investment Bank.</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left:0;text-align:left;margin-left:176.5pt;margin-top:393.1pt;width:191.9pt;height:256.2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" stroked="f">
                <v:textbox inset="0">
                  <w:txbxContent>
                    <w:p w:rsidR="0060634A" w:rsidRDefault="00F76D44">
                      <w:pPr>
                        <w:pStyle w:val="Title3"/>
                        <w:rPr>
                          <w:rFonts w:eastAsiaTheme="minorEastAsia"/>
                        </w:rPr>
                      </w:pPr>
                      <w:r>
                        <w:rPr>
                          <w:rFonts w:eastAsiaTheme="minorEastAsia"/>
                        </w:rPr>
                        <w:t>Why is it necessary?</w:t>
                      </w:r>
                    </w:p>
                    <w:p w:rsidR="0060634A" w:rsidRDefault="00F76D44">
                      <w:pPr>
                        <w:pStyle w:val="PPObodyText"/>
                        <w:rPr>
                          <w:noProof/>
                        </w:rPr>
                      </w:pPr>
                      <w:r>
                        <w:rPr>
                          <w:noProof/>
                        </w:rPr>
                        <w:t xml:space="preserve">The </w:t>
                      </w:r>
                      <w:r>
                        <w:rPr>
                          <w:noProof/>
                        </w:rPr>
                        <w:t>EaSI programme provides EU funds to coordinate the implementation of the employment and social objectives of the Europe 2020 strategy for smart, sustainable and inclusive growth. It focuses on key actions with high EU added value, such as:</w:t>
                      </w:r>
                    </w:p>
                    <w:p w:rsidR="0060634A" w:rsidRDefault="00F76D44">
                      <w:pPr>
                        <w:pStyle w:val="PPOBlackBULLETS-L1"/>
                        <w:rPr>
                          <w:noProof/>
                        </w:rPr>
                      </w:pPr>
                      <w:r>
                        <w:rPr>
                          <w:noProof/>
                        </w:rPr>
                        <w:t xml:space="preserve">supporting EU </w:t>
                      </w:r>
                      <w:r>
                        <w:rPr>
                          <w:noProof/>
                        </w:rPr>
                        <w:t>policymaking;</w:t>
                      </w:r>
                    </w:p>
                    <w:p w:rsidR="0060634A" w:rsidRDefault="00F76D44">
                      <w:pPr>
                        <w:pStyle w:val="PPOBlackBULLETS-L1"/>
                        <w:rPr>
                          <w:noProof/>
                        </w:rPr>
                      </w:pPr>
                      <w:r>
                        <w:rPr>
                          <w:noProof/>
                        </w:rPr>
                        <w:t>focusing on the transnational dimension of employment, social situation, working conditions, and health and safety at work;</w:t>
                      </w:r>
                    </w:p>
                    <w:p w:rsidR="0060634A" w:rsidRDefault="00F76D44">
                      <w:pPr>
                        <w:pStyle w:val="PPOBlackBULLETS-L1"/>
                        <w:rPr>
                          <w:noProof/>
                        </w:rPr>
                      </w:pPr>
                      <w:r>
                        <w:rPr>
                          <w:noProof/>
                        </w:rPr>
                        <w:t>ensuring the development and proper application of EU laws in the fields of employment, working conditions, health and</w:t>
                      </w:r>
                      <w:r>
                        <w:rPr>
                          <w:noProof/>
                        </w:rPr>
                        <w:t xml:space="preserve"> safety at work and social protection;</w:t>
                      </w:r>
                    </w:p>
                    <w:p w:rsidR="0060634A" w:rsidRDefault="00F76D44">
                      <w:pPr>
                        <w:pStyle w:val="PPOBlackBULLETS-L1"/>
                        <w:rPr>
                          <w:noProof/>
                        </w:rPr>
                      </w:pPr>
                      <w:r>
                        <w:rPr>
                          <w:noProof/>
                        </w:rPr>
                        <w:t>promoting workers’ geographical mobility within the EU by developing recruitment and placing services;</w:t>
                      </w:r>
                    </w:p>
                    <w:p w:rsidR="0060634A" w:rsidRDefault="00F76D44">
                      <w:pPr>
                        <w:pStyle w:val="PPOBlackBULLETS-L1"/>
                        <w:rPr>
                          <w:noProof/>
                        </w:rPr>
                      </w:pPr>
                      <w:r>
                        <w:rPr>
                          <w:noProof/>
                        </w:rPr>
                        <w:t xml:space="preserve">increasing the availability and accessibility of microfinance, as additional funding is more likely to be </w:t>
                      </w:r>
                      <w:r>
                        <w:rPr>
                          <w:noProof/>
                        </w:rPr>
                        <w:t>attracted from third-party investors such as the European Investment Bank.</w:t>
                      </w:r>
                    </w:p>
                  </w:txbxContent>
                </v:textbox>
                <w10:wrap type="topAndBottom" anchorx="page" anchory="page"/>
                <w10:anchorlock/>
              </v:shape>
            </w:pict>
          </mc:Fallback>
        </mc:AlternateContent>
      </w:r>
    </w:p>
    <w:p w:rsidR="0060634A" w:rsidRDefault="00F76D44">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667456" behindDoc="0" locked="1" layoutInCell="1" allowOverlap="1">
                <wp:simplePos x="0" y="0"/>
                <wp:positionH relativeFrom="column">
                  <wp:posOffset>539750</wp:posOffset>
                </wp:positionH>
                <wp:positionV relativeFrom="paragraph">
                  <wp:posOffset>1270</wp:posOffset>
                </wp:positionV>
                <wp:extent cx="115200" cy="115200"/>
                <wp:effectExtent l="0" t="0" r="0" b="0"/>
                <wp:wrapNone/>
                <wp:docPr id="287" name="Oval 287"/>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00AD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C5050F" id="Oval 287" o:spid="_x0000_s1026" style="position:absolute;margin-left:42.5pt;margin-top:.1pt;width:9.05pt;height: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" fillcolor="#00addc" stroked="f" strokeweight="1pt">
                <v:stroke joinstyle="miter"/>
                <w10:anchorlock/>
              </v:oval>
            </w:pict>
          </mc:Fallback>
        </mc:AlternateContent>
      </w:r>
      <w:r>
        <w:rPr>
          <w:rFonts w:eastAsiaTheme="minorEastAsia"/>
          <w:lang w:val="fr-BE" w:eastAsia="fr-BE"/>
        </w:rPr>
        <w:drawing>
          <wp:anchor distT="0" distB="0" distL="114300" distR="114300" simplePos="0" relativeHeight="251670528" behindDoc="1" locked="1" layoutInCell="1" allowOverlap="1">
            <wp:simplePos x="0" y="0"/>
            <wp:positionH relativeFrom="page">
              <wp:posOffset>-415925</wp:posOffset>
            </wp:positionH>
            <wp:positionV relativeFrom="paragraph">
              <wp:posOffset>-1602105</wp:posOffset>
            </wp:positionV>
            <wp:extent cx="3412800" cy="1990800"/>
            <wp:effectExtent l="0" t="0" r="0" b="0"/>
            <wp:wrapNone/>
            <wp:docPr id="456" name="Chart 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7"/>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663360" behindDoc="0" locked="1" layoutInCell="1" allowOverlap="1">
                <wp:simplePos x="0" y="0"/>
                <wp:positionH relativeFrom="column">
                  <wp:posOffset>539750</wp:posOffset>
                </wp:positionH>
                <wp:positionV relativeFrom="paragraph">
                  <wp:posOffset>195580</wp:posOffset>
                </wp:positionV>
                <wp:extent cx="115200" cy="115200"/>
                <wp:effectExtent l="0" t="0" r="0" b="0"/>
                <wp:wrapNone/>
                <wp:docPr id="448" name="Oval 448"/>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93F29D" id="Oval 448" o:spid="_x0000_s1026" style="position:absolute;margin-left:42.5pt;margin-top:15.4pt;width:9.05pt;height: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" fillcolor="#28296e" stroked="f" strokeweight="1pt">
                <v:stroke joinstyle="miter"/>
                <w10:anchorlock/>
              </v:oval>
            </w:pict>
          </mc:Fallback>
        </mc:AlternateContent>
      </w:r>
      <w:r>
        <w:rPr>
          <w:rFonts w:eastAsiaTheme="minorEastAsia"/>
        </w:rPr>
        <w:t>Payments</w:t>
      </w:r>
    </w:p>
    <w:p w:rsidR="0060634A" w:rsidRDefault="00F76D44">
      <w:pPr>
        <w:pStyle w:val="PPOsidebarchartLegends"/>
        <w:rPr>
          <w:rFonts w:eastAsiaTheme="minorEastAsia"/>
        </w:rPr>
      </w:pPr>
      <w:r>
        <w:rPr>
          <w:rFonts w:eastAsiaTheme="minorEastAsia"/>
        </w:rPr>
        <w:t>Commitments</w:t>
      </w:r>
    </w:p>
    <w:p w:rsidR="0060634A" w:rsidRDefault="00F76D44">
      <w:pPr>
        <w:pStyle w:val="PPO1AsidebarTitleLightBlue"/>
        <w:rPr>
          <w:rFonts w:eastAsiaTheme="minorEastAsia"/>
        </w:rPr>
      </w:pPr>
      <w:r>
        <w:rPr>
          <w:rFonts w:eastAsiaTheme="minorEastAsia"/>
        </w:rPr>
        <w:t>Evaluations/</w:t>
      </w:r>
      <w:r>
        <w:rPr>
          <w:rFonts w:eastAsiaTheme="minorEastAsia"/>
          <w:lang w:val="fr-BE" w:eastAsia="fr-BE"/>
        </w:rPr>
        <mc:AlternateContent>
          <mc:Choice Requires="wps">
            <w:drawing>
              <wp:anchor distT="0" distB="0" distL="114300" distR="114300" simplePos="0" relativeHeight="251737088" behindDoc="1" locked="1" layoutInCell="1" allowOverlap="1">
                <wp:simplePos x="0" y="0"/>
                <wp:positionH relativeFrom="page">
                  <wp:posOffset>4762500</wp:posOffset>
                </wp:positionH>
                <wp:positionV relativeFrom="page">
                  <wp:posOffset>4991100</wp:posOffset>
                </wp:positionV>
                <wp:extent cx="2437130" cy="1887855"/>
                <wp:effectExtent l="0" t="0" r="1270" b="0"/>
                <wp:wrapNone/>
                <wp:docPr id="449" name="Text Box 449"/>
                <wp:cNvGraphicFramePr/>
                <a:graphic xmlns:a="http://schemas.openxmlformats.org/drawingml/2006/main">
                  <a:graphicData uri="http://schemas.microsoft.com/office/word/2010/wordprocessingShape">
                    <wps:wsp>
                      <wps:cNvSpPr txBox="1"/>
                      <wps:spPr>
                        <a:xfrm>
                          <a:off x="0" y="0"/>
                          <a:ext cx="2437130" cy="1887855"/>
                        </a:xfrm>
                        <a:prstGeom prst="rect">
                          <a:avLst/>
                        </a:prstGeom>
                        <a:solidFill>
                          <a:schemeClr val="lt1"/>
                        </a:solidFill>
                        <a:ln w="6350">
                          <a:noFill/>
                        </a:ln>
                      </wps:spPr>
                      <wps:txbx>
                        <w:txbxContent>
                          <w:p w:rsidR="0060634A" w:rsidRDefault="00F76D44">
                            <w:pPr>
                              <w:pStyle w:val="PPOTitle3-nospacebefore"/>
                              <w:rPr>
                                <w:rFonts w:eastAsiaTheme="minorEastAsia"/>
                              </w:rPr>
                            </w:pPr>
                            <w:r>
                              <w:rPr>
                                <w:rFonts w:eastAsiaTheme="minorEastAsia"/>
                              </w:rPr>
                              <w:t xml:space="preserve">Outlook for the 2021-2027 period </w:t>
                            </w:r>
                          </w:p>
                          <w:p w:rsidR="0060634A" w:rsidRDefault="00F76D44">
                            <w:pPr>
                              <w:pStyle w:val="PPObodyText"/>
                              <w:rPr>
                                <w:noProof/>
                              </w:rPr>
                            </w:pPr>
                            <w:r>
                              <w:rPr>
                                <w:noProof/>
                              </w:rPr>
                              <w:t>The Commission proposed to include this programme within the new European Social Fund+ for the next multian</w:t>
                            </w:r>
                            <w:r>
                              <w:rPr>
                                <w:noProof/>
                              </w:rPr>
                              <w:t>nual financial framework.</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9" o:spid="_x0000_s1122" type="#_x0000_t202" style="position:absolute;left:0;text-align:left;margin-left:375pt;margin-top:393pt;width:191.9pt;height:148.6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" fillcolor="white [3201]" stroked="f" strokeweight=".5pt">
                <v:textbox inset=",,0">
                  <w:txbxContent>
                    <w:p w:rsidR="0060634A" w:rsidRDefault="00F76D44">
                      <w:pPr>
                        <w:pStyle w:val="PPOTitle3-nospacebefore"/>
                        <w:rPr>
                          <w:rFonts w:eastAsiaTheme="minorEastAsia"/>
                        </w:rPr>
                      </w:pPr>
                      <w:r>
                        <w:rPr>
                          <w:rFonts w:eastAsiaTheme="minorEastAsia"/>
                        </w:rPr>
                        <w:t xml:space="preserve">Outlook for the 2021-2027 period </w:t>
                      </w:r>
                    </w:p>
                    <w:p w:rsidR="0060634A" w:rsidRDefault="00F76D44">
                      <w:pPr>
                        <w:pStyle w:val="PPObodyText"/>
                        <w:rPr>
                          <w:noProof/>
                        </w:rPr>
                      </w:pPr>
                      <w:r>
                        <w:rPr>
                          <w:noProof/>
                        </w:rPr>
                        <w:t>The Commission proposed to include this programme within the new European Social Fund+ for the next multian</w:t>
                      </w:r>
                      <w:r>
                        <w:rPr>
                          <w:noProof/>
                        </w:rPr>
                        <w:t>nual financial framework.</w:t>
                      </w:r>
                    </w:p>
                  </w:txbxContent>
                </v:textbox>
                <w10:wrap anchorx="page" anchory="page"/>
                <w10:anchorlock/>
              </v:shape>
            </w:pict>
          </mc:Fallback>
        </mc:AlternateContent>
      </w:r>
      <w:r>
        <w:rPr>
          <w:rFonts w:eastAsiaTheme="minorEastAsia"/>
        </w:rPr>
        <w:br/>
        <w:t>studies conducted</w:t>
      </w:r>
    </w:p>
    <w:p w:rsidR="0060634A" w:rsidRDefault="00F76D44">
      <w:pPr>
        <w:pStyle w:val="PPOsidebartext"/>
        <w:rPr>
          <w:rFonts w:eastAsiaTheme="minorEastAsia"/>
        </w:rPr>
      </w:pPr>
      <w:r>
        <w:rPr>
          <w:rFonts w:eastAsiaTheme="minorEastAsia"/>
        </w:rPr>
        <w:t xml:space="preserve">The midterm evaluation of EaSI was carried out in 2017. For further information please consult: </w:t>
      </w:r>
      <w:hyperlink r:id="rId308" w:history="1">
        <w:r>
          <w:rPr>
            <w:rStyle w:val="PPOChar-Hyperlink"/>
            <w:rFonts w:eastAsiaTheme="minorEastAsia"/>
          </w:rPr>
          <w:t>http://europa.eu/!wy63PW</w:t>
        </w:r>
      </w:hyperlink>
      <w:r>
        <w:rPr>
          <w:rFonts w:eastAsiaTheme="minorEastAsia"/>
        </w:rPr>
        <w:t xml:space="preserve"> and </w:t>
      </w:r>
      <w:hyperlink r:id="rId309" w:history="1">
        <w:r>
          <w:rPr>
            <w:rStyle w:val="PPOChar-Hyperlink"/>
            <w:rFonts w:eastAsiaTheme="minorEastAsia"/>
          </w:rPr>
          <w:t>http</w:t>
        </w:r>
        <w:r>
          <w:rPr>
            <w:rStyle w:val="PPOChar-Hyperlink"/>
            <w:rFonts w:eastAsiaTheme="minorEastAsia"/>
          </w:rPr>
          <w:t>://europa.eu/!bx37TB</w:t>
        </w:r>
      </w:hyperlink>
    </w:p>
    <w:p w:rsidR="0060634A" w:rsidRDefault="00F76D44">
      <w:pPr>
        <w:pStyle w:val="PPO1AsidebarTitleLightBlue"/>
        <w:rPr>
          <w:rFonts w:eastAsiaTheme="minorEastAsia"/>
        </w:rPr>
      </w:pPr>
      <w:r>
        <w:rPr>
          <w:rFonts w:eastAsiaTheme="minorEastAsia"/>
        </w:rPr>
        <w:t>How is it implemented?</w:t>
      </w:r>
    </w:p>
    <w:tbl>
      <w:tblPr>
        <w:tblStyle w:val="TableGrid"/>
        <w:tblpPr w:vertAnchor="page" w:horzAnchor="page" w:tblpX="3663" w:tblpY="13622"/>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60634A">
        <w:trPr>
          <w:cantSplit/>
        </w:trPr>
        <w:tc>
          <w:tcPr>
            <w:tcW w:w="7792" w:type="dxa"/>
            <w:gridSpan w:val="3"/>
            <w:vAlign w:val="center"/>
          </w:tcPr>
          <w:p w:rsidR="0060634A" w:rsidRDefault="00F76D44">
            <w:pPr>
              <w:pStyle w:val="PPOTitle3-nospacebefore"/>
              <w:ind w:left="-108"/>
              <w:rPr>
                <w:rFonts w:eastAsiaTheme="minorEastAsia"/>
                <w:lang w:val="en-GB"/>
              </w:rPr>
            </w:pPr>
            <w:r>
              <w:rPr>
                <w:rFonts w:eastAsiaTheme="minorEastAsia"/>
                <w:lang w:val="en-GB"/>
              </w:rPr>
              <w:t>Voted budget execution (in million EUR)</w:t>
            </w:r>
          </w:p>
        </w:tc>
      </w:tr>
      <w:tr w:rsidR="0060634A">
        <w:tblPrEx>
          <w:tblCellMar>
            <w:left w:w="57" w:type="dxa"/>
            <w:right w:w="57" w:type="dxa"/>
          </w:tblCellMar>
        </w:tblPrEx>
        <w:trPr>
          <w:cantSplit/>
        </w:trPr>
        <w:tc>
          <w:tcPr>
            <w:tcW w:w="3471" w:type="dxa"/>
            <w:shd w:val="clear" w:color="auto" w:fill="00ADDC"/>
            <w:vAlign w:val="center"/>
          </w:tcPr>
          <w:p w:rsidR="0060634A" w:rsidRDefault="00F76D44">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00ADDC"/>
            <w:vAlign w:val="center"/>
          </w:tcPr>
          <w:p w:rsidR="0060634A" w:rsidRDefault="0060634A">
            <w:pPr>
              <w:rPr>
                <w:noProof/>
              </w:rPr>
            </w:pPr>
          </w:p>
        </w:tc>
        <w:tc>
          <w:tcPr>
            <w:tcW w:w="3471" w:type="dxa"/>
            <w:shd w:val="clear" w:color="auto" w:fill="00ADDC"/>
            <w:vAlign w:val="center"/>
          </w:tcPr>
          <w:p w:rsidR="0060634A" w:rsidRDefault="00F76D44">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60634A">
        <w:trPr>
          <w:cantSplit/>
        </w:trPr>
        <w:tc>
          <w:tcPr>
            <w:tcW w:w="3471" w:type="dxa"/>
            <w:shd w:val="clear" w:color="auto" w:fill="DCE6F2"/>
            <w:vAlign w:val="center"/>
          </w:tcPr>
          <w:p w:rsidR="0060634A" w:rsidRDefault="00F76D44">
            <w:pPr>
              <w:spacing w:after="100" w:afterAutospacing="1"/>
              <w:jc w:val="center"/>
              <w:rPr>
                <w:noProof/>
                <w:color w:val="0070C0"/>
                <w:sz w:val="18"/>
              </w:rPr>
            </w:pPr>
            <w:r>
              <w:rPr>
                <w:noProof/>
                <w:color w:val="0070C0"/>
                <w:sz w:val="18"/>
                <w:lang w:eastAsia="fr-BE"/>
              </w:rPr>
              <w:drawing>
                <wp:inline distT="0" distB="0" distL="0" distR="0">
                  <wp:extent cx="2158365" cy="890270"/>
                  <wp:effectExtent l="0" t="0" r="0" b="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c>
          <w:tcPr>
            <w:tcW w:w="850" w:type="dxa"/>
            <w:shd w:val="clear" w:color="auto" w:fill="DCE6F2"/>
            <w:vAlign w:val="center"/>
          </w:tcPr>
          <w:p w:rsidR="0060634A" w:rsidRDefault="00F76D44">
            <w:pPr>
              <w:pStyle w:val="PPO1AVotedbudgetTABLEtextBlue"/>
              <w:framePr w:hSpace="0" w:wrap="auto" w:vAnchor="margin" w:hAnchor="text" w:xAlign="left" w:yAlign="inline"/>
              <w:suppressOverlap w:val="0"/>
              <w:rPr>
                <w:rFonts w:eastAsiaTheme="minorEastAsia"/>
              </w:rPr>
            </w:pPr>
            <w:r>
              <w:rPr>
                <w:rFonts w:eastAsiaTheme="minorEastAsia"/>
              </w:rPr>
              <w:t>2017</w:t>
            </w:r>
          </w:p>
          <w:p w:rsidR="0060634A" w:rsidRDefault="00F76D44">
            <w:pPr>
              <w:pStyle w:val="PPO1AVotedbudgetTABLEtextBlue"/>
              <w:framePr w:hSpace="0" w:wrap="auto" w:vAnchor="margin" w:hAnchor="text" w:xAlign="left" w:yAlign="inline"/>
              <w:suppressOverlap w:val="0"/>
              <w:rPr>
                <w:rFonts w:eastAsiaTheme="minorEastAsia"/>
              </w:rPr>
            </w:pPr>
            <w:r>
              <w:rPr>
                <w:rFonts w:eastAsiaTheme="minorEastAsia"/>
              </w:rPr>
              <w:t>2018</w:t>
            </w:r>
          </w:p>
          <w:p w:rsidR="0060634A" w:rsidRDefault="00F76D44">
            <w:pPr>
              <w:pStyle w:val="PPO1AVotedbudgetTABLEtextBlue"/>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DCE6F2"/>
            <w:vAlign w:val="center"/>
          </w:tcPr>
          <w:p w:rsidR="0060634A" w:rsidRDefault="00F76D44">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890270"/>
                  <wp:effectExtent l="0" t="0" r="0" b="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r>
    </w:tbl>
    <w:p w:rsidR="0060634A" w:rsidRDefault="00F76D44">
      <w:pPr>
        <w:pStyle w:val="PPOsidebartext"/>
        <w:rPr>
          <w:rFonts w:eastAsiaTheme="minorEastAsia"/>
        </w:rPr>
      </w:pPr>
      <w:r>
        <w:rPr>
          <w:rFonts w:eastAsiaTheme="minorEastAsia"/>
        </w:rPr>
        <w:t xml:space="preserve">The Directorate-General for Employment, Social Affairs and Inclusion is the lead DG for the implementation of </w:t>
      </w:r>
      <w:r>
        <w:rPr>
          <w:rFonts w:eastAsiaTheme="minorEastAsia"/>
        </w:rPr>
        <w:t>the programme. The programme is implemented through direct (grants and procurement) and indirect management (European Fund for Strategic Investments equity instrument and delegation to financial intermediaries).</w:t>
      </w:r>
    </w:p>
    <w:p w:rsidR="0060634A" w:rsidRDefault="00F76D44">
      <w:pPr>
        <w:pStyle w:val="PPO1ATitle1"/>
        <w:rPr>
          <w:rFonts w:eastAsiaTheme="minorEastAsia"/>
        </w:rPr>
      </w:pPr>
      <w:r>
        <w:rPr>
          <w:rFonts w:eastAsiaTheme="minorEastAsia"/>
        </w:rPr>
        <w:br w:type="column"/>
      </w:r>
      <w:bookmarkStart w:id="33" w:name="_Toc39583681"/>
      <w:r>
        <w:rPr>
          <w:rFonts w:eastAsiaTheme="minorEastAsia"/>
        </w:rPr>
        <w:t>EaSI</w:t>
      </w:r>
      <w:bookmarkEnd w:id="33"/>
    </w:p>
    <w:p w:rsidR="0060634A" w:rsidRDefault="00F76D44">
      <w:pPr>
        <w:pStyle w:val="PPO1ATitle2"/>
        <w:rPr>
          <w:rFonts w:eastAsiaTheme="minorEastAsia"/>
        </w:rPr>
      </w:pPr>
      <w:r>
        <w:rPr>
          <w:rFonts w:eastAsiaTheme="minorEastAsia"/>
        </w:rPr>
        <w:t>EUROPEAN UNION PROGRAMME FOR EMPLOYMEN</w:t>
      </w:r>
      <w:r>
        <w:rPr>
          <w:rFonts w:eastAsiaTheme="minorEastAsia"/>
        </w:rPr>
        <w:t>T AND SOCIAL INNOVATION</w:t>
      </w:r>
    </w:p>
    <w:p w:rsidR="0060634A" w:rsidRDefault="00F76D44">
      <w:pPr>
        <w:pStyle w:val="PPOTitle3"/>
        <w:rPr>
          <w:rFonts w:eastAsiaTheme="minorEastAsia"/>
        </w:rPr>
      </w:pPr>
      <w:r>
        <w:rPr>
          <w:rFonts w:eastAsiaTheme="minorEastAsia"/>
        </w:rPr>
        <w:t>What is EaSI?</w:t>
      </w:r>
    </w:p>
    <w:p w:rsidR="0060634A" w:rsidRDefault="00F76D44">
      <w:pPr>
        <w:pStyle w:val="PPObodyText"/>
        <w:spacing w:after="240"/>
        <w:rPr>
          <w:noProof/>
        </w:rPr>
      </w:pPr>
      <w:r>
        <w:rPr>
          <w:noProof/>
          <w:lang w:val="fr-BE" w:eastAsia="fr-BE"/>
        </w:rPr>
        <mc:AlternateContent>
          <mc:Choice Requires="wps">
            <w:drawing>
              <wp:anchor distT="0" distB="0" distL="114300" distR="114300" simplePos="0" relativeHeight="251669504" behindDoc="0" locked="1" layoutInCell="1" allowOverlap="1">
                <wp:simplePos x="0" y="0"/>
                <wp:positionH relativeFrom="column">
                  <wp:posOffset>2499995</wp:posOffset>
                </wp:positionH>
                <wp:positionV relativeFrom="page">
                  <wp:posOffset>7076440</wp:posOffset>
                </wp:positionV>
                <wp:extent cx="2437130" cy="1222375"/>
                <wp:effectExtent l="0" t="0" r="1270" b="0"/>
                <wp:wrapTopAndBottom/>
                <wp:docPr id="450" name="Text Box 450"/>
                <wp:cNvGraphicFramePr/>
                <a:graphic xmlns:a="http://schemas.openxmlformats.org/drawingml/2006/main">
                  <a:graphicData uri="http://schemas.microsoft.com/office/word/2010/wordprocessingShape">
                    <wps:wsp>
                      <wps:cNvSpPr txBox="1"/>
                      <wps:spPr>
                        <a:xfrm>
                          <a:off x="0" y="0"/>
                          <a:ext cx="2437130" cy="1222375"/>
                        </a:xfrm>
                        <a:prstGeom prst="rect">
                          <a:avLst/>
                        </a:prstGeom>
                        <a:solidFill>
                          <a:schemeClr val="lt1"/>
                        </a:solidFill>
                        <a:ln w="6350">
                          <a:noFill/>
                        </a:ln>
                      </wps:spPr>
                      <wps:txbx>
                        <w:txbxContent>
                          <w:p w:rsidR="0060634A" w:rsidRDefault="0060634A">
                            <w:pPr>
                              <w:jc w:val="both"/>
                              <w:rPr>
                                <w:rFonts w:ascii="EC Square Sans Cond Pro" w:hAnsi="EC Square Sans Cond Pro" w:cs="EC Square Sans Cond Pro"/>
                                <w:color w:val="000000"/>
                                <w:sz w:val="18"/>
                                <w:szCs w:val="18"/>
                              </w:rPr>
                            </w:pP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0" o:spid="_x0000_s1123" type="#_x0000_t202" style="position:absolute;left:0;text-align:left;margin-left:196.85pt;margin-top:557.2pt;width:191.9pt;height:9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" fillcolor="white [3201]" stroked="f" strokeweight=".5pt">
                <v:textbox inset=",,0">
                  <w:txbxContent>
                    <w:p w:rsidR="0060634A" w:rsidRDefault="0060634A">
                      <w:pPr>
                        <w:jc w:val="both"/>
                        <w:rPr>
                          <w:rFonts w:ascii="EC Square Sans Cond Pro" w:hAnsi="EC Square Sans Cond Pro" w:cs="EC Square Sans Cond Pro"/>
                          <w:color w:val="000000"/>
                          <w:sz w:val="18"/>
                          <w:szCs w:val="18"/>
                        </w:rPr>
                      </w:pPr>
                    </w:p>
                  </w:txbxContent>
                </v:textbox>
                <w10:wrap type="topAndBottom" anchory="page"/>
                <w10:anchorlock/>
              </v:shape>
            </w:pict>
          </mc:Fallback>
        </mc:AlternateContent>
      </w:r>
      <w:r>
        <w:rPr>
          <w:noProof/>
        </w:rPr>
        <w:t>The employment and social innovation (EaSI) programme is a financing instrument at EU level promoting a high level of quality and sustainable employment, guaranteeing adequate and decent social protection, combatin</w:t>
      </w:r>
      <w:r>
        <w:rPr>
          <w:noProof/>
        </w:rPr>
        <w:t>g social exclusion and poverty and improving working conditions. The three axes of EaSI support the modernisation of employment and social policies (PROGRESS axis), job mobility (EURES axis) and access to microfinance and social entrepreneurship (Microfina</w:t>
      </w:r>
      <w:r>
        <w:rPr>
          <w:noProof/>
        </w:rPr>
        <w:t>nce</w:t>
      </w:r>
      <w:r>
        <w:rPr>
          <w:rFonts w:ascii="Calibri" w:hAnsi="Calibri" w:cs="Calibri"/>
          <w:noProof/>
        </w:rPr>
        <w:t> </w:t>
      </w:r>
      <w:r>
        <w:rPr>
          <w:noProof/>
        </w:rPr>
        <w:t>/ Social Entrepreneurship axis).</w:t>
      </w:r>
    </w:p>
    <w:tbl>
      <w:tblPr>
        <w:tblStyle w:val="TableGrid"/>
        <w:tblpPr w:leftFromText="181" w:rightFromText="340" w:vertAnchor="text" w:horzAnchor="margin" w:tblpXSpec="right" w:tblpY="177"/>
        <w:tblW w:w="7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7927"/>
      </w:tblGrid>
      <w:tr w:rsidR="0060634A">
        <w:trPr>
          <w:trHeight w:val="3242"/>
        </w:trPr>
        <w:tc>
          <w:tcPr>
            <w:tcW w:w="7927" w:type="dxa"/>
            <w:shd w:val="clear" w:color="auto" w:fill="F2F2F2" w:themeFill="background1" w:themeFillShade="F2"/>
          </w:tcPr>
          <w:p w:rsidR="0060634A" w:rsidRDefault="00F76D44">
            <w:pPr>
              <w:pStyle w:val="PPO1ASpecificobjectivesBOX-HeadingLightBlue"/>
              <w:rPr>
                <w:rFonts w:eastAsiaTheme="minorEastAsia"/>
              </w:rPr>
            </w:pPr>
            <w:r>
              <w:rPr>
                <w:rFonts w:eastAsiaTheme="minorEastAsia"/>
                <w:lang w:eastAsia="fr-BE"/>
              </w:rPr>
              <mc:AlternateContent>
                <mc:Choice Requires="wps">
                  <w:drawing>
                    <wp:anchor distT="0" distB="0" distL="114300" distR="114300" simplePos="0" relativeHeight="251671552"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23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00ADDC"/>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B95E72F" id="Freeform 6" o:spid="_x0000_s1026" style="position:absolute;margin-left:4pt;margin-top:1.4pt;width:21.25pt;height:2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00addc"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rFonts w:eastAsiaTheme="minorEastAsia"/>
              </w:rPr>
              <w:t>Specific objectives</w:t>
            </w:r>
          </w:p>
          <w:p w:rsidR="0060634A" w:rsidRDefault="00F76D44">
            <w:pPr>
              <w:pStyle w:val="PPO1ASpecificobjectivesBOX-BulletLightBlue"/>
              <w:rPr>
                <w:rFonts w:ascii="EC Square Sans Cond Pro" w:hAnsi="EC Square Sans Cond Pro"/>
                <w:lang w:val="en-GB"/>
              </w:rPr>
            </w:pPr>
            <w:r>
              <w:rPr>
                <w:rFonts w:ascii="EC Square Sans Cond Pro" w:hAnsi="EC Square Sans Cond Pro"/>
                <w:lang w:val="en-GB"/>
              </w:rPr>
              <w:t>Support the development, implementation, monitoring and evaluation of the EU’s instruments, policies (promoting a high level of quality and sustainable employment, guaranteeing adequate and decent s</w:t>
            </w:r>
            <w:r>
              <w:rPr>
                <w:rFonts w:ascii="EC Square Sans Cond Pro" w:hAnsi="EC Square Sans Cond Pro"/>
                <w:lang w:val="en-GB"/>
              </w:rPr>
              <w:t>ocial protection, combating social exclusion and poverty and improving working conditions) and relevant law, and promote evidence-based policymaking, social innovation and social progress, in partnership with the social partners, civil society organisation</w:t>
            </w:r>
            <w:r>
              <w:rPr>
                <w:rFonts w:ascii="EC Square Sans Cond Pro" w:hAnsi="EC Square Sans Cond Pro"/>
                <w:lang w:val="en-GB"/>
              </w:rPr>
              <w:t>s and public and private bodies (PROGRESS axis).</w:t>
            </w:r>
          </w:p>
          <w:p w:rsidR="0060634A" w:rsidRDefault="00F76D44">
            <w:pPr>
              <w:pStyle w:val="PPO1ASpecificobjectivesBOX-BulletLightBlue"/>
              <w:rPr>
                <w:rFonts w:ascii="EC Square Sans Cond Pro" w:hAnsi="EC Square Sans Cond Pro"/>
                <w:lang w:val="en-GB"/>
              </w:rPr>
            </w:pPr>
            <w:r>
              <w:rPr>
                <w:rFonts w:ascii="EC Square Sans Cond Pro" w:hAnsi="EC Square Sans Cond Pro"/>
                <w:lang w:val="en-GB"/>
              </w:rPr>
              <w:t>Promote workers’ voluntary geographical mobility on a fair basis and boost employment opportunities by developing high-quality and inclusive European Union labour markets that are open and accessible to all,</w:t>
            </w:r>
            <w:r>
              <w:rPr>
                <w:rFonts w:ascii="EC Square Sans Cond Pro" w:hAnsi="EC Square Sans Cond Pro"/>
                <w:lang w:val="en-GB"/>
              </w:rPr>
              <w:t xml:space="preserve"> while respecting workers’ rights throughout the EU, including freedom of movement (EURES axis).</w:t>
            </w:r>
          </w:p>
          <w:p w:rsidR="0060634A" w:rsidRDefault="00F76D44">
            <w:pPr>
              <w:pStyle w:val="PPO1ASpecificobjectivesBOX-BulletLightBlue"/>
              <w:rPr>
                <w:lang w:val="en-GB"/>
              </w:rPr>
            </w:pPr>
            <w:r>
              <w:rPr>
                <w:rFonts w:ascii="EC Square Sans Cond Pro" w:hAnsi="EC Square Sans Cond Pro"/>
                <w:lang w:val="en-GB"/>
              </w:rPr>
              <w:t xml:space="preserve">Promote employment and social inclusion by increasing the availability and accessibility of microfinance for vulnerable people who wish to start up a </w:t>
            </w:r>
            <w:r>
              <w:rPr>
                <w:rFonts w:ascii="EC Square Sans Cond Pro" w:hAnsi="EC Square Sans Cond Pro"/>
                <w:lang w:val="en-GB"/>
              </w:rPr>
              <w:t>micro-enterprise and for existing micro-enterprises, and by increasing access to finance for social enterprises (Microfinance</w:t>
            </w:r>
            <w:r>
              <w:rPr>
                <w:rFonts w:ascii="Calibri" w:hAnsi="Calibri" w:cs="Calibri"/>
                <w:lang w:val="en-GB"/>
              </w:rPr>
              <w:t> </w:t>
            </w:r>
            <w:r>
              <w:rPr>
                <w:rFonts w:ascii="EC Square Sans Cond Pro" w:hAnsi="EC Square Sans Cond Pro"/>
                <w:lang w:val="en-GB"/>
              </w:rPr>
              <w:t>/ Social Entrepreneurship axis).</w:t>
            </w:r>
          </w:p>
        </w:tc>
      </w:tr>
    </w:tbl>
    <w:p w:rsidR="0060634A" w:rsidRDefault="0060634A">
      <w:pPr>
        <w:rPr>
          <w:noProof/>
          <w:sz w:val="2"/>
          <w:szCs w:val="2"/>
        </w:rPr>
      </w:pPr>
    </w:p>
    <w:p w:rsidR="0060634A" w:rsidRDefault="0060634A">
      <w:pPr>
        <w:framePr w:w="6721" w:wrap="auto" w:hAnchor="text" w:x="3544"/>
        <w:jc w:val="both"/>
        <w:rPr>
          <w:b/>
          <w:noProof/>
          <w:color w:val="1F95A5"/>
        </w:rPr>
        <w:sectPr w:rsidR="0060634A">
          <w:headerReference w:type="even" r:id="rId312"/>
          <w:headerReference w:type="default" r:id="rId313"/>
          <w:footerReference w:type="even" r:id="rId314"/>
          <w:footerReference w:type="default" r:id="rId315"/>
          <w:headerReference w:type="first" r:id="rId316"/>
          <w:footerReference w:type="first" r:id="rId317"/>
          <w:pgSz w:w="11906" w:h="16838"/>
          <w:pgMar w:top="567" w:right="567" w:bottom="567" w:left="567" w:header="567" w:footer="454" w:gutter="0"/>
          <w:paperSrc w:first="15" w:other="15"/>
          <w:cols w:num="2" w:space="708" w:equalWidth="0">
            <w:col w:w="2269" w:space="708"/>
            <w:col w:w="7795"/>
          </w:cols>
          <w:docGrid w:linePitch="360"/>
        </w:sectPr>
      </w:pPr>
    </w:p>
    <w:p w:rsidR="0060634A" w:rsidRDefault="00F76D44">
      <w:pPr>
        <w:pStyle w:val="PPOTitle3-nospacebefore"/>
        <w:rPr>
          <w:rFonts w:eastAsiaTheme="minorEastAsia"/>
        </w:rPr>
      </w:pPr>
      <w:r>
        <w:rPr>
          <w:rFonts w:eastAsiaTheme="minorEastAsia"/>
        </w:rPr>
        <w:t>Key performance indicators</w:t>
      </w:r>
    </w:p>
    <w:tbl>
      <w:tblPr>
        <w:tblStyle w:val="TableGrid"/>
        <w:tblW w:w="10726"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Layout w:type="fixed"/>
        <w:tblCellMar>
          <w:left w:w="0" w:type="dxa"/>
          <w:right w:w="85" w:type="dxa"/>
        </w:tblCellMar>
        <w:tblLook w:val="04A0" w:firstRow="1" w:lastRow="0" w:firstColumn="1" w:lastColumn="0" w:noHBand="0" w:noVBand="1"/>
      </w:tblPr>
      <w:tblGrid>
        <w:gridCol w:w="3063"/>
        <w:gridCol w:w="707"/>
        <w:gridCol w:w="3352"/>
        <w:gridCol w:w="714"/>
        <w:gridCol w:w="2832"/>
        <w:gridCol w:w="58"/>
      </w:tblGrid>
      <w:tr w:rsidR="0060634A">
        <w:trPr>
          <w:gridAfter w:val="1"/>
          <w:wAfter w:w="58" w:type="dxa"/>
          <w:trHeight w:val="333"/>
        </w:trPr>
        <w:tc>
          <w:tcPr>
            <w:tcW w:w="3063" w:type="dxa"/>
            <w:vAlign w:val="center"/>
          </w:tcPr>
          <w:p w:rsidR="0060634A" w:rsidRDefault="0060634A">
            <w:pPr>
              <w:ind w:left="142"/>
              <w:jc w:val="right"/>
              <w:rPr>
                <w:noProof/>
                <w:sz w:val="16"/>
                <w:szCs w:val="16"/>
              </w:rPr>
            </w:pPr>
          </w:p>
        </w:tc>
        <w:tc>
          <w:tcPr>
            <w:tcW w:w="707" w:type="dxa"/>
            <w:vAlign w:val="bottom"/>
          </w:tcPr>
          <w:p w:rsidR="0060634A" w:rsidRDefault="00F76D44">
            <w:pPr>
              <w:jc w:val="center"/>
              <w:rPr>
                <w:b/>
                <w:noProof/>
                <w:color w:val="28296E"/>
                <w:sz w:val="16"/>
                <w:szCs w:val="16"/>
              </w:rPr>
            </w:pPr>
            <w:r>
              <w:rPr>
                <w:b/>
                <w:noProof/>
                <w:color w:val="28296E"/>
                <w:sz w:val="16"/>
                <w:szCs w:val="16"/>
              </w:rPr>
              <w:t>Baseline</w:t>
            </w:r>
          </w:p>
        </w:tc>
        <w:tc>
          <w:tcPr>
            <w:tcW w:w="3352" w:type="dxa"/>
            <w:vAlign w:val="center"/>
          </w:tcPr>
          <w:p w:rsidR="0060634A" w:rsidRDefault="00F76D44">
            <w:pPr>
              <w:ind w:left="142"/>
              <w:jc w:val="center"/>
              <w:rPr>
                <w:b/>
                <w:noProof/>
                <w:color w:val="28296E"/>
                <w:sz w:val="16"/>
                <w:szCs w:val="16"/>
              </w:rPr>
            </w:pPr>
            <w:r>
              <w:rPr>
                <w:b/>
                <w:noProof/>
                <w:color w:val="28296E"/>
                <w:sz w:val="16"/>
                <w:szCs w:val="16"/>
              </w:rPr>
              <w:t>PROGRESS TOWARDS THE TARGET</w:t>
            </w:r>
          </w:p>
        </w:tc>
        <w:tc>
          <w:tcPr>
            <w:tcW w:w="714" w:type="dxa"/>
            <w:vAlign w:val="bottom"/>
          </w:tcPr>
          <w:p w:rsidR="0060634A" w:rsidRDefault="00F76D44">
            <w:pPr>
              <w:jc w:val="center"/>
              <w:rPr>
                <w:b/>
                <w:noProof/>
                <w:color w:val="28296E"/>
                <w:sz w:val="16"/>
                <w:szCs w:val="16"/>
              </w:rPr>
            </w:pPr>
            <w:r>
              <w:rPr>
                <w:b/>
                <w:noProof/>
                <w:color w:val="28296E"/>
                <w:sz w:val="16"/>
                <w:szCs w:val="16"/>
              </w:rPr>
              <w:t>Target</w:t>
            </w:r>
          </w:p>
        </w:tc>
        <w:tc>
          <w:tcPr>
            <w:tcW w:w="2832" w:type="dxa"/>
            <w:vAlign w:val="bottom"/>
          </w:tcPr>
          <w:p w:rsidR="0060634A" w:rsidRDefault="00F76D44">
            <w:pPr>
              <w:jc w:val="center"/>
              <w:rPr>
                <w:b/>
                <w:noProof/>
                <w:color w:val="28296E"/>
                <w:sz w:val="16"/>
                <w:szCs w:val="16"/>
              </w:rPr>
            </w:pPr>
            <w:r>
              <w:rPr>
                <w:b/>
                <w:noProof/>
                <w:color w:val="28296E"/>
                <w:sz w:val="16"/>
                <w:szCs w:val="16"/>
              </w:rPr>
              <w:t>Results</w:t>
            </w:r>
          </w:p>
        </w:tc>
      </w:tr>
      <w:tr w:rsidR="0060634A">
        <w:tblPrEx>
          <w:tblCellMar>
            <w:left w:w="108" w:type="dxa"/>
            <w:right w:w="108" w:type="dxa"/>
          </w:tblCellMar>
        </w:tblPrEx>
        <w:trPr>
          <w:trHeight w:val="344"/>
        </w:trPr>
        <w:tc>
          <w:tcPr>
            <w:tcW w:w="3063"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Visits to the EURES platform</w:t>
            </w:r>
            <w:r>
              <w:rPr>
                <w:rFonts w:ascii="EC Square Sans Cond Pro" w:hAnsi="EC Square Sans Cond Pro"/>
                <w:noProof/>
                <w:sz w:val="16"/>
                <w:szCs w:val="16"/>
                <w:lang w:val="en-GB"/>
              </w:rPr>
              <w:t xml:space="preserve"> (</w:t>
            </w:r>
            <w:r>
              <w:rPr>
                <w:rFonts w:ascii="EC Square Sans Cond Pro" w:hAnsi="EC Square Sans Cond Pro"/>
                <w:noProof/>
                <w:sz w:val="16"/>
                <w:szCs w:val="16"/>
                <w:vertAlign w:val="superscript"/>
                <w:lang w:val="en-GB"/>
              </w:rPr>
              <w:t>1</w:t>
            </w:r>
            <w:r>
              <w:rPr>
                <w:rFonts w:ascii="EC Square Sans Cond Pro" w:hAnsi="EC Square Sans Cond Pro"/>
                <w:noProof/>
                <w:sz w:val="16"/>
                <w:szCs w:val="16"/>
                <w:lang w:val="en-GB"/>
              </w:rPr>
              <w:t>)</w:t>
            </w:r>
          </w:p>
        </w:tc>
        <w:tc>
          <w:tcPr>
            <w:tcW w:w="707" w:type="dxa"/>
            <w:vAlign w:val="center"/>
          </w:tcPr>
          <w:p w:rsidR="0060634A" w:rsidRDefault="0060634A">
            <w:pPr>
              <w:jc w:val="center"/>
              <w:rPr>
                <w:rFonts w:ascii="EC Square Sans Cond Pro" w:hAnsi="EC Square Sans Cond Pro"/>
                <w:noProof/>
                <w:sz w:val="16"/>
                <w:szCs w:val="16"/>
                <w:lang w:val="en-GB" w:eastAsia="en-GB"/>
              </w:rPr>
            </w:pPr>
          </w:p>
        </w:tc>
        <w:tc>
          <w:tcPr>
            <w:tcW w:w="3352"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91360" cy="126365"/>
                  <wp:effectExtent l="0" t="0" r="8890" b="6985"/>
                  <wp:docPr id="459" name="Chart 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8"/>
                    </a:graphicData>
                  </a:graphic>
                </wp:inline>
              </w:drawing>
            </w:r>
          </w:p>
        </w:tc>
        <w:tc>
          <w:tcPr>
            <w:tcW w:w="714"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2.0  m</w:t>
            </w:r>
          </w:p>
        </w:tc>
        <w:tc>
          <w:tcPr>
            <w:tcW w:w="2890"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1.3 million out of 2.0 million</w:t>
            </w:r>
          </w:p>
        </w:tc>
      </w:tr>
      <w:tr w:rsidR="0060634A">
        <w:tblPrEx>
          <w:tblCellMar>
            <w:left w:w="108" w:type="dxa"/>
            <w:right w:w="108" w:type="dxa"/>
          </w:tblCellMar>
        </w:tblPrEx>
        <w:trPr>
          <w:trHeight w:val="318"/>
        </w:trPr>
        <w:tc>
          <w:tcPr>
            <w:tcW w:w="3063"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Youth job placements achieved or supported under the preparatory action </w:t>
            </w:r>
            <w:r>
              <w:rPr>
                <w:rFonts w:ascii="Arial" w:hAnsi="Arial" w:cs="Arial"/>
                <w:noProof/>
                <w:color w:val="000000"/>
                <w:sz w:val="16"/>
                <w:szCs w:val="16"/>
                <w:lang w:val="en-GB" w:eastAsia="en-GB"/>
              </w:rPr>
              <w:t>ʻ</w:t>
            </w:r>
            <w:r>
              <w:rPr>
                <w:rFonts w:ascii="EC Square Sans Cond Pro" w:hAnsi="EC Square Sans Cond Pro" w:cs="EC Square Sans Cond Pro"/>
                <w:noProof/>
                <w:color w:val="000000"/>
                <w:sz w:val="16"/>
                <w:szCs w:val="16"/>
                <w:lang w:val="en-GB" w:eastAsia="en-GB"/>
              </w:rPr>
              <w:t>Your first EURES job</w:t>
            </w:r>
            <w:r>
              <w:rPr>
                <w:rFonts w:ascii="Arial" w:hAnsi="Arial" w:cs="Arial"/>
                <w:noProof/>
                <w:color w:val="000000"/>
                <w:sz w:val="16"/>
                <w:szCs w:val="16"/>
                <w:lang w:val="en-GB" w:eastAsia="en-GB"/>
              </w:rPr>
              <w:t>ʼ</w:t>
            </w:r>
            <w:r>
              <w:rPr>
                <w:rFonts w:ascii="EC Square Sans Cond Pro" w:hAnsi="EC Square Sans Cond Pro" w:cs="EC Square Sans Cond Pro"/>
                <w:noProof/>
                <w:color w:val="000000"/>
                <w:sz w:val="16"/>
                <w:szCs w:val="16"/>
                <w:lang w:val="en-GB" w:eastAsia="en-GB"/>
              </w:rPr>
              <w:t xml:space="preserve"> and targeted mobility schemes</w:t>
            </w:r>
          </w:p>
        </w:tc>
        <w:tc>
          <w:tcPr>
            <w:tcW w:w="707" w:type="dxa"/>
            <w:vAlign w:val="center"/>
          </w:tcPr>
          <w:p w:rsidR="0060634A" w:rsidRDefault="0060634A">
            <w:pPr>
              <w:jc w:val="center"/>
              <w:rPr>
                <w:rFonts w:ascii="EC Square Sans Cond Pro" w:hAnsi="EC Square Sans Cond Pro"/>
                <w:noProof/>
                <w:sz w:val="16"/>
                <w:szCs w:val="16"/>
                <w:lang w:val="en-GB" w:eastAsia="en-GB"/>
              </w:rPr>
            </w:pPr>
          </w:p>
        </w:tc>
        <w:tc>
          <w:tcPr>
            <w:tcW w:w="3352"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6365"/>
                  <wp:effectExtent l="0" t="0" r="0" b="6985"/>
                  <wp:docPr id="460" name="Chart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9"/>
                    </a:graphicData>
                  </a:graphic>
                </wp:inline>
              </w:drawing>
            </w:r>
          </w:p>
        </w:tc>
        <w:tc>
          <w:tcPr>
            <w:tcW w:w="714"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15 000</w:t>
            </w:r>
          </w:p>
        </w:tc>
        <w:tc>
          <w:tcPr>
            <w:tcW w:w="2890"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13 661 out of 15 000</w:t>
            </w:r>
          </w:p>
        </w:tc>
      </w:tr>
      <w:tr w:rsidR="0060634A">
        <w:tblPrEx>
          <w:tblCellMar>
            <w:left w:w="108" w:type="dxa"/>
            <w:right w:w="108" w:type="dxa"/>
          </w:tblCellMar>
        </w:tblPrEx>
        <w:trPr>
          <w:trHeight w:val="309"/>
        </w:trPr>
        <w:tc>
          <w:tcPr>
            <w:tcW w:w="3063"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EURES advisers</w:t>
            </w:r>
            <w:r>
              <w:rPr>
                <w:rFonts w:ascii="Arial" w:hAnsi="Arial" w:cs="Arial"/>
                <w:noProof/>
                <w:color w:val="000000"/>
                <w:sz w:val="16"/>
                <w:szCs w:val="16"/>
                <w:lang w:val="en-GB" w:eastAsia="en-GB"/>
              </w:rPr>
              <w:t>ʼ</w:t>
            </w:r>
            <w:r>
              <w:rPr>
                <w:rFonts w:ascii="EC Square Sans Cond Pro" w:hAnsi="EC Square Sans Cond Pro" w:cs="EC Square Sans Cond Pro"/>
                <w:noProof/>
                <w:color w:val="000000"/>
                <w:sz w:val="16"/>
                <w:szCs w:val="16"/>
                <w:lang w:val="en-GB" w:eastAsia="en-GB"/>
              </w:rPr>
              <w:t xml:space="preserve"> contacts with jobseekers, job changers and employers</w:t>
            </w:r>
            <w:r>
              <w:rPr>
                <w:rFonts w:ascii="EC Square Sans Cond Pro" w:hAnsi="EC Square Sans Cond Pro"/>
                <w:noProof/>
                <w:sz w:val="16"/>
                <w:szCs w:val="16"/>
                <w:vertAlign w:val="superscript"/>
                <w:lang w:val="en-GB"/>
              </w:rPr>
              <w:t xml:space="preserve"> </w:t>
            </w:r>
            <w:r>
              <w:rPr>
                <w:rFonts w:ascii="EC Square Sans Cond Pro" w:hAnsi="EC Square Sans Cond Pro"/>
                <w:noProof/>
                <w:sz w:val="16"/>
                <w:szCs w:val="16"/>
                <w:lang w:val="en-GB"/>
              </w:rPr>
              <w:t>(</w:t>
            </w:r>
            <w:r>
              <w:rPr>
                <w:rFonts w:ascii="EC Square Sans Cond Pro" w:hAnsi="EC Square Sans Cond Pro"/>
                <w:noProof/>
                <w:sz w:val="16"/>
                <w:szCs w:val="16"/>
                <w:vertAlign w:val="superscript"/>
                <w:lang w:val="en-GB"/>
              </w:rPr>
              <w:t>1</w:t>
            </w:r>
            <w:r>
              <w:rPr>
                <w:rFonts w:ascii="EC Square Sans Cond Pro" w:hAnsi="EC Square Sans Cond Pro"/>
                <w:noProof/>
                <w:sz w:val="16"/>
                <w:szCs w:val="16"/>
                <w:lang w:val="en-GB"/>
              </w:rPr>
              <w:t>)</w:t>
            </w:r>
          </w:p>
        </w:tc>
        <w:tc>
          <w:tcPr>
            <w:tcW w:w="707" w:type="dxa"/>
            <w:vAlign w:val="center"/>
          </w:tcPr>
          <w:p w:rsidR="0060634A" w:rsidRDefault="0060634A">
            <w:pPr>
              <w:jc w:val="center"/>
              <w:rPr>
                <w:rFonts w:ascii="EC Square Sans Cond Pro" w:hAnsi="EC Square Sans Cond Pro"/>
                <w:noProof/>
                <w:sz w:val="16"/>
                <w:szCs w:val="16"/>
                <w:lang w:val="en-GB"/>
              </w:rPr>
            </w:pPr>
          </w:p>
        </w:tc>
        <w:tc>
          <w:tcPr>
            <w:tcW w:w="3352"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91360" cy="126365"/>
                  <wp:effectExtent l="0" t="0" r="8890" b="6985"/>
                  <wp:docPr id="461" name="Chart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0"/>
                    </a:graphicData>
                  </a:graphic>
                </wp:inline>
              </w:drawing>
            </w:r>
          </w:p>
        </w:tc>
        <w:tc>
          <w:tcPr>
            <w:tcW w:w="714"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1.4  m</w:t>
            </w:r>
          </w:p>
        </w:tc>
        <w:tc>
          <w:tcPr>
            <w:tcW w:w="2890"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1.4 million out of 1.4 million</w:t>
            </w:r>
          </w:p>
        </w:tc>
      </w:tr>
      <w:tr w:rsidR="0060634A">
        <w:tblPrEx>
          <w:tblCellMar>
            <w:left w:w="108" w:type="dxa"/>
            <w:right w:w="108" w:type="dxa"/>
          </w:tblCellMar>
        </w:tblPrEx>
        <w:trPr>
          <w:trHeight w:val="327"/>
        </w:trPr>
        <w:tc>
          <w:tcPr>
            <w:tcW w:w="3063"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Businesses created or consolidated – microfinance</w:t>
            </w:r>
          </w:p>
        </w:tc>
        <w:tc>
          <w:tcPr>
            <w:tcW w:w="707" w:type="dxa"/>
            <w:vAlign w:val="center"/>
          </w:tcPr>
          <w:p w:rsidR="0060634A" w:rsidRDefault="0060634A">
            <w:pPr>
              <w:jc w:val="center"/>
              <w:rPr>
                <w:rFonts w:ascii="EC Square Sans Cond Pro" w:hAnsi="EC Square Sans Cond Pro"/>
                <w:noProof/>
                <w:sz w:val="16"/>
                <w:szCs w:val="16"/>
                <w:lang w:val="en-GB" w:eastAsia="en-GB"/>
              </w:rPr>
            </w:pPr>
          </w:p>
        </w:tc>
        <w:tc>
          <w:tcPr>
            <w:tcW w:w="3352"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462" name="Chart 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1"/>
                    </a:graphicData>
                  </a:graphic>
                </wp:inline>
              </w:drawing>
            </w:r>
          </w:p>
        </w:tc>
        <w:tc>
          <w:tcPr>
            <w:tcW w:w="714"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41 000</w:t>
            </w:r>
          </w:p>
        </w:tc>
        <w:tc>
          <w:tcPr>
            <w:tcW w:w="2890" w:type="dxa"/>
            <w:gridSpan w:val="2"/>
            <w:vAlign w:val="center"/>
          </w:tcPr>
          <w:p w:rsidR="0060634A" w:rsidRDefault="00F76D44">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69 770 compared to a target of 41 000</w:t>
            </w:r>
          </w:p>
        </w:tc>
      </w:tr>
      <w:tr w:rsidR="0060634A">
        <w:tblPrEx>
          <w:tblCellMar>
            <w:left w:w="108" w:type="dxa"/>
            <w:right w:w="108" w:type="dxa"/>
          </w:tblCellMar>
        </w:tblPrEx>
        <w:trPr>
          <w:trHeight w:val="368"/>
        </w:trPr>
        <w:tc>
          <w:tcPr>
            <w:tcW w:w="3063"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Businesses created or consolidated – social enterprises</w:t>
            </w:r>
          </w:p>
        </w:tc>
        <w:tc>
          <w:tcPr>
            <w:tcW w:w="707" w:type="dxa"/>
            <w:vAlign w:val="center"/>
          </w:tcPr>
          <w:p w:rsidR="0060634A" w:rsidRDefault="0060634A">
            <w:pPr>
              <w:jc w:val="center"/>
              <w:rPr>
                <w:rFonts w:ascii="EC Square Sans Cond Pro" w:hAnsi="EC Square Sans Cond Pro"/>
                <w:noProof/>
                <w:sz w:val="16"/>
                <w:szCs w:val="16"/>
                <w:lang w:val="en-GB" w:eastAsia="en-GB"/>
              </w:rPr>
            </w:pPr>
          </w:p>
        </w:tc>
        <w:tc>
          <w:tcPr>
            <w:tcW w:w="3352"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463" name="Chart 4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2"/>
                    </a:graphicData>
                  </a:graphic>
                </wp:inline>
              </w:drawing>
            </w:r>
          </w:p>
        </w:tc>
        <w:tc>
          <w:tcPr>
            <w:tcW w:w="714"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1 100</w:t>
            </w:r>
          </w:p>
        </w:tc>
        <w:tc>
          <w:tcPr>
            <w:tcW w:w="2890" w:type="dxa"/>
            <w:gridSpan w:val="2"/>
            <w:vAlign w:val="center"/>
          </w:tcPr>
          <w:p w:rsidR="0060634A" w:rsidRDefault="00F76D44">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2 020 compared to a target of 1 100</w:t>
            </w:r>
          </w:p>
        </w:tc>
      </w:tr>
      <w:tr w:rsidR="0060634A">
        <w:tblPrEx>
          <w:tblCellMar>
            <w:left w:w="108" w:type="dxa"/>
            <w:right w:w="108" w:type="dxa"/>
          </w:tblCellMar>
        </w:tblPrEx>
        <w:trPr>
          <w:trHeight w:val="298"/>
        </w:trPr>
        <w:tc>
          <w:tcPr>
            <w:tcW w:w="3063"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Proportion of beneficiaries that have created or further developed a business with EU microfinance that are unemployed or belonging to disadvantaged groups: Progress Microfinance</w:t>
            </w:r>
          </w:p>
        </w:tc>
        <w:tc>
          <w:tcPr>
            <w:tcW w:w="707" w:type="dxa"/>
            <w:vAlign w:val="center"/>
          </w:tcPr>
          <w:p w:rsidR="0060634A" w:rsidRDefault="0060634A">
            <w:pPr>
              <w:jc w:val="center"/>
              <w:rPr>
                <w:rFonts w:ascii="EC Square Sans Cond Pro" w:hAnsi="EC Square Sans Cond Pro"/>
                <w:noProof/>
                <w:sz w:val="16"/>
                <w:szCs w:val="16"/>
                <w:lang w:val="en-GB"/>
              </w:rPr>
            </w:pPr>
          </w:p>
        </w:tc>
        <w:tc>
          <w:tcPr>
            <w:tcW w:w="3352"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464" name="Chart 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3"/>
                    </a:graphicData>
                  </a:graphic>
                </wp:inline>
              </w:drawing>
            </w:r>
          </w:p>
        </w:tc>
        <w:tc>
          <w:tcPr>
            <w:tcW w:w="714"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50%</w:t>
            </w:r>
          </w:p>
        </w:tc>
        <w:tc>
          <w:tcPr>
            <w:tcW w:w="2890" w:type="dxa"/>
            <w:gridSpan w:val="2"/>
            <w:vAlign w:val="center"/>
          </w:tcPr>
          <w:p w:rsidR="0060634A" w:rsidRDefault="00F76D44">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14% out of a target of </w:t>
            </w:r>
            <w:r>
              <w:rPr>
                <w:rFonts w:ascii="EC Square Sans Cond Pro" w:hAnsi="EC Square Sans Cond Pro" w:cs="EC Square Sans Cond Pro"/>
                <w:noProof/>
                <w:color w:val="000000"/>
                <w:sz w:val="16"/>
                <w:szCs w:val="16"/>
                <w:lang w:val="en-GB" w:eastAsia="en-GB"/>
              </w:rPr>
              <w:t>50%</w:t>
            </w:r>
          </w:p>
        </w:tc>
      </w:tr>
      <w:tr w:rsidR="0060634A">
        <w:trPr>
          <w:trHeight w:val="247"/>
        </w:trPr>
        <w:tc>
          <w:tcPr>
            <w:tcW w:w="3063" w:type="dxa"/>
            <w:tcBorders>
              <w:bottom w:val="nil"/>
            </w:tcBorders>
            <w:vAlign w:val="center"/>
          </w:tcPr>
          <w:p w:rsidR="0060634A" w:rsidRDefault="00F76D44">
            <w:pPr>
              <w:ind w:left="142"/>
              <w:jc w:val="right"/>
              <w:rPr>
                <w:noProof/>
                <w:sz w:val="16"/>
                <w:szCs w:val="16"/>
                <w:lang w:val="en-GB"/>
              </w:rPr>
            </w:pPr>
            <w:r>
              <w:rPr>
                <w:noProof/>
                <w:sz w:val="16"/>
                <w:szCs w:val="16"/>
                <w:lang w:val="en-GB"/>
              </w:rPr>
              <w:t xml:space="preserve">    </w:t>
            </w:r>
          </w:p>
        </w:tc>
        <w:tc>
          <w:tcPr>
            <w:tcW w:w="707" w:type="dxa"/>
            <w:tcBorders>
              <w:bottom w:val="nil"/>
            </w:tcBorders>
          </w:tcPr>
          <w:p w:rsidR="0060634A" w:rsidRDefault="0060634A">
            <w:pPr>
              <w:ind w:left="142"/>
              <w:rPr>
                <w:noProof/>
                <w:sz w:val="16"/>
                <w:szCs w:val="16"/>
                <w:lang w:val="en-GB" w:eastAsia="en-GB"/>
              </w:rPr>
            </w:pPr>
          </w:p>
        </w:tc>
        <w:tc>
          <w:tcPr>
            <w:tcW w:w="3352" w:type="dxa"/>
            <w:tcBorders>
              <w:bottom w:val="nil"/>
            </w:tcBorders>
            <w:vAlign w:val="center"/>
          </w:tcPr>
          <w:p w:rsidR="0060634A" w:rsidRDefault="00F76D44">
            <w:pPr>
              <w:spacing w:before="120"/>
              <w:rPr>
                <w:noProof/>
                <w:sz w:val="16"/>
                <w:szCs w:val="16"/>
                <w:lang w:val="en-GB"/>
              </w:rPr>
            </w:pPr>
            <w:r>
              <w:rPr>
                <w:noProof/>
                <w:sz w:val="16"/>
                <w:szCs w:val="16"/>
                <w:lang w:eastAsia="fr-BE"/>
              </w:rPr>
              <mc:AlternateContent>
                <mc:Choice Requires="wps">
                  <w:drawing>
                    <wp:anchor distT="0" distB="0" distL="114300" distR="114300" simplePos="0" relativeHeight="251668480"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452" name="Rectangle 452"/>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FC0B0" id="Rectangle 452" o:spid="_x0000_s1026" style="position:absolute;margin-left:-9.45pt;margin-top:6.1pt;width:6.35pt;height:7.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" fillcolor="#28296e" stroked="f" strokeweight="1pt">
                      <w10:wrap type="through"/>
                    </v:rect>
                  </w:pict>
                </mc:Fallback>
              </mc:AlternateContent>
            </w:r>
            <w:r>
              <w:rPr>
                <w:noProof/>
                <w:sz w:val="16"/>
                <w:szCs w:val="16"/>
                <w:lang w:val="en-GB"/>
              </w:rPr>
              <w:t>% of target achieved by the end of 2019</w:t>
            </w:r>
          </w:p>
        </w:tc>
        <w:tc>
          <w:tcPr>
            <w:tcW w:w="714" w:type="dxa"/>
            <w:tcBorders>
              <w:bottom w:val="nil"/>
            </w:tcBorders>
          </w:tcPr>
          <w:p w:rsidR="0060634A" w:rsidRDefault="0060634A">
            <w:pPr>
              <w:ind w:left="142"/>
              <w:rPr>
                <w:noProof/>
                <w:sz w:val="16"/>
                <w:szCs w:val="16"/>
                <w:lang w:val="en-GB" w:eastAsia="en-GB"/>
              </w:rPr>
            </w:pPr>
          </w:p>
        </w:tc>
        <w:tc>
          <w:tcPr>
            <w:tcW w:w="2890" w:type="dxa"/>
            <w:gridSpan w:val="2"/>
            <w:tcBorders>
              <w:bottom w:val="nil"/>
            </w:tcBorders>
            <w:vAlign w:val="center"/>
          </w:tcPr>
          <w:p w:rsidR="0060634A" w:rsidRDefault="0060634A">
            <w:pPr>
              <w:ind w:left="142"/>
              <w:rPr>
                <w:noProof/>
                <w:sz w:val="16"/>
                <w:szCs w:val="16"/>
                <w:lang w:val="en-GB"/>
              </w:rPr>
            </w:pPr>
          </w:p>
        </w:tc>
      </w:tr>
      <w:tr w:rsidR="0060634A">
        <w:trPr>
          <w:trHeight w:val="247"/>
        </w:trPr>
        <w:tc>
          <w:tcPr>
            <w:tcW w:w="10726" w:type="dxa"/>
            <w:gridSpan w:val="6"/>
            <w:tcBorders>
              <w:top w:val="nil"/>
              <w:bottom w:val="nil"/>
            </w:tcBorders>
            <w:vAlign w:val="center"/>
          </w:tcPr>
          <w:p w:rsidR="0060634A" w:rsidRDefault="00F76D44">
            <w:pPr>
              <w:ind w:left="142"/>
              <w:rPr>
                <w:noProof/>
                <w:sz w:val="14"/>
                <w:szCs w:val="16"/>
              </w:rPr>
            </w:pPr>
            <w:r>
              <w:rPr>
                <w:noProof/>
                <w:sz w:val="14"/>
                <w:szCs w:val="16"/>
              </w:rPr>
              <w:t>(</w:t>
            </w:r>
            <w:r>
              <w:rPr>
                <w:noProof/>
                <w:sz w:val="14"/>
                <w:szCs w:val="16"/>
                <w:vertAlign w:val="superscript"/>
              </w:rPr>
              <w:t>1</w:t>
            </w:r>
            <w:r>
              <w:rPr>
                <w:noProof/>
                <w:sz w:val="14"/>
                <w:szCs w:val="16"/>
              </w:rPr>
              <w:t>) Average of results for 2014-2018.</w:t>
            </w:r>
          </w:p>
        </w:tc>
      </w:tr>
    </w:tbl>
    <w:p w:rsidR="0060634A" w:rsidRDefault="00F76D44">
      <w:pPr>
        <w:pStyle w:val="PPOTitle3"/>
      </w:pPr>
      <w:r>
        <w:t>Where are we in the implementation?</w:t>
      </w:r>
    </w:p>
    <w:p w:rsidR="0060634A" w:rsidRDefault="00F76D44">
      <w:pPr>
        <w:pStyle w:val="PPOBlackBULLETS-L1"/>
        <w:rPr>
          <w:noProof/>
        </w:rPr>
      </w:pPr>
      <w:r>
        <w:rPr>
          <w:noProof/>
          <w:color w:val="000000"/>
          <w:szCs w:val="18"/>
        </w:rPr>
        <w:t>EUR</w:t>
      </w:r>
      <w:r>
        <w:rPr>
          <w:rFonts w:ascii="Calibri" w:hAnsi="Calibri" w:cs="Calibri"/>
          <w:noProof/>
          <w:color w:val="000000"/>
          <w:szCs w:val="18"/>
        </w:rPr>
        <w:t> </w:t>
      </w:r>
      <w:r>
        <w:rPr>
          <w:noProof/>
          <w:color w:val="000000"/>
          <w:szCs w:val="18"/>
        </w:rPr>
        <w:t>412</w:t>
      </w:r>
      <w:r>
        <w:rPr>
          <w:rFonts w:ascii="Calibri" w:hAnsi="Calibri" w:cs="Calibri"/>
          <w:noProof/>
          <w:color w:val="000000"/>
          <w:szCs w:val="18"/>
        </w:rPr>
        <w:t> </w:t>
      </w:r>
      <w:r>
        <w:rPr>
          <w:noProof/>
          <w:color w:val="000000"/>
          <w:szCs w:val="18"/>
        </w:rPr>
        <w:t xml:space="preserve">million was committed in 2017-2019, involving over 1 000 beneficiaries from all participating countries and over 540 </w:t>
      </w:r>
      <w:r>
        <w:rPr>
          <w:noProof/>
          <w:color w:val="000000"/>
          <w:szCs w:val="18"/>
        </w:rPr>
        <w:t>organisations. In addition, the programme assisted 38 EU sector organisations. Almost 33% of the grants awarded following calls for proposals targeted public authorities, some 25% supported the Social Partners (trade union organisations and employers’ orga</w:t>
      </w:r>
      <w:r>
        <w:rPr>
          <w:noProof/>
          <w:color w:val="000000"/>
          <w:szCs w:val="18"/>
        </w:rPr>
        <w:t>nisations), and 24% went to foundations/non-governmental organisations.</w:t>
      </w:r>
    </w:p>
    <w:p w:rsidR="0060634A" w:rsidRDefault="00F76D44">
      <w:pPr>
        <w:pStyle w:val="PPOBlackBULLETS-L1"/>
        <w:rPr>
          <w:noProof/>
        </w:rPr>
      </w:pPr>
      <w:r>
        <w:rPr>
          <w:noProof/>
        </w:rPr>
        <w:t xml:space="preserve">The PROGRESS axis gathered evidence to shape policy developments, fostered shared understanding through policy debates and provided financial support to some key EU-level </w:t>
      </w:r>
      <w:r>
        <w:rPr>
          <w:noProof/>
        </w:rPr>
        <w:t>non-governmental organisations. Much of EaSI-funded evidence fed directly into the key EU policy processes such as the European Semester, including its annual growth survey, country-specific recommendations, employment guidelines and joint employment repor</w:t>
      </w:r>
      <w:r>
        <w:rPr>
          <w:noProof/>
        </w:rPr>
        <w:t>ts. The 17 calls for proposals that were launched led to 83 agreements for action grants. Two calls for proposals for operating grants to 24 organisations led to two yearly contracts for each of them. They addressed issues such as administrative cooperatio</w:t>
      </w:r>
      <w:r>
        <w:rPr>
          <w:noProof/>
        </w:rPr>
        <w:t>n and information on the posting of workers.</w:t>
      </w:r>
    </w:p>
    <w:p w:rsidR="0060634A" w:rsidRDefault="00F76D44">
      <w:pPr>
        <w:pStyle w:val="PPOBlackBULLETS-L1"/>
        <w:rPr>
          <w:noProof/>
        </w:rPr>
      </w:pPr>
      <w:r>
        <w:rPr>
          <w:noProof/>
        </w:rPr>
        <w:t>The EURES axis supported the European job mobility portal, training courses and horizontal support for the member organisations of the EURES network. The five EURES calls for proposals concerning general and tar</w:t>
      </w:r>
      <w:r>
        <w:rPr>
          <w:noProof/>
        </w:rPr>
        <w:t>geted mobility schemes launched between 2017 and 2019 resulted in 48 contracts. In 2019, ‘Your first EURES job’ (YfEj), dedicated to jobseekers under 35, filled 1 724 job vacancies and provided support to 1 923 jobseekers. The cross-border partnerships sup</w:t>
      </w:r>
      <w:r>
        <w:rPr>
          <w:noProof/>
        </w:rPr>
        <w:t xml:space="preserve">porting worker mobility handled 23 000 job vacancies matching at least 2 800 job seekers with jobs. </w:t>
      </w:r>
    </w:p>
    <w:p w:rsidR="0060634A" w:rsidRDefault="00F76D44">
      <w:pPr>
        <w:pStyle w:val="PPOBlackBULLETS-L1"/>
        <w:rPr>
          <w:noProof/>
        </w:rPr>
      </w:pPr>
      <w:r>
        <w:rPr>
          <w:noProof/>
        </w:rPr>
        <w:t>In 2017-2018, under the Microfinance</w:t>
      </w:r>
      <w:r>
        <w:rPr>
          <w:rFonts w:ascii="Calibri" w:hAnsi="Calibri" w:cs="Calibri"/>
          <w:noProof/>
        </w:rPr>
        <w:t> </w:t>
      </w:r>
      <w:r>
        <w:rPr>
          <w:noProof/>
        </w:rPr>
        <w:t>/ Social Entrepreneurship axis, contracts worth EUR</w:t>
      </w:r>
      <w:r>
        <w:rPr>
          <w:rFonts w:ascii="Calibri" w:hAnsi="Calibri" w:cs="Calibri"/>
          <w:noProof/>
        </w:rPr>
        <w:t> </w:t>
      </w:r>
      <w:r>
        <w:rPr>
          <w:noProof/>
        </w:rPr>
        <w:t>57.4</w:t>
      </w:r>
      <w:r>
        <w:rPr>
          <w:rFonts w:ascii="Calibri" w:hAnsi="Calibri" w:cs="Calibri"/>
          <w:noProof/>
        </w:rPr>
        <w:t> </w:t>
      </w:r>
      <w:r>
        <w:rPr>
          <w:noProof/>
        </w:rPr>
        <w:t>million were signed with microfinance intermediaries, resulti</w:t>
      </w:r>
      <w:r>
        <w:rPr>
          <w:noProof/>
        </w:rPr>
        <w:t>ng in 47 684 microloans worth EUR</w:t>
      </w:r>
      <w:r>
        <w:rPr>
          <w:rFonts w:ascii="Calibri" w:hAnsi="Calibri" w:cs="Calibri"/>
          <w:noProof/>
        </w:rPr>
        <w:t> </w:t>
      </w:r>
      <w:r>
        <w:rPr>
          <w:noProof/>
        </w:rPr>
        <w:t>129.3</w:t>
      </w:r>
      <w:r>
        <w:rPr>
          <w:rFonts w:ascii="Calibri" w:hAnsi="Calibri" w:cs="Calibri"/>
          <w:noProof/>
        </w:rPr>
        <w:t> </w:t>
      </w:r>
      <w:r>
        <w:rPr>
          <w:noProof/>
        </w:rPr>
        <w:t>million. By October 2019 financial intermediaries from 27 countries were participating in the microfinance window. Under the social entrepreneurship window, 949 social enterprises had received funding by the end of 2</w:t>
      </w:r>
      <w:r>
        <w:rPr>
          <w:noProof/>
        </w:rPr>
        <w:t>018. Financial intermediaries from eight new countries joined in 2019. In addition, a framework contract was launched for the provision of technical assistance through training sessions tailored to capacity building and training sessions on the European Co</w:t>
      </w:r>
      <w:r>
        <w:rPr>
          <w:noProof/>
        </w:rPr>
        <w:t>de of Good Conduct for microcredit provision to social enterprises finance providers. Under the EaSI capacity-building investments window, 11 contracts for transactions amounting to a total of EUR</w:t>
      </w:r>
      <w:r>
        <w:rPr>
          <w:rFonts w:ascii="Calibri" w:hAnsi="Calibri" w:cs="Calibri"/>
          <w:noProof/>
        </w:rPr>
        <w:t> </w:t>
      </w:r>
      <w:r>
        <w:rPr>
          <w:noProof/>
        </w:rPr>
        <w:t>23.2</w:t>
      </w:r>
      <w:r>
        <w:rPr>
          <w:rFonts w:ascii="Calibri" w:hAnsi="Calibri" w:cs="Calibri"/>
          <w:noProof/>
        </w:rPr>
        <w:t> </w:t>
      </w:r>
      <w:r>
        <w:rPr>
          <w:noProof/>
        </w:rPr>
        <w:t>million were signed in eight countries. As a result, t</w:t>
      </w:r>
      <w:r>
        <w:rPr>
          <w:noProof/>
        </w:rPr>
        <w:t>he financial envelope available in 2019 increased to EUR</w:t>
      </w:r>
      <w:r>
        <w:rPr>
          <w:rFonts w:ascii="Calibri" w:hAnsi="Calibri" w:cs="Calibri"/>
          <w:noProof/>
        </w:rPr>
        <w:t> </w:t>
      </w:r>
      <w:r>
        <w:rPr>
          <w:noProof/>
        </w:rPr>
        <w:t>26</w:t>
      </w:r>
      <w:r>
        <w:rPr>
          <w:rFonts w:ascii="Calibri" w:hAnsi="Calibri" w:cs="Calibri"/>
          <w:noProof/>
        </w:rPr>
        <w:t> </w:t>
      </w:r>
      <w:r>
        <w:rPr>
          <w:noProof/>
        </w:rPr>
        <w:t>million. The EaSI-funded instrument was launched in 2019. The European Commission signed a first commitment to the fund of EUR</w:t>
      </w:r>
      <w:r>
        <w:rPr>
          <w:rFonts w:ascii="Calibri" w:hAnsi="Calibri" w:cs="Calibri"/>
          <w:noProof/>
        </w:rPr>
        <w:t> </w:t>
      </w:r>
      <w:r>
        <w:rPr>
          <w:noProof/>
        </w:rPr>
        <w:t>48</w:t>
      </w:r>
      <w:r>
        <w:rPr>
          <w:rFonts w:ascii="Calibri" w:hAnsi="Calibri" w:cs="Calibri"/>
          <w:noProof/>
        </w:rPr>
        <w:t> </w:t>
      </w:r>
      <w:r>
        <w:rPr>
          <w:noProof/>
        </w:rPr>
        <w:t>million as an equity investor.</w:t>
      </w:r>
    </w:p>
    <w:p w:rsidR="0060634A" w:rsidRDefault="00F76D44">
      <w:pPr>
        <w:pStyle w:val="PPOTitle3"/>
        <w:rPr>
          <w:rFonts w:eastAsiaTheme="minorEastAsia"/>
        </w:rPr>
      </w:pPr>
      <w:r>
        <w:rPr>
          <w:rFonts w:eastAsiaTheme="minorEastAsia"/>
        </w:rPr>
        <w:t>Performance assessment</w:t>
      </w:r>
    </w:p>
    <w:p w:rsidR="0060634A" w:rsidRDefault="00F76D44">
      <w:pPr>
        <w:pStyle w:val="PPOBlackBULLETS-L1"/>
        <w:rPr>
          <w:noProof/>
        </w:rPr>
      </w:pPr>
      <w:r>
        <w:rPr>
          <w:b/>
          <w:noProof/>
        </w:rPr>
        <w:t>PROGRESS</w:t>
      </w:r>
      <w:r>
        <w:rPr>
          <w:noProof/>
        </w:rPr>
        <w:t xml:space="preserve">. </w:t>
      </w:r>
      <w:r>
        <w:rPr>
          <w:noProof/>
        </w:rPr>
        <w:t>The generated evidence contributed to the European semester and policy initiatives in the field of employment and social affairs, for example the new skills agenda for Europe. EaSI’s stakeholders provided positive feedback on its deliverables. Furthermore,</w:t>
      </w:r>
      <w:r>
        <w:rPr>
          <w:noProof/>
        </w:rPr>
        <w:t xml:space="preserve"> EaSI’s financial assistance to EU and national organisations increased their policymaking capacity compared to the previous monitoring period.</w:t>
      </w:r>
    </w:p>
    <w:p w:rsidR="0060634A" w:rsidRDefault="00F76D44">
      <w:pPr>
        <w:pStyle w:val="PPOBlackBULLETS-L1"/>
        <w:rPr>
          <w:noProof/>
        </w:rPr>
      </w:pPr>
      <w:r>
        <w:rPr>
          <w:b/>
          <w:bCs w:val="0"/>
          <w:noProof/>
        </w:rPr>
        <w:t>EURES.</w:t>
      </w:r>
      <w:r>
        <w:rPr>
          <w:noProof/>
        </w:rPr>
        <w:t xml:space="preserve"> Its overall performance is positive, with increases in the number of youth job placements and direct cont</w:t>
      </w:r>
      <w:r>
        <w:rPr>
          <w:noProof/>
        </w:rPr>
        <w:t>act with jobseekers. Regarding the former, since 2016 there has been a steady increase due to: (1) the large size and long duration of the ‘Your first EURES job’ projects; and (2) the experience and increased delivery capacity of the implementing organisat</w:t>
      </w:r>
      <w:r>
        <w:rPr>
          <w:noProof/>
        </w:rPr>
        <w:t xml:space="preserve">ions. Concerning the latter, the capacity increased thanks to the introduction of compulsory reporting on the part of EURES advisers by the new EURES regulation. Concerning the EURES Job Mobility Portal, there was a decrease in the number of unique visits </w:t>
      </w:r>
      <w:r>
        <w:rPr>
          <w:noProof/>
        </w:rPr>
        <w:t>in 2019, despite communication actions. This is due to the improved conditions in the EU labour market and the decrease in unemployment. That said, the number of registered users increased and the overall number of visitors is high, at around 1</w:t>
      </w:r>
      <w:r>
        <w:rPr>
          <w:rFonts w:ascii="Calibri" w:hAnsi="Calibri" w:cs="Calibri"/>
          <w:noProof/>
        </w:rPr>
        <w:t> </w:t>
      </w:r>
      <w:r>
        <w:rPr>
          <w:noProof/>
        </w:rPr>
        <w:t>million per</w:t>
      </w:r>
      <w:r>
        <w:rPr>
          <w:noProof/>
        </w:rPr>
        <w:t xml:space="preserve"> month.</w:t>
      </w:r>
    </w:p>
    <w:p w:rsidR="0060634A" w:rsidRDefault="00F76D44">
      <w:pPr>
        <w:pStyle w:val="PPOBlackBULLETS-L1"/>
        <w:rPr>
          <w:noProof/>
        </w:rPr>
      </w:pPr>
      <w:r>
        <w:rPr>
          <w:b/>
          <w:bCs w:val="0"/>
          <w:noProof/>
        </w:rPr>
        <w:t>Microfinance / social entrepreneurship.</w:t>
      </w:r>
      <w:r>
        <w:rPr>
          <w:noProof/>
        </w:rPr>
        <w:t xml:space="preserve"> The number of final-recipient countries had increased significantly by the end of September 2019. The targets set have largely been reached in absolute numbers. However, the improvements in the labour market </w:t>
      </w:r>
      <w:r>
        <w:rPr>
          <w:noProof/>
        </w:rPr>
        <w:t>and the fall in unemployment have led to a lower-than-expected number of beneficiaries being unemployed or in a vulnerable situation. Therefore, the relevant indicator on the proportion of the said beneficiaries creating a business with EU microfinance saw</w:t>
      </w:r>
      <w:r>
        <w:rPr>
          <w:noProof/>
        </w:rPr>
        <w:t xml:space="preserve"> a downward trend between 2016 and 2018.</w:t>
      </w:r>
    </w:p>
    <w:p w:rsidR="0060634A" w:rsidRDefault="00F76D44">
      <w:pPr>
        <w:pStyle w:val="PPOTitle3"/>
        <w:rPr>
          <w:rFonts w:eastAsiaTheme="minorEastAsia"/>
        </w:rPr>
      </w:pPr>
      <w:r>
        <w:rPr>
          <w:rFonts w:eastAsiaTheme="minorEastAsia"/>
        </w:rP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1588"/>
        <w:gridCol w:w="1560"/>
        <w:gridCol w:w="1417"/>
        <w:gridCol w:w="2126"/>
        <w:gridCol w:w="1843"/>
        <w:gridCol w:w="2239"/>
      </w:tblGrid>
      <w:tr w:rsidR="0060634A">
        <w:trPr>
          <w:trHeight w:val="128"/>
        </w:trPr>
        <w:tc>
          <w:tcPr>
            <w:tcW w:w="1588" w:type="dxa"/>
            <w:shd w:val="clear" w:color="auto" w:fill="00ADDC"/>
          </w:tcPr>
          <w:p w:rsidR="0060634A" w:rsidRDefault="00F76D44">
            <w:pPr>
              <w:pStyle w:val="PPOExamplesTABLEHeader"/>
              <w:rPr>
                <w:rFonts w:eastAsiaTheme="minorEastAsia"/>
              </w:rPr>
            </w:pPr>
            <w:r>
              <w:rPr>
                <w:rFonts w:eastAsiaTheme="minorEastAsia"/>
              </w:rPr>
              <w:t>1 000</w:t>
            </w:r>
          </w:p>
        </w:tc>
        <w:tc>
          <w:tcPr>
            <w:tcW w:w="1560" w:type="dxa"/>
            <w:shd w:val="clear" w:color="auto" w:fill="00ADDC"/>
          </w:tcPr>
          <w:p w:rsidR="0060634A" w:rsidRDefault="00F76D44">
            <w:pPr>
              <w:pStyle w:val="PPOExamplesTABLEHeader"/>
              <w:rPr>
                <w:rFonts w:eastAsiaTheme="minorEastAsia"/>
              </w:rPr>
            </w:pPr>
            <w:r>
              <w:rPr>
                <w:rFonts w:eastAsiaTheme="minorEastAsia"/>
              </w:rPr>
              <w:t>540</w:t>
            </w:r>
          </w:p>
        </w:tc>
        <w:tc>
          <w:tcPr>
            <w:tcW w:w="1417" w:type="dxa"/>
            <w:shd w:val="clear" w:color="auto" w:fill="00ADDC"/>
          </w:tcPr>
          <w:p w:rsidR="0060634A" w:rsidRDefault="00F76D44">
            <w:pPr>
              <w:pStyle w:val="PPOExamplesTABLEHeader"/>
              <w:rPr>
                <w:rFonts w:eastAsiaTheme="minorEastAsia"/>
              </w:rPr>
            </w:pPr>
            <w:r>
              <w:rPr>
                <w:rFonts w:eastAsiaTheme="minorEastAsia"/>
              </w:rPr>
              <w:t>5</w:t>
            </w:r>
          </w:p>
        </w:tc>
        <w:tc>
          <w:tcPr>
            <w:tcW w:w="2126" w:type="dxa"/>
            <w:shd w:val="clear" w:color="auto" w:fill="00ADDC"/>
          </w:tcPr>
          <w:p w:rsidR="0060634A" w:rsidRDefault="00F76D44">
            <w:pPr>
              <w:pStyle w:val="PPOExamplesTABLEHeader"/>
              <w:rPr>
                <w:rFonts w:eastAsiaTheme="minorEastAsia"/>
              </w:rPr>
            </w:pPr>
            <w:r>
              <w:rPr>
                <w:rFonts w:eastAsiaTheme="minorEastAsia"/>
              </w:rPr>
              <w:t xml:space="preserve">1 923 </w:t>
            </w:r>
          </w:p>
        </w:tc>
        <w:tc>
          <w:tcPr>
            <w:tcW w:w="1843" w:type="dxa"/>
            <w:shd w:val="clear" w:color="auto" w:fill="00ADDC"/>
          </w:tcPr>
          <w:p w:rsidR="0060634A" w:rsidRDefault="00F76D44">
            <w:pPr>
              <w:pStyle w:val="PPOExamplesTABLEHeader"/>
              <w:rPr>
                <w:rFonts w:eastAsiaTheme="minorEastAsia"/>
              </w:rPr>
            </w:pPr>
            <w:r>
              <w:rPr>
                <w:rFonts w:eastAsiaTheme="minorEastAsia"/>
              </w:rPr>
              <w:t>2 800</w:t>
            </w:r>
          </w:p>
        </w:tc>
        <w:tc>
          <w:tcPr>
            <w:tcW w:w="2239" w:type="dxa"/>
            <w:shd w:val="clear" w:color="auto" w:fill="00ADDC"/>
          </w:tcPr>
          <w:p w:rsidR="0060634A" w:rsidRDefault="00F76D44">
            <w:pPr>
              <w:pStyle w:val="PPOExamplesTABLEHeader"/>
              <w:rPr>
                <w:rFonts w:eastAsiaTheme="minorEastAsia"/>
              </w:rPr>
            </w:pPr>
            <w:r>
              <w:rPr>
                <w:rFonts w:eastAsiaTheme="minorEastAsia"/>
              </w:rPr>
              <w:t>EUR 200 million</w:t>
            </w:r>
          </w:p>
        </w:tc>
      </w:tr>
      <w:tr w:rsidR="0060634A">
        <w:trPr>
          <w:trHeight w:val="927"/>
        </w:trPr>
        <w:tc>
          <w:tcPr>
            <w:tcW w:w="1588" w:type="dxa"/>
            <w:shd w:val="clear" w:color="auto" w:fill="DCE6F2"/>
          </w:tcPr>
          <w:p w:rsidR="0060634A" w:rsidRDefault="00F76D44">
            <w:pPr>
              <w:pStyle w:val="PPOExamplesTABLEText"/>
              <w:spacing w:line="240" w:lineRule="auto"/>
              <w:rPr>
                <w:noProof/>
                <w:lang w:val="en-GB"/>
              </w:rPr>
            </w:pPr>
            <w:r>
              <w:rPr>
                <w:noProof/>
                <w:lang w:val="en-GB"/>
              </w:rPr>
              <w:t>beneficiaries were reached by EaSI projects between 2017 and 2019.</w:t>
            </w:r>
          </w:p>
        </w:tc>
        <w:tc>
          <w:tcPr>
            <w:tcW w:w="1560" w:type="dxa"/>
            <w:shd w:val="clear" w:color="auto" w:fill="DCE6F2"/>
          </w:tcPr>
          <w:p w:rsidR="0060634A" w:rsidRDefault="00F76D44">
            <w:pPr>
              <w:pStyle w:val="PPOExamplesTABLEText"/>
              <w:spacing w:line="240" w:lineRule="auto"/>
              <w:rPr>
                <w:noProof/>
                <w:lang w:val="en-GB"/>
              </w:rPr>
            </w:pPr>
            <w:r>
              <w:rPr>
                <w:noProof/>
                <w:lang w:val="en-GB"/>
              </w:rPr>
              <w:t>organisations were supported by EaSI between 2017 and 2019.</w:t>
            </w:r>
          </w:p>
        </w:tc>
        <w:tc>
          <w:tcPr>
            <w:tcW w:w="1417" w:type="dxa"/>
            <w:shd w:val="clear" w:color="auto" w:fill="DCE6F2"/>
          </w:tcPr>
          <w:p w:rsidR="0060634A" w:rsidRDefault="00F76D44">
            <w:pPr>
              <w:pStyle w:val="PPOExamplesTABLEText"/>
              <w:spacing w:line="240" w:lineRule="auto"/>
              <w:rPr>
                <w:noProof/>
                <w:lang w:val="en-GB"/>
              </w:rPr>
            </w:pPr>
            <w:r>
              <w:rPr>
                <w:noProof/>
                <w:lang w:val="en-GB"/>
              </w:rPr>
              <w:t>new projects</w:t>
            </w:r>
            <w:r>
              <w:rPr>
                <w:noProof/>
                <w:lang w:val="en-GB"/>
              </w:rPr>
              <w:t xml:space="preserve"> on fair working conditions for posted workers began in 2019.</w:t>
            </w:r>
          </w:p>
        </w:tc>
        <w:tc>
          <w:tcPr>
            <w:tcW w:w="2126" w:type="dxa"/>
            <w:shd w:val="clear" w:color="auto" w:fill="DCE6F2"/>
          </w:tcPr>
          <w:p w:rsidR="0060634A" w:rsidRDefault="00F76D44">
            <w:pPr>
              <w:pStyle w:val="PPOExamplesTABLEText"/>
              <w:spacing w:line="240" w:lineRule="auto"/>
              <w:rPr>
                <w:noProof/>
                <w:lang w:val="en-GB"/>
              </w:rPr>
            </w:pPr>
            <w:r>
              <w:rPr>
                <w:noProof/>
                <w:lang w:val="en-GB"/>
              </w:rPr>
              <w:t>young jobseekers under the age of 35 received financial assistance under four ‘Your first EURES job’ projects in 2019.</w:t>
            </w:r>
          </w:p>
        </w:tc>
        <w:tc>
          <w:tcPr>
            <w:tcW w:w="1843" w:type="dxa"/>
            <w:shd w:val="clear" w:color="auto" w:fill="DCE6F2"/>
          </w:tcPr>
          <w:p w:rsidR="0060634A" w:rsidRDefault="00F76D44">
            <w:pPr>
              <w:pStyle w:val="PPOExamplesTABLEText"/>
              <w:spacing w:line="240" w:lineRule="auto"/>
              <w:rPr>
                <w:noProof/>
                <w:lang w:val="en-GB"/>
              </w:rPr>
            </w:pPr>
            <w:r>
              <w:rPr>
                <w:noProof/>
                <w:lang w:val="en-GB"/>
              </w:rPr>
              <w:t>jobseekers were successfully matched with jobs through the EURES cross-bord</w:t>
            </w:r>
            <w:r>
              <w:rPr>
                <w:noProof/>
                <w:lang w:val="en-GB"/>
              </w:rPr>
              <w:t>er partnerships in the first half of 2019.</w:t>
            </w:r>
          </w:p>
        </w:tc>
        <w:tc>
          <w:tcPr>
            <w:tcW w:w="2239" w:type="dxa"/>
            <w:shd w:val="clear" w:color="auto" w:fill="DCE6F2"/>
          </w:tcPr>
          <w:p w:rsidR="0060634A" w:rsidRDefault="00F76D44">
            <w:pPr>
              <w:pStyle w:val="PPOExamplesTABLEText"/>
              <w:spacing w:line="240" w:lineRule="auto"/>
              <w:rPr>
                <w:noProof/>
                <w:lang w:val="en-GB"/>
              </w:rPr>
            </w:pPr>
            <w:r>
              <w:rPr>
                <w:noProof/>
                <w:lang w:val="en-GB"/>
              </w:rPr>
              <w:t>was provided as the budget of the loan fund launched in 2019 by the EU, the European Investment Bank and the European Investment Fund to support lending under EaSI.</w:t>
            </w:r>
          </w:p>
        </w:tc>
      </w:tr>
    </w:tbl>
    <w:p w:rsidR="0060634A" w:rsidRDefault="0060634A">
      <w:pPr>
        <w:pStyle w:val="PPObodyText"/>
        <w:rPr>
          <w:noProof/>
        </w:rPr>
        <w:sectPr w:rsidR="0060634A">
          <w:headerReference w:type="even" r:id="rId324"/>
          <w:headerReference w:type="default" r:id="rId325"/>
          <w:footerReference w:type="even" r:id="rId326"/>
          <w:footerReference w:type="default" r:id="rId327"/>
          <w:headerReference w:type="first" r:id="rId328"/>
          <w:footerReference w:type="first" r:id="rId329"/>
          <w:pgSz w:w="11906" w:h="16838" w:code="9"/>
          <w:pgMar w:top="567" w:right="567" w:bottom="567" w:left="567" w:header="567" w:footer="454" w:gutter="0"/>
          <w:paperSrc w:first="15" w:other="15"/>
          <w:cols w:space="720"/>
          <w:docGrid w:linePitch="360"/>
        </w:sectPr>
      </w:pPr>
    </w:p>
    <w:p w:rsidR="0060634A" w:rsidRDefault="00F76D44">
      <w:pPr>
        <w:pStyle w:val="PPO1AsidebarTitleBlue"/>
        <w:rPr>
          <w:rFonts w:eastAsiaTheme="minorEastAsia"/>
        </w:rPr>
      </w:pPr>
      <w:r>
        <w:rPr>
          <w:rFonts w:eastAsiaTheme="minorEastAsia"/>
          <w:lang w:val="fr-BE" w:eastAsia="fr-BE"/>
        </w:rPr>
        <mc:AlternateContent>
          <mc:Choice Requires="wps">
            <w:drawing>
              <wp:anchor distT="0" distB="0" distL="0" distR="0" simplePos="0" relativeHeight="251572224" behindDoc="0" locked="1" layoutInCell="1" allowOverlap="1">
                <wp:simplePos x="0" y="0"/>
                <wp:positionH relativeFrom="page">
                  <wp:posOffset>358140</wp:posOffset>
                </wp:positionH>
                <wp:positionV relativeFrom="page">
                  <wp:posOffset>594995</wp:posOffset>
                </wp:positionV>
                <wp:extent cx="1457960" cy="1022350"/>
                <wp:effectExtent l="0" t="0" r="85090" b="6350"/>
                <wp:wrapTopAndBottom/>
                <wp:docPr id="467" name="Text Box 467"/>
                <wp:cNvGraphicFramePr/>
                <a:graphic xmlns:a="http://schemas.openxmlformats.org/drawingml/2006/main">
                  <a:graphicData uri="http://schemas.microsoft.com/office/word/2010/wordprocessingShape">
                    <wps:wsp>
                      <wps:cNvSpPr txBox="1"/>
                      <wps:spPr>
                        <a:xfrm>
                          <a:off x="0" y="0"/>
                          <a:ext cx="1457960" cy="1022350"/>
                        </a:xfrm>
                        <a:prstGeom prst="wedgeRectCallout">
                          <a:avLst>
                            <a:gd name="adj1" fmla="val 54107"/>
                            <a:gd name="adj2" fmla="val -21878"/>
                          </a:avLst>
                        </a:prstGeom>
                        <a:solidFill>
                          <a:srgbClr val="28296E"/>
                        </a:solidFill>
                        <a:ln w="6350">
                          <a:noFill/>
                        </a:ln>
                      </wps:spPr>
                      <wps:txbx>
                        <w:txbxContent>
                          <w:p w:rsidR="0060634A" w:rsidRDefault="00F76D44">
                            <w:pPr>
                              <w:pStyle w:val="PPOsidebarLegalBasisBOXHeading"/>
                              <w:rPr>
                                <w:rFonts w:eastAsiaTheme="minorEastAsia"/>
                              </w:rPr>
                            </w:pPr>
                            <w:r>
                              <w:rPr>
                                <w:rFonts w:eastAsiaTheme="minorEastAsia"/>
                              </w:rPr>
                              <w:t>LEGAL BASIS</w:t>
                            </w:r>
                          </w:p>
                          <w:p w:rsidR="0060634A" w:rsidRDefault="00F76D44">
                            <w:pPr>
                              <w:pStyle w:val="PPOsidebarLegalBasisBOXtext"/>
                              <w:rPr>
                                <w:rFonts w:eastAsiaTheme="minorEastAsia"/>
                              </w:rPr>
                            </w:pPr>
                            <w:r>
                              <w:rPr>
                                <w:rFonts w:eastAsiaTheme="minorEastAsia"/>
                              </w:rPr>
                              <w:t xml:space="preserve">Regulation (EU) No 2018/1475 of the European Parliament and of the </w:t>
                            </w:r>
                            <w:r>
                              <w:rPr>
                                <w:rFonts w:eastAsiaTheme="minorEastAsia"/>
                              </w:rPr>
                              <w:t>Council, amending Regulation (EU) No 1288/2013, Regulation (EU) No 1293/2013 and Decision No 1313/2013/EU</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7" o:spid="_x0000_s1124" type="#_x0000_t61" style="position:absolute;left:0;text-align:left;margin-left:28.2pt;margin-top:46.85pt;width:114.8pt;height:80.5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" adj="22487,6074" fillcolor="#28296e" stroked="f" strokeweight=".5pt">
                <v:textbox inset="2.5mm,1.3mm,2.5mm,1.3mm">
                  <w:txbxContent>
                    <w:p w:rsidR="0060634A" w:rsidRDefault="00F76D44">
                      <w:pPr>
                        <w:pStyle w:val="PPOsidebarLegalBasisBOXHeading"/>
                        <w:rPr>
                          <w:rFonts w:eastAsiaTheme="minorEastAsia"/>
                        </w:rPr>
                      </w:pPr>
                      <w:r>
                        <w:rPr>
                          <w:rFonts w:eastAsiaTheme="minorEastAsia"/>
                        </w:rPr>
                        <w:t>LEGAL BASIS</w:t>
                      </w:r>
                    </w:p>
                    <w:p w:rsidR="0060634A" w:rsidRDefault="00F76D44">
                      <w:pPr>
                        <w:pStyle w:val="PPOsidebarLegalBasisBOXtext"/>
                        <w:rPr>
                          <w:rFonts w:eastAsiaTheme="minorEastAsia"/>
                        </w:rPr>
                      </w:pPr>
                      <w:r>
                        <w:rPr>
                          <w:rFonts w:eastAsiaTheme="minorEastAsia"/>
                        </w:rPr>
                        <w:t xml:space="preserve">Regulation (EU) No 2018/1475 of the European Parliament and of the </w:t>
                      </w:r>
                      <w:r>
                        <w:rPr>
                          <w:rFonts w:eastAsiaTheme="minorEastAsia"/>
                        </w:rPr>
                        <w:t>Council, amending Regulation (EU) No 1288/2013, Regulation (EU) No 1293/2013 and Decision No 1313/2013/EU</w:t>
                      </w:r>
                    </w:p>
                  </w:txbxContent>
                </v:textbox>
                <w10:wrap type="topAndBottom" anchorx="page" anchory="page"/>
                <w10:anchorlock/>
              </v:shape>
            </w:pict>
          </mc:Fallback>
        </mc:AlternateContent>
      </w:r>
      <w:r>
        <w:rPr>
          <w:rFonts w:eastAsiaTheme="minorEastAsia"/>
        </w:rPr>
        <w:t>MORE INFORMATION</w:t>
      </w:r>
    </w:p>
    <w:p w:rsidR="0060634A" w:rsidRDefault="00F76D44">
      <w:pPr>
        <w:pStyle w:val="PPOsidebartext"/>
        <w:rPr>
          <w:rFonts w:eastAsiaTheme="minorEastAsia"/>
        </w:rPr>
      </w:pPr>
      <w:hyperlink r:id="rId330" w:history="1">
        <w:r>
          <w:rPr>
            <w:rStyle w:val="PPOChar-Hyperlink"/>
            <w:rFonts w:eastAsiaTheme="minorEastAsia"/>
          </w:rPr>
          <w:t>http://europa.eu/!GQ68Dy</w:t>
        </w:r>
      </w:hyperlink>
    </w:p>
    <w:p w:rsidR="0060634A" w:rsidRDefault="00F76D44">
      <w:pPr>
        <w:pStyle w:val="PPO1AsidebarTitleBlue"/>
        <w:rPr>
          <w:rFonts w:eastAsiaTheme="minorEastAsia"/>
        </w:rPr>
      </w:pPr>
      <w:r>
        <w:rPr>
          <w:rFonts w:eastAsiaTheme="minorEastAsia"/>
        </w:rPr>
        <w:t>FINANCIAL PROGRAMMING</w:t>
      </w:r>
    </w:p>
    <w:p w:rsidR="0060634A" w:rsidRDefault="00F76D44">
      <w:pPr>
        <w:pStyle w:val="PPO1AsidebarTablecaption"/>
      </w:pPr>
      <w:r>
        <w:t>(million EUR)</w:t>
      </w:r>
    </w:p>
    <w:tbl>
      <w:tblPr>
        <w:tblOverlap w:val="never"/>
        <w:tblW w:w="2296" w:type="dxa"/>
        <w:jc w:val="right"/>
        <w:tblLayout w:type="fixed"/>
        <w:tblCellMar>
          <w:top w:w="28" w:type="dxa"/>
          <w:left w:w="28" w:type="dxa"/>
          <w:bottom w:w="28" w:type="dxa"/>
          <w:right w:w="28" w:type="dxa"/>
        </w:tblCellMar>
        <w:tblLook w:val="0000" w:firstRow="0" w:lastRow="0" w:firstColumn="0" w:lastColumn="0" w:noHBand="0" w:noVBand="0"/>
      </w:tblPr>
      <w:tblGrid>
        <w:gridCol w:w="1134"/>
        <w:gridCol w:w="1162"/>
      </w:tblGrid>
      <w:tr w:rsidR="0060634A">
        <w:trPr>
          <w:trHeight w:hRule="exact" w:val="229"/>
          <w:jc w:val="right"/>
        </w:trPr>
        <w:tc>
          <w:tcPr>
            <w:tcW w:w="1134" w:type="dxa"/>
            <w:tcBorders>
              <w:bottom w:val="single" w:sz="6" w:space="0" w:color="FFFFFF" w:themeColor="background1"/>
            </w:tcBorders>
            <w:shd w:val="clear" w:color="auto" w:fill="DCE6F2"/>
            <w:vAlign w:val="center"/>
          </w:tcPr>
          <w:p w:rsidR="0060634A" w:rsidRDefault="00F76D44">
            <w:pPr>
              <w:pStyle w:val="PPOsidebarTabletext"/>
            </w:pPr>
            <w:r>
              <w:t>2018</w:t>
            </w:r>
          </w:p>
        </w:tc>
        <w:tc>
          <w:tcPr>
            <w:tcW w:w="1162" w:type="dxa"/>
            <w:shd w:val="clear" w:color="auto" w:fill="FFFFFF"/>
          </w:tcPr>
          <w:p w:rsidR="0060634A" w:rsidRDefault="00F76D44">
            <w:pPr>
              <w:pStyle w:val="PPOsidebarTabletext"/>
            </w:pPr>
            <w:r>
              <w:t>42.8</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2019</w:t>
            </w:r>
          </w:p>
        </w:tc>
        <w:tc>
          <w:tcPr>
            <w:tcW w:w="1162" w:type="dxa"/>
            <w:tcBorders>
              <w:top w:val="single" w:sz="4" w:space="0" w:color="auto"/>
            </w:tcBorders>
            <w:shd w:val="clear" w:color="auto" w:fill="FFFFFF"/>
          </w:tcPr>
          <w:p w:rsidR="0060634A" w:rsidRDefault="00F76D44">
            <w:pPr>
              <w:pStyle w:val="PPOsidebarTabletext"/>
            </w:pPr>
            <w:r>
              <w:t>143.3</w:t>
            </w:r>
          </w:p>
        </w:tc>
      </w:tr>
      <w:tr w:rsidR="0060634A">
        <w:trPr>
          <w:trHeight w:hRule="exact" w:val="225"/>
          <w:jc w:val="right"/>
        </w:trPr>
        <w:tc>
          <w:tcPr>
            <w:tcW w:w="1134" w:type="dxa"/>
            <w:tcBorders>
              <w:top w:val="single" w:sz="6" w:space="0" w:color="FFFFFF" w:themeColor="background1"/>
            </w:tcBorders>
            <w:shd w:val="clear" w:color="auto" w:fill="DCE6F2"/>
            <w:vAlign w:val="center"/>
          </w:tcPr>
          <w:p w:rsidR="0060634A" w:rsidRDefault="00F76D44">
            <w:pPr>
              <w:pStyle w:val="PPOsidebarTabletext"/>
            </w:pPr>
            <w:r>
              <w:t>2020</w:t>
            </w:r>
          </w:p>
        </w:tc>
        <w:tc>
          <w:tcPr>
            <w:tcW w:w="1162" w:type="dxa"/>
            <w:tcBorders>
              <w:top w:val="single" w:sz="4" w:space="0" w:color="auto"/>
            </w:tcBorders>
            <w:shd w:val="clear" w:color="auto" w:fill="FFFFFF"/>
          </w:tcPr>
          <w:p w:rsidR="0060634A" w:rsidRDefault="00F76D44">
            <w:pPr>
              <w:pStyle w:val="PPOsidebarTabletext"/>
            </w:pPr>
            <w:r>
              <w:t>166.1</w:t>
            </w:r>
          </w:p>
        </w:tc>
      </w:tr>
      <w:tr w:rsidR="0060634A">
        <w:trPr>
          <w:trHeight w:hRule="exact" w:val="258"/>
          <w:jc w:val="right"/>
        </w:trPr>
        <w:tc>
          <w:tcPr>
            <w:tcW w:w="1134" w:type="dxa"/>
            <w:shd w:val="clear" w:color="auto" w:fill="00ADDC"/>
            <w:vAlign w:val="center"/>
          </w:tcPr>
          <w:p w:rsidR="0060634A" w:rsidRDefault="00F76D44">
            <w:pPr>
              <w:pStyle w:val="PPOsidebarTabletext"/>
            </w:pPr>
            <w:r>
              <w:t>Total</w:t>
            </w:r>
          </w:p>
        </w:tc>
        <w:tc>
          <w:tcPr>
            <w:tcW w:w="1162" w:type="dxa"/>
            <w:tcBorders>
              <w:top w:val="single" w:sz="4" w:space="0" w:color="auto"/>
            </w:tcBorders>
            <w:shd w:val="clear" w:color="auto" w:fill="FFFFFF"/>
          </w:tcPr>
          <w:p w:rsidR="0060634A" w:rsidRDefault="00F76D44">
            <w:pPr>
              <w:pStyle w:val="PPOsidebarTabletext"/>
            </w:pPr>
            <w:r>
              <w:t>352.2</w:t>
            </w:r>
          </w:p>
        </w:tc>
      </w:tr>
    </w:tbl>
    <w:p w:rsidR="0060634A" w:rsidRDefault="00F76D44">
      <w:pPr>
        <w:pStyle w:val="PPO1AsidebarTitleBlue"/>
        <w:rPr>
          <w:rFonts w:eastAsiaTheme="minorEastAsia"/>
        </w:rPr>
      </w:pPr>
      <w:r>
        <w:rPr>
          <w:rFonts w:eastAsiaTheme="minorEastAsia"/>
          <w:lang w:val="fr-BE" w:eastAsia="fr-BE"/>
        </w:rPr>
        <mc:AlternateContent>
          <mc:Choice Requires="wpg">
            <w:drawing>
              <wp:anchor distT="0" distB="0" distL="114300" distR="114300" simplePos="0" relativeHeight="251672576" behindDoc="1" locked="1" layoutInCell="1" allowOverlap="1">
                <wp:simplePos x="0" y="0"/>
                <wp:positionH relativeFrom="column">
                  <wp:posOffset>-270510</wp:posOffset>
                </wp:positionH>
                <wp:positionV relativeFrom="paragraph">
                  <wp:posOffset>528955</wp:posOffset>
                </wp:positionV>
                <wp:extent cx="1871980" cy="1454150"/>
                <wp:effectExtent l="0" t="0" r="0" b="0"/>
                <wp:wrapSquare wrapText="bothSides"/>
                <wp:docPr id="468" name="Group 468"/>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469" name="Chart 469"/>
                        <wpg:cNvFrPr/>
                        <wpg:xfrm>
                          <a:off x="461310" y="264194"/>
                          <a:ext cx="2492055" cy="1453317"/>
                        </wpg:xfrm>
                        <a:graphic>
                          <a:graphicData uri="http://schemas.openxmlformats.org/drawingml/2006/chart">
                            <c:chart xmlns:c="http://schemas.openxmlformats.org/drawingml/2006/chart" xmlns:r="http://schemas.openxmlformats.org/officeDocument/2006/relationships" r:id="rId331"/>
                          </a:graphicData>
                        </a:graphic>
                      </wpg:graphicFrame>
                      <wps:wsp>
                        <wps:cNvPr id="470" name="Text Box 2"/>
                        <wps:cNvSpPr txBox="1">
                          <a:spLocks noChangeArrowheads="1"/>
                        </wps:cNvSpPr>
                        <wps:spPr bwMode="auto">
                          <a:xfrm>
                            <a:off x="1031541" y="738774"/>
                            <a:ext cx="1561533" cy="600139"/>
                          </a:xfrm>
                          <a:prstGeom prst="rect">
                            <a:avLst/>
                          </a:prstGeom>
                          <a:noFill/>
                          <a:ln w="9525">
                            <a:noFill/>
                            <a:miter lim="800000"/>
                            <a:headEnd/>
                            <a:tailEnd/>
                          </a:ln>
                        </wps:spPr>
                        <wps:txbx>
                          <w:txbxContent>
                            <w:p w:rsidR="0060634A" w:rsidRDefault="00F76D44">
                              <w:pPr>
                                <w:pStyle w:val="PPO1AsidebarchartCenterText"/>
                                <w:rPr>
                                  <w:rFonts w:eastAsiaTheme="minorEastAsia"/>
                                </w:rPr>
                              </w:pPr>
                              <w:r>
                                <w:rPr>
                                  <w:rFonts w:eastAsiaTheme="minorEastAsia"/>
                                </w:rPr>
                                <w:t>EUR</w:t>
                              </w:r>
                              <w:r>
                                <w:rPr>
                                  <w:rFonts w:ascii="Calibri" w:eastAsiaTheme="minorEastAsia" w:hAnsi="Calibri" w:cs="Calibri"/>
                                  <w:b/>
                                </w:rPr>
                                <w:t> </w:t>
                              </w:r>
                              <w:r>
                                <w:rPr>
                                  <w:rFonts w:eastAsiaTheme="minorEastAsia"/>
                                  <w:b/>
                                </w:rPr>
                                <w:t>352.2</w:t>
                              </w:r>
                              <w:r>
                                <w:rPr>
                                  <w:rFonts w:eastAsiaTheme="minorEastAsia"/>
                                </w:rPr>
                                <w:br/>
                                <w:t>million</w:t>
                              </w:r>
                            </w:p>
                          </w:txbxContent>
                        </wps:txbx>
                        <wps:bodyPr rot="0" vert="horz" wrap="square" lIns="91440" tIns="45720" rIns="91440" bIns="45720" anchor="t" anchorCtr="0">
                          <a:noAutofit/>
                        </wps:bodyPr>
                      </wps:wsp>
                      <wps:wsp>
                        <wps:cNvPr id="471" name="Text Box 2"/>
                        <wps:cNvSpPr txBox="1">
                          <a:spLocks noChangeArrowheads="1"/>
                        </wps:cNvSpPr>
                        <wps:spPr bwMode="auto">
                          <a:xfrm>
                            <a:off x="1844474" y="1263728"/>
                            <a:ext cx="700344" cy="229870"/>
                          </a:xfrm>
                          <a:prstGeom prst="rect">
                            <a:avLst/>
                          </a:prstGeom>
                          <a:noFill/>
                          <a:ln w="9525">
                            <a:noFill/>
                            <a:miter lim="800000"/>
                            <a:headEnd/>
                            <a:tailEnd/>
                          </a:ln>
                        </wps:spPr>
                        <wps:txbx>
                          <w:txbxContent>
                            <w:p w:rsidR="0060634A" w:rsidRDefault="00F76D44">
                              <w:pPr>
                                <w:spacing w:after="120"/>
                                <w:jc w:val="center"/>
                                <w:rPr>
                                  <w:color w:val="00ADDC"/>
                                  <w:lang w:val="fr-BE"/>
                                </w:rPr>
                              </w:pPr>
                              <w:r>
                                <w:rPr>
                                  <w:b/>
                                  <w:color w:val="00ADDC"/>
                                  <w:lang w:val="fr-BE"/>
                                </w:rPr>
                                <w:t>37%</w:t>
                              </w:r>
                            </w:p>
                          </w:txbxContent>
                        </wps:txbx>
                        <wps:bodyPr rot="0" vert="horz" wrap="square" lIns="91440" tIns="45720" rIns="91440" bIns="45720" anchor="t" anchorCtr="0">
                          <a:noAutofit/>
                        </wps:bodyPr>
                      </wps:wsp>
                      <wps:wsp>
                        <wps:cNvPr id="472" name="Text Box 2"/>
                        <wps:cNvSpPr txBox="1">
                          <a:spLocks noChangeArrowheads="1"/>
                        </wps:cNvSpPr>
                        <wps:spPr bwMode="auto">
                          <a:xfrm>
                            <a:off x="1143398" y="1426921"/>
                            <a:ext cx="741153" cy="266065"/>
                          </a:xfrm>
                          <a:prstGeom prst="rect">
                            <a:avLst/>
                          </a:prstGeom>
                          <a:noFill/>
                          <a:ln w="9525">
                            <a:noFill/>
                            <a:miter lim="800000"/>
                            <a:headEnd/>
                            <a:tailEnd/>
                          </a:ln>
                        </wps:spPr>
                        <wps:txbx>
                          <w:txbxContent>
                            <w:p w:rsidR="0060634A" w:rsidRDefault="00F76D44">
                              <w:pPr>
                                <w:spacing w:after="120"/>
                                <w:jc w:val="center"/>
                                <w:rPr>
                                  <w:color w:val="28296E"/>
                                  <w:lang w:val="fr-BE"/>
                                </w:rPr>
                              </w:pPr>
                              <w:r>
                                <w:rPr>
                                  <w:b/>
                                  <w:color w:val="28296E"/>
                                  <w:lang w:val="fr-BE"/>
                                </w:rPr>
                                <w:t>53%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68" o:spid="_x0000_s1125" style="position:absolute;left:0;text-align:left;margin-left:-21.3pt;margin-top:41.65pt;width:147.4pt;height:114.5pt;z-index:-251643904;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AoAAAAAAAAAIQBq7RzxuyIAALsiAAAtAAAAZHJzL2VtYmVkZGlu&#10;Z3MvTWljcm9zb2Z0X0V4Y2VsX1dvcmtzaGVldC54bHN4UEsDBBQABgAIAAAAIQDdK4tYbAEAABAF&#10;AAATAAgCW0NvbnRlbnRfVHlwZXNdLnhtbC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">
                <v:shape id="Chart 469" o:spid="_x0000_s1126"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">
                  <v:imagedata r:id="rId332" o:title=""/>
                  <o:lock v:ext="edit" aspectratio="f"/>
                </v:shape>
                <v:shape id="_x0000_s1127" type="#_x0000_t202" style="position:absolute;left:10315;top:7387;width:15615;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" filled="f" stroked="f">
                  <v:textbox>
                    <w:txbxContent>
                      <w:p w:rsidR="0060634A" w:rsidRDefault="00F76D44">
                        <w:pPr>
                          <w:pStyle w:val="PPO1AsidebarchartCenterText"/>
                          <w:rPr>
                            <w:rFonts w:eastAsiaTheme="minorEastAsia"/>
                          </w:rPr>
                        </w:pPr>
                        <w:r>
                          <w:rPr>
                            <w:rFonts w:eastAsiaTheme="minorEastAsia"/>
                          </w:rPr>
                          <w:t>EUR</w:t>
                        </w:r>
                        <w:r>
                          <w:rPr>
                            <w:rFonts w:ascii="Calibri" w:eastAsiaTheme="minorEastAsia" w:hAnsi="Calibri" w:cs="Calibri"/>
                            <w:b/>
                          </w:rPr>
                          <w:t> </w:t>
                        </w:r>
                        <w:r>
                          <w:rPr>
                            <w:rFonts w:eastAsiaTheme="minorEastAsia"/>
                            <w:b/>
                          </w:rPr>
                          <w:t>352.2</w:t>
                        </w:r>
                        <w:r>
                          <w:rPr>
                            <w:rFonts w:eastAsiaTheme="minorEastAsia"/>
                          </w:rPr>
                          <w:br/>
                          <w:t>million</w:t>
                        </w:r>
                      </w:p>
                    </w:txbxContent>
                  </v:textbox>
                </v:shape>
                <v:shape id="_x0000_s1128" type="#_x0000_t202" style="position:absolute;left:18444;top:12637;width:7004;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" filled="f" stroked="f">
                  <v:textbox>
                    <w:txbxContent>
                      <w:p w:rsidR="0060634A" w:rsidRDefault="00F76D44">
                        <w:pPr>
                          <w:spacing w:after="120"/>
                          <w:jc w:val="center"/>
                          <w:rPr>
                            <w:color w:val="00ADDC"/>
                            <w:lang w:val="fr-BE"/>
                          </w:rPr>
                        </w:pPr>
                        <w:r>
                          <w:rPr>
                            <w:b/>
                            <w:color w:val="00ADDC"/>
                            <w:lang w:val="fr-BE"/>
                          </w:rPr>
                          <w:t>37%</w:t>
                        </w:r>
                      </w:p>
                    </w:txbxContent>
                  </v:textbox>
                </v:shape>
                <v:shape id="_x0000_s1129" type="#_x0000_t202" style="position:absolute;left:11433;top:14269;width:7412;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" filled="f" stroked="f">
                  <v:textbox>
                    <w:txbxContent>
                      <w:p w:rsidR="0060634A" w:rsidRDefault="00F76D44">
                        <w:pPr>
                          <w:spacing w:after="120"/>
                          <w:jc w:val="center"/>
                          <w:rPr>
                            <w:color w:val="28296E"/>
                            <w:lang w:val="fr-BE"/>
                          </w:rPr>
                        </w:pPr>
                        <w:r>
                          <w:rPr>
                            <w:b/>
                            <w:color w:val="28296E"/>
                            <w:lang w:val="fr-BE"/>
                          </w:rPr>
                          <w:t>53%</w:t>
                        </w:r>
                      </w:p>
                    </w:txbxContent>
                  </v:textbox>
                </v:shape>
                <w10:wrap type="square"/>
                <w10:anchorlock/>
              </v:group>
              <o:OLEObject Type="Embed" ProgID="Excel.Chart.8" ShapeID="Chart 469" DrawAspect="Content" ObjectID="_1654495733" r:id="rId333">
                <o:FieldCodes>\s</o:FieldCodes>
              </o:OLEObject>
            </w:pict>
          </mc:Fallback>
        </mc:AlternateContent>
      </w:r>
      <w:r>
        <w:rPr>
          <w:rFonts w:eastAsiaTheme="minorEastAsia"/>
        </w:rPr>
        <w:t>OVERALL EXECUTION</w:t>
      </w:r>
      <w:r>
        <w:rPr>
          <w:rFonts w:eastAsiaTheme="minorEastAsia"/>
        </w:rPr>
        <w:br/>
        <w:t>(2014-2019)</w:t>
      </w:r>
    </w:p>
    <w:p w:rsidR="0060634A" w:rsidRDefault="00F76D44">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676672" behindDoc="0" locked="1" layoutInCell="1" allowOverlap="1">
                <wp:simplePos x="0" y="0"/>
                <wp:positionH relativeFrom="page">
                  <wp:posOffset>2245995</wp:posOffset>
                </wp:positionH>
                <wp:positionV relativeFrom="page">
                  <wp:posOffset>5328285</wp:posOffset>
                </wp:positionV>
                <wp:extent cx="2437130" cy="2436495"/>
                <wp:effectExtent l="0" t="0" r="1270" b="1905"/>
                <wp:wrapTopAndBottom/>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436495"/>
                        </a:xfrm>
                        <a:prstGeom prst="rect">
                          <a:avLst/>
                        </a:prstGeom>
                        <a:solidFill>
                          <a:srgbClr val="FFFFFF"/>
                        </a:solidFill>
                        <a:ln w="9525">
                          <a:noFill/>
                          <a:miter lim="800000"/>
                          <a:headEnd/>
                          <a:tailEnd/>
                        </a:ln>
                      </wps:spPr>
                      <wps:txbx id="66">
                        <w:txbxContent>
                          <w:p w:rsidR="0060634A" w:rsidRDefault="00F76D44">
                            <w:pPr>
                              <w:pStyle w:val="PPOTitle3-nospacebefore"/>
                              <w:rPr>
                                <w:rFonts w:eastAsiaTheme="minorEastAsia"/>
                              </w:rPr>
                            </w:pPr>
                            <w:r>
                              <w:rPr>
                                <w:rFonts w:eastAsiaTheme="minorEastAsia"/>
                              </w:rPr>
                              <w:t>Why is it necessary?</w:t>
                            </w:r>
                          </w:p>
                          <w:p w:rsidR="0060634A" w:rsidRDefault="00F76D44">
                            <w:pPr>
                              <w:pStyle w:val="PPObodyText"/>
                              <w:rPr>
                                <w:noProof/>
                              </w:rPr>
                            </w:pPr>
                            <w:r>
                              <w:rPr>
                                <w:noProof/>
                              </w:rPr>
                              <w:t xml:space="preserve">The European Solidarity Corps will enhance the European dimension of solidarity, complementing existing public and private policies, programmes and </w:t>
                            </w:r>
                            <w:r>
                              <w:rPr>
                                <w:noProof/>
                              </w:rPr>
                              <w:t>activities without creating competition or substitution effects. The corps will address unmet societal needs that cannot be addressed by the labour market, existing volunteering activities or other types of solidarity programmes.</w:t>
                            </w:r>
                          </w:p>
                          <w:p w:rsidR="0060634A" w:rsidRDefault="00F76D44">
                            <w:pPr>
                              <w:pStyle w:val="PPObodyText"/>
                              <w:rPr>
                                <w:noProof/>
                              </w:rPr>
                            </w:pPr>
                            <w:r>
                              <w:rPr>
                                <w:noProof/>
                              </w:rPr>
                              <w:t xml:space="preserve">The EU added value of the </w:t>
                            </w:r>
                            <w:r>
                              <w:rPr>
                                <w:noProof/>
                              </w:rPr>
                              <w:t xml:space="preserve">programme derives from the cross-border character of the activities, in addition to those developed at national or regional levels. </w:t>
                            </w:r>
                          </w:p>
                          <w:p w:rsidR="0060634A" w:rsidRDefault="00F76D44">
                            <w:pPr>
                              <w:pStyle w:val="PPObodyText"/>
                              <w:rPr>
                                <w:noProof/>
                              </w:rPr>
                            </w:pPr>
                            <w:r>
                              <w:rPr>
                                <w:noProof/>
                              </w:rPr>
                              <w:t>While actions to tackle socioeconomic problem areas are primarily the responsibility of the Member States and regions and h</w:t>
                            </w:r>
                            <w:r>
                              <w:rPr>
                                <w:noProof/>
                              </w:rPr>
                              <w:t>ave to be taken closest to the citizen at national and sub-national levels, the EU has a role to play in identifying shared challenges, stimulating cooperation and transnational mobility, encouraging synergies and promoting the sharing of good practices an</w:t>
                            </w:r>
                            <w:r>
                              <w:rPr>
                                <w:noProof/>
                              </w:rPr>
                              <w:t>d mutual learning, and supporting a Europe-wide approach to social innovation, where there is clear added value for European solutions.</w:t>
                            </w:r>
                          </w:p>
                          <w:p w:rsidR="0060634A" w:rsidRDefault="00F76D44">
                            <w:pPr>
                              <w:pStyle w:val="PPOTitle3"/>
                              <w:rPr>
                                <w:rFonts w:eastAsiaTheme="minorEastAsia"/>
                              </w:rPr>
                            </w:pPr>
                            <w:r>
                              <w:rPr>
                                <w:rFonts w:eastAsiaTheme="minorEastAsia"/>
                              </w:rPr>
                              <w:t>Outlook for the 2021-2027 period</w:t>
                            </w:r>
                          </w:p>
                          <w:p w:rsidR="0060634A" w:rsidRDefault="00F76D44">
                            <w:pPr>
                              <w:pStyle w:val="PPObodyText"/>
                              <w:rPr>
                                <w:noProof/>
                              </w:rPr>
                            </w:pPr>
                            <w:r>
                              <w:rPr>
                                <w:noProof/>
                              </w:rPr>
                              <w:t>For the next long-term EU budget for 2021-2027, the Commission has proposed a new progr</w:t>
                            </w:r>
                            <w:r>
                              <w:rPr>
                                <w:noProof/>
                              </w:rPr>
                              <w:t>amme for the European Solidarity Corps, consolidating efforts to have one single entry point for young people ready to engage in solidarity.</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left:0;text-align:left;margin-left:176.85pt;margin-top:419.55pt;width:191.9pt;height:191.85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" stroked="f">
                <v:textbox style="mso-next-textbox:#Text Box 476" inset="0">
                  <w:txbxContent>
                    <w:p w:rsidR="0060634A" w:rsidRDefault="00F76D44">
                      <w:pPr>
                        <w:pStyle w:val="PPOTitle3-nospacebefore"/>
                        <w:rPr>
                          <w:rFonts w:eastAsiaTheme="minorEastAsia"/>
                        </w:rPr>
                      </w:pPr>
                      <w:r>
                        <w:rPr>
                          <w:rFonts w:eastAsiaTheme="minorEastAsia"/>
                        </w:rPr>
                        <w:t>Why is it necessary?</w:t>
                      </w:r>
                    </w:p>
                    <w:p w:rsidR="0060634A" w:rsidRDefault="00F76D44">
                      <w:pPr>
                        <w:pStyle w:val="PPObodyText"/>
                        <w:rPr>
                          <w:noProof/>
                        </w:rPr>
                      </w:pPr>
                      <w:r>
                        <w:rPr>
                          <w:noProof/>
                        </w:rPr>
                        <w:t xml:space="preserve">The European Solidarity Corps will enhance the European dimension of solidarity, complementing existing public and private policies, programmes and </w:t>
                      </w:r>
                      <w:r>
                        <w:rPr>
                          <w:noProof/>
                        </w:rPr>
                        <w:t>activities without creating competition or substitution effects. The corps will address unmet societal needs that cannot be addressed by the labour market, existing volunteering activities or other types of solidarity programmes.</w:t>
                      </w:r>
                    </w:p>
                    <w:p w:rsidR="0060634A" w:rsidRDefault="00F76D44">
                      <w:pPr>
                        <w:pStyle w:val="PPObodyText"/>
                        <w:rPr>
                          <w:noProof/>
                        </w:rPr>
                      </w:pPr>
                      <w:r>
                        <w:rPr>
                          <w:noProof/>
                        </w:rPr>
                        <w:t xml:space="preserve">The EU added value of the </w:t>
                      </w:r>
                      <w:r>
                        <w:rPr>
                          <w:noProof/>
                        </w:rPr>
                        <w:t xml:space="preserve">programme derives from the cross-border character of the activities, in addition to those developed at national or regional levels. </w:t>
                      </w:r>
                    </w:p>
                    <w:p w:rsidR="0060634A" w:rsidRDefault="00F76D44">
                      <w:pPr>
                        <w:pStyle w:val="PPObodyText"/>
                        <w:rPr>
                          <w:noProof/>
                        </w:rPr>
                      </w:pPr>
                      <w:r>
                        <w:rPr>
                          <w:noProof/>
                        </w:rPr>
                        <w:t>While actions to tackle socioeconomic problem areas are primarily the responsibility of the Member States and regions and h</w:t>
                      </w:r>
                      <w:r>
                        <w:rPr>
                          <w:noProof/>
                        </w:rPr>
                        <w:t>ave to be taken closest to the citizen at national and sub-national levels, the EU has a role to play in identifying shared challenges, stimulating cooperation and transnational mobility, encouraging synergies and promoting the sharing of good practices an</w:t>
                      </w:r>
                      <w:r>
                        <w:rPr>
                          <w:noProof/>
                        </w:rPr>
                        <w:t>d mutual learning, and supporting a Europe-wide approach to social innovation, where there is clear added value for European solutions.</w:t>
                      </w:r>
                    </w:p>
                    <w:p w:rsidR="0060634A" w:rsidRDefault="00F76D44">
                      <w:pPr>
                        <w:pStyle w:val="PPOTitle3"/>
                        <w:rPr>
                          <w:rFonts w:eastAsiaTheme="minorEastAsia"/>
                        </w:rPr>
                      </w:pPr>
                      <w:r>
                        <w:rPr>
                          <w:rFonts w:eastAsiaTheme="minorEastAsia"/>
                        </w:rPr>
                        <w:t>Outlook for the 2021-2027 period</w:t>
                      </w:r>
                    </w:p>
                    <w:p w:rsidR="0060634A" w:rsidRDefault="00F76D44">
                      <w:pPr>
                        <w:pStyle w:val="PPObodyText"/>
                        <w:rPr>
                          <w:noProof/>
                        </w:rPr>
                      </w:pPr>
                      <w:r>
                        <w:rPr>
                          <w:noProof/>
                        </w:rPr>
                        <w:t>For the next long-term EU budget for 2021-2027, the Commission has proposed a new progr</w:t>
                      </w:r>
                      <w:r>
                        <w:rPr>
                          <w:noProof/>
                        </w:rPr>
                        <w:t>amme for the European Solidarity Corps, consolidating efforts to have one single entry point for young people ready to engage in solidarity.</w:t>
                      </w:r>
                    </w:p>
                  </w:txbxContent>
                </v:textbox>
                <w10:wrap type="topAndBottom" anchorx="page" anchory="page"/>
                <w10:anchorlock/>
              </v:shape>
            </w:pict>
          </mc:Fallback>
        </mc:AlternateContent>
      </w:r>
    </w:p>
    <w:p w:rsidR="0060634A" w:rsidRDefault="00F76D44">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677696" behindDoc="0" locked="1" layoutInCell="1" allowOverlap="1">
                <wp:simplePos x="0" y="0"/>
                <wp:positionH relativeFrom="column">
                  <wp:posOffset>539750</wp:posOffset>
                </wp:positionH>
                <wp:positionV relativeFrom="paragraph">
                  <wp:posOffset>1270</wp:posOffset>
                </wp:positionV>
                <wp:extent cx="115200" cy="115200"/>
                <wp:effectExtent l="0" t="0" r="0" b="0"/>
                <wp:wrapNone/>
                <wp:docPr id="474" name="Oval 474"/>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00AD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6CCCE6" id="Oval 474" o:spid="_x0000_s1026" style="position:absolute;margin-left:42.5pt;margin-top:.1pt;width:9.05pt;height:9.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" fillcolor="#00addc" stroked="f" strokeweight="1pt">
                <v:stroke joinstyle="miter"/>
                <w10:anchorlock/>
              </v:oval>
            </w:pict>
          </mc:Fallback>
        </mc:AlternateContent>
      </w:r>
      <w:r>
        <w:rPr>
          <w:rFonts w:eastAsiaTheme="minorEastAsia"/>
          <w:lang w:val="fr-BE" w:eastAsia="fr-BE"/>
        </w:rPr>
        <w:drawing>
          <wp:anchor distT="0" distB="0" distL="114300" distR="114300" simplePos="0" relativeHeight="251673600" behindDoc="1" locked="1" layoutInCell="1" allowOverlap="1">
            <wp:simplePos x="0" y="0"/>
            <wp:positionH relativeFrom="page">
              <wp:posOffset>-415925</wp:posOffset>
            </wp:positionH>
            <wp:positionV relativeFrom="paragraph">
              <wp:posOffset>-1605915</wp:posOffset>
            </wp:positionV>
            <wp:extent cx="3412800" cy="1990800"/>
            <wp:effectExtent l="0" t="0" r="0" b="0"/>
            <wp:wrapNone/>
            <wp:docPr id="482" name="Chart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4"/>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675648" behindDoc="0" locked="1" layoutInCell="1" allowOverlap="1">
                <wp:simplePos x="0" y="0"/>
                <wp:positionH relativeFrom="column">
                  <wp:posOffset>539750</wp:posOffset>
                </wp:positionH>
                <wp:positionV relativeFrom="paragraph">
                  <wp:posOffset>195580</wp:posOffset>
                </wp:positionV>
                <wp:extent cx="115200" cy="115200"/>
                <wp:effectExtent l="0" t="0" r="0" b="0"/>
                <wp:wrapNone/>
                <wp:docPr id="475" name="Oval 475"/>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F96ABF" id="Oval 475" o:spid="_x0000_s1026" style="position:absolute;margin-left:42.5pt;margin-top:15.4pt;width:9.05pt;height:9.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" fillcolor="#28296e" stroked="f" strokeweight="1pt">
                <v:stroke joinstyle="miter"/>
                <w10:anchorlock/>
              </v:oval>
            </w:pict>
          </mc:Fallback>
        </mc:AlternateContent>
      </w:r>
      <w:r>
        <w:rPr>
          <w:rFonts w:eastAsiaTheme="minorEastAsia"/>
        </w:rPr>
        <w:t>Payments</w:t>
      </w:r>
    </w:p>
    <w:p w:rsidR="0060634A" w:rsidRDefault="00F76D44">
      <w:pPr>
        <w:pStyle w:val="PPOsidebarchartLegends"/>
        <w:rPr>
          <w:rFonts w:eastAsiaTheme="minorEastAsia"/>
        </w:rPr>
      </w:pPr>
      <w:r>
        <w:rPr>
          <w:rFonts w:eastAsiaTheme="minorEastAsia"/>
        </w:rPr>
        <w:t>Commitments</w:t>
      </w:r>
    </w:p>
    <w:p w:rsidR="0060634A" w:rsidRDefault="00F76D44">
      <w:pPr>
        <w:pStyle w:val="PPO1AsidebarTitleLightBlue"/>
        <w:rPr>
          <w:rFonts w:eastAsiaTheme="minorEastAsia"/>
        </w:rPr>
      </w:pPr>
      <w:r>
        <w:rPr>
          <w:rFonts w:eastAsiaTheme="minorEastAsia"/>
        </w:rPr>
        <w:t>Evaluations/</w:t>
      </w:r>
      <w:r>
        <w:rPr>
          <w:rFonts w:eastAsiaTheme="minorEastAsia"/>
        </w:rPr>
        <w:br/>
        <w:t>studies conducted</w:t>
      </w:r>
    </w:p>
    <w:p w:rsidR="0060634A" w:rsidRDefault="00F76D44">
      <w:pPr>
        <w:pStyle w:val="PPOsidebartext"/>
        <w:rPr>
          <w:rFonts w:eastAsiaTheme="minorEastAsia"/>
        </w:rPr>
      </w:pPr>
      <w:r>
        <w:rPr>
          <w:rFonts w:eastAsiaTheme="minorEastAsia"/>
        </w:rPr>
        <w:t>N/A</w:t>
      </w:r>
    </w:p>
    <w:p w:rsidR="0060634A" w:rsidRDefault="00F76D44">
      <w:pPr>
        <w:pStyle w:val="PPO1AsidebarTitleLightBlue"/>
        <w:rPr>
          <w:rFonts w:eastAsiaTheme="minorEastAsia"/>
        </w:rPr>
      </w:pPr>
      <w:r>
        <w:rPr>
          <w:rFonts w:eastAsiaTheme="minorEastAsia"/>
        </w:rPr>
        <w:t>How is it implemented?</w:t>
      </w:r>
    </w:p>
    <w:tbl>
      <w:tblPr>
        <w:tblStyle w:val="TableGrid"/>
        <w:tblpPr w:vertAnchor="page" w:horzAnchor="page" w:tblpX="3544" w:tblpY="13622"/>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bottom w:w="57" w:type="dxa"/>
          <w:right w:w="0" w:type="dxa"/>
        </w:tblCellMar>
        <w:tblLook w:val="04A0" w:firstRow="1" w:lastRow="0" w:firstColumn="1" w:lastColumn="0" w:noHBand="0" w:noVBand="1"/>
      </w:tblPr>
      <w:tblGrid>
        <w:gridCol w:w="3471"/>
        <w:gridCol w:w="850"/>
        <w:gridCol w:w="3471"/>
      </w:tblGrid>
      <w:tr w:rsidR="0060634A">
        <w:trPr>
          <w:cantSplit/>
        </w:trPr>
        <w:tc>
          <w:tcPr>
            <w:tcW w:w="7792" w:type="dxa"/>
            <w:gridSpan w:val="3"/>
            <w:vAlign w:val="center"/>
            <w:hideMark/>
          </w:tcPr>
          <w:p w:rsidR="0060634A" w:rsidRDefault="00F76D44">
            <w:pPr>
              <w:pStyle w:val="PPOTitle3-nospacebefore"/>
              <w:rPr>
                <w:rFonts w:eastAsiaTheme="minorEastAsia"/>
                <w:lang w:val="en-GB"/>
              </w:rPr>
            </w:pPr>
            <w:r>
              <w:rPr>
                <w:rFonts w:eastAsiaTheme="minorEastAsia"/>
                <w:lang w:val="en-GB"/>
              </w:rPr>
              <w:t xml:space="preserve">Voted budget execution (in </w:t>
            </w:r>
            <w:r>
              <w:rPr>
                <w:rFonts w:eastAsiaTheme="minorEastAsia"/>
                <w:lang w:val="en-GB"/>
              </w:rPr>
              <w:t>million EUR)</w:t>
            </w:r>
          </w:p>
        </w:tc>
      </w:tr>
      <w:tr w:rsidR="0060634A">
        <w:trPr>
          <w:cantSplit/>
        </w:trPr>
        <w:tc>
          <w:tcPr>
            <w:tcW w:w="3471" w:type="dxa"/>
            <w:shd w:val="clear" w:color="auto" w:fill="585EAA"/>
            <w:tcMar>
              <w:top w:w="57" w:type="dxa"/>
              <w:left w:w="0" w:type="dxa"/>
              <w:bottom w:w="57" w:type="dxa"/>
              <w:right w:w="0" w:type="dxa"/>
            </w:tcMar>
            <w:vAlign w:val="center"/>
            <w:hideMark/>
          </w:tcPr>
          <w:p w:rsidR="0060634A" w:rsidRDefault="00F76D44">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585EAA"/>
            <w:tcMar>
              <w:top w:w="57" w:type="dxa"/>
              <w:left w:w="0" w:type="dxa"/>
              <w:bottom w:w="57" w:type="dxa"/>
              <w:right w:w="0" w:type="dxa"/>
            </w:tcMar>
            <w:vAlign w:val="center"/>
          </w:tcPr>
          <w:p w:rsidR="0060634A" w:rsidRDefault="0060634A">
            <w:pPr>
              <w:rPr>
                <w:noProof/>
              </w:rPr>
            </w:pPr>
          </w:p>
        </w:tc>
        <w:tc>
          <w:tcPr>
            <w:tcW w:w="3471" w:type="dxa"/>
            <w:shd w:val="clear" w:color="auto" w:fill="585EAA"/>
            <w:tcMar>
              <w:top w:w="57" w:type="dxa"/>
              <w:left w:w="0" w:type="dxa"/>
              <w:bottom w:w="57" w:type="dxa"/>
              <w:right w:w="0" w:type="dxa"/>
            </w:tcMar>
            <w:vAlign w:val="center"/>
            <w:hideMark/>
          </w:tcPr>
          <w:p w:rsidR="0060634A" w:rsidRDefault="00F76D44">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60634A">
        <w:trPr>
          <w:cantSplit/>
        </w:trPr>
        <w:tc>
          <w:tcPr>
            <w:tcW w:w="3471" w:type="dxa"/>
            <w:shd w:val="clear" w:color="auto" w:fill="E6E0EC"/>
            <w:vAlign w:val="center"/>
            <w:hideMark/>
          </w:tcPr>
          <w:p w:rsidR="0060634A" w:rsidRDefault="00F76D44">
            <w:pPr>
              <w:spacing w:after="100" w:afterAutospacing="1"/>
              <w:jc w:val="center"/>
              <w:rPr>
                <w:noProof/>
                <w:color w:val="0070C0"/>
                <w:sz w:val="18"/>
              </w:rPr>
            </w:pPr>
            <w:r>
              <w:rPr>
                <w:noProof/>
                <w:color w:val="0070C0"/>
                <w:sz w:val="18"/>
                <w:lang w:eastAsia="fr-BE"/>
              </w:rPr>
              <w:drawing>
                <wp:inline distT="0" distB="0" distL="0" distR="0">
                  <wp:extent cx="2158365" cy="890270"/>
                  <wp:effectExtent l="0" t="0" r="0" b="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c>
          <w:tcPr>
            <w:tcW w:w="850" w:type="dxa"/>
            <w:shd w:val="clear" w:color="auto" w:fill="E6E0EC"/>
            <w:vAlign w:val="center"/>
            <w:hideMark/>
          </w:tcPr>
          <w:p w:rsidR="0060634A" w:rsidRDefault="00F76D44">
            <w:pPr>
              <w:pStyle w:val="PPO1AVotedbudgetTABLEtextBlue"/>
              <w:framePr w:hSpace="0" w:wrap="auto" w:vAnchor="margin" w:hAnchor="text" w:xAlign="left" w:yAlign="inline"/>
              <w:suppressOverlap w:val="0"/>
              <w:rPr>
                <w:rFonts w:eastAsiaTheme="minorEastAsia"/>
              </w:rPr>
            </w:pPr>
            <w:r>
              <w:rPr>
                <w:rFonts w:eastAsiaTheme="minorEastAsia"/>
              </w:rPr>
              <w:t>2018</w:t>
            </w:r>
          </w:p>
          <w:p w:rsidR="0060634A" w:rsidRDefault="0060634A">
            <w:pPr>
              <w:pStyle w:val="PPO1AVotedbudgetTABLEtextBlue"/>
              <w:framePr w:hSpace="0" w:wrap="auto" w:vAnchor="margin" w:hAnchor="text" w:xAlign="left" w:yAlign="inline"/>
              <w:suppressOverlap w:val="0"/>
              <w:rPr>
                <w:rFonts w:eastAsiaTheme="minorEastAsia"/>
                <w:sz w:val="16"/>
                <w:szCs w:val="16"/>
              </w:rPr>
            </w:pPr>
          </w:p>
          <w:p w:rsidR="0060634A" w:rsidRDefault="00F76D44">
            <w:pPr>
              <w:pStyle w:val="PPO1AVotedbudgetTABLEtextBlue"/>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E6E0EC"/>
            <w:vAlign w:val="center"/>
            <w:hideMark/>
          </w:tcPr>
          <w:p w:rsidR="0060634A" w:rsidRDefault="00F76D44">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890270"/>
                  <wp:effectExtent l="0" t="0" r="0" b="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r>
    </w:tbl>
    <w:p w:rsidR="0060634A" w:rsidRDefault="00F76D44">
      <w:pPr>
        <w:pStyle w:val="PPOsidebartext"/>
        <w:rPr>
          <w:rFonts w:eastAsiaTheme="minorEastAsia"/>
        </w:rPr>
      </w:pPr>
      <w:r>
        <w:rPr>
          <w:rFonts w:eastAsiaTheme="minorEastAsia"/>
        </w:rPr>
        <w:t xml:space="preserve">The Directorate-General for Education, Youth, Sports and Culture is the lead DG for the implementation of the programme. European Solidarity Corps funding is provided in the form of </w:t>
      </w:r>
      <w:r>
        <w:rPr>
          <w:rFonts w:eastAsiaTheme="minorEastAsia"/>
        </w:rPr>
        <w:t>grants, procurement and prizes.</w:t>
      </w:r>
    </w:p>
    <w:p w:rsidR="0060634A" w:rsidRDefault="00F76D44">
      <w:pPr>
        <w:pStyle w:val="PPO1ATitle1"/>
        <w:rPr>
          <w:rFonts w:eastAsiaTheme="minorEastAsia"/>
        </w:rPr>
      </w:pPr>
      <w:r>
        <w:rPr>
          <w:rFonts w:eastAsiaTheme="minorEastAsia"/>
        </w:rPr>
        <w:br w:type="column"/>
      </w:r>
      <w:bookmarkStart w:id="34" w:name="_Toc39583682"/>
      <w:r>
        <w:rPr>
          <w:rFonts w:eastAsiaTheme="minorEastAsia"/>
        </w:rPr>
        <w:t>EUROPEAN SOLIDARITY CORPS</w:t>
      </w:r>
      <w:bookmarkEnd w:id="34"/>
    </w:p>
    <w:p w:rsidR="0060634A" w:rsidRDefault="00F76D44">
      <w:pPr>
        <w:pStyle w:val="PPOTitle3"/>
        <w:rPr>
          <w:rFonts w:eastAsiaTheme="minorEastAsia"/>
        </w:rPr>
      </w:pPr>
      <w:r>
        <w:rPr>
          <w:rFonts w:eastAsiaTheme="minorEastAsia"/>
        </w:rPr>
        <w:t>What is the European Solidarity Corps?</w:t>
      </w:r>
    </w:p>
    <w:p w:rsidR="0060634A" w:rsidRDefault="00F76D44">
      <w:pPr>
        <w:pStyle w:val="PPObodyText"/>
        <w:spacing w:after="360"/>
        <w:rPr>
          <w:noProof/>
        </w:rPr>
      </w:pPr>
      <w:r>
        <w:rPr>
          <w:noProof/>
          <w:lang w:val="fr-BE" w:eastAsia="fr-BE"/>
        </w:rPr>
        <mc:AlternateContent>
          <mc:Choice Requires="wps">
            <w:drawing>
              <wp:anchor distT="0" distB="0" distL="114300" distR="114300" simplePos="0" relativeHeight="251674624" behindDoc="0" locked="1" layoutInCell="1" allowOverlap="1">
                <wp:simplePos x="0" y="0"/>
                <wp:positionH relativeFrom="page">
                  <wp:posOffset>4761865</wp:posOffset>
                </wp:positionH>
                <wp:positionV relativeFrom="paragraph">
                  <wp:posOffset>4184015</wp:posOffset>
                </wp:positionV>
                <wp:extent cx="2437130" cy="2235200"/>
                <wp:effectExtent l="0" t="0" r="1270" b="0"/>
                <wp:wrapTopAndBottom/>
                <wp:docPr id="476" name="Text Box 476"/>
                <wp:cNvGraphicFramePr/>
                <a:graphic xmlns:a="http://schemas.openxmlformats.org/drawingml/2006/main">
                  <a:graphicData uri="http://schemas.microsoft.com/office/word/2010/wordprocessingShape">
                    <wps:wsp>
                      <wps:cNvSpPr txBox="1"/>
                      <wps:spPr>
                        <a:xfrm>
                          <a:off x="0" y="0"/>
                          <a:ext cx="2437130" cy="2235200"/>
                        </a:xfrm>
                        <a:prstGeom prst="rect">
                          <a:avLst/>
                        </a:prstGeom>
                        <a:solidFill>
                          <a:schemeClr val="lt1"/>
                        </a:solidFill>
                        <a:ln w="6350">
                          <a:noFill/>
                        </a:ln>
                      </wps:spPr>
                      <wps:linkedTxbx id="66"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6" o:spid="_x0000_s1131" type="#_x0000_t202" style="position:absolute;left:0;text-align:left;margin-left:374.95pt;margin-top:329.45pt;width:191.9pt;height:17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" fillcolor="white [3201]" stroked="f" strokeweight=".5pt">
                <v:textbox inset=",,0">
                  <w:txbxContent/>
                </v:textbox>
                <w10:wrap type="topAndBottom" anchorx="page"/>
                <w10:anchorlock/>
              </v:shape>
            </w:pict>
          </mc:Fallback>
        </mc:AlternateContent>
      </w:r>
      <w:r>
        <w:rPr>
          <w:noProof/>
        </w:rPr>
        <w:t xml:space="preserve">The European Solidarity Corps regulation that entered into force on 4 October 2018 establishes the Corps as a fully fledged programme for the period </w:t>
      </w:r>
      <w:r>
        <w:rPr>
          <w:noProof/>
        </w:rPr>
        <w:t>2018-2020. The aim of the corps is to give young people the chance to take part in a range of solidarity activities that address challenging situations across the EU, such as rebuilding communities following natural disasters and addressing social challeng</w:t>
      </w:r>
      <w:r>
        <w:rPr>
          <w:noProof/>
        </w:rPr>
        <w:t>es such as social exclusion, poverty and health and demographic challenges. Taking part in solidarity activities not only helps young people’s personal development, active involvement in society and employability, but also assists non-governmental organisa</w:t>
      </w:r>
      <w:r>
        <w:rPr>
          <w:noProof/>
        </w:rPr>
        <w:t>tions, public bodies and companies in their efforts to cope with societal and other challenges. The corps supports volunteering, traineeships and job placements in a wide range of sectors engaged in solidarity and will provide young people with opportuniti</w:t>
      </w:r>
      <w:r>
        <w:rPr>
          <w:noProof/>
        </w:rPr>
        <w:t>es to set up their own solidarity projects or volunteer as a group.</w:t>
      </w:r>
    </w:p>
    <w:tbl>
      <w:tblPr>
        <w:tblStyle w:val="TableGrid"/>
        <w:tblpPr w:leftFromText="181" w:rightFromText="340" w:vertAnchor="text" w:tblpX="108" w:tblpY="100"/>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7763"/>
      </w:tblGrid>
      <w:tr w:rsidR="0060634A">
        <w:trPr>
          <w:trHeight w:val="2860"/>
        </w:trPr>
        <w:tc>
          <w:tcPr>
            <w:tcW w:w="7763" w:type="dxa"/>
            <w:shd w:val="clear" w:color="auto" w:fill="F2F2F2" w:themeFill="background1" w:themeFillShade="F2"/>
          </w:tcPr>
          <w:p w:rsidR="0060634A" w:rsidRDefault="00F76D44">
            <w:pPr>
              <w:pStyle w:val="PPO1ASpecificobjectivesBOX-HeadingLightBlue"/>
              <w:rPr>
                <w:rFonts w:eastAsiaTheme="minorEastAsia"/>
              </w:rPr>
            </w:pPr>
            <w:r>
              <w:rPr>
                <w:rFonts w:eastAsiaTheme="minorEastAsia"/>
                <w:lang w:eastAsia="fr-BE"/>
              </w:rPr>
              <mc:AlternateContent>
                <mc:Choice Requires="wps">
                  <w:drawing>
                    <wp:anchor distT="0" distB="0" distL="114300" distR="114300" simplePos="0" relativeHeight="251679744"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23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00ADDC"/>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55739D6" id="Freeform 6" o:spid="_x0000_s1026" style="position:absolute;margin-left:4pt;margin-top:1.4pt;width:21.25pt;height:2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00addc"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rFonts w:eastAsiaTheme="minorEastAsia"/>
              </w:rPr>
              <w:t>Specific objectives</w:t>
            </w:r>
          </w:p>
          <w:p w:rsidR="0060634A" w:rsidRDefault="00F76D44">
            <w:pPr>
              <w:pStyle w:val="PPO1ASpecificobjectivesBOX-BulletLightBlue"/>
              <w:rPr>
                <w:rFonts w:ascii="EC Square Sans Cond Pro" w:hAnsi="EC Square Sans Cond Pro"/>
                <w:lang w:val="en-GB"/>
              </w:rPr>
            </w:pPr>
            <w:r>
              <w:rPr>
                <w:rFonts w:ascii="EC Square Sans Cond Pro" w:hAnsi="EC Square Sans Cond Pro"/>
                <w:lang w:val="en-GB"/>
              </w:rPr>
              <w:t>To provide young people, with the support of organisations, with easily accessible opportunities to engage in solidarity activities while improving their skills and co</w:t>
            </w:r>
            <w:r>
              <w:rPr>
                <w:rFonts w:ascii="EC Square Sans Cond Pro" w:hAnsi="EC Square Sans Cond Pro"/>
                <w:lang w:val="en-GB"/>
              </w:rPr>
              <w:t>mpetences for personal, educational, social, civic and professional development, as well as enhancing their employability and helping them move into regular employment.</w:t>
            </w:r>
          </w:p>
          <w:p w:rsidR="0060634A" w:rsidRDefault="00F76D44">
            <w:pPr>
              <w:pStyle w:val="PPO1ASpecificobjectivesBOX-BulletLightBlue"/>
              <w:rPr>
                <w:rFonts w:ascii="EC Square Sans Cond Pro" w:hAnsi="EC Square Sans Cond Pro"/>
                <w:lang w:val="en-GB"/>
              </w:rPr>
            </w:pPr>
            <w:r>
              <w:rPr>
                <w:rFonts w:ascii="EC Square Sans Cond Pro" w:hAnsi="EC Square Sans Cond Pro"/>
                <w:lang w:val="en-GB"/>
              </w:rPr>
              <w:t>To contribute to European cooperation relevant to young people and to raise awareness o</w:t>
            </w:r>
            <w:r>
              <w:rPr>
                <w:rFonts w:ascii="EC Square Sans Cond Pro" w:hAnsi="EC Square Sans Cond Pro"/>
                <w:lang w:val="en-GB"/>
              </w:rPr>
              <w:t>f its positive impact.</w:t>
            </w:r>
          </w:p>
          <w:p w:rsidR="0060634A" w:rsidRDefault="00F76D44">
            <w:pPr>
              <w:pStyle w:val="PPO1ASpecificobjectivesBOX-BulletLightBlue"/>
              <w:rPr>
                <w:rFonts w:ascii="EC Square Sans Cond Pro" w:hAnsi="EC Square Sans Cond Pro"/>
                <w:lang w:val="en-GB"/>
              </w:rPr>
            </w:pPr>
            <w:r>
              <w:rPr>
                <w:rFonts w:ascii="EC Square Sans Cond Pro" w:hAnsi="EC Square Sans Cond Pro"/>
                <w:lang w:val="en-GB"/>
              </w:rPr>
              <w:t>To ensure that particular efforts are made to promote social inclusion and equal opportunities, and in particular to enable the participation of young people with fewer opportunities, through a range of special measures such as appro</w:t>
            </w:r>
            <w:r>
              <w:rPr>
                <w:rFonts w:ascii="EC Square Sans Cond Pro" w:hAnsi="EC Square Sans Cond Pro"/>
                <w:lang w:val="en-GB"/>
              </w:rPr>
              <w:t>priate forms of solidarity activities and personalised support.</w:t>
            </w:r>
          </w:p>
          <w:p w:rsidR="0060634A" w:rsidRDefault="00F76D44">
            <w:pPr>
              <w:pStyle w:val="PPO1ASpecificobjectivesBOX-BulletLightBlue"/>
              <w:rPr>
                <w:szCs w:val="14"/>
                <w:lang w:val="en-GB"/>
              </w:rPr>
            </w:pPr>
            <w:r>
              <w:rPr>
                <w:rFonts w:ascii="EC Square Sans Cond Pro" w:hAnsi="EC Square Sans Cond Pro"/>
                <w:lang w:val="en-GB"/>
              </w:rPr>
              <w:t>To ensure that the solidarity activities that are offered to the European Solidarity Corps participants contribute to addressing concrete societal challenges and strengthening communities, are</w:t>
            </w:r>
            <w:r>
              <w:rPr>
                <w:rFonts w:ascii="EC Square Sans Cond Pro" w:hAnsi="EC Square Sans Cond Pro"/>
                <w:lang w:val="en-GB"/>
              </w:rPr>
              <w:t xml:space="preserve"> of a high quality and are properly validated.</w:t>
            </w:r>
          </w:p>
        </w:tc>
      </w:tr>
    </w:tbl>
    <w:p w:rsidR="0060634A" w:rsidRDefault="0060634A">
      <w:pPr>
        <w:rPr>
          <w:noProof/>
          <w:sz w:val="2"/>
          <w:szCs w:val="2"/>
        </w:rPr>
      </w:pPr>
    </w:p>
    <w:p w:rsidR="0060634A" w:rsidRDefault="0060634A">
      <w:pPr>
        <w:framePr w:w="6721" w:wrap="auto" w:hAnchor="text" w:x="3544"/>
        <w:jc w:val="both"/>
        <w:rPr>
          <w:b/>
          <w:noProof/>
          <w:color w:val="1F95A5"/>
        </w:rPr>
        <w:sectPr w:rsidR="0060634A">
          <w:headerReference w:type="even" r:id="rId337"/>
          <w:headerReference w:type="default" r:id="rId338"/>
          <w:footerReference w:type="even" r:id="rId339"/>
          <w:footerReference w:type="default" r:id="rId340"/>
          <w:headerReference w:type="first" r:id="rId341"/>
          <w:footerReference w:type="first" r:id="rId342"/>
          <w:pgSz w:w="11906" w:h="16838"/>
          <w:pgMar w:top="567" w:right="567" w:bottom="567" w:left="567" w:header="567" w:footer="454" w:gutter="0"/>
          <w:paperSrc w:first="15" w:other="15"/>
          <w:cols w:num="2" w:space="708" w:equalWidth="0">
            <w:col w:w="2269" w:space="708"/>
            <w:col w:w="7795"/>
          </w:cols>
          <w:docGrid w:linePitch="360"/>
        </w:sectPr>
      </w:pPr>
    </w:p>
    <w:p w:rsidR="0060634A" w:rsidRDefault="00F76D44">
      <w:pPr>
        <w:pStyle w:val="PPOTitle3-pagebreakbefore"/>
        <w:rPr>
          <w:rFonts w:eastAsiaTheme="minorEastAsia"/>
          <w:color w:val="000000"/>
        </w:rPr>
      </w:pPr>
      <w:r>
        <w:rPr>
          <w:rFonts w:eastAsiaTheme="minorEastAsia"/>
        </w:rPr>
        <w:t>Key performance indicators</w:t>
      </w:r>
      <w:r>
        <w:rPr>
          <w:rFonts w:eastAsiaTheme="minorEastAsia"/>
          <w:color w:val="000000"/>
          <w:lang w:eastAsia="en-GB"/>
        </w:rPr>
        <w:t xml:space="preserve"> </w:t>
      </w:r>
    </w:p>
    <w:tbl>
      <w:tblPr>
        <w:tblStyle w:val="TableGrid"/>
        <w:tblW w:w="10688"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2973"/>
        <w:gridCol w:w="707"/>
        <w:gridCol w:w="3508"/>
        <w:gridCol w:w="666"/>
        <w:gridCol w:w="2781"/>
        <w:gridCol w:w="53"/>
      </w:tblGrid>
      <w:tr w:rsidR="0060634A">
        <w:trPr>
          <w:gridAfter w:val="1"/>
          <w:wAfter w:w="53" w:type="dxa"/>
          <w:trHeight w:val="333"/>
        </w:trPr>
        <w:tc>
          <w:tcPr>
            <w:tcW w:w="2973" w:type="dxa"/>
            <w:vAlign w:val="center"/>
          </w:tcPr>
          <w:p w:rsidR="0060634A" w:rsidRDefault="0060634A">
            <w:pPr>
              <w:ind w:left="142"/>
              <w:jc w:val="right"/>
              <w:rPr>
                <w:noProof/>
                <w:sz w:val="16"/>
                <w:szCs w:val="16"/>
              </w:rPr>
            </w:pPr>
          </w:p>
        </w:tc>
        <w:tc>
          <w:tcPr>
            <w:tcW w:w="707" w:type="dxa"/>
            <w:vAlign w:val="bottom"/>
          </w:tcPr>
          <w:p w:rsidR="0060634A" w:rsidRDefault="00F76D44">
            <w:pPr>
              <w:jc w:val="center"/>
              <w:rPr>
                <w:b/>
                <w:noProof/>
                <w:color w:val="28296E"/>
                <w:sz w:val="16"/>
                <w:szCs w:val="16"/>
              </w:rPr>
            </w:pPr>
            <w:r>
              <w:rPr>
                <w:b/>
                <w:noProof/>
                <w:color w:val="28296E"/>
                <w:sz w:val="16"/>
                <w:szCs w:val="16"/>
              </w:rPr>
              <w:t>Baseline</w:t>
            </w:r>
          </w:p>
        </w:tc>
        <w:tc>
          <w:tcPr>
            <w:tcW w:w="3508" w:type="dxa"/>
            <w:vAlign w:val="center"/>
          </w:tcPr>
          <w:p w:rsidR="0060634A" w:rsidRDefault="00F76D44">
            <w:pPr>
              <w:ind w:left="142"/>
              <w:jc w:val="center"/>
              <w:rPr>
                <w:b/>
                <w:noProof/>
                <w:color w:val="28296E"/>
                <w:sz w:val="16"/>
                <w:szCs w:val="16"/>
              </w:rPr>
            </w:pPr>
            <w:r>
              <w:rPr>
                <w:b/>
                <w:noProof/>
                <w:color w:val="28296E"/>
                <w:sz w:val="16"/>
                <w:szCs w:val="16"/>
              </w:rPr>
              <w:t>PROGRESS TOWARDS THE TARGET</w:t>
            </w:r>
          </w:p>
        </w:tc>
        <w:tc>
          <w:tcPr>
            <w:tcW w:w="666" w:type="dxa"/>
            <w:vAlign w:val="bottom"/>
          </w:tcPr>
          <w:p w:rsidR="0060634A" w:rsidRDefault="00F76D44">
            <w:pPr>
              <w:jc w:val="center"/>
              <w:rPr>
                <w:b/>
                <w:noProof/>
                <w:color w:val="28296E"/>
                <w:sz w:val="16"/>
                <w:szCs w:val="16"/>
              </w:rPr>
            </w:pPr>
            <w:r>
              <w:rPr>
                <w:b/>
                <w:noProof/>
                <w:color w:val="28296E"/>
                <w:sz w:val="16"/>
                <w:szCs w:val="16"/>
              </w:rPr>
              <w:t>Target</w:t>
            </w:r>
          </w:p>
        </w:tc>
        <w:tc>
          <w:tcPr>
            <w:tcW w:w="2781" w:type="dxa"/>
            <w:vAlign w:val="bottom"/>
          </w:tcPr>
          <w:p w:rsidR="0060634A" w:rsidRDefault="00F76D44">
            <w:pPr>
              <w:jc w:val="center"/>
              <w:rPr>
                <w:b/>
                <w:noProof/>
                <w:color w:val="28296E"/>
                <w:sz w:val="16"/>
                <w:szCs w:val="16"/>
              </w:rPr>
            </w:pPr>
            <w:r>
              <w:rPr>
                <w:b/>
                <w:noProof/>
                <w:color w:val="28296E"/>
                <w:sz w:val="16"/>
                <w:szCs w:val="16"/>
              </w:rPr>
              <w:t>Results</w:t>
            </w:r>
          </w:p>
        </w:tc>
      </w:tr>
      <w:tr w:rsidR="0060634A">
        <w:tblPrEx>
          <w:tblCellMar>
            <w:left w:w="108" w:type="dxa"/>
            <w:right w:w="108" w:type="dxa"/>
          </w:tblCellMar>
        </w:tblPrEx>
        <w:trPr>
          <w:trHeight w:val="344"/>
        </w:trPr>
        <w:tc>
          <w:tcPr>
            <w:tcW w:w="2973" w:type="dxa"/>
            <w:vAlign w:val="center"/>
          </w:tcPr>
          <w:p w:rsidR="0060634A" w:rsidRDefault="00F76D44">
            <w:pPr>
              <w:ind w:left="142"/>
              <w:jc w:val="right"/>
              <w:rPr>
                <w:rFonts w:ascii="EC Square Sans Cond Pro" w:hAnsi="EC Square Sans Cond Pro"/>
                <w:noProof/>
                <w:sz w:val="16"/>
                <w:szCs w:val="16"/>
                <w:vertAlign w:val="superscript"/>
              </w:rPr>
            </w:pPr>
            <w:r>
              <w:rPr>
                <w:rFonts w:ascii="EC Square Sans Cond Pro" w:hAnsi="EC Square Sans Cond Pro" w:cs="EC Square Sans Cond Pro"/>
                <w:noProof/>
                <w:color w:val="000000"/>
                <w:sz w:val="16"/>
                <w:szCs w:val="16"/>
                <w:lang w:val="en-US"/>
              </w:rPr>
              <w:t>Participants in volunteering</w:t>
            </w:r>
          </w:p>
        </w:tc>
        <w:tc>
          <w:tcPr>
            <w:tcW w:w="707" w:type="dxa"/>
            <w:vAlign w:val="center"/>
          </w:tcPr>
          <w:p w:rsidR="0060634A" w:rsidRDefault="0060634A">
            <w:pPr>
              <w:jc w:val="center"/>
              <w:rPr>
                <w:rFonts w:ascii="EC Square Sans Cond Pro" w:hAnsi="EC Square Sans Cond Pro"/>
                <w:noProof/>
                <w:sz w:val="16"/>
                <w:szCs w:val="16"/>
                <w:lang w:eastAsia="en-GB"/>
              </w:rPr>
            </w:pPr>
          </w:p>
        </w:tc>
        <w:tc>
          <w:tcPr>
            <w:tcW w:w="3508"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485" name="Chart 4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3"/>
                    </a:graphicData>
                  </a:graphic>
                </wp:inline>
              </w:drawing>
            </w:r>
          </w:p>
        </w:tc>
        <w:tc>
          <w:tcPr>
            <w:tcW w:w="666"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28 900</w:t>
            </w:r>
          </w:p>
        </w:tc>
        <w:tc>
          <w:tcPr>
            <w:tcW w:w="2834"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12 421 out of 28 900 participants</w:t>
            </w:r>
          </w:p>
        </w:tc>
      </w:tr>
      <w:tr w:rsidR="0060634A">
        <w:tblPrEx>
          <w:tblCellMar>
            <w:left w:w="108" w:type="dxa"/>
            <w:right w:w="108" w:type="dxa"/>
          </w:tblCellMar>
        </w:tblPrEx>
        <w:trPr>
          <w:trHeight w:val="318"/>
        </w:trPr>
        <w:tc>
          <w:tcPr>
            <w:tcW w:w="2973" w:type="dxa"/>
            <w:vAlign w:val="center"/>
          </w:tcPr>
          <w:p w:rsidR="0060634A" w:rsidRDefault="00F76D44">
            <w:pPr>
              <w:ind w:left="142"/>
              <w:jc w:val="right"/>
              <w:rPr>
                <w:rFonts w:ascii="EC Square Sans Cond Pro" w:hAnsi="EC Square Sans Cond Pro"/>
                <w:noProof/>
                <w:sz w:val="16"/>
                <w:szCs w:val="16"/>
                <w:vertAlign w:val="superscript"/>
                <w:lang w:val="en-GB"/>
              </w:rPr>
            </w:pPr>
            <w:r>
              <w:rPr>
                <w:rFonts w:ascii="EC Square Sans Cond Pro" w:hAnsi="EC Square Sans Cond Pro" w:cs="EC Square Sans Cond Pro"/>
                <w:noProof/>
                <w:color w:val="000000"/>
                <w:sz w:val="16"/>
                <w:szCs w:val="16"/>
                <w:lang w:val="en-GB" w:eastAsia="en-GB"/>
              </w:rPr>
              <w:t>Participants in traineeships and jobs</w:t>
            </w:r>
          </w:p>
        </w:tc>
        <w:tc>
          <w:tcPr>
            <w:tcW w:w="707" w:type="dxa"/>
            <w:vAlign w:val="center"/>
          </w:tcPr>
          <w:p w:rsidR="0060634A" w:rsidRDefault="0060634A">
            <w:pPr>
              <w:jc w:val="center"/>
              <w:rPr>
                <w:rFonts w:ascii="EC Square Sans Cond Pro" w:hAnsi="EC Square Sans Cond Pro"/>
                <w:noProof/>
                <w:sz w:val="16"/>
                <w:szCs w:val="16"/>
                <w:lang w:val="en-GB" w:eastAsia="en-GB"/>
              </w:rPr>
            </w:pPr>
          </w:p>
        </w:tc>
        <w:tc>
          <w:tcPr>
            <w:tcW w:w="3508"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486" name="Chart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4"/>
                    </a:graphicData>
                  </a:graphic>
                </wp:inline>
              </w:drawing>
            </w:r>
          </w:p>
        </w:tc>
        <w:tc>
          <w:tcPr>
            <w:tcW w:w="666"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11 200</w:t>
            </w:r>
          </w:p>
        </w:tc>
        <w:tc>
          <w:tcPr>
            <w:tcW w:w="2834"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 xml:space="preserve">416 out of 11 </w:t>
            </w:r>
            <w:r>
              <w:rPr>
                <w:rFonts w:ascii="EC Square Sans Cond Pro" w:hAnsi="EC Square Sans Cond Pro" w:cs="EC Square Sans Cond Pro"/>
                <w:noProof/>
                <w:color w:val="000000"/>
                <w:sz w:val="16"/>
                <w:szCs w:val="16"/>
                <w:lang w:val="en-US"/>
              </w:rPr>
              <w:t>200 participants</w:t>
            </w:r>
          </w:p>
        </w:tc>
      </w:tr>
      <w:tr w:rsidR="0060634A">
        <w:tblPrEx>
          <w:tblCellMar>
            <w:left w:w="108" w:type="dxa"/>
            <w:right w:w="108" w:type="dxa"/>
          </w:tblCellMar>
        </w:tblPrEx>
        <w:trPr>
          <w:trHeight w:val="309"/>
        </w:trPr>
        <w:tc>
          <w:tcPr>
            <w:tcW w:w="2973" w:type="dxa"/>
            <w:vAlign w:val="center"/>
          </w:tcPr>
          <w:p w:rsidR="0060634A" w:rsidRDefault="00F76D44">
            <w:pPr>
              <w:ind w:left="142"/>
              <w:jc w:val="right"/>
              <w:rPr>
                <w:rFonts w:ascii="EC Square Sans Cond Pro" w:hAnsi="EC Square Sans Cond Pro"/>
                <w:noProof/>
                <w:sz w:val="16"/>
                <w:szCs w:val="16"/>
                <w:vertAlign w:val="superscript"/>
              </w:rPr>
            </w:pPr>
            <w:r>
              <w:rPr>
                <w:rFonts w:ascii="EC Square Sans Cond Pro" w:hAnsi="EC Square Sans Cond Pro" w:cs="EC Square Sans Cond Pro"/>
                <w:noProof/>
                <w:color w:val="000000"/>
                <w:sz w:val="16"/>
                <w:szCs w:val="16"/>
                <w:lang w:eastAsia="en-GB"/>
              </w:rPr>
              <w:t>Participants in solidarity projects</w:t>
            </w:r>
          </w:p>
        </w:tc>
        <w:tc>
          <w:tcPr>
            <w:tcW w:w="707" w:type="dxa"/>
            <w:vAlign w:val="center"/>
          </w:tcPr>
          <w:p w:rsidR="0060634A" w:rsidRDefault="0060634A">
            <w:pPr>
              <w:jc w:val="center"/>
              <w:rPr>
                <w:rFonts w:ascii="EC Square Sans Cond Pro" w:hAnsi="EC Square Sans Cond Pro"/>
                <w:noProof/>
                <w:sz w:val="16"/>
                <w:szCs w:val="16"/>
              </w:rPr>
            </w:pPr>
          </w:p>
        </w:tc>
        <w:tc>
          <w:tcPr>
            <w:tcW w:w="3508"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487" name="Chart 4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5"/>
                    </a:graphicData>
                  </a:graphic>
                </wp:inline>
              </w:drawing>
            </w:r>
          </w:p>
        </w:tc>
        <w:tc>
          <w:tcPr>
            <w:tcW w:w="666" w:type="dxa"/>
            <w:vAlign w:val="center"/>
          </w:tcPr>
          <w:p w:rsidR="0060634A" w:rsidRDefault="00F76D44">
            <w:pPr>
              <w:jc w:val="center"/>
              <w:rPr>
                <w:rFonts w:ascii="EC Square Sans Cond Pro" w:hAnsi="EC Square Sans Cond Pro"/>
                <w:noProof/>
                <w:sz w:val="16"/>
                <w:szCs w:val="16"/>
              </w:rPr>
            </w:pPr>
            <w:r>
              <w:rPr>
                <w:rFonts w:ascii="EC Square Sans Cond Pro" w:eastAsiaTheme="minorEastAsia" w:hAnsi="EC Square Sans Cond Pro" w:cs="EC Square Sans Cond Pro"/>
                <w:noProof/>
                <w:color w:val="000000"/>
                <w:sz w:val="16"/>
                <w:szCs w:val="16"/>
                <w:lang w:eastAsia="en-GB"/>
              </w:rPr>
              <w:t>18 900</w:t>
            </w:r>
          </w:p>
        </w:tc>
        <w:tc>
          <w:tcPr>
            <w:tcW w:w="2834"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4 003 out of 18 900 participants</w:t>
            </w:r>
          </w:p>
        </w:tc>
      </w:tr>
      <w:tr w:rsidR="0060634A">
        <w:trPr>
          <w:trHeight w:val="247"/>
        </w:trPr>
        <w:tc>
          <w:tcPr>
            <w:tcW w:w="2973" w:type="dxa"/>
            <w:tcBorders>
              <w:bottom w:val="nil"/>
            </w:tcBorders>
            <w:vAlign w:val="center"/>
          </w:tcPr>
          <w:p w:rsidR="0060634A" w:rsidRDefault="00F76D44">
            <w:pPr>
              <w:ind w:left="142"/>
              <w:jc w:val="right"/>
              <w:rPr>
                <w:noProof/>
                <w:sz w:val="16"/>
                <w:szCs w:val="16"/>
              </w:rPr>
            </w:pPr>
            <w:r>
              <w:rPr>
                <w:noProof/>
                <w:sz w:val="16"/>
                <w:szCs w:val="16"/>
              </w:rPr>
              <w:t xml:space="preserve">    </w:t>
            </w:r>
          </w:p>
        </w:tc>
        <w:tc>
          <w:tcPr>
            <w:tcW w:w="707" w:type="dxa"/>
            <w:tcBorders>
              <w:bottom w:val="nil"/>
            </w:tcBorders>
          </w:tcPr>
          <w:p w:rsidR="0060634A" w:rsidRDefault="0060634A">
            <w:pPr>
              <w:ind w:left="142"/>
              <w:rPr>
                <w:noProof/>
                <w:sz w:val="16"/>
                <w:szCs w:val="16"/>
                <w:lang w:eastAsia="en-GB"/>
              </w:rPr>
            </w:pPr>
          </w:p>
        </w:tc>
        <w:tc>
          <w:tcPr>
            <w:tcW w:w="3508" w:type="dxa"/>
            <w:tcBorders>
              <w:bottom w:val="nil"/>
            </w:tcBorders>
            <w:vAlign w:val="center"/>
          </w:tcPr>
          <w:p w:rsidR="0060634A" w:rsidRDefault="00F76D44">
            <w:pPr>
              <w:spacing w:before="120"/>
              <w:rPr>
                <w:noProof/>
                <w:sz w:val="16"/>
                <w:szCs w:val="16"/>
                <w:lang w:val="en-GB"/>
              </w:rPr>
            </w:pPr>
            <w:r>
              <w:rPr>
                <w:noProof/>
                <w:sz w:val="16"/>
                <w:szCs w:val="16"/>
                <w:lang w:eastAsia="fr-BE"/>
              </w:rPr>
              <mc:AlternateContent>
                <mc:Choice Requires="wps">
                  <w:drawing>
                    <wp:anchor distT="0" distB="0" distL="114300" distR="114300" simplePos="0" relativeHeight="251678720"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478" name="Rectangle 478"/>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A8AB6" id="Rectangle 478" o:spid="_x0000_s1026" style="position:absolute;margin-left:-9.45pt;margin-top:6.1pt;width:6.35pt;height:7.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" fillcolor="#28296e" stroked="f" strokeweight="1pt">
                      <w10:wrap type="through"/>
                    </v:rect>
                  </w:pict>
                </mc:Fallback>
              </mc:AlternateContent>
            </w:r>
            <w:r>
              <w:rPr>
                <w:noProof/>
                <w:sz w:val="16"/>
                <w:szCs w:val="16"/>
                <w:lang w:val="en-GB"/>
              </w:rPr>
              <w:t>% of target achieved by the end of 2019</w:t>
            </w:r>
          </w:p>
        </w:tc>
        <w:tc>
          <w:tcPr>
            <w:tcW w:w="666" w:type="dxa"/>
            <w:tcBorders>
              <w:bottom w:val="nil"/>
            </w:tcBorders>
          </w:tcPr>
          <w:p w:rsidR="0060634A" w:rsidRDefault="0060634A">
            <w:pPr>
              <w:ind w:left="142"/>
              <w:rPr>
                <w:noProof/>
                <w:sz w:val="16"/>
                <w:szCs w:val="16"/>
                <w:lang w:val="en-GB" w:eastAsia="en-GB"/>
              </w:rPr>
            </w:pPr>
          </w:p>
        </w:tc>
        <w:tc>
          <w:tcPr>
            <w:tcW w:w="2834" w:type="dxa"/>
            <w:gridSpan w:val="2"/>
            <w:tcBorders>
              <w:bottom w:val="nil"/>
            </w:tcBorders>
            <w:vAlign w:val="center"/>
          </w:tcPr>
          <w:p w:rsidR="0060634A" w:rsidRDefault="0060634A">
            <w:pPr>
              <w:ind w:left="142"/>
              <w:rPr>
                <w:noProof/>
                <w:sz w:val="16"/>
                <w:szCs w:val="16"/>
                <w:lang w:val="en-GB"/>
              </w:rPr>
            </w:pPr>
          </w:p>
        </w:tc>
      </w:tr>
    </w:tbl>
    <w:p w:rsidR="0060634A" w:rsidRDefault="00F76D44">
      <w:pPr>
        <w:pStyle w:val="PPOTitle3"/>
        <w:spacing w:before="240"/>
      </w:pPr>
      <w:r>
        <w:t>Where are we in the implementation?</w:t>
      </w:r>
    </w:p>
    <w:p w:rsidR="0060634A" w:rsidRDefault="00F76D44">
      <w:pPr>
        <w:pStyle w:val="PPOBlackBULLETS-L1"/>
        <w:rPr>
          <w:noProof/>
        </w:rPr>
      </w:pPr>
      <w:r>
        <w:rPr>
          <w:noProof/>
        </w:rPr>
        <w:t xml:space="preserve">The 2019 call for proposals provided opportunities for organisations and groups of young people to apply to national agencies for funding for volunteering projects, traineeships and jobs or solidarity projects. </w:t>
      </w:r>
    </w:p>
    <w:p w:rsidR="0060634A" w:rsidRDefault="00F76D44">
      <w:pPr>
        <w:pStyle w:val="PPOBlackBULLETS-L1"/>
        <w:rPr>
          <w:noProof/>
        </w:rPr>
      </w:pPr>
      <w:r>
        <w:rPr>
          <w:noProof/>
        </w:rPr>
        <w:t xml:space="preserve">The programme is progressively reaching its </w:t>
      </w:r>
      <w:r>
        <w:rPr>
          <w:noProof/>
        </w:rPr>
        <w:t>‘cruising speed’, after the late adoption of the regulation. Projects have been starting since 2018 as well as preparations for the implementation of the future reinforced European Solidarity Corps.</w:t>
      </w:r>
    </w:p>
    <w:p w:rsidR="0060634A" w:rsidRDefault="00F76D44">
      <w:pPr>
        <w:pStyle w:val="PPOBlackBULLETS-L1"/>
        <w:rPr>
          <w:noProof/>
        </w:rPr>
      </w:pPr>
      <w:r>
        <w:rPr>
          <w:noProof/>
        </w:rPr>
        <w:t>In 2019, preparatory work was also carried out for the es</w:t>
      </w:r>
      <w:r>
        <w:rPr>
          <w:noProof/>
        </w:rPr>
        <w:t>tablishment of the European Voluntary Humanitarian Aid Corps, a new strand that will open up new opportunities for young people to participate in solidarity activities in the area of humanitarian aid.</w:t>
      </w:r>
    </w:p>
    <w:p w:rsidR="0060634A" w:rsidRDefault="00F76D44">
      <w:pPr>
        <w:pStyle w:val="PPOBlackBULLETS-L1"/>
        <w:rPr>
          <w:noProof/>
        </w:rPr>
      </w:pPr>
      <w:r>
        <w:rPr>
          <w:noProof/>
        </w:rPr>
        <w:t>In March 2019, the European Youth Week was a major focu</w:t>
      </w:r>
      <w:r>
        <w:rPr>
          <w:noProof/>
        </w:rPr>
        <w:t>s for the promotion of the programme and the opportunities that it offers; the Commission presented the EU’s youth policy priorities – such as solidarity, inclusion and participation – involving a wide range of young people and youth stakeholders.</w:t>
      </w:r>
    </w:p>
    <w:p w:rsidR="0060634A" w:rsidRDefault="00F76D44">
      <w:pPr>
        <w:pStyle w:val="PPOBlackBULLETS-L1"/>
        <w:rPr>
          <w:noProof/>
        </w:rPr>
      </w:pPr>
      <w:r>
        <w:rPr>
          <w:noProof/>
        </w:rPr>
        <w:t>In March</w:t>
      </w:r>
      <w:r>
        <w:rPr>
          <w:noProof/>
        </w:rPr>
        <w:t xml:space="preserve"> 2019, the European Solidarity Network was successfully launched. The network supports the development and expansion of tools to help create a network of communities around the European Solidarity Corps. </w:t>
      </w:r>
    </w:p>
    <w:p w:rsidR="0060634A" w:rsidRDefault="00F76D44">
      <w:pPr>
        <w:pStyle w:val="PPOBlackBULLETS-L1"/>
        <w:rPr>
          <w:noProof/>
        </w:rPr>
      </w:pPr>
      <w:r>
        <w:rPr>
          <w:noProof/>
        </w:rPr>
        <w:t>In 2019, the programme supported larger scale volun</w:t>
      </w:r>
      <w:r>
        <w:rPr>
          <w:noProof/>
        </w:rPr>
        <w:t xml:space="preserve">teering projects in the following priority areas: European cultural heritage; social inclusion of people with fewer opportunities and response to environmental challenges and climate challenges. </w:t>
      </w:r>
    </w:p>
    <w:p w:rsidR="0060634A" w:rsidRDefault="00F76D44">
      <w:pPr>
        <w:pStyle w:val="PPOBlackBULLETS-L1"/>
        <w:rPr>
          <w:noProof/>
        </w:rPr>
      </w:pPr>
      <w:r>
        <w:rPr>
          <w:noProof/>
        </w:rPr>
        <w:t>In order to increase the benefits to young people, the Commi</w:t>
      </w:r>
      <w:r>
        <w:rPr>
          <w:noProof/>
        </w:rPr>
        <w:t>ssion widened the training that is offered prior to and during placements and improved the measures for better recognition of learning outcomes. The first modules of the general online training scheme available for young people registering with the Europea</w:t>
      </w:r>
      <w:r>
        <w:rPr>
          <w:noProof/>
        </w:rPr>
        <w:t>n Solidarity Corps will be made available in spring 2020.</w:t>
      </w:r>
    </w:p>
    <w:p w:rsidR="0060634A" w:rsidRDefault="00F76D44">
      <w:pPr>
        <w:pStyle w:val="PPOBlackBULLETS-L1"/>
        <w:rPr>
          <w:noProof/>
        </w:rPr>
      </w:pPr>
      <w:r>
        <w:rPr>
          <w:noProof/>
        </w:rPr>
        <w:t>In 2019, the corps continued to support the EU’s cooperation with the European neighbourhood region (western Balkans, Eastern Partnership and southern Mediterranean) through volunteering activities.</w:t>
      </w:r>
      <w:r>
        <w:rPr>
          <w:noProof/>
        </w:rPr>
        <w:t xml:space="preserve"> Specific agreements were also signed with Iceland, North Macedonia and Turkey, enabling their full participation in the programme. </w:t>
      </w:r>
    </w:p>
    <w:p w:rsidR="0060634A" w:rsidRDefault="00F76D44">
      <w:pPr>
        <w:pStyle w:val="PPOTitle3"/>
        <w:spacing w:before="240"/>
        <w:rPr>
          <w:rFonts w:eastAsiaTheme="minorEastAsia"/>
        </w:rPr>
      </w:pPr>
      <w:r>
        <w:rPr>
          <w:rFonts w:eastAsiaTheme="minorEastAsia"/>
        </w:rPr>
        <w:t>Performance assessment</w:t>
      </w:r>
    </w:p>
    <w:p w:rsidR="0060634A" w:rsidRDefault="00F76D44">
      <w:pPr>
        <w:pStyle w:val="PPOBlackBULLETS-L1"/>
        <w:rPr>
          <w:noProof/>
        </w:rPr>
      </w:pPr>
      <w:r>
        <w:rPr>
          <w:noProof/>
        </w:rPr>
        <w:t>The European Solidarity Corps has existed as an independent funding programme since October 2018. Th</w:t>
      </w:r>
      <w:r>
        <w:rPr>
          <w:noProof/>
        </w:rPr>
        <w:t>e call in 2018 was an important achievement and after 1</w:t>
      </w:r>
      <w:r>
        <w:rPr>
          <w:rFonts w:ascii="Calibri" w:hAnsi="Calibri" w:cs="Calibri"/>
          <w:noProof/>
        </w:rPr>
        <w:t> </w:t>
      </w:r>
      <w:r>
        <w:rPr>
          <w:noProof/>
        </w:rPr>
        <w:t>year of implementation the number of opportunities made available has been steadily increasing, as has the number of participants in solidarity projects.</w:t>
      </w:r>
    </w:p>
    <w:p w:rsidR="0060634A" w:rsidRDefault="00F76D44">
      <w:pPr>
        <w:pStyle w:val="PPOBlackBULLETS-L1"/>
        <w:rPr>
          <w:noProof/>
        </w:rPr>
      </w:pPr>
      <w:r>
        <w:rPr>
          <w:noProof/>
        </w:rPr>
        <w:t>The corps was particularly successful in helpi</w:t>
      </w:r>
      <w:r>
        <w:rPr>
          <w:noProof/>
        </w:rPr>
        <w:t>ng to support the EU’s political priorities: with more than 30% of participants being young people with fewer opportunities, the programme contributes to social inclusion and 13% of the projects being supported already contribute to addressing climate acti</w:t>
      </w:r>
      <w:r>
        <w:rPr>
          <w:noProof/>
        </w:rPr>
        <w:t>on, the environment and the protection of nature.</w:t>
      </w:r>
    </w:p>
    <w:p w:rsidR="0060634A" w:rsidRDefault="00F76D44">
      <w:pPr>
        <w:pStyle w:val="PPOBlackBULLETS-L1"/>
        <w:rPr>
          <w:noProof/>
        </w:rPr>
      </w:pPr>
      <w:r>
        <w:rPr>
          <w:noProof/>
        </w:rPr>
        <w:t>The programme is also evolving: training is something completely new under the European Solidarity Corps; even if it is still being phased in, specific efforts are dedicated to promotion, ensuring understan</w:t>
      </w:r>
      <w:r>
        <w:rPr>
          <w:noProof/>
        </w:rPr>
        <w:t>ding of the opportunities, reaching out to the relevant stakeholders and training potential applicants.</w:t>
      </w:r>
    </w:p>
    <w:p w:rsidR="0060634A" w:rsidRDefault="00F76D44">
      <w:pPr>
        <w:pStyle w:val="PPOBlackBULLETS-L1"/>
        <w:rPr>
          <w:noProof/>
        </w:rPr>
      </w:pPr>
      <w:r>
        <w:rPr>
          <w:noProof/>
        </w:rPr>
        <w:t>The level of demand for quality labels for the occupational strand is satisfactory and indicates a positive future trend.</w:t>
      </w:r>
    </w:p>
    <w:p w:rsidR="0060634A" w:rsidRDefault="00F76D44">
      <w:pPr>
        <w:pStyle w:val="PPOTitle3"/>
        <w:spacing w:before="240"/>
        <w:rPr>
          <w:rFonts w:eastAsiaTheme="minorEastAsia"/>
        </w:rPr>
      </w:pPr>
      <w:r>
        <w:rPr>
          <w:rFonts w:eastAsiaTheme="minorEastAsia"/>
        </w:rPr>
        <w:t xml:space="preserve">Concrete examples of </w:t>
      </w:r>
      <w:r>
        <w:rPr>
          <w:rFonts w:eastAsiaTheme="minorEastAsia"/>
        </w:rPr>
        <w:t>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1985"/>
        <w:gridCol w:w="2126"/>
        <w:gridCol w:w="1559"/>
        <w:gridCol w:w="1843"/>
        <w:gridCol w:w="1559"/>
        <w:gridCol w:w="1701"/>
      </w:tblGrid>
      <w:tr w:rsidR="0060634A">
        <w:trPr>
          <w:trHeight w:val="128"/>
        </w:trPr>
        <w:tc>
          <w:tcPr>
            <w:tcW w:w="1985" w:type="dxa"/>
            <w:shd w:val="clear" w:color="auto" w:fill="00ADDC"/>
          </w:tcPr>
          <w:p w:rsidR="0060634A" w:rsidRDefault="00F76D44">
            <w:pPr>
              <w:pStyle w:val="PPOExamplesTABLEHeader"/>
              <w:rPr>
                <w:rFonts w:eastAsiaTheme="minorEastAsia"/>
              </w:rPr>
            </w:pPr>
            <w:r>
              <w:rPr>
                <w:rFonts w:eastAsiaTheme="minorEastAsia"/>
              </w:rPr>
              <w:t>21</w:t>
            </w:r>
            <w:r>
              <w:rPr>
                <w:rFonts w:ascii="Calibri" w:eastAsiaTheme="minorEastAsia" w:hAnsi="Calibri" w:cs="Calibri"/>
              </w:rPr>
              <w:t> </w:t>
            </w:r>
            <w:r>
              <w:rPr>
                <w:rFonts w:eastAsiaTheme="minorEastAsia"/>
              </w:rPr>
              <w:t>000</w:t>
            </w:r>
          </w:p>
        </w:tc>
        <w:tc>
          <w:tcPr>
            <w:tcW w:w="2126" w:type="dxa"/>
            <w:shd w:val="clear" w:color="auto" w:fill="00ADDC"/>
          </w:tcPr>
          <w:p w:rsidR="0060634A" w:rsidRDefault="00F76D44">
            <w:pPr>
              <w:pStyle w:val="PPOExamplesTABLEHeader"/>
              <w:rPr>
                <w:rFonts w:eastAsiaTheme="minorEastAsia"/>
              </w:rPr>
            </w:pPr>
            <w:r>
              <w:rPr>
                <w:rFonts w:eastAsiaTheme="minorEastAsia"/>
              </w:rPr>
              <w:t>120</w:t>
            </w:r>
            <w:r>
              <w:rPr>
                <w:rFonts w:ascii="Calibri" w:eastAsiaTheme="minorEastAsia" w:hAnsi="Calibri" w:cs="Calibri"/>
              </w:rPr>
              <w:t> </w:t>
            </w:r>
            <w:r>
              <w:rPr>
                <w:rFonts w:eastAsiaTheme="minorEastAsia"/>
              </w:rPr>
              <w:t>000</w:t>
            </w:r>
          </w:p>
        </w:tc>
        <w:tc>
          <w:tcPr>
            <w:tcW w:w="1559" w:type="dxa"/>
            <w:shd w:val="clear" w:color="auto" w:fill="00ADDC"/>
          </w:tcPr>
          <w:p w:rsidR="0060634A" w:rsidRDefault="00F76D44">
            <w:pPr>
              <w:pStyle w:val="PPOExamplesTABLEHeader"/>
              <w:rPr>
                <w:rFonts w:eastAsiaTheme="minorEastAsia"/>
              </w:rPr>
            </w:pPr>
            <w:r>
              <w:rPr>
                <w:rFonts w:eastAsiaTheme="minorEastAsia"/>
              </w:rPr>
              <w:t>191</w:t>
            </w:r>
            <w:r>
              <w:rPr>
                <w:rFonts w:ascii="Calibri" w:eastAsiaTheme="minorEastAsia" w:hAnsi="Calibri" w:cs="Calibri"/>
              </w:rPr>
              <w:t> </w:t>
            </w:r>
            <w:r>
              <w:rPr>
                <w:rFonts w:eastAsiaTheme="minorEastAsia"/>
              </w:rPr>
              <w:t>000</w:t>
            </w:r>
            <w:r>
              <w:rPr>
                <w:rFonts w:ascii="EC Square Sans Cond Pro" w:eastAsiaTheme="minorEastAsia" w:hAnsi="EC Square Sans Cond Pro" w:cs="EC Square Sans Cond Pro"/>
                <w:sz w:val="18"/>
                <w:szCs w:val="18"/>
              </w:rPr>
              <w:t xml:space="preserve"> </w:t>
            </w:r>
          </w:p>
        </w:tc>
        <w:tc>
          <w:tcPr>
            <w:tcW w:w="1843" w:type="dxa"/>
            <w:shd w:val="clear" w:color="auto" w:fill="00ADDC"/>
          </w:tcPr>
          <w:p w:rsidR="0060634A" w:rsidRDefault="00F76D44">
            <w:pPr>
              <w:pStyle w:val="PPOExamplesTABLEHeader"/>
              <w:rPr>
                <w:rFonts w:eastAsiaTheme="minorEastAsia"/>
              </w:rPr>
            </w:pPr>
            <w:r>
              <w:rPr>
                <w:rFonts w:eastAsiaTheme="minorEastAsia"/>
              </w:rPr>
              <w:t>34</w:t>
            </w:r>
            <w:r>
              <w:rPr>
                <w:rFonts w:ascii="Calibri" w:eastAsiaTheme="minorEastAsia" w:hAnsi="Calibri" w:cs="Calibri"/>
              </w:rPr>
              <w:t> </w:t>
            </w:r>
            <w:r>
              <w:rPr>
                <w:rFonts w:eastAsiaTheme="minorEastAsia"/>
              </w:rPr>
              <w:t xml:space="preserve">500 </w:t>
            </w:r>
          </w:p>
        </w:tc>
        <w:tc>
          <w:tcPr>
            <w:tcW w:w="1559" w:type="dxa"/>
            <w:shd w:val="clear" w:color="auto" w:fill="00ADDC"/>
          </w:tcPr>
          <w:p w:rsidR="0060634A" w:rsidRDefault="00F76D44">
            <w:pPr>
              <w:pStyle w:val="PPOExamplesTABLEHeader"/>
              <w:rPr>
                <w:rFonts w:eastAsiaTheme="minorEastAsia"/>
              </w:rPr>
            </w:pPr>
            <w:r>
              <w:rPr>
                <w:rFonts w:eastAsiaTheme="minorEastAsia"/>
              </w:rPr>
              <w:t xml:space="preserve">30% </w:t>
            </w:r>
          </w:p>
        </w:tc>
        <w:tc>
          <w:tcPr>
            <w:tcW w:w="1701" w:type="dxa"/>
            <w:shd w:val="clear" w:color="auto" w:fill="00ADDC"/>
          </w:tcPr>
          <w:p w:rsidR="0060634A" w:rsidRDefault="00F76D44">
            <w:pPr>
              <w:pStyle w:val="PPOExamplesTABLEHeader"/>
              <w:rPr>
                <w:rFonts w:eastAsiaTheme="minorEastAsia"/>
              </w:rPr>
            </w:pPr>
            <w:r>
              <w:rPr>
                <w:rFonts w:eastAsiaTheme="minorEastAsia"/>
              </w:rPr>
              <w:t>13%</w:t>
            </w:r>
          </w:p>
        </w:tc>
      </w:tr>
      <w:tr w:rsidR="0060634A">
        <w:trPr>
          <w:trHeight w:val="945"/>
        </w:trPr>
        <w:tc>
          <w:tcPr>
            <w:tcW w:w="1985" w:type="dxa"/>
            <w:shd w:val="clear" w:color="auto" w:fill="DCE6F2"/>
          </w:tcPr>
          <w:p w:rsidR="0060634A" w:rsidRDefault="00F76D44">
            <w:pPr>
              <w:pStyle w:val="PPOExamplesTABLEText"/>
              <w:spacing w:line="240" w:lineRule="auto"/>
              <w:rPr>
                <w:noProof/>
                <w:lang w:val="en-GB"/>
              </w:rPr>
            </w:pPr>
            <w:r>
              <w:rPr>
                <w:noProof/>
                <w:lang w:val="en-GB"/>
              </w:rPr>
              <w:t>young people have been offered opportunities to engage in solidarity activities.</w:t>
            </w:r>
          </w:p>
        </w:tc>
        <w:tc>
          <w:tcPr>
            <w:tcW w:w="2126" w:type="dxa"/>
            <w:shd w:val="clear" w:color="auto" w:fill="DCE6F2"/>
          </w:tcPr>
          <w:p w:rsidR="0060634A" w:rsidRDefault="00F76D44">
            <w:pPr>
              <w:pStyle w:val="PPOExamplesTABLEText"/>
              <w:spacing w:line="240" w:lineRule="auto"/>
              <w:rPr>
                <w:noProof/>
                <w:lang w:val="en-GB"/>
              </w:rPr>
            </w:pPr>
            <w:r>
              <w:rPr>
                <w:noProof/>
                <w:lang w:val="en-GB"/>
              </w:rPr>
              <w:t>participants attended over 1</w:t>
            </w:r>
            <w:r>
              <w:rPr>
                <w:rFonts w:ascii="Calibri" w:hAnsi="Calibri" w:cs="Calibri"/>
                <w:noProof/>
                <w:lang w:val="en-GB"/>
              </w:rPr>
              <w:t> </w:t>
            </w:r>
            <w:r>
              <w:rPr>
                <w:noProof/>
                <w:lang w:val="en-GB"/>
              </w:rPr>
              <w:t xml:space="preserve">000 events in 35 different countries as part of the European Youth Week in March 2019. </w:t>
            </w:r>
          </w:p>
        </w:tc>
        <w:tc>
          <w:tcPr>
            <w:tcW w:w="1559" w:type="dxa"/>
            <w:shd w:val="clear" w:color="auto" w:fill="DCE6F2"/>
          </w:tcPr>
          <w:p w:rsidR="0060634A" w:rsidRDefault="00F76D44">
            <w:pPr>
              <w:pStyle w:val="PPOExamplesTABLEText"/>
              <w:spacing w:line="240" w:lineRule="auto"/>
              <w:rPr>
                <w:noProof/>
                <w:lang w:val="en-GB"/>
              </w:rPr>
            </w:pPr>
            <w:r>
              <w:rPr>
                <w:noProof/>
                <w:lang w:val="en-GB"/>
              </w:rPr>
              <w:t xml:space="preserve">young people have registered with the Corp’s portal since 2016. </w:t>
            </w:r>
          </w:p>
        </w:tc>
        <w:tc>
          <w:tcPr>
            <w:tcW w:w="1843" w:type="dxa"/>
            <w:shd w:val="clear" w:color="auto" w:fill="DCE6F2"/>
          </w:tcPr>
          <w:p w:rsidR="0060634A" w:rsidRDefault="00F76D44">
            <w:pPr>
              <w:pStyle w:val="PPOExamplesTABLEText"/>
              <w:spacing w:line="240" w:lineRule="auto"/>
              <w:rPr>
                <w:noProof/>
                <w:lang w:val="en-GB"/>
              </w:rPr>
            </w:pPr>
            <w:r>
              <w:rPr>
                <w:noProof/>
                <w:lang w:val="en-GB"/>
              </w:rPr>
              <w:t>young people have been involved in the European Solidarity Network or have started activities since 2016.</w:t>
            </w:r>
          </w:p>
        </w:tc>
        <w:tc>
          <w:tcPr>
            <w:tcW w:w="1559" w:type="dxa"/>
            <w:shd w:val="clear" w:color="auto" w:fill="DCE6F2"/>
          </w:tcPr>
          <w:p w:rsidR="0060634A" w:rsidRDefault="00F76D44">
            <w:pPr>
              <w:pStyle w:val="PPOExamplesTABLEText"/>
              <w:spacing w:line="240" w:lineRule="auto"/>
              <w:rPr>
                <w:noProof/>
                <w:lang w:val="en-GB"/>
              </w:rPr>
            </w:pPr>
            <w:r>
              <w:rPr>
                <w:noProof/>
                <w:lang w:val="en-GB"/>
              </w:rPr>
              <w:t>of the projects supported by the programme involved people with fewer opportunities.</w:t>
            </w:r>
          </w:p>
        </w:tc>
        <w:tc>
          <w:tcPr>
            <w:tcW w:w="1701" w:type="dxa"/>
            <w:shd w:val="clear" w:color="auto" w:fill="DCE6F2"/>
          </w:tcPr>
          <w:p w:rsidR="0060634A" w:rsidRDefault="00F76D44">
            <w:pPr>
              <w:pStyle w:val="PPOExamplesTABLEText"/>
              <w:spacing w:line="240" w:lineRule="auto"/>
              <w:rPr>
                <w:noProof/>
                <w:lang w:val="en-GB"/>
              </w:rPr>
            </w:pPr>
            <w:r>
              <w:rPr>
                <w:noProof/>
                <w:lang w:val="en-GB"/>
              </w:rPr>
              <w:t>of the projects supported by the programme contributed to climate action, and to environment and nature protection.</w:t>
            </w:r>
          </w:p>
        </w:tc>
      </w:tr>
    </w:tbl>
    <w:p w:rsidR="0060634A" w:rsidRDefault="0060634A">
      <w:pPr>
        <w:pStyle w:val="PPObodyText"/>
        <w:rPr>
          <w:noProof/>
        </w:rPr>
        <w:sectPr w:rsidR="0060634A">
          <w:headerReference w:type="even" r:id="rId346"/>
          <w:headerReference w:type="default" r:id="rId347"/>
          <w:footerReference w:type="even" r:id="rId348"/>
          <w:footerReference w:type="default" r:id="rId349"/>
          <w:headerReference w:type="first" r:id="rId350"/>
          <w:footerReference w:type="first" r:id="rId351"/>
          <w:pgSz w:w="11906" w:h="16838" w:code="9"/>
          <w:pgMar w:top="567" w:right="567" w:bottom="567" w:left="567" w:header="567" w:footer="454" w:gutter="0"/>
          <w:paperSrc w:first="15" w:other="15"/>
          <w:cols w:space="720"/>
          <w:docGrid w:linePitch="360"/>
        </w:sectPr>
      </w:pPr>
    </w:p>
    <w:p w:rsidR="0060634A" w:rsidRDefault="00F76D44">
      <w:pPr>
        <w:pStyle w:val="PPO1AsidebarTitleBlue"/>
        <w:rPr>
          <w:rFonts w:eastAsiaTheme="minorEastAsia"/>
        </w:rPr>
      </w:pPr>
      <w:r>
        <w:rPr>
          <w:rFonts w:eastAsiaTheme="minorEastAsia"/>
          <w:lang w:val="fr-BE" w:eastAsia="fr-BE"/>
        </w:rPr>
        <mc:AlternateContent>
          <mc:Choice Requires="wps">
            <w:drawing>
              <wp:anchor distT="0" distB="0" distL="0" distR="0" simplePos="0" relativeHeight="251573248" behindDoc="0" locked="1" layoutInCell="1" allowOverlap="1">
                <wp:simplePos x="0" y="0"/>
                <wp:positionH relativeFrom="page">
                  <wp:posOffset>359410</wp:posOffset>
                </wp:positionH>
                <wp:positionV relativeFrom="page">
                  <wp:posOffset>593725</wp:posOffset>
                </wp:positionV>
                <wp:extent cx="1458000" cy="777600"/>
                <wp:effectExtent l="0" t="0" r="85090" b="3810"/>
                <wp:wrapTopAndBottom/>
                <wp:docPr id="490" name="Text Box 490"/>
                <wp:cNvGraphicFramePr/>
                <a:graphic xmlns:a="http://schemas.openxmlformats.org/drawingml/2006/main">
                  <a:graphicData uri="http://schemas.microsoft.com/office/word/2010/wordprocessingShape">
                    <wps:wsp>
                      <wps:cNvSpPr txBox="1"/>
                      <wps:spPr>
                        <a:xfrm>
                          <a:off x="0" y="0"/>
                          <a:ext cx="1458000" cy="777600"/>
                        </a:xfrm>
                        <a:prstGeom prst="wedgeRectCallout">
                          <a:avLst>
                            <a:gd name="adj1" fmla="val 54107"/>
                            <a:gd name="adj2" fmla="val -21878"/>
                          </a:avLst>
                        </a:prstGeom>
                        <a:solidFill>
                          <a:srgbClr val="28296E"/>
                        </a:solidFill>
                        <a:ln w="6350">
                          <a:noFill/>
                        </a:ln>
                      </wps:spPr>
                      <wps:txbx>
                        <w:txbxContent>
                          <w:p w:rsidR="0060634A" w:rsidRDefault="00F76D44">
                            <w:pPr>
                              <w:pStyle w:val="PPOsidebarLegalBasisBOXHeading"/>
                              <w:rPr>
                                <w:rFonts w:eastAsiaTheme="minorEastAsia"/>
                              </w:rPr>
                            </w:pPr>
                            <w:r>
                              <w:rPr>
                                <w:rFonts w:eastAsiaTheme="minorEastAsia"/>
                              </w:rPr>
                              <w:t>LEGAL BASIS</w:t>
                            </w:r>
                          </w:p>
                          <w:p w:rsidR="0060634A" w:rsidRDefault="00F76D44">
                            <w:pPr>
                              <w:pStyle w:val="PPOsidebarLegalBasisBOXtext"/>
                              <w:rPr>
                                <w:rFonts w:eastAsiaTheme="minorEastAsia"/>
                                <w:sz w:val="18"/>
                                <w:szCs w:val="20"/>
                              </w:rPr>
                            </w:pPr>
                            <w:r>
                              <w:rPr>
                                <w:rFonts w:eastAsiaTheme="minorEastAsia"/>
                              </w:rPr>
                              <w:t>Regulation (EU) No 1294/2013 of the European Parliament and of the Council</w:t>
                            </w:r>
                            <w:r>
                              <w:rPr>
                                <w:rFonts w:eastAsiaTheme="minorEastAsia"/>
                                <w:sz w:val="18"/>
                                <w:szCs w:val="20"/>
                              </w:rPr>
                              <w:t xml:space="preserve"> </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0" o:spid="_x0000_s1132" type="#_x0000_t61" style="position:absolute;left:0;text-align:left;margin-left:28.3pt;margin-top:46.75pt;width:114.8pt;height:61.25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" adj="22487,6074" fillcolor="#28296e" stroked="f" strokeweight=".5pt">
                <v:textbox inset="2.5mm,1.3mm,2.5mm,1.3mm">
                  <w:txbxContent>
                    <w:p w:rsidR="0060634A" w:rsidRDefault="00F76D44">
                      <w:pPr>
                        <w:pStyle w:val="PPOsidebarLegalBasisBOXHeading"/>
                        <w:rPr>
                          <w:rFonts w:eastAsiaTheme="minorEastAsia"/>
                        </w:rPr>
                      </w:pPr>
                      <w:r>
                        <w:rPr>
                          <w:rFonts w:eastAsiaTheme="minorEastAsia"/>
                        </w:rPr>
                        <w:t>LEGAL BASIS</w:t>
                      </w:r>
                    </w:p>
                    <w:p w:rsidR="0060634A" w:rsidRDefault="00F76D44">
                      <w:pPr>
                        <w:pStyle w:val="PPOsidebarLegalBasisBOXtext"/>
                        <w:rPr>
                          <w:rFonts w:eastAsiaTheme="minorEastAsia"/>
                          <w:sz w:val="18"/>
                          <w:szCs w:val="20"/>
                        </w:rPr>
                      </w:pPr>
                      <w:r>
                        <w:rPr>
                          <w:rFonts w:eastAsiaTheme="minorEastAsia"/>
                        </w:rPr>
                        <w:t>Regulation (EU) No 1294/2013 of the European Parliament and of the Council</w:t>
                      </w:r>
                      <w:r>
                        <w:rPr>
                          <w:rFonts w:eastAsiaTheme="minorEastAsia"/>
                          <w:sz w:val="18"/>
                          <w:szCs w:val="20"/>
                        </w:rPr>
                        <w:t xml:space="preserve"> </w:t>
                      </w:r>
                    </w:p>
                  </w:txbxContent>
                </v:textbox>
                <w10:wrap type="topAndBottom" anchorx="page" anchory="page"/>
                <w10:anchorlock/>
              </v:shape>
            </w:pict>
          </mc:Fallback>
        </mc:AlternateContent>
      </w:r>
      <w:r>
        <w:rPr>
          <w:rFonts w:eastAsiaTheme="minorEastAsia"/>
        </w:rPr>
        <w:t>MORE INFORMATION</w:t>
      </w:r>
    </w:p>
    <w:p w:rsidR="0060634A" w:rsidRDefault="00F76D44">
      <w:pPr>
        <w:pStyle w:val="PPOsidebartext"/>
        <w:rPr>
          <w:rStyle w:val="PPOChar-Hyperlink"/>
          <w:rFonts w:eastAsiaTheme="minorEastAsia"/>
        </w:rPr>
      </w:pPr>
      <w:r>
        <w:rPr>
          <w:rFonts w:eastAsiaTheme="minorEastAsia"/>
        </w:rPr>
        <w:t xml:space="preserve"> </w:t>
      </w:r>
      <w:hyperlink r:id="rId352" w:history="1">
        <w:r>
          <w:rPr>
            <w:rStyle w:val="PPOChar-Hyperlink"/>
            <w:rFonts w:eastAsiaTheme="minorEastAsia"/>
          </w:rPr>
          <w:t>http://europa.eu/!NQ39kG</w:t>
        </w:r>
      </w:hyperlink>
    </w:p>
    <w:p w:rsidR="0060634A" w:rsidRDefault="00F76D44">
      <w:pPr>
        <w:pStyle w:val="PPO1AsidebarTitleBlue"/>
        <w:rPr>
          <w:rFonts w:eastAsiaTheme="minorEastAsia"/>
        </w:rPr>
      </w:pPr>
      <w:r>
        <w:rPr>
          <w:rFonts w:eastAsiaTheme="minorEastAsia"/>
        </w:rPr>
        <w:t>FINANCIAL PROGRAMMING</w:t>
      </w:r>
    </w:p>
    <w:p w:rsidR="0060634A" w:rsidRDefault="00F76D44">
      <w:pPr>
        <w:pStyle w:val="PPO1AsidebarTablecaption"/>
      </w:pPr>
      <w:r>
        <w:t>(million EUR)</w:t>
      </w:r>
    </w:p>
    <w:tbl>
      <w:tblPr>
        <w:tblOverlap w:val="never"/>
        <w:tblW w:w="2296" w:type="dxa"/>
        <w:jc w:val="right"/>
        <w:tblLayout w:type="fixed"/>
        <w:tblCellMar>
          <w:top w:w="28" w:type="dxa"/>
          <w:left w:w="28" w:type="dxa"/>
          <w:bottom w:w="28" w:type="dxa"/>
          <w:right w:w="28" w:type="dxa"/>
        </w:tblCellMar>
        <w:tblLook w:val="0000" w:firstRow="0" w:lastRow="0" w:firstColumn="0" w:lastColumn="0" w:noHBand="0" w:noVBand="0"/>
      </w:tblPr>
      <w:tblGrid>
        <w:gridCol w:w="1134"/>
        <w:gridCol w:w="1162"/>
      </w:tblGrid>
      <w:tr w:rsidR="0060634A">
        <w:trPr>
          <w:trHeight w:hRule="exact" w:val="229"/>
          <w:jc w:val="right"/>
        </w:trPr>
        <w:tc>
          <w:tcPr>
            <w:tcW w:w="1134" w:type="dxa"/>
            <w:tcBorders>
              <w:bottom w:val="single" w:sz="6" w:space="0" w:color="FFFFFF" w:themeColor="background1"/>
            </w:tcBorders>
            <w:shd w:val="clear" w:color="auto" w:fill="DCE6F2"/>
            <w:vAlign w:val="center"/>
          </w:tcPr>
          <w:p w:rsidR="0060634A" w:rsidRDefault="00F76D44">
            <w:pPr>
              <w:pStyle w:val="PPOsidebarTabletext"/>
              <w:rPr>
                <w:b/>
              </w:rPr>
            </w:pPr>
            <w:r>
              <w:t>2014</w:t>
            </w:r>
          </w:p>
        </w:tc>
        <w:tc>
          <w:tcPr>
            <w:tcW w:w="1162" w:type="dxa"/>
            <w:shd w:val="clear" w:color="auto" w:fill="FFFFFF"/>
            <w:vAlign w:val="center"/>
          </w:tcPr>
          <w:p w:rsidR="0060634A" w:rsidRDefault="00F76D44">
            <w:pPr>
              <w:pStyle w:val="PPOsidebarTabletext"/>
              <w:rPr>
                <w:b/>
              </w:rPr>
            </w:pPr>
            <w:r>
              <w:t>66.4</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2015</w:t>
            </w:r>
          </w:p>
        </w:tc>
        <w:tc>
          <w:tcPr>
            <w:tcW w:w="1162" w:type="dxa"/>
            <w:tcBorders>
              <w:top w:val="single" w:sz="4" w:space="0" w:color="auto"/>
            </w:tcBorders>
            <w:shd w:val="clear" w:color="auto" w:fill="FFFFFF"/>
            <w:vAlign w:val="center"/>
          </w:tcPr>
          <w:p w:rsidR="0060634A" w:rsidRDefault="00F76D44">
            <w:pPr>
              <w:pStyle w:val="PPOsidebarTabletext"/>
            </w:pPr>
            <w:r>
              <w:t>68.9</w:t>
            </w:r>
          </w:p>
        </w:tc>
      </w:tr>
      <w:tr w:rsidR="0060634A">
        <w:trPr>
          <w:trHeight w:hRule="exact" w:val="229"/>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2016</w:t>
            </w:r>
          </w:p>
        </w:tc>
        <w:tc>
          <w:tcPr>
            <w:tcW w:w="1162" w:type="dxa"/>
            <w:tcBorders>
              <w:top w:val="single" w:sz="4" w:space="0" w:color="auto"/>
            </w:tcBorders>
            <w:shd w:val="clear" w:color="auto" w:fill="FFFFFF"/>
            <w:vAlign w:val="center"/>
          </w:tcPr>
          <w:p w:rsidR="0060634A" w:rsidRDefault="00F76D44">
            <w:pPr>
              <w:pStyle w:val="PPOsidebarTabletext"/>
            </w:pPr>
            <w:r>
              <w:t>71.8</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2017</w:t>
            </w:r>
          </w:p>
        </w:tc>
        <w:tc>
          <w:tcPr>
            <w:tcW w:w="1162" w:type="dxa"/>
            <w:tcBorders>
              <w:top w:val="single" w:sz="4" w:space="0" w:color="auto"/>
            </w:tcBorders>
            <w:shd w:val="clear" w:color="auto" w:fill="FFFFFF"/>
            <w:vAlign w:val="center"/>
          </w:tcPr>
          <w:p w:rsidR="0060634A" w:rsidRDefault="00F76D44">
            <w:pPr>
              <w:pStyle w:val="PPOsidebarTabletext"/>
            </w:pPr>
            <w:r>
              <w:t>89.3</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2018</w:t>
            </w:r>
          </w:p>
        </w:tc>
        <w:tc>
          <w:tcPr>
            <w:tcW w:w="1162" w:type="dxa"/>
            <w:tcBorders>
              <w:top w:val="single" w:sz="4" w:space="0" w:color="auto"/>
            </w:tcBorders>
            <w:shd w:val="clear" w:color="auto" w:fill="FFFFFF"/>
            <w:vAlign w:val="center"/>
          </w:tcPr>
          <w:p w:rsidR="0060634A" w:rsidRDefault="00F76D44">
            <w:pPr>
              <w:pStyle w:val="PPOsidebarTabletext"/>
            </w:pPr>
            <w:r>
              <w:t>82.4</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2019</w:t>
            </w:r>
          </w:p>
        </w:tc>
        <w:tc>
          <w:tcPr>
            <w:tcW w:w="1162" w:type="dxa"/>
            <w:tcBorders>
              <w:top w:val="single" w:sz="4" w:space="0" w:color="auto"/>
            </w:tcBorders>
            <w:shd w:val="clear" w:color="auto" w:fill="FFFFFF"/>
            <w:vAlign w:val="center"/>
          </w:tcPr>
          <w:p w:rsidR="0060634A" w:rsidRDefault="00F76D44">
            <w:pPr>
              <w:pStyle w:val="PPOsidebarTabletext"/>
            </w:pPr>
            <w:r>
              <w:t>78.4</w:t>
            </w:r>
          </w:p>
        </w:tc>
      </w:tr>
      <w:tr w:rsidR="0060634A">
        <w:trPr>
          <w:trHeight w:hRule="exact" w:val="225"/>
          <w:jc w:val="right"/>
        </w:trPr>
        <w:tc>
          <w:tcPr>
            <w:tcW w:w="1134" w:type="dxa"/>
            <w:tcBorders>
              <w:top w:val="single" w:sz="6" w:space="0" w:color="FFFFFF" w:themeColor="background1"/>
            </w:tcBorders>
            <w:shd w:val="clear" w:color="auto" w:fill="DCE6F2"/>
            <w:vAlign w:val="center"/>
          </w:tcPr>
          <w:p w:rsidR="0060634A" w:rsidRDefault="00F76D44">
            <w:pPr>
              <w:pStyle w:val="PPOsidebarTabletext"/>
              <w:rPr>
                <w:b/>
              </w:rPr>
            </w:pPr>
            <w:r>
              <w:t>2020</w:t>
            </w:r>
          </w:p>
        </w:tc>
        <w:tc>
          <w:tcPr>
            <w:tcW w:w="1162" w:type="dxa"/>
            <w:tcBorders>
              <w:top w:val="single" w:sz="4" w:space="0" w:color="auto"/>
            </w:tcBorders>
            <w:shd w:val="clear" w:color="auto" w:fill="FFFFFF"/>
            <w:vAlign w:val="center"/>
          </w:tcPr>
          <w:p w:rsidR="0060634A" w:rsidRDefault="00F76D44">
            <w:pPr>
              <w:pStyle w:val="PPOsidebarTabletext"/>
            </w:pPr>
            <w:r>
              <w:t>75.3</w:t>
            </w:r>
          </w:p>
        </w:tc>
      </w:tr>
      <w:tr w:rsidR="0060634A">
        <w:trPr>
          <w:trHeight w:hRule="exact" w:val="258"/>
          <w:jc w:val="right"/>
        </w:trPr>
        <w:tc>
          <w:tcPr>
            <w:tcW w:w="1134" w:type="dxa"/>
            <w:shd w:val="clear" w:color="auto" w:fill="00ADDC"/>
            <w:vAlign w:val="center"/>
          </w:tcPr>
          <w:p w:rsidR="0060634A" w:rsidRDefault="00F76D44">
            <w:pPr>
              <w:pStyle w:val="PPOsidebarTabletext"/>
            </w:pPr>
            <w:r>
              <w:t>Total</w:t>
            </w:r>
          </w:p>
        </w:tc>
        <w:tc>
          <w:tcPr>
            <w:tcW w:w="1162" w:type="dxa"/>
            <w:tcBorders>
              <w:top w:val="single" w:sz="4" w:space="0" w:color="auto"/>
            </w:tcBorders>
            <w:shd w:val="clear" w:color="auto" w:fill="FFFFFF"/>
            <w:vAlign w:val="center"/>
          </w:tcPr>
          <w:p w:rsidR="0060634A" w:rsidRDefault="00F76D44">
            <w:pPr>
              <w:pStyle w:val="PPOsidebarTabletext"/>
            </w:pPr>
            <w:r>
              <w:t>532.5</w:t>
            </w:r>
          </w:p>
        </w:tc>
      </w:tr>
    </w:tbl>
    <w:p w:rsidR="0060634A" w:rsidRDefault="00F76D44">
      <w:pPr>
        <w:pStyle w:val="PPO1AsidebarTitleBlue"/>
        <w:rPr>
          <w:rFonts w:eastAsiaTheme="minorEastAsia"/>
        </w:rPr>
      </w:pPr>
      <w:r>
        <w:rPr>
          <w:rFonts w:eastAsiaTheme="minorEastAsia"/>
          <w:lang w:val="fr-BE" w:eastAsia="fr-BE"/>
        </w:rPr>
        <mc:AlternateContent>
          <mc:Choice Requires="wpg">
            <w:drawing>
              <wp:anchor distT="0" distB="0" distL="114300" distR="114300" simplePos="0" relativeHeight="251682816" behindDoc="1" locked="1" layoutInCell="1" allowOverlap="1">
                <wp:simplePos x="0" y="0"/>
                <wp:positionH relativeFrom="column">
                  <wp:posOffset>-268605</wp:posOffset>
                </wp:positionH>
                <wp:positionV relativeFrom="paragraph">
                  <wp:posOffset>601980</wp:posOffset>
                </wp:positionV>
                <wp:extent cx="1871980" cy="1454150"/>
                <wp:effectExtent l="0" t="0" r="0" b="0"/>
                <wp:wrapSquare wrapText="bothSides"/>
                <wp:docPr id="491" name="Group 491"/>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492" name="Chart 492"/>
                        <wpg:cNvFrPr/>
                        <wpg:xfrm>
                          <a:off x="461310" y="264194"/>
                          <a:ext cx="2492055" cy="1453317"/>
                        </wpg:xfrm>
                        <a:graphic>
                          <a:graphicData uri="http://schemas.openxmlformats.org/drawingml/2006/chart">
                            <c:chart xmlns:c="http://schemas.openxmlformats.org/drawingml/2006/chart" xmlns:r="http://schemas.openxmlformats.org/officeDocument/2006/relationships" r:id="rId353"/>
                          </a:graphicData>
                        </a:graphic>
                      </wpg:graphicFrame>
                      <wps:wsp>
                        <wps:cNvPr id="493" name="Text Box 2"/>
                        <wps:cNvSpPr txBox="1">
                          <a:spLocks noChangeArrowheads="1"/>
                        </wps:cNvSpPr>
                        <wps:spPr bwMode="auto">
                          <a:xfrm>
                            <a:off x="1287117" y="723786"/>
                            <a:ext cx="1276742" cy="600139"/>
                          </a:xfrm>
                          <a:prstGeom prst="rect">
                            <a:avLst/>
                          </a:prstGeom>
                          <a:noFill/>
                          <a:ln w="9525">
                            <a:noFill/>
                            <a:miter lim="800000"/>
                            <a:headEnd/>
                            <a:tailEnd/>
                          </a:ln>
                        </wps:spPr>
                        <wps:txbx>
                          <w:txbxContent>
                            <w:p w:rsidR="0060634A" w:rsidRDefault="00F76D44">
                              <w:pPr>
                                <w:pStyle w:val="PPO1AsidebarchartCenterText"/>
                                <w:rPr>
                                  <w:rFonts w:eastAsiaTheme="minorEastAsia"/>
                                </w:rPr>
                              </w:pPr>
                              <w:r>
                                <w:rPr>
                                  <w:rFonts w:eastAsiaTheme="minorEastAsia"/>
                                </w:rPr>
                                <w:t>EUR</w:t>
                              </w:r>
                              <w:r>
                                <w:rPr>
                                  <w:rFonts w:eastAsiaTheme="minorEastAsia"/>
                                  <w:b/>
                                </w:rPr>
                                <w:t xml:space="preserve"> 532.5</w:t>
                              </w:r>
                              <w:r>
                                <w:rPr>
                                  <w:rFonts w:eastAsiaTheme="minorEastAsia"/>
                                </w:rPr>
                                <w:br/>
                                <w:t>million</w:t>
                              </w:r>
                            </w:p>
                          </w:txbxContent>
                        </wps:txbx>
                        <wps:bodyPr rot="0" vert="horz" wrap="square" lIns="91440" tIns="45720" rIns="91440" bIns="45720" anchor="t" anchorCtr="0">
                          <a:noAutofit/>
                        </wps:bodyPr>
                      </wps:wsp>
                      <wps:wsp>
                        <wps:cNvPr id="494" name="Text Box 2"/>
                        <wps:cNvSpPr txBox="1">
                          <a:spLocks noChangeArrowheads="1"/>
                        </wps:cNvSpPr>
                        <wps:spPr bwMode="auto">
                          <a:xfrm>
                            <a:off x="1017638" y="1130814"/>
                            <a:ext cx="700344" cy="229870"/>
                          </a:xfrm>
                          <a:prstGeom prst="rect">
                            <a:avLst/>
                          </a:prstGeom>
                          <a:noFill/>
                          <a:ln w="9525">
                            <a:noFill/>
                            <a:miter lim="800000"/>
                            <a:headEnd/>
                            <a:tailEnd/>
                          </a:ln>
                        </wps:spPr>
                        <wps:txbx>
                          <w:txbxContent>
                            <w:p w:rsidR="0060634A" w:rsidRDefault="00F76D44">
                              <w:pPr>
                                <w:spacing w:after="120"/>
                                <w:jc w:val="center"/>
                                <w:rPr>
                                  <w:color w:val="00ADDC"/>
                                  <w:lang w:val="fr-BE"/>
                                </w:rPr>
                              </w:pPr>
                              <w:r>
                                <w:rPr>
                                  <w:b/>
                                  <w:color w:val="00ADDC"/>
                                  <w:lang w:val="fr-BE"/>
                                </w:rPr>
                                <w:t>63%%</w:t>
                              </w:r>
                            </w:p>
                          </w:txbxContent>
                        </wps:txbx>
                        <wps:bodyPr rot="0" vert="horz" wrap="square" lIns="91440" tIns="45720" rIns="91440" bIns="45720" anchor="t" anchorCtr="0">
                          <a:noAutofit/>
                        </wps:bodyPr>
                      </wps:wsp>
                      <wps:wsp>
                        <wps:cNvPr id="495" name="Text Box 2"/>
                        <wps:cNvSpPr txBox="1">
                          <a:spLocks noChangeArrowheads="1"/>
                        </wps:cNvSpPr>
                        <wps:spPr bwMode="auto">
                          <a:xfrm>
                            <a:off x="1059479" y="356578"/>
                            <a:ext cx="741153" cy="266065"/>
                          </a:xfrm>
                          <a:prstGeom prst="rect">
                            <a:avLst/>
                          </a:prstGeom>
                          <a:noFill/>
                          <a:ln w="9525">
                            <a:noFill/>
                            <a:miter lim="800000"/>
                            <a:headEnd/>
                            <a:tailEnd/>
                          </a:ln>
                        </wps:spPr>
                        <wps:txbx>
                          <w:txbxContent>
                            <w:p w:rsidR="0060634A" w:rsidRDefault="00F76D44">
                              <w:pPr>
                                <w:spacing w:after="120"/>
                                <w:jc w:val="center"/>
                                <w:rPr>
                                  <w:color w:val="28296E"/>
                                  <w:lang w:val="fr-BE"/>
                                </w:rPr>
                              </w:pPr>
                              <w:r>
                                <w:rPr>
                                  <w:b/>
                                  <w:color w:val="28296E"/>
                                  <w:lang w:val="fr-BE"/>
                                </w:rPr>
                                <w:t>86%%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91" o:spid="_x0000_s1133" style="position:absolute;left:0;text-align:left;margin-left:-21.15pt;margin-top:47.4pt;width:147.4pt;height:114.5pt;z-index:-251633664;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AoAAAAAAAAAIQDhgTAMtyIAALciAAAtAAAAZHJzL2VtYmVkZGlu&#10;Z3MvTWljcm9zb2Z0X0V4Y2VsX1dvcmtzaGVldC54bHN4UEsDBBQABgAIAAAAIQDdK4tYbAEAABAF&#10;AAATAAgCW0NvbnRlbnRfVHlwZXNdLnhtbC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">
                <v:shape id="Chart 492" o:spid="_x0000_s1134"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">
                  <v:imagedata r:id="rId354" o:title=""/>
                  <o:lock v:ext="edit" aspectratio="f"/>
                </v:shape>
                <v:shape id="_x0000_s1135" type="#_x0000_t202" style="position:absolute;left:12871;top:7237;width:12767;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" filled="f" stroked="f">
                  <v:textbox>
                    <w:txbxContent>
                      <w:p w:rsidR="0060634A" w:rsidRDefault="00F76D44">
                        <w:pPr>
                          <w:pStyle w:val="PPO1AsidebarchartCenterText"/>
                          <w:rPr>
                            <w:rFonts w:eastAsiaTheme="minorEastAsia"/>
                          </w:rPr>
                        </w:pPr>
                        <w:r>
                          <w:rPr>
                            <w:rFonts w:eastAsiaTheme="minorEastAsia"/>
                          </w:rPr>
                          <w:t>EUR</w:t>
                        </w:r>
                        <w:r>
                          <w:rPr>
                            <w:rFonts w:eastAsiaTheme="minorEastAsia"/>
                            <w:b/>
                          </w:rPr>
                          <w:t xml:space="preserve"> 532.5</w:t>
                        </w:r>
                        <w:r>
                          <w:rPr>
                            <w:rFonts w:eastAsiaTheme="minorEastAsia"/>
                          </w:rPr>
                          <w:br/>
                          <w:t>million</w:t>
                        </w:r>
                      </w:p>
                    </w:txbxContent>
                  </v:textbox>
                </v:shape>
                <v:shape id="_x0000_s1136" type="#_x0000_t202" style="position:absolute;left:10176;top:11308;width:7003;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" filled="f" stroked="f">
                  <v:textbox>
                    <w:txbxContent>
                      <w:p w:rsidR="0060634A" w:rsidRDefault="00F76D44">
                        <w:pPr>
                          <w:spacing w:after="120"/>
                          <w:jc w:val="center"/>
                          <w:rPr>
                            <w:color w:val="00ADDC"/>
                            <w:lang w:val="fr-BE"/>
                          </w:rPr>
                        </w:pPr>
                        <w:r>
                          <w:rPr>
                            <w:b/>
                            <w:color w:val="00ADDC"/>
                            <w:lang w:val="fr-BE"/>
                          </w:rPr>
                          <w:t>63%%</w:t>
                        </w:r>
                      </w:p>
                    </w:txbxContent>
                  </v:textbox>
                </v:shape>
                <v:shape id="_x0000_s1137" type="#_x0000_t202" style="position:absolute;left:10594;top:3565;width:741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" filled="f" stroked="f">
                  <v:textbox>
                    <w:txbxContent>
                      <w:p w:rsidR="0060634A" w:rsidRDefault="00F76D44">
                        <w:pPr>
                          <w:spacing w:after="120"/>
                          <w:jc w:val="center"/>
                          <w:rPr>
                            <w:color w:val="28296E"/>
                            <w:lang w:val="fr-BE"/>
                          </w:rPr>
                        </w:pPr>
                        <w:r>
                          <w:rPr>
                            <w:b/>
                            <w:color w:val="28296E"/>
                            <w:lang w:val="fr-BE"/>
                          </w:rPr>
                          <w:t>86%%</w:t>
                        </w:r>
                      </w:p>
                    </w:txbxContent>
                  </v:textbox>
                </v:shape>
                <w10:wrap type="square"/>
                <w10:anchorlock/>
              </v:group>
              <o:OLEObject Type="Embed" ProgID="Excel.Chart.8" ShapeID="Chart 492" DrawAspect="Content" ObjectID="_1654495734" r:id="rId355">
                <o:FieldCodes>\s</o:FieldCodes>
              </o:OLEObject>
            </w:pict>
          </mc:Fallback>
        </mc:AlternateContent>
      </w:r>
      <w:r>
        <w:rPr>
          <w:rFonts w:eastAsiaTheme="minorEastAsia"/>
        </w:rPr>
        <w:t>OVERALL EXECUTION</w:t>
      </w:r>
      <w:r>
        <w:rPr>
          <w:rFonts w:eastAsiaTheme="minorEastAsia"/>
        </w:rPr>
        <w:br/>
        <w:t>(2014-2019)</w:t>
      </w:r>
    </w:p>
    <w:p w:rsidR="0060634A" w:rsidRDefault="00F76D44">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685888" behindDoc="0" locked="1" layoutInCell="1" allowOverlap="1">
                <wp:simplePos x="0" y="0"/>
                <wp:positionH relativeFrom="page">
                  <wp:posOffset>2243455</wp:posOffset>
                </wp:positionH>
                <wp:positionV relativeFrom="page">
                  <wp:posOffset>5319395</wp:posOffset>
                </wp:positionV>
                <wp:extent cx="2437130" cy="3157855"/>
                <wp:effectExtent l="0" t="0" r="1270" b="4445"/>
                <wp:wrapTopAndBottom/>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3157855"/>
                        </a:xfrm>
                        <a:prstGeom prst="rect">
                          <a:avLst/>
                        </a:prstGeom>
                        <a:solidFill>
                          <a:srgbClr val="FFFFFF"/>
                        </a:solidFill>
                        <a:ln w="9525">
                          <a:noFill/>
                          <a:miter lim="800000"/>
                          <a:headEnd/>
                          <a:tailEnd/>
                        </a:ln>
                      </wps:spPr>
                      <wps:txbx id="71">
                        <w:txbxContent>
                          <w:p w:rsidR="0060634A" w:rsidRDefault="00F76D44">
                            <w:pPr>
                              <w:pStyle w:val="PPOTitle3-nospacebefore"/>
                              <w:rPr>
                                <w:rFonts w:eastAsiaTheme="minorEastAsia"/>
                              </w:rPr>
                            </w:pPr>
                            <w:r>
                              <w:rPr>
                                <w:rFonts w:eastAsiaTheme="minorEastAsia"/>
                              </w:rPr>
                              <w:t>Why is it necessary?</w:t>
                            </w:r>
                          </w:p>
                          <w:p w:rsidR="0060634A" w:rsidRDefault="00F76D44">
                            <w:pPr>
                              <w:pStyle w:val="PPObodyText"/>
                              <w:rPr>
                                <w:noProof/>
                              </w:rPr>
                            </w:pPr>
                            <w:r>
                              <w:rPr>
                                <w:noProof/>
                              </w:rPr>
                              <w:t xml:space="preserve">The customs union is an exclusive </w:t>
                            </w:r>
                            <w:r>
                              <w:rPr>
                                <w:noProof/>
                              </w:rPr>
                              <w:t>competence of the EU. The implementation of EU legislation is, however, a national competence. The EU’s legal framework in itself does not sufficiently ensure the proper functioning of the customs union. It should be complemented by supporting measures, as</w:t>
                            </w:r>
                            <w:r>
                              <w:rPr>
                                <w:noProof/>
                              </w:rPr>
                              <w:t xml:space="preserve"> provided for by the Customs 2020 programme, in order to ensure that EU customs legislation is applied in a convergent and harmonised way at national level.</w:t>
                            </w:r>
                          </w:p>
                          <w:p w:rsidR="0060634A" w:rsidRDefault="00F76D44">
                            <w:pPr>
                              <w:pStyle w:val="PPObodyText"/>
                              <w:rPr>
                                <w:noProof/>
                              </w:rPr>
                            </w:pPr>
                            <w:r>
                              <w:rPr>
                                <w:noProof/>
                              </w:rPr>
                              <w:t xml:space="preserve">Many of the activities in the customs area are of a cross-border nature, involving and affecting </w:t>
                            </w:r>
                            <w:r>
                              <w:rPr>
                                <w:noProof/>
                              </w:rPr>
                              <w:t>all Member States, and therefore they cannot be delivered effectively and efficiently by individual Member States. The Customs 2020 programme offers Member States an EU framework in which to develop activities through cooperation amongst national customs o</w:t>
                            </w:r>
                            <w:r>
                              <w:rPr>
                                <w:noProof/>
                              </w:rPr>
                              <w:t>fficials on the one hand, and cooperation on information technology on the other hand. This set-up is more cost-effective than if each Member State were to set up its own individual cooperation framework on a bilateral or multilateral basis. From an econom</w:t>
                            </w:r>
                            <w:r>
                              <w:rPr>
                                <w:noProof/>
                              </w:rPr>
                              <w:t>ic point of view, action at EU level is much more efficient. The backbone of customs cooperation is a highly secure, dedicated communications network. It connects national customs administrations through approximately 5</w:t>
                            </w:r>
                            <w:r>
                              <w:rPr>
                                <w:rFonts w:ascii="Calibri" w:hAnsi="Calibri" w:cs="Calibri"/>
                                <w:noProof/>
                              </w:rPr>
                              <w:t> </w:t>
                            </w:r>
                            <w:r>
                              <w:rPr>
                                <w:noProof/>
                              </w:rPr>
                              <w:t>000 connection points. This common I</w:t>
                            </w:r>
                            <w:r>
                              <w:rPr>
                                <w:noProof/>
                              </w:rPr>
                              <w:t xml:space="preserve">T network ensures that each national administration only needs to connect to this common infrastructure once to be able to exchange any kind of information. If no such infrastructure were available, each Member State would have to link individually to the </w:t>
                            </w:r>
                            <w:r>
                              <w:rPr>
                                <w:noProof/>
                              </w:rPr>
                              <w:t>national systems of each of the other Member States.</w:t>
                            </w:r>
                          </w:p>
                          <w:p w:rsidR="0060634A" w:rsidRDefault="00F76D44">
                            <w:pPr>
                              <w:pStyle w:val="PPOTitle3"/>
                              <w:rPr>
                                <w:rFonts w:eastAsiaTheme="minorEastAsia"/>
                              </w:rPr>
                            </w:pPr>
                            <w:r>
                              <w:rPr>
                                <w:rFonts w:eastAsiaTheme="minorEastAsia"/>
                              </w:rPr>
                              <w:t>Outlook for the 2021-2027 period</w:t>
                            </w:r>
                          </w:p>
                          <w:p w:rsidR="0060634A" w:rsidRDefault="00F76D44">
                            <w:pPr>
                              <w:pStyle w:val="PPObodyText"/>
                              <w:rPr>
                                <w:noProof/>
                              </w:rPr>
                            </w:pPr>
                            <w:r>
                              <w:rPr>
                                <w:noProof/>
                              </w:rPr>
                              <w:t>The Commission proposed a continuation of the programme for the next multiannual financial framework.</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left:0;text-align:left;margin-left:176.65pt;margin-top:418.85pt;width:191.9pt;height:248.65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" stroked="f">
                <v:textbox style="mso-next-textbox:#Text Box 499" inset="0">
                  <w:txbxContent>
                    <w:p w:rsidR="0060634A" w:rsidRDefault="00F76D44">
                      <w:pPr>
                        <w:pStyle w:val="PPOTitle3-nospacebefore"/>
                        <w:rPr>
                          <w:rFonts w:eastAsiaTheme="minorEastAsia"/>
                        </w:rPr>
                      </w:pPr>
                      <w:r>
                        <w:rPr>
                          <w:rFonts w:eastAsiaTheme="minorEastAsia"/>
                        </w:rPr>
                        <w:t>Why is it necessary?</w:t>
                      </w:r>
                    </w:p>
                    <w:p w:rsidR="0060634A" w:rsidRDefault="00F76D44">
                      <w:pPr>
                        <w:pStyle w:val="PPObodyText"/>
                        <w:rPr>
                          <w:noProof/>
                        </w:rPr>
                      </w:pPr>
                      <w:r>
                        <w:rPr>
                          <w:noProof/>
                        </w:rPr>
                        <w:t xml:space="preserve">The customs union is an exclusive </w:t>
                      </w:r>
                      <w:r>
                        <w:rPr>
                          <w:noProof/>
                        </w:rPr>
                        <w:t>competence of the EU. The implementation of EU legislation is, however, a national competence. The EU’s legal framework in itself does not sufficiently ensure the proper functioning of the customs union. It should be complemented by supporting measures, as</w:t>
                      </w:r>
                      <w:r>
                        <w:rPr>
                          <w:noProof/>
                        </w:rPr>
                        <w:t xml:space="preserve"> provided for by the Customs 2020 programme, in order to ensure that EU customs legislation is applied in a convergent and harmonised way at national level.</w:t>
                      </w:r>
                    </w:p>
                    <w:p w:rsidR="0060634A" w:rsidRDefault="00F76D44">
                      <w:pPr>
                        <w:pStyle w:val="PPObodyText"/>
                        <w:rPr>
                          <w:noProof/>
                        </w:rPr>
                      </w:pPr>
                      <w:r>
                        <w:rPr>
                          <w:noProof/>
                        </w:rPr>
                        <w:t xml:space="preserve">Many of the activities in the customs area are of a cross-border nature, involving and affecting </w:t>
                      </w:r>
                      <w:r>
                        <w:rPr>
                          <w:noProof/>
                        </w:rPr>
                        <w:t>all Member States, and therefore they cannot be delivered effectively and efficiently by individual Member States. The Customs 2020 programme offers Member States an EU framework in which to develop activities through cooperation amongst national customs o</w:t>
                      </w:r>
                      <w:r>
                        <w:rPr>
                          <w:noProof/>
                        </w:rPr>
                        <w:t>fficials on the one hand, and cooperation on information technology on the other hand. This set-up is more cost-effective than if each Member State were to set up its own individual cooperation framework on a bilateral or multilateral basis. From an econom</w:t>
                      </w:r>
                      <w:r>
                        <w:rPr>
                          <w:noProof/>
                        </w:rPr>
                        <w:t>ic point of view, action at EU level is much more efficient. The backbone of customs cooperation is a highly secure, dedicated communications network. It connects national customs administrations through approximately 5</w:t>
                      </w:r>
                      <w:r>
                        <w:rPr>
                          <w:rFonts w:ascii="Calibri" w:hAnsi="Calibri" w:cs="Calibri"/>
                          <w:noProof/>
                        </w:rPr>
                        <w:t> </w:t>
                      </w:r>
                      <w:r>
                        <w:rPr>
                          <w:noProof/>
                        </w:rPr>
                        <w:t>000 connection points. This common I</w:t>
                      </w:r>
                      <w:r>
                        <w:rPr>
                          <w:noProof/>
                        </w:rPr>
                        <w:t xml:space="preserve">T network ensures that each national administration only needs to connect to this common infrastructure once to be able to exchange any kind of information. If no such infrastructure were available, each Member State would have to link individually to the </w:t>
                      </w:r>
                      <w:r>
                        <w:rPr>
                          <w:noProof/>
                        </w:rPr>
                        <w:t>national systems of each of the other Member States.</w:t>
                      </w:r>
                    </w:p>
                    <w:p w:rsidR="0060634A" w:rsidRDefault="00F76D44">
                      <w:pPr>
                        <w:pStyle w:val="PPOTitle3"/>
                        <w:rPr>
                          <w:rFonts w:eastAsiaTheme="minorEastAsia"/>
                        </w:rPr>
                      </w:pPr>
                      <w:r>
                        <w:rPr>
                          <w:rFonts w:eastAsiaTheme="minorEastAsia"/>
                        </w:rPr>
                        <w:t>Outlook for the 2021-2027 period</w:t>
                      </w:r>
                    </w:p>
                    <w:p w:rsidR="0060634A" w:rsidRDefault="00F76D44">
                      <w:pPr>
                        <w:pStyle w:val="PPObodyText"/>
                        <w:rPr>
                          <w:noProof/>
                        </w:rPr>
                      </w:pPr>
                      <w:r>
                        <w:rPr>
                          <w:noProof/>
                        </w:rPr>
                        <w:t>The Commission proposed a continuation of the programme for the next multiannual financial framework.</w:t>
                      </w:r>
                    </w:p>
                  </w:txbxContent>
                </v:textbox>
                <w10:wrap type="topAndBottom" anchorx="page" anchory="page"/>
                <w10:anchorlock/>
              </v:shape>
            </w:pict>
          </mc:Fallback>
        </mc:AlternateContent>
      </w:r>
    </w:p>
    <w:p w:rsidR="0060634A" w:rsidRDefault="00F76D44">
      <w:pPr>
        <w:pStyle w:val="PPOsidebarchartLegends"/>
        <w:rPr>
          <w:rFonts w:eastAsiaTheme="minorEastAsia"/>
        </w:rPr>
      </w:pPr>
      <w:r>
        <w:rPr>
          <w:rFonts w:eastAsiaTheme="minorEastAsia"/>
          <w:szCs w:val="16"/>
          <w:lang w:val="fr-BE" w:eastAsia="fr-BE"/>
        </w:rPr>
        <mc:AlternateContent>
          <mc:Choice Requires="wps">
            <w:drawing>
              <wp:anchor distT="0" distB="0" distL="114300" distR="114300" simplePos="0" relativeHeight="251684864" behindDoc="0" locked="1" layoutInCell="1" allowOverlap="1">
                <wp:simplePos x="0" y="0"/>
                <wp:positionH relativeFrom="column">
                  <wp:posOffset>539750</wp:posOffset>
                </wp:positionH>
                <wp:positionV relativeFrom="paragraph">
                  <wp:posOffset>1270</wp:posOffset>
                </wp:positionV>
                <wp:extent cx="115200" cy="115200"/>
                <wp:effectExtent l="0" t="0" r="0" b="0"/>
                <wp:wrapNone/>
                <wp:docPr id="497" name="Oval 497"/>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00AD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6E8DA6" id="Oval 497" o:spid="_x0000_s1026" style="position:absolute;margin-left:42.5pt;margin-top:.1pt;width:9.05pt;height:9.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" fillcolor="#00addc" stroked="f" strokeweight="1pt">
                <v:stroke joinstyle="miter"/>
                <w10:anchorlock/>
              </v:oval>
            </w:pict>
          </mc:Fallback>
        </mc:AlternateContent>
      </w:r>
      <w:r>
        <w:rPr>
          <w:rFonts w:eastAsiaTheme="minorEastAsia"/>
          <w:color w:val="00B050"/>
          <w:lang w:val="fr-BE" w:eastAsia="fr-BE"/>
        </w:rPr>
        <w:drawing>
          <wp:anchor distT="0" distB="0" distL="114300" distR="114300" simplePos="0" relativeHeight="251680768" behindDoc="1" locked="1" layoutInCell="1" allowOverlap="1">
            <wp:simplePos x="0" y="0"/>
            <wp:positionH relativeFrom="page">
              <wp:posOffset>-558165</wp:posOffset>
            </wp:positionH>
            <wp:positionV relativeFrom="paragraph">
              <wp:posOffset>-1604010</wp:posOffset>
            </wp:positionV>
            <wp:extent cx="3412490" cy="1990725"/>
            <wp:effectExtent l="0" t="0" r="0" b="0"/>
            <wp:wrapNone/>
            <wp:docPr id="505" name="Chart 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14:sizeRelH relativeFrom="margin">
              <wp14:pctWidth>0</wp14:pctWidth>
            </wp14:sizeRelH>
            <wp14:sizeRelV relativeFrom="margin">
              <wp14:pctHeight>0</wp14:pctHeight>
            </wp14:sizeRelV>
          </wp:anchor>
        </w:drawing>
      </w:r>
      <w:r>
        <w:rPr>
          <w:rFonts w:eastAsiaTheme="minorEastAsia"/>
          <w:szCs w:val="16"/>
          <w:lang w:val="fr-BE" w:eastAsia="fr-BE"/>
        </w:rPr>
        <mc:AlternateContent>
          <mc:Choice Requires="wps">
            <w:drawing>
              <wp:anchor distT="0" distB="0" distL="114300" distR="114300" simplePos="0" relativeHeight="251683840" behindDoc="0" locked="1" layoutInCell="1" allowOverlap="1">
                <wp:simplePos x="0" y="0"/>
                <wp:positionH relativeFrom="column">
                  <wp:posOffset>539750</wp:posOffset>
                </wp:positionH>
                <wp:positionV relativeFrom="paragraph">
                  <wp:posOffset>195580</wp:posOffset>
                </wp:positionV>
                <wp:extent cx="115200" cy="115200"/>
                <wp:effectExtent l="0" t="0" r="0" b="0"/>
                <wp:wrapNone/>
                <wp:docPr id="498" name="Oval 498"/>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4340F3" id="Oval 498" o:spid="_x0000_s1026" style="position:absolute;margin-left:42.5pt;margin-top:15.4pt;width:9.05pt;height:9.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" fillcolor="#28296e" stroked="f" strokeweight="1pt">
                <v:stroke joinstyle="miter"/>
                <w10:anchorlock/>
              </v:oval>
            </w:pict>
          </mc:Fallback>
        </mc:AlternateContent>
      </w:r>
      <w:r>
        <w:rPr>
          <w:rFonts w:eastAsiaTheme="minorEastAsia"/>
        </w:rPr>
        <w:t>Payments</w:t>
      </w:r>
    </w:p>
    <w:p w:rsidR="0060634A" w:rsidRDefault="00F76D44">
      <w:pPr>
        <w:pStyle w:val="PPOsidebarchartLegends"/>
        <w:rPr>
          <w:rFonts w:eastAsiaTheme="minorEastAsia"/>
        </w:rPr>
      </w:pPr>
      <w:r>
        <w:rPr>
          <w:rFonts w:eastAsiaTheme="minorEastAsia"/>
        </w:rPr>
        <w:t>Commitments</w:t>
      </w:r>
    </w:p>
    <w:p w:rsidR="0060634A" w:rsidRDefault="00F76D44">
      <w:pPr>
        <w:pStyle w:val="PPO1AsidebarTitleLightBlue"/>
        <w:rPr>
          <w:rFonts w:eastAsiaTheme="minorEastAsia"/>
        </w:rPr>
      </w:pPr>
      <w:r>
        <w:rPr>
          <w:rFonts w:eastAsiaTheme="minorEastAsia"/>
        </w:rPr>
        <w:t>Evaluations/</w:t>
      </w:r>
      <w:r>
        <w:rPr>
          <w:rFonts w:eastAsiaTheme="minorEastAsia"/>
        </w:rPr>
        <w:br/>
        <w:t xml:space="preserve">studies conducted </w:t>
      </w:r>
    </w:p>
    <w:p w:rsidR="0060634A" w:rsidRDefault="00F76D44">
      <w:pPr>
        <w:pStyle w:val="PPOsidebartext"/>
        <w:rPr>
          <w:rFonts w:eastAsiaTheme="minorEastAsia"/>
        </w:rPr>
      </w:pPr>
      <w:r>
        <w:rPr>
          <w:rFonts w:eastAsiaTheme="minorEastAsia"/>
        </w:rPr>
        <w:t>The studies</w:t>
      </w:r>
      <w:r>
        <w:rPr>
          <w:rFonts w:eastAsiaTheme="minorEastAsia"/>
        </w:rPr>
        <w:t xml:space="preserve"> and evaluations financed under the Customs 2020 programme can be consulted on the ‘Taxation and customs union’ section of the Europa website:</w:t>
      </w:r>
    </w:p>
    <w:p w:rsidR="0060634A" w:rsidRDefault="00F76D44">
      <w:pPr>
        <w:pStyle w:val="PPOsidebartext"/>
        <w:rPr>
          <w:rStyle w:val="PPOChar-Hyperlink"/>
          <w:rFonts w:eastAsiaTheme="minorEastAsia"/>
        </w:rPr>
      </w:pPr>
      <w:hyperlink r:id="rId357" w:history="1">
        <w:r>
          <w:rPr>
            <w:rStyle w:val="PPOChar-Hyperlink"/>
            <w:rFonts w:eastAsiaTheme="minorEastAsia"/>
          </w:rPr>
          <w:t>http://europa.eu/!tv44YW</w:t>
        </w:r>
      </w:hyperlink>
    </w:p>
    <w:p w:rsidR="0060634A" w:rsidRDefault="00F76D44">
      <w:pPr>
        <w:pStyle w:val="PPO1AsidebarTitleLightBlue"/>
        <w:rPr>
          <w:rFonts w:eastAsiaTheme="minorEastAsia"/>
        </w:rPr>
      </w:pPr>
      <w:r>
        <w:rPr>
          <w:rFonts w:eastAsiaTheme="minorEastAsia"/>
        </w:rPr>
        <w:t>How is it implemented?</w:t>
      </w:r>
    </w:p>
    <w:tbl>
      <w:tblPr>
        <w:tblStyle w:val="TableGrid"/>
        <w:tblpPr w:vertAnchor="page" w:horzAnchor="page" w:tblpX="3663" w:tblpY="13629"/>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60634A">
        <w:trPr>
          <w:cantSplit/>
        </w:trPr>
        <w:tc>
          <w:tcPr>
            <w:tcW w:w="7792" w:type="dxa"/>
            <w:gridSpan w:val="3"/>
            <w:vAlign w:val="center"/>
          </w:tcPr>
          <w:p w:rsidR="0060634A" w:rsidRDefault="00F76D44">
            <w:pPr>
              <w:pStyle w:val="PPOTitle3-nospacebefore"/>
              <w:ind w:left="-108"/>
              <w:rPr>
                <w:rFonts w:eastAsiaTheme="minorEastAsia"/>
                <w:lang w:val="en-GB"/>
              </w:rPr>
            </w:pPr>
            <w:r>
              <w:rPr>
                <w:rFonts w:eastAsiaTheme="minorEastAsia"/>
                <w:lang w:val="en-GB"/>
              </w:rPr>
              <w:t>Voted budget execution (</w:t>
            </w:r>
            <w:r>
              <w:rPr>
                <w:rFonts w:eastAsiaTheme="minorEastAsia"/>
                <w:lang w:val="en-GB"/>
              </w:rPr>
              <w:t>in million EUR)</w:t>
            </w:r>
          </w:p>
        </w:tc>
      </w:tr>
      <w:tr w:rsidR="0060634A">
        <w:tblPrEx>
          <w:tblCellMar>
            <w:left w:w="57" w:type="dxa"/>
            <w:right w:w="57" w:type="dxa"/>
          </w:tblCellMar>
        </w:tblPrEx>
        <w:trPr>
          <w:cantSplit/>
        </w:trPr>
        <w:tc>
          <w:tcPr>
            <w:tcW w:w="3471" w:type="dxa"/>
            <w:shd w:val="clear" w:color="auto" w:fill="00ADDC"/>
            <w:vAlign w:val="center"/>
          </w:tcPr>
          <w:p w:rsidR="0060634A" w:rsidRDefault="00F76D44">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00ADDC"/>
            <w:vAlign w:val="center"/>
          </w:tcPr>
          <w:p w:rsidR="0060634A" w:rsidRDefault="0060634A">
            <w:pPr>
              <w:spacing w:afterAutospacing="1"/>
              <w:jc w:val="center"/>
              <w:rPr>
                <w:noProof/>
                <w:sz w:val="18"/>
              </w:rPr>
            </w:pPr>
          </w:p>
        </w:tc>
        <w:tc>
          <w:tcPr>
            <w:tcW w:w="3471" w:type="dxa"/>
            <w:shd w:val="clear" w:color="auto" w:fill="00ADDC"/>
            <w:vAlign w:val="center"/>
          </w:tcPr>
          <w:p w:rsidR="0060634A" w:rsidRDefault="00F76D44">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60634A">
        <w:trPr>
          <w:cantSplit/>
        </w:trPr>
        <w:tc>
          <w:tcPr>
            <w:tcW w:w="3471" w:type="dxa"/>
            <w:shd w:val="clear" w:color="auto" w:fill="DCE6F2"/>
            <w:vAlign w:val="center"/>
          </w:tcPr>
          <w:p w:rsidR="0060634A" w:rsidRDefault="00F76D44">
            <w:pPr>
              <w:spacing w:after="100" w:afterAutospacing="1"/>
              <w:jc w:val="center"/>
              <w:rPr>
                <w:noProof/>
                <w:color w:val="0070C0"/>
                <w:sz w:val="18"/>
              </w:rPr>
            </w:pPr>
            <w:r>
              <w:rPr>
                <w:noProof/>
                <w:color w:val="0070C0"/>
                <w:sz w:val="18"/>
                <w:lang w:eastAsia="fr-BE"/>
              </w:rPr>
              <w:drawing>
                <wp:inline distT="0" distB="0" distL="0" distR="0">
                  <wp:extent cx="2158365" cy="89027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c>
          <w:tcPr>
            <w:tcW w:w="850" w:type="dxa"/>
            <w:shd w:val="clear" w:color="auto" w:fill="DCE6F2"/>
            <w:vAlign w:val="center"/>
          </w:tcPr>
          <w:p w:rsidR="0060634A" w:rsidRDefault="00F76D44">
            <w:pPr>
              <w:pStyle w:val="PPOVotedbudgetTABLEtextBlue"/>
              <w:framePr w:hSpace="0" w:wrap="auto" w:vAnchor="margin" w:hAnchor="text" w:xAlign="left" w:yAlign="inline"/>
              <w:suppressOverlap w:val="0"/>
              <w:rPr>
                <w:rFonts w:asciiTheme="minorHAnsi" w:eastAsiaTheme="minorEastAsia" w:hAnsiTheme="minorHAnsi" w:cstheme="minorBidi"/>
              </w:rPr>
            </w:pPr>
            <w:r>
              <w:rPr>
                <w:rFonts w:asciiTheme="minorHAnsi" w:eastAsiaTheme="minorEastAsia" w:hAnsiTheme="minorHAnsi" w:cstheme="minorBidi"/>
              </w:rPr>
              <w:t>2017</w:t>
            </w:r>
          </w:p>
          <w:p w:rsidR="0060634A" w:rsidRDefault="00F76D44">
            <w:pPr>
              <w:pStyle w:val="PPOVotedbudgetTABLEtextBlue"/>
              <w:framePr w:hSpace="0" w:wrap="auto" w:vAnchor="margin" w:hAnchor="text" w:xAlign="left" w:yAlign="inline"/>
              <w:suppressOverlap w:val="0"/>
              <w:rPr>
                <w:rFonts w:asciiTheme="minorHAnsi" w:eastAsiaTheme="minorEastAsia" w:hAnsiTheme="minorHAnsi" w:cstheme="minorBidi"/>
              </w:rPr>
            </w:pPr>
            <w:r>
              <w:rPr>
                <w:rFonts w:asciiTheme="minorHAnsi" w:eastAsiaTheme="minorEastAsia" w:hAnsiTheme="minorHAnsi" w:cstheme="minorBidi"/>
              </w:rPr>
              <w:t>2018</w:t>
            </w:r>
          </w:p>
          <w:p w:rsidR="0060634A" w:rsidRDefault="00F76D44">
            <w:pPr>
              <w:pStyle w:val="PPOVotedbudgetTABLEtextBlue"/>
              <w:framePr w:hSpace="0" w:wrap="auto" w:vAnchor="margin" w:hAnchor="text" w:xAlign="left" w:yAlign="inline"/>
              <w:suppressOverlap w:val="0"/>
              <w:rPr>
                <w:rFonts w:ascii="EC Square Sans Pro" w:eastAsiaTheme="minorEastAsia" w:hAnsi="EC Square Sans Pro" w:cstheme="minorBidi"/>
                <w:sz w:val="18"/>
              </w:rPr>
            </w:pPr>
            <w:r>
              <w:rPr>
                <w:rFonts w:asciiTheme="minorHAnsi" w:eastAsiaTheme="minorEastAsia" w:hAnsiTheme="minorHAnsi" w:cstheme="minorBidi"/>
              </w:rPr>
              <w:t>2019</w:t>
            </w:r>
          </w:p>
        </w:tc>
        <w:tc>
          <w:tcPr>
            <w:tcW w:w="3471" w:type="dxa"/>
            <w:shd w:val="clear" w:color="auto" w:fill="DCE6F2"/>
            <w:vAlign w:val="center"/>
          </w:tcPr>
          <w:p w:rsidR="0060634A" w:rsidRDefault="00F76D44">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89027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r>
    </w:tbl>
    <w:p w:rsidR="0060634A" w:rsidRDefault="00F76D44">
      <w:pPr>
        <w:pStyle w:val="PPOsidebartext"/>
        <w:rPr>
          <w:rFonts w:eastAsiaTheme="minorEastAsia"/>
        </w:rPr>
      </w:pPr>
      <w:r>
        <w:rPr>
          <w:rFonts w:eastAsiaTheme="minorEastAsia"/>
        </w:rPr>
        <w:t>The Directorate-General for Taxation and Customs Union is the lead DG for the implementation of the programme through direct management.</w:t>
      </w:r>
    </w:p>
    <w:p w:rsidR="0060634A" w:rsidRDefault="00F76D44">
      <w:pPr>
        <w:pStyle w:val="PPO1ATitle1"/>
        <w:rPr>
          <w:rFonts w:eastAsiaTheme="minorEastAsia"/>
        </w:rPr>
      </w:pPr>
      <w:r>
        <w:rPr>
          <w:rFonts w:eastAsiaTheme="minorEastAsia"/>
        </w:rPr>
        <w:br w:type="column"/>
      </w:r>
      <w:bookmarkStart w:id="35" w:name="_Toc39583683"/>
      <w:r>
        <w:rPr>
          <w:rFonts w:eastAsiaTheme="minorEastAsia"/>
        </w:rPr>
        <w:t>CUSTOMS 2020</w:t>
      </w:r>
      <w:bookmarkEnd w:id="35"/>
    </w:p>
    <w:p w:rsidR="0060634A" w:rsidRDefault="00F76D44">
      <w:pPr>
        <w:pStyle w:val="PPO1ATitle2"/>
        <w:rPr>
          <w:rFonts w:eastAsiaTheme="minorEastAsia"/>
          <w:sz w:val="32"/>
        </w:rPr>
      </w:pPr>
      <w:r>
        <w:rPr>
          <w:rFonts w:eastAsiaTheme="minorEastAsia"/>
        </w:rPr>
        <w:t xml:space="preserve">ACTION PROGRAMME FOR </w:t>
      </w:r>
      <w:r>
        <w:rPr>
          <w:rFonts w:eastAsiaTheme="minorEastAsia"/>
        </w:rPr>
        <w:t>CUSTOMS IN THE EUROPEAN UNION</w:t>
      </w:r>
    </w:p>
    <w:p w:rsidR="0060634A" w:rsidRDefault="00F76D44">
      <w:pPr>
        <w:pStyle w:val="PPOTitle3"/>
        <w:rPr>
          <w:rFonts w:eastAsiaTheme="minorEastAsia"/>
        </w:rPr>
      </w:pPr>
      <w:r>
        <w:rPr>
          <w:rFonts w:eastAsiaTheme="minorEastAsia"/>
        </w:rPr>
        <w:t>What is Customs 2020?</w:t>
      </w:r>
    </w:p>
    <w:p w:rsidR="0060634A" w:rsidRDefault="00F76D44">
      <w:pPr>
        <w:pStyle w:val="PPObodyText"/>
        <w:rPr>
          <w:noProof/>
        </w:rPr>
      </w:pPr>
      <w:r>
        <w:rPr>
          <w:noProof/>
          <w:lang w:val="fr-BE" w:eastAsia="fr-BE"/>
        </w:rPr>
        <mc:AlternateContent>
          <mc:Choice Requires="wps">
            <w:drawing>
              <wp:anchor distT="0" distB="0" distL="114300" distR="114300" simplePos="0" relativeHeight="251686912" behindDoc="0" locked="1" layoutInCell="1" allowOverlap="1">
                <wp:simplePos x="0" y="0"/>
                <wp:positionH relativeFrom="page">
                  <wp:posOffset>4762500</wp:posOffset>
                </wp:positionH>
                <wp:positionV relativeFrom="page">
                  <wp:posOffset>5562600</wp:posOffset>
                </wp:positionV>
                <wp:extent cx="2437130" cy="2899410"/>
                <wp:effectExtent l="0" t="0" r="1270" b="0"/>
                <wp:wrapTopAndBottom/>
                <wp:docPr id="499" name="Text Box 499"/>
                <wp:cNvGraphicFramePr/>
                <a:graphic xmlns:a="http://schemas.openxmlformats.org/drawingml/2006/main">
                  <a:graphicData uri="http://schemas.microsoft.com/office/word/2010/wordprocessingShape">
                    <wps:wsp>
                      <wps:cNvSpPr txBox="1"/>
                      <wps:spPr>
                        <a:xfrm>
                          <a:off x="0" y="0"/>
                          <a:ext cx="2437130" cy="2899410"/>
                        </a:xfrm>
                        <a:prstGeom prst="rect">
                          <a:avLst/>
                        </a:prstGeom>
                        <a:solidFill>
                          <a:schemeClr val="lt1"/>
                        </a:solidFill>
                        <a:ln w="6350">
                          <a:noFill/>
                        </a:ln>
                      </wps:spPr>
                      <wps:linkedTxbx id="71"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9" o:spid="_x0000_s1139" type="#_x0000_t202" style="position:absolute;left:0;text-align:left;margin-left:375pt;margin-top:438pt;width:191.9pt;height:228.3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" fillcolor="white [3201]" stroked="f" strokeweight=".5pt">
                <v:textbox inset=",,0">
                  <w:txbxContent/>
                </v:textbox>
                <w10:wrap type="topAndBottom" anchorx="page" anchory="page"/>
                <w10:anchorlock/>
              </v:shape>
            </w:pict>
          </mc:Fallback>
        </mc:AlternateContent>
      </w:r>
      <w:r>
        <w:rPr>
          <w:noProof/>
        </w:rPr>
        <w:t>Customs 2020 aims to improve the functioning and modernisation of the customs union. It supports customs authorities in protecting the financial and economic interests of the EU and of the Member States,</w:t>
      </w:r>
      <w:r>
        <w:rPr>
          <w:noProof/>
        </w:rPr>
        <w:t xml:space="preserve"> including the fight against fraud and the protection of intellectual property rights, to increase safety and security, to protect citizens and the environment, to improve the administrative capacity of the customs authorities and to strengthen the competi</w:t>
      </w:r>
      <w:r>
        <w:rPr>
          <w:noProof/>
        </w:rPr>
        <w:t>tiveness of EU businesses. The majority of programme funding (approximately 80%) enables the development and operation of European information systems, followed by the organisation of joint actions, cooperation and collaboration (around 15%) and training a</w:t>
      </w:r>
      <w:r>
        <w:rPr>
          <w:noProof/>
        </w:rPr>
        <w:t>ctivities (around 5%).</w:t>
      </w:r>
    </w:p>
    <w:p w:rsidR="0060634A" w:rsidRDefault="00F76D44">
      <w:pPr>
        <w:pStyle w:val="PPObodyText"/>
        <w:rPr>
          <w:noProof/>
        </w:rPr>
      </w:pPr>
      <w:r>
        <w:rPr>
          <w:noProof/>
        </w:rPr>
        <w:t>Strengthening the security and protection of citizens – while facilitating legitimate international trade, pursuing customs modernisation and developing and managing an effective and efficient customs union – has been part of the EU’</w:t>
      </w:r>
      <w:r>
        <w:rPr>
          <w:noProof/>
        </w:rPr>
        <w:t>s priorities. The programme pursues these priorities mainly through the setting-up of a paperless customs environment. This environment facilitates trade and improves the effective enforcement of rules for protecting the financial, safety and security inte</w:t>
      </w:r>
      <w:r>
        <w:rPr>
          <w:noProof/>
        </w:rPr>
        <w:t>rests of the EU.</w:t>
      </w:r>
    </w:p>
    <w:p w:rsidR="0060634A" w:rsidRDefault="00F76D44">
      <w:pPr>
        <w:pStyle w:val="PPObodyText"/>
        <w:spacing w:after="240"/>
        <w:rPr>
          <w:noProof/>
        </w:rPr>
      </w:pPr>
      <w:r>
        <w:rPr>
          <w:noProof/>
        </w:rPr>
        <w:t>Regarding operational cooperation, the programme funds expert teams to structure forms of cooperation, pooling expertise to perform tasks in specific domains or carry out operational activities, possibly with the support of online collabor</w:t>
      </w:r>
      <w:r>
        <w:rPr>
          <w:noProof/>
        </w:rPr>
        <w:t>ation services, administrative assistance and infrastructure and equipment facilities.</w:t>
      </w:r>
    </w:p>
    <w:tbl>
      <w:tblPr>
        <w:tblStyle w:val="TableGrid"/>
        <w:tblpPr w:leftFromText="181" w:rightFromText="340" w:vertAnchor="text" w:tblpX="108" w:tblpY="1"/>
        <w:tblW w:w="7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7793"/>
      </w:tblGrid>
      <w:tr w:rsidR="0060634A">
        <w:trPr>
          <w:trHeight w:val="1583"/>
        </w:trPr>
        <w:tc>
          <w:tcPr>
            <w:tcW w:w="7793" w:type="dxa"/>
            <w:shd w:val="clear" w:color="auto" w:fill="F2F2F2" w:themeFill="background1" w:themeFillShade="F2"/>
          </w:tcPr>
          <w:p w:rsidR="0060634A" w:rsidRDefault="00F76D44">
            <w:pPr>
              <w:pStyle w:val="PPO1ASpecificobjectivesBOX-HeadingLightBlue"/>
              <w:rPr>
                <w:rFonts w:eastAsiaTheme="minorEastAsia"/>
              </w:rPr>
            </w:pPr>
            <w:r>
              <w:rPr>
                <w:rFonts w:eastAsiaTheme="minorEastAsia"/>
              </w:rPr>
              <w:t>Specific objectives</w:t>
            </w:r>
            <w:r>
              <w:rPr>
                <w:rFonts w:eastAsiaTheme="minorEastAsia"/>
                <w:lang w:eastAsia="fr-BE"/>
              </w:rPr>
              <mc:AlternateContent>
                <mc:Choice Requires="wps">
                  <w:drawing>
                    <wp:anchor distT="0" distB="0" distL="114300" distR="114300" simplePos="0" relativeHeight="251681792"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23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00ADDC"/>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827063A" id="Freeform 6" o:spid="_x0000_s1026" style="position:absolute;margin-left:4pt;margin-top:1.4pt;width:21.25pt;height:2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00addc"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p>
          <w:p w:rsidR="0060634A" w:rsidRDefault="00F76D44">
            <w:pPr>
              <w:pStyle w:val="PPO1ASpecificobjectivesBOX-BulletLightBlue"/>
              <w:numPr>
                <w:ilvl w:val="0"/>
                <w:numId w:val="6"/>
              </w:numPr>
              <w:ind w:left="340" w:hanging="227"/>
              <w:rPr>
                <w:rFonts w:ascii="EC Square Sans Cond Pro" w:hAnsi="EC Square Sans Cond Pro"/>
                <w:lang w:val="en-GB"/>
              </w:rPr>
            </w:pPr>
            <w:r>
              <w:rPr>
                <w:rFonts w:ascii="EC Square Sans Cond Pro" w:hAnsi="EC Square Sans Cond Pro"/>
                <w:lang w:val="en-GB"/>
              </w:rPr>
              <w:t>To support customs authorities in protecting the financial and economic interests of the EU and of the Member States, including the fight against fr</w:t>
            </w:r>
            <w:r>
              <w:rPr>
                <w:rFonts w:ascii="EC Square Sans Cond Pro" w:hAnsi="EC Square Sans Cond Pro"/>
                <w:lang w:val="en-GB"/>
              </w:rPr>
              <w:t>aud and the protection of intellectual property rights, to increase safety and security, to protect citizens and the environment, to improve the administrative capacity of customs authorities and to strengthen the competitiveness of EU businesses.</w:t>
            </w:r>
          </w:p>
        </w:tc>
      </w:tr>
    </w:tbl>
    <w:p w:rsidR="0060634A" w:rsidRDefault="0060634A">
      <w:pPr>
        <w:framePr w:w="6721" w:wrap="auto" w:hAnchor="text" w:x="3544"/>
        <w:jc w:val="both"/>
        <w:rPr>
          <w:b/>
          <w:noProof/>
          <w:color w:val="1F95A5"/>
        </w:rPr>
        <w:sectPr w:rsidR="0060634A">
          <w:headerReference w:type="even" r:id="rId360"/>
          <w:headerReference w:type="default" r:id="rId361"/>
          <w:footerReference w:type="even" r:id="rId362"/>
          <w:footerReference w:type="default" r:id="rId363"/>
          <w:headerReference w:type="first" r:id="rId364"/>
          <w:footerReference w:type="first" r:id="rId365"/>
          <w:pgSz w:w="11906" w:h="16838"/>
          <w:pgMar w:top="567" w:right="567" w:bottom="567" w:left="567" w:header="567" w:footer="454" w:gutter="0"/>
          <w:paperSrc w:first="15" w:other="15"/>
          <w:cols w:num="2" w:space="708" w:equalWidth="0">
            <w:col w:w="2269" w:space="708"/>
            <w:col w:w="7795"/>
          </w:cols>
          <w:docGrid w:linePitch="360"/>
        </w:sectPr>
      </w:pPr>
    </w:p>
    <w:p w:rsidR="0060634A" w:rsidRDefault="00F76D44">
      <w:pPr>
        <w:pStyle w:val="PPOTitle3-nospacebefore"/>
        <w:rPr>
          <w:rFonts w:eastAsiaTheme="minorEastAsia"/>
          <w:color w:val="000000"/>
          <w:lang w:eastAsia="en-GB"/>
        </w:rPr>
      </w:pPr>
      <w:r>
        <w:rPr>
          <w:rFonts w:eastAsiaTheme="minorEastAsia"/>
        </w:rPr>
        <w:t>Key performance indicators</w:t>
      </w:r>
      <w:r>
        <w:rPr>
          <w:rFonts w:eastAsiaTheme="minorEastAsia"/>
          <w:color w:val="000000"/>
          <w:lang w:eastAsia="en-GB"/>
        </w:rPr>
        <w:t xml:space="preserve"> </w:t>
      </w:r>
    </w:p>
    <w:tbl>
      <w:tblPr>
        <w:tblStyle w:val="TableGrid"/>
        <w:tblW w:w="10773"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2960"/>
        <w:gridCol w:w="707"/>
        <w:gridCol w:w="3458"/>
        <w:gridCol w:w="664"/>
        <w:gridCol w:w="2730"/>
        <w:gridCol w:w="254"/>
      </w:tblGrid>
      <w:tr w:rsidR="0060634A">
        <w:trPr>
          <w:gridAfter w:val="1"/>
          <w:wAfter w:w="254" w:type="dxa"/>
          <w:trHeight w:val="335"/>
        </w:trPr>
        <w:tc>
          <w:tcPr>
            <w:tcW w:w="2960" w:type="dxa"/>
            <w:vAlign w:val="center"/>
          </w:tcPr>
          <w:p w:rsidR="0060634A" w:rsidRDefault="0060634A">
            <w:pPr>
              <w:ind w:left="142"/>
              <w:jc w:val="right"/>
              <w:rPr>
                <w:noProof/>
                <w:sz w:val="16"/>
                <w:szCs w:val="16"/>
              </w:rPr>
            </w:pPr>
          </w:p>
        </w:tc>
        <w:tc>
          <w:tcPr>
            <w:tcW w:w="707" w:type="dxa"/>
            <w:vAlign w:val="bottom"/>
          </w:tcPr>
          <w:p w:rsidR="0060634A" w:rsidRDefault="00F76D44">
            <w:pPr>
              <w:jc w:val="center"/>
              <w:rPr>
                <w:b/>
                <w:noProof/>
                <w:color w:val="28296E"/>
                <w:sz w:val="16"/>
                <w:szCs w:val="16"/>
              </w:rPr>
            </w:pPr>
            <w:r>
              <w:rPr>
                <w:b/>
                <w:noProof/>
                <w:color w:val="28296E"/>
                <w:sz w:val="16"/>
                <w:szCs w:val="16"/>
              </w:rPr>
              <w:t>Baseli</w:t>
            </w:r>
            <w:r>
              <w:rPr>
                <w:b/>
                <w:noProof/>
                <w:color w:val="28296E"/>
                <w:sz w:val="16"/>
                <w:szCs w:val="16"/>
              </w:rPr>
              <w:t>ne</w:t>
            </w:r>
          </w:p>
        </w:tc>
        <w:tc>
          <w:tcPr>
            <w:tcW w:w="3458" w:type="dxa"/>
            <w:vAlign w:val="center"/>
          </w:tcPr>
          <w:p w:rsidR="0060634A" w:rsidRDefault="00F76D44">
            <w:pPr>
              <w:ind w:left="142"/>
              <w:jc w:val="center"/>
              <w:rPr>
                <w:b/>
                <w:noProof/>
                <w:color w:val="28296E"/>
                <w:sz w:val="16"/>
                <w:szCs w:val="16"/>
              </w:rPr>
            </w:pPr>
            <w:r>
              <w:rPr>
                <w:b/>
                <w:noProof/>
                <w:color w:val="28296E"/>
                <w:sz w:val="16"/>
                <w:szCs w:val="16"/>
              </w:rPr>
              <w:t>PROGRESS TOWARDS THE TARGET</w:t>
            </w:r>
          </w:p>
        </w:tc>
        <w:tc>
          <w:tcPr>
            <w:tcW w:w="664" w:type="dxa"/>
            <w:vAlign w:val="bottom"/>
          </w:tcPr>
          <w:p w:rsidR="0060634A" w:rsidRDefault="00F76D44">
            <w:pPr>
              <w:jc w:val="center"/>
              <w:rPr>
                <w:b/>
                <w:noProof/>
                <w:color w:val="28296E"/>
                <w:sz w:val="16"/>
                <w:szCs w:val="16"/>
              </w:rPr>
            </w:pPr>
            <w:r>
              <w:rPr>
                <w:b/>
                <w:noProof/>
                <w:color w:val="28296E"/>
                <w:sz w:val="16"/>
                <w:szCs w:val="16"/>
              </w:rPr>
              <w:t>Target</w:t>
            </w:r>
          </w:p>
        </w:tc>
        <w:tc>
          <w:tcPr>
            <w:tcW w:w="2730" w:type="dxa"/>
            <w:vAlign w:val="bottom"/>
          </w:tcPr>
          <w:p w:rsidR="0060634A" w:rsidRDefault="00F76D44">
            <w:pPr>
              <w:jc w:val="center"/>
              <w:rPr>
                <w:b/>
                <w:noProof/>
                <w:color w:val="28296E"/>
                <w:sz w:val="16"/>
                <w:szCs w:val="16"/>
              </w:rPr>
            </w:pPr>
            <w:r>
              <w:rPr>
                <w:b/>
                <w:noProof/>
                <w:color w:val="28296E"/>
                <w:sz w:val="16"/>
                <w:szCs w:val="16"/>
              </w:rPr>
              <w:t>Results</w:t>
            </w:r>
          </w:p>
        </w:tc>
      </w:tr>
      <w:tr w:rsidR="0060634A">
        <w:tblPrEx>
          <w:tblCellMar>
            <w:left w:w="108" w:type="dxa"/>
            <w:right w:w="108" w:type="dxa"/>
          </w:tblCellMar>
        </w:tblPrEx>
        <w:trPr>
          <w:trHeight w:val="346"/>
        </w:trPr>
        <w:tc>
          <w:tcPr>
            <w:tcW w:w="2960" w:type="dxa"/>
            <w:vAlign w:val="center"/>
          </w:tcPr>
          <w:p w:rsidR="0060634A" w:rsidRDefault="00F76D44">
            <w:pPr>
              <w:ind w:left="142"/>
              <w:jc w:val="right"/>
              <w:rPr>
                <w:rFonts w:ascii="EC Square Sans Cond Pro" w:hAnsi="EC Square Sans Cond Pro"/>
                <w:noProof/>
                <w:sz w:val="16"/>
                <w:szCs w:val="16"/>
                <w:vertAlign w:val="superscript"/>
                <w:lang w:val="en-GB"/>
              </w:rPr>
            </w:pPr>
            <w:r>
              <w:rPr>
                <w:rFonts w:ascii="EC Square Sans Cond Pro" w:hAnsi="EC Square Sans Cond Pro" w:cs="EC Square Sans Cond Pro"/>
                <w:noProof/>
                <w:color w:val="000000"/>
                <w:sz w:val="16"/>
                <w:szCs w:val="16"/>
                <w:lang w:val="en-GB" w:eastAsia="en-GB"/>
              </w:rPr>
              <w:t>Feedback from participants – Network opportunity</w:t>
            </w:r>
            <w:r>
              <w:rPr>
                <w:rFonts w:ascii="EC Square Sans Cond Pro" w:hAnsi="EC Square Sans Cond Pro"/>
                <w:noProof/>
                <w:sz w:val="16"/>
                <w:szCs w:val="16"/>
                <w:lang w:val="en-GB"/>
              </w:rPr>
              <w:t xml:space="preserve"> (</w:t>
            </w:r>
            <w:r>
              <w:rPr>
                <w:rFonts w:ascii="EC Square Sans Cond Pro" w:hAnsi="EC Square Sans Cond Pro"/>
                <w:noProof/>
                <w:sz w:val="16"/>
                <w:szCs w:val="16"/>
                <w:vertAlign w:val="superscript"/>
                <w:lang w:val="en-GB"/>
              </w:rPr>
              <w:t>1</w:t>
            </w:r>
            <w:r>
              <w:rPr>
                <w:rFonts w:ascii="EC Square Sans Cond Pro" w:hAnsi="EC Square Sans Cond Pro"/>
                <w:noProof/>
                <w:sz w:val="16"/>
                <w:szCs w:val="16"/>
                <w:lang w:val="en-GB"/>
              </w:rPr>
              <w:t>)</w:t>
            </w:r>
          </w:p>
        </w:tc>
        <w:tc>
          <w:tcPr>
            <w:tcW w:w="707" w:type="dxa"/>
            <w:vAlign w:val="center"/>
          </w:tcPr>
          <w:p w:rsidR="0060634A" w:rsidRDefault="0060634A">
            <w:pPr>
              <w:jc w:val="center"/>
              <w:rPr>
                <w:rFonts w:ascii="EC Square Sans Cond Pro" w:hAnsi="EC Square Sans Cond Pro"/>
                <w:noProof/>
                <w:sz w:val="16"/>
                <w:szCs w:val="16"/>
                <w:lang w:val="en-GB" w:eastAsia="en-GB"/>
              </w:rPr>
            </w:pPr>
          </w:p>
        </w:tc>
        <w:tc>
          <w:tcPr>
            <w:tcW w:w="3458"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508" name="Chart 5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6"/>
                    </a:graphicData>
                  </a:graphic>
                </wp:inline>
              </w:drawing>
            </w:r>
          </w:p>
        </w:tc>
        <w:tc>
          <w:tcPr>
            <w:tcW w:w="664"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90%</w:t>
            </w:r>
          </w:p>
        </w:tc>
        <w:tc>
          <w:tcPr>
            <w:tcW w:w="2984"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96% compared to 90% positive feedback</w:t>
            </w:r>
          </w:p>
        </w:tc>
      </w:tr>
      <w:tr w:rsidR="0060634A">
        <w:tblPrEx>
          <w:tblCellMar>
            <w:left w:w="108" w:type="dxa"/>
            <w:right w:w="108" w:type="dxa"/>
          </w:tblCellMar>
        </w:tblPrEx>
        <w:trPr>
          <w:trHeight w:val="320"/>
        </w:trPr>
        <w:tc>
          <w:tcPr>
            <w:tcW w:w="2960"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Feedback from participants – Lasting network effect</w:t>
            </w:r>
            <w:r>
              <w:rPr>
                <w:rFonts w:ascii="EC Square Sans Cond Pro" w:hAnsi="EC Square Sans Cond Pro"/>
                <w:noProof/>
                <w:sz w:val="16"/>
                <w:szCs w:val="16"/>
                <w:vertAlign w:val="superscript"/>
                <w:lang w:val="en-GB"/>
              </w:rPr>
              <w:t xml:space="preserve"> </w:t>
            </w:r>
            <w:r>
              <w:rPr>
                <w:rFonts w:ascii="EC Square Sans Cond Pro" w:hAnsi="EC Square Sans Cond Pro"/>
                <w:noProof/>
                <w:sz w:val="16"/>
                <w:szCs w:val="16"/>
                <w:lang w:val="en-GB"/>
              </w:rPr>
              <w:t>(</w:t>
            </w:r>
            <w:r>
              <w:rPr>
                <w:rFonts w:ascii="EC Square Sans Cond Pro" w:hAnsi="EC Square Sans Cond Pro"/>
                <w:noProof/>
                <w:sz w:val="16"/>
                <w:szCs w:val="16"/>
                <w:vertAlign w:val="superscript"/>
                <w:lang w:val="en-GB"/>
              </w:rPr>
              <w:t>1</w:t>
            </w:r>
            <w:r>
              <w:rPr>
                <w:rFonts w:ascii="EC Square Sans Cond Pro" w:hAnsi="EC Square Sans Cond Pro"/>
                <w:noProof/>
                <w:sz w:val="16"/>
                <w:szCs w:val="16"/>
                <w:lang w:val="en-GB"/>
              </w:rPr>
              <w:t>)</w:t>
            </w:r>
          </w:p>
        </w:tc>
        <w:tc>
          <w:tcPr>
            <w:tcW w:w="707" w:type="dxa"/>
            <w:vAlign w:val="center"/>
          </w:tcPr>
          <w:p w:rsidR="0060634A" w:rsidRDefault="0060634A">
            <w:pPr>
              <w:jc w:val="center"/>
              <w:rPr>
                <w:rFonts w:ascii="EC Square Sans Cond Pro" w:hAnsi="EC Square Sans Cond Pro"/>
                <w:noProof/>
                <w:sz w:val="16"/>
                <w:szCs w:val="16"/>
                <w:lang w:val="en-GB" w:eastAsia="en-GB"/>
              </w:rPr>
            </w:pPr>
          </w:p>
        </w:tc>
        <w:tc>
          <w:tcPr>
            <w:tcW w:w="3458"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509" name="Chart 5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inline>
              </w:drawing>
            </w:r>
          </w:p>
        </w:tc>
        <w:tc>
          <w:tcPr>
            <w:tcW w:w="664"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80%</w:t>
            </w:r>
          </w:p>
        </w:tc>
        <w:tc>
          <w:tcPr>
            <w:tcW w:w="2984"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73% compared to 80% positive feedback</w:t>
            </w:r>
          </w:p>
        </w:tc>
      </w:tr>
      <w:tr w:rsidR="0060634A">
        <w:tblPrEx>
          <w:tblCellMar>
            <w:left w:w="108" w:type="dxa"/>
            <w:right w:w="108" w:type="dxa"/>
          </w:tblCellMar>
        </w:tblPrEx>
        <w:trPr>
          <w:trHeight w:val="311"/>
        </w:trPr>
        <w:tc>
          <w:tcPr>
            <w:tcW w:w="2960"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Feedback</w:t>
            </w:r>
            <w:r>
              <w:rPr>
                <w:rFonts w:ascii="EC Square Sans Cond Pro" w:hAnsi="EC Square Sans Cond Pro" w:cs="EC Square Sans Cond Pro"/>
                <w:noProof/>
                <w:color w:val="000000"/>
                <w:sz w:val="16"/>
                <w:szCs w:val="16"/>
                <w:lang w:val="en-US"/>
              </w:rPr>
              <w:t xml:space="preserve"> from participants – Number of face-to-face meetings</w:t>
            </w:r>
            <w:r>
              <w:rPr>
                <w:rFonts w:ascii="EC Square Sans Cond Pro" w:hAnsi="EC Square Sans Cond Pro"/>
                <w:noProof/>
                <w:sz w:val="16"/>
                <w:szCs w:val="16"/>
                <w:vertAlign w:val="superscript"/>
                <w:lang w:val="en-GB"/>
              </w:rPr>
              <w:t xml:space="preserve"> </w:t>
            </w:r>
            <w:r>
              <w:rPr>
                <w:rFonts w:ascii="EC Square Sans Cond Pro" w:hAnsi="EC Square Sans Cond Pro"/>
                <w:noProof/>
                <w:sz w:val="16"/>
                <w:szCs w:val="16"/>
                <w:lang w:val="en-GB"/>
              </w:rPr>
              <w:t>(</w:t>
            </w:r>
            <w:r>
              <w:rPr>
                <w:rFonts w:ascii="EC Square Sans Cond Pro" w:hAnsi="EC Square Sans Cond Pro"/>
                <w:noProof/>
                <w:sz w:val="16"/>
                <w:szCs w:val="16"/>
                <w:vertAlign w:val="superscript"/>
                <w:lang w:val="en-GB"/>
              </w:rPr>
              <w:t>1</w:t>
            </w:r>
            <w:r>
              <w:rPr>
                <w:rFonts w:ascii="EC Square Sans Cond Pro" w:hAnsi="EC Square Sans Cond Pro"/>
                <w:noProof/>
                <w:sz w:val="16"/>
                <w:szCs w:val="16"/>
                <w:lang w:val="en-GB"/>
              </w:rPr>
              <w:t>)</w:t>
            </w:r>
          </w:p>
        </w:tc>
        <w:tc>
          <w:tcPr>
            <w:tcW w:w="707" w:type="dxa"/>
            <w:vAlign w:val="center"/>
          </w:tcPr>
          <w:p w:rsidR="0060634A" w:rsidRDefault="0060634A">
            <w:pPr>
              <w:jc w:val="center"/>
              <w:rPr>
                <w:rFonts w:ascii="EC Square Sans Cond Pro" w:hAnsi="EC Square Sans Cond Pro"/>
                <w:noProof/>
                <w:sz w:val="16"/>
                <w:szCs w:val="16"/>
                <w:lang w:val="en-GB"/>
              </w:rPr>
            </w:pPr>
          </w:p>
        </w:tc>
        <w:tc>
          <w:tcPr>
            <w:tcW w:w="3458"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510" name="Chart 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inline>
              </w:drawing>
            </w:r>
          </w:p>
        </w:tc>
        <w:tc>
          <w:tcPr>
            <w:tcW w:w="664"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380</w:t>
            </w:r>
          </w:p>
        </w:tc>
        <w:tc>
          <w:tcPr>
            <w:tcW w:w="2984"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476 compared to 380 meetings</w:t>
            </w:r>
          </w:p>
        </w:tc>
      </w:tr>
      <w:tr w:rsidR="0060634A">
        <w:tblPrEx>
          <w:tblCellMar>
            <w:left w:w="108" w:type="dxa"/>
            <w:right w:w="108" w:type="dxa"/>
          </w:tblCellMar>
        </w:tblPrEx>
        <w:trPr>
          <w:trHeight w:val="329"/>
        </w:trPr>
        <w:tc>
          <w:tcPr>
            <w:tcW w:w="2960"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Availability of the European information systems common communication network</w:t>
            </w:r>
            <w:r>
              <w:rPr>
                <w:rFonts w:ascii="EC Square Sans Cond Pro" w:hAnsi="EC Square Sans Cond Pro"/>
                <w:noProof/>
                <w:sz w:val="16"/>
                <w:szCs w:val="16"/>
                <w:vertAlign w:val="superscript"/>
                <w:lang w:val="en-GB"/>
              </w:rPr>
              <w:t xml:space="preserve"> </w:t>
            </w:r>
            <w:r>
              <w:rPr>
                <w:rFonts w:ascii="EC Square Sans Cond Pro" w:hAnsi="EC Square Sans Cond Pro"/>
                <w:noProof/>
                <w:sz w:val="16"/>
                <w:szCs w:val="16"/>
                <w:lang w:val="en-GB"/>
              </w:rPr>
              <w:t>(</w:t>
            </w:r>
            <w:r>
              <w:rPr>
                <w:rFonts w:ascii="EC Square Sans Cond Pro" w:hAnsi="EC Square Sans Cond Pro"/>
                <w:noProof/>
                <w:sz w:val="16"/>
                <w:szCs w:val="16"/>
                <w:vertAlign w:val="superscript"/>
                <w:lang w:val="en-GB"/>
              </w:rPr>
              <w:t>1</w:t>
            </w:r>
            <w:r>
              <w:rPr>
                <w:rFonts w:ascii="EC Square Sans Cond Pro" w:hAnsi="EC Square Sans Cond Pro"/>
                <w:noProof/>
                <w:sz w:val="16"/>
                <w:szCs w:val="16"/>
                <w:lang w:val="en-GB"/>
              </w:rPr>
              <w:t>)</w:t>
            </w:r>
          </w:p>
        </w:tc>
        <w:tc>
          <w:tcPr>
            <w:tcW w:w="707" w:type="dxa"/>
            <w:vAlign w:val="center"/>
          </w:tcPr>
          <w:p w:rsidR="0060634A" w:rsidRDefault="0060634A">
            <w:pPr>
              <w:jc w:val="center"/>
              <w:rPr>
                <w:rFonts w:ascii="EC Square Sans Cond Pro" w:hAnsi="EC Square Sans Cond Pro"/>
                <w:noProof/>
                <w:sz w:val="16"/>
                <w:szCs w:val="16"/>
                <w:lang w:val="en-GB" w:eastAsia="en-GB"/>
              </w:rPr>
            </w:pPr>
          </w:p>
        </w:tc>
        <w:tc>
          <w:tcPr>
            <w:tcW w:w="3458"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511" name="Chart 5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9"/>
                    </a:graphicData>
                  </a:graphic>
                </wp:inline>
              </w:drawing>
            </w:r>
          </w:p>
        </w:tc>
        <w:tc>
          <w:tcPr>
            <w:tcW w:w="664"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99.90%</w:t>
            </w:r>
          </w:p>
        </w:tc>
        <w:tc>
          <w:tcPr>
            <w:tcW w:w="2984"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99.95% compared to 99.90% availability</w:t>
            </w:r>
          </w:p>
        </w:tc>
      </w:tr>
      <w:tr w:rsidR="0060634A">
        <w:tblPrEx>
          <w:tblCellMar>
            <w:left w:w="108" w:type="dxa"/>
            <w:right w:w="108" w:type="dxa"/>
          </w:tblCellMar>
        </w:tblPrEx>
        <w:trPr>
          <w:trHeight w:val="371"/>
        </w:trPr>
        <w:tc>
          <w:tcPr>
            <w:tcW w:w="2960"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 xml:space="preserve">European information systems </w:t>
            </w:r>
            <w:r>
              <w:rPr>
                <w:rFonts w:ascii="EC Square Sans Cond Pro" w:hAnsi="EC Square Sans Cond Pro" w:cs="EC Square Sans Cond Pro"/>
                <w:noProof/>
                <w:color w:val="000000"/>
                <w:sz w:val="16"/>
                <w:szCs w:val="16"/>
                <w:lang w:val="en-US"/>
              </w:rPr>
              <w:t>availability – business hours</w:t>
            </w:r>
            <w:r>
              <w:rPr>
                <w:rFonts w:ascii="EC Square Sans Cond Pro" w:hAnsi="EC Square Sans Cond Pro"/>
                <w:noProof/>
                <w:sz w:val="16"/>
                <w:szCs w:val="16"/>
                <w:vertAlign w:val="superscript"/>
                <w:lang w:val="en-GB"/>
              </w:rPr>
              <w:t xml:space="preserve"> </w:t>
            </w:r>
            <w:r>
              <w:rPr>
                <w:rFonts w:ascii="EC Square Sans Cond Pro" w:hAnsi="EC Square Sans Cond Pro"/>
                <w:noProof/>
                <w:sz w:val="16"/>
                <w:szCs w:val="16"/>
                <w:lang w:val="en-GB"/>
              </w:rPr>
              <w:t>(</w:t>
            </w:r>
            <w:r>
              <w:rPr>
                <w:rFonts w:ascii="EC Square Sans Cond Pro" w:hAnsi="EC Square Sans Cond Pro"/>
                <w:noProof/>
                <w:sz w:val="16"/>
                <w:szCs w:val="16"/>
                <w:vertAlign w:val="superscript"/>
                <w:lang w:val="en-GB"/>
              </w:rPr>
              <w:t>1</w:t>
            </w:r>
            <w:r>
              <w:rPr>
                <w:rFonts w:ascii="EC Square Sans Cond Pro" w:hAnsi="EC Square Sans Cond Pro"/>
                <w:noProof/>
                <w:sz w:val="16"/>
                <w:szCs w:val="16"/>
                <w:lang w:val="en-GB"/>
              </w:rPr>
              <w:t>)</w:t>
            </w:r>
          </w:p>
        </w:tc>
        <w:tc>
          <w:tcPr>
            <w:tcW w:w="707" w:type="dxa"/>
            <w:vAlign w:val="center"/>
          </w:tcPr>
          <w:p w:rsidR="0060634A" w:rsidRDefault="0060634A">
            <w:pPr>
              <w:jc w:val="center"/>
              <w:rPr>
                <w:rFonts w:ascii="EC Square Sans Cond Pro" w:hAnsi="EC Square Sans Cond Pro"/>
                <w:noProof/>
                <w:sz w:val="16"/>
                <w:szCs w:val="16"/>
                <w:lang w:val="en-GB" w:eastAsia="en-GB"/>
              </w:rPr>
            </w:pPr>
          </w:p>
        </w:tc>
        <w:tc>
          <w:tcPr>
            <w:tcW w:w="3458"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512" name="Chart 5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0"/>
                    </a:graphicData>
                  </a:graphic>
                </wp:inline>
              </w:drawing>
            </w:r>
          </w:p>
        </w:tc>
        <w:tc>
          <w:tcPr>
            <w:tcW w:w="664"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97.00%</w:t>
            </w:r>
          </w:p>
        </w:tc>
        <w:tc>
          <w:tcPr>
            <w:tcW w:w="2984"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98.68% compared to 97.00% availability</w:t>
            </w:r>
          </w:p>
        </w:tc>
      </w:tr>
      <w:tr w:rsidR="0060634A">
        <w:tblPrEx>
          <w:tblCellMar>
            <w:left w:w="108" w:type="dxa"/>
            <w:right w:w="108" w:type="dxa"/>
          </w:tblCellMar>
        </w:tblPrEx>
        <w:trPr>
          <w:trHeight w:val="300"/>
        </w:trPr>
        <w:tc>
          <w:tcPr>
            <w:tcW w:w="2960"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US"/>
              </w:rPr>
              <w:t>European information systems availability – other</w:t>
            </w:r>
            <w:r>
              <w:rPr>
                <w:rFonts w:ascii="EC Square Sans Cond Pro" w:hAnsi="EC Square Sans Cond Pro"/>
                <w:noProof/>
                <w:sz w:val="16"/>
                <w:szCs w:val="16"/>
                <w:vertAlign w:val="superscript"/>
                <w:lang w:val="en-GB"/>
              </w:rPr>
              <w:t xml:space="preserve"> </w:t>
            </w:r>
            <w:r>
              <w:rPr>
                <w:rFonts w:ascii="EC Square Sans Cond Pro" w:hAnsi="EC Square Sans Cond Pro"/>
                <w:noProof/>
                <w:sz w:val="16"/>
                <w:szCs w:val="16"/>
                <w:lang w:val="en-GB"/>
              </w:rPr>
              <w:t>(</w:t>
            </w:r>
            <w:r>
              <w:rPr>
                <w:rFonts w:ascii="EC Square Sans Cond Pro" w:hAnsi="EC Square Sans Cond Pro"/>
                <w:noProof/>
                <w:sz w:val="16"/>
                <w:szCs w:val="16"/>
                <w:vertAlign w:val="superscript"/>
                <w:lang w:val="en-GB"/>
              </w:rPr>
              <w:t>1</w:t>
            </w:r>
            <w:r>
              <w:rPr>
                <w:rFonts w:ascii="EC Square Sans Cond Pro" w:hAnsi="EC Square Sans Cond Pro"/>
                <w:noProof/>
                <w:sz w:val="16"/>
                <w:szCs w:val="16"/>
                <w:lang w:val="en-GB"/>
              </w:rPr>
              <w:t>)</w:t>
            </w:r>
          </w:p>
        </w:tc>
        <w:tc>
          <w:tcPr>
            <w:tcW w:w="707" w:type="dxa"/>
            <w:vAlign w:val="center"/>
          </w:tcPr>
          <w:p w:rsidR="0060634A" w:rsidRDefault="0060634A">
            <w:pPr>
              <w:jc w:val="center"/>
              <w:rPr>
                <w:rFonts w:ascii="EC Square Sans Cond Pro" w:hAnsi="EC Square Sans Cond Pro" w:cs="Calibri"/>
                <w:noProof/>
                <w:color w:val="000000"/>
                <w:sz w:val="16"/>
                <w:lang w:val="en-GB"/>
              </w:rPr>
            </w:pPr>
          </w:p>
        </w:tc>
        <w:tc>
          <w:tcPr>
            <w:tcW w:w="3458"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513" name="Chart 5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1"/>
                    </a:graphicData>
                  </a:graphic>
                </wp:inline>
              </w:drawing>
            </w:r>
          </w:p>
        </w:tc>
        <w:tc>
          <w:tcPr>
            <w:tcW w:w="664"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95.00%</w:t>
            </w:r>
          </w:p>
        </w:tc>
        <w:tc>
          <w:tcPr>
            <w:tcW w:w="2984"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98.68% compared to 95.00% availability</w:t>
            </w:r>
          </w:p>
        </w:tc>
      </w:tr>
      <w:tr w:rsidR="0060634A">
        <w:trPr>
          <w:trHeight w:val="249"/>
        </w:trPr>
        <w:tc>
          <w:tcPr>
            <w:tcW w:w="2960" w:type="dxa"/>
            <w:tcBorders>
              <w:bottom w:val="nil"/>
            </w:tcBorders>
            <w:vAlign w:val="center"/>
          </w:tcPr>
          <w:p w:rsidR="0060634A" w:rsidRDefault="0060634A">
            <w:pPr>
              <w:ind w:left="142"/>
              <w:jc w:val="right"/>
              <w:rPr>
                <w:noProof/>
                <w:sz w:val="16"/>
                <w:szCs w:val="16"/>
              </w:rPr>
            </w:pPr>
          </w:p>
        </w:tc>
        <w:tc>
          <w:tcPr>
            <w:tcW w:w="707" w:type="dxa"/>
            <w:tcBorders>
              <w:bottom w:val="nil"/>
            </w:tcBorders>
          </w:tcPr>
          <w:p w:rsidR="0060634A" w:rsidRDefault="0060634A">
            <w:pPr>
              <w:ind w:left="142"/>
              <w:rPr>
                <w:noProof/>
                <w:sz w:val="16"/>
                <w:szCs w:val="16"/>
                <w:lang w:eastAsia="en-GB"/>
              </w:rPr>
            </w:pPr>
          </w:p>
        </w:tc>
        <w:tc>
          <w:tcPr>
            <w:tcW w:w="3458" w:type="dxa"/>
            <w:tcBorders>
              <w:bottom w:val="nil"/>
            </w:tcBorders>
            <w:vAlign w:val="center"/>
          </w:tcPr>
          <w:p w:rsidR="0060634A" w:rsidRDefault="00F76D44">
            <w:pPr>
              <w:spacing w:before="120"/>
              <w:rPr>
                <w:noProof/>
                <w:sz w:val="16"/>
                <w:szCs w:val="16"/>
                <w:lang w:val="en-GB"/>
              </w:rPr>
            </w:pPr>
            <w:r>
              <w:rPr>
                <w:noProof/>
                <w:sz w:val="16"/>
                <w:szCs w:val="16"/>
                <w:lang w:eastAsia="fr-BE"/>
              </w:rPr>
              <mc:AlternateContent>
                <mc:Choice Requires="wps">
                  <w:drawing>
                    <wp:anchor distT="0" distB="0" distL="114300" distR="114300" simplePos="0" relativeHeight="251687936"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501" name="Rectangle 501"/>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C5BFA" id="Rectangle 501" o:spid="_x0000_s1026" style="position:absolute;margin-left:-9.45pt;margin-top:6.1pt;width:6.35pt;height:7.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" fillcolor="#28296e" stroked="f" strokeweight="1pt">
                      <w10:wrap type="through"/>
                    </v:rect>
                  </w:pict>
                </mc:Fallback>
              </mc:AlternateContent>
            </w:r>
            <w:r>
              <w:rPr>
                <w:noProof/>
                <w:sz w:val="16"/>
                <w:szCs w:val="16"/>
                <w:lang w:val="en-GB"/>
              </w:rPr>
              <w:t>% of target achieved by the end of 2019</w:t>
            </w:r>
          </w:p>
        </w:tc>
        <w:tc>
          <w:tcPr>
            <w:tcW w:w="664" w:type="dxa"/>
            <w:tcBorders>
              <w:bottom w:val="nil"/>
            </w:tcBorders>
          </w:tcPr>
          <w:p w:rsidR="0060634A" w:rsidRDefault="0060634A">
            <w:pPr>
              <w:ind w:left="142"/>
              <w:rPr>
                <w:noProof/>
                <w:sz w:val="16"/>
                <w:szCs w:val="16"/>
                <w:lang w:val="en-GB" w:eastAsia="en-GB"/>
              </w:rPr>
            </w:pPr>
          </w:p>
        </w:tc>
        <w:tc>
          <w:tcPr>
            <w:tcW w:w="2984" w:type="dxa"/>
            <w:gridSpan w:val="2"/>
            <w:tcBorders>
              <w:bottom w:val="nil"/>
            </w:tcBorders>
            <w:vAlign w:val="center"/>
          </w:tcPr>
          <w:p w:rsidR="0060634A" w:rsidRDefault="0060634A">
            <w:pPr>
              <w:ind w:left="142"/>
              <w:rPr>
                <w:noProof/>
                <w:sz w:val="16"/>
                <w:szCs w:val="16"/>
                <w:lang w:val="en-GB"/>
              </w:rPr>
            </w:pPr>
          </w:p>
        </w:tc>
      </w:tr>
      <w:tr w:rsidR="0060634A">
        <w:trPr>
          <w:trHeight w:val="249"/>
        </w:trPr>
        <w:tc>
          <w:tcPr>
            <w:tcW w:w="10773" w:type="dxa"/>
            <w:gridSpan w:val="6"/>
            <w:tcBorders>
              <w:top w:val="nil"/>
              <w:bottom w:val="nil"/>
            </w:tcBorders>
            <w:vAlign w:val="center"/>
          </w:tcPr>
          <w:p w:rsidR="0060634A" w:rsidRDefault="00F76D44">
            <w:pPr>
              <w:ind w:left="142"/>
              <w:rPr>
                <w:noProof/>
                <w:sz w:val="14"/>
                <w:szCs w:val="16"/>
              </w:rPr>
            </w:pPr>
            <w:r>
              <w:rPr>
                <w:rFonts w:ascii="EC Square Sans Cond Pro" w:hAnsi="EC Square Sans Cond Pro"/>
                <w:noProof/>
                <w:sz w:val="16"/>
                <w:szCs w:val="16"/>
              </w:rPr>
              <w:t>(</w:t>
            </w:r>
            <w:r>
              <w:rPr>
                <w:rFonts w:ascii="EC Square Sans Cond Pro" w:hAnsi="EC Square Sans Cond Pro"/>
                <w:noProof/>
                <w:sz w:val="16"/>
                <w:szCs w:val="16"/>
                <w:vertAlign w:val="superscript"/>
              </w:rPr>
              <w:t>1</w:t>
            </w:r>
            <w:r>
              <w:rPr>
                <w:rFonts w:ascii="EC Square Sans Cond Pro" w:hAnsi="EC Square Sans Cond Pro"/>
                <w:noProof/>
                <w:sz w:val="16"/>
                <w:szCs w:val="16"/>
              </w:rPr>
              <w:t xml:space="preserve">) </w:t>
            </w:r>
            <w:r>
              <w:rPr>
                <w:noProof/>
                <w:sz w:val="14"/>
                <w:szCs w:val="16"/>
              </w:rPr>
              <w:t>Average of results</w:t>
            </w:r>
            <w:r>
              <w:rPr>
                <w:noProof/>
                <w:sz w:val="14"/>
                <w:szCs w:val="16"/>
              </w:rPr>
              <w:t xml:space="preserve"> for 2014-2019.</w:t>
            </w:r>
          </w:p>
        </w:tc>
      </w:tr>
    </w:tbl>
    <w:p w:rsidR="0060634A" w:rsidRDefault="00F76D44">
      <w:pPr>
        <w:pStyle w:val="PPOTitle3"/>
        <w:spacing w:before="240"/>
        <w:rPr>
          <w:rFonts w:ascii="EC Square Sans Cond Pro" w:eastAsiaTheme="minorEastAsia" w:hAnsi="EC Square Sans Cond Pro"/>
          <w:color w:val="1F497D"/>
          <w:sz w:val="16"/>
          <w:szCs w:val="18"/>
        </w:rPr>
      </w:pPr>
      <w:r>
        <w:rPr>
          <w:rFonts w:eastAsiaTheme="minorEastAsia"/>
        </w:rPr>
        <w:t>Where are we in the implementation?</w:t>
      </w:r>
    </w:p>
    <w:p w:rsidR="0060634A" w:rsidRDefault="00F76D44">
      <w:pPr>
        <w:pStyle w:val="PPOBlackBULLETS-L1"/>
        <w:rPr>
          <w:noProof/>
        </w:rPr>
      </w:pPr>
      <w:r>
        <w:rPr>
          <w:noProof/>
        </w:rPr>
        <w:t>The core outcomes of the Customs programme are the European information systems, which need to be deployed in accordance with the legal deadlines set out in the Union Customs Code. Some of these deadline</w:t>
      </w:r>
      <w:r>
        <w:rPr>
          <w:noProof/>
        </w:rPr>
        <w:t>s were amended in 2019 to allow for the scope of some projects to be modified and for a shift from the Member State level to the EU level. Against this background, in 2018 and 2019, EUR 7.1 million in total was frontloaded for the Customs 2020 programme, i</w:t>
      </w:r>
      <w:r>
        <w:rPr>
          <w:noProof/>
        </w:rPr>
        <w:t>n particular to deliver the specifications and software for the major trans-European information technology systems of the Union Customs Code. Moreover, EUR 3.9 million in additional funding was made available in 2019 for Brexit preparedness.</w:t>
      </w:r>
    </w:p>
    <w:p w:rsidR="0060634A" w:rsidRDefault="00F76D44">
      <w:pPr>
        <w:pStyle w:val="PPOBlackBULLETS-L1"/>
        <w:rPr>
          <w:noProof/>
        </w:rPr>
      </w:pPr>
      <w:r>
        <w:rPr>
          <w:noProof/>
        </w:rPr>
        <w:t xml:space="preserve">The funding </w:t>
      </w:r>
      <w:r>
        <w:rPr>
          <w:noProof/>
        </w:rPr>
        <w:t>available for the information technology systems (which are shared with the Fiscalis programme) is mainly used for the maintenance and further development of the systems, so as to keep their availability at a high level. The availability rate in 2019 (99%)</w:t>
      </w:r>
      <w:r>
        <w:rPr>
          <w:noProof/>
        </w:rPr>
        <w:t xml:space="preserve"> reflected the deployment of new releases and new applications on the platform, mostly in the customs area</w:t>
      </w:r>
      <w:r>
        <w:rPr>
          <w:bCs w:val="0"/>
          <w:noProof/>
        </w:rPr>
        <w:t>.</w:t>
      </w:r>
    </w:p>
    <w:p w:rsidR="0060634A" w:rsidRDefault="00F76D44">
      <w:pPr>
        <w:pStyle w:val="PPOTitle3"/>
        <w:spacing w:before="240"/>
      </w:pPr>
      <w:r>
        <w:t>Performance assessment</w:t>
      </w:r>
    </w:p>
    <w:p w:rsidR="0060634A" w:rsidRDefault="00F76D44">
      <w:pPr>
        <w:pStyle w:val="PPOBlackBULLETS-L1"/>
        <w:rPr>
          <w:noProof/>
        </w:rPr>
      </w:pPr>
      <w:r>
        <w:rPr>
          <w:noProof/>
        </w:rPr>
        <w:t>The data collected in the performance measurement of the programme, together with the results of the midterm review, show tha</w:t>
      </w:r>
      <w:r>
        <w:rPr>
          <w:noProof/>
        </w:rPr>
        <w:t>t the Customs 2020 programme plays an important role in facilitating the implementation and development of the EU’s customs policy, and that it is on course to fulfil its objectives of protecting the financial and economic interests of the EU and of the Me</w:t>
      </w:r>
      <w:r>
        <w:rPr>
          <w:noProof/>
        </w:rPr>
        <w:t>mber States, improving the administrative capacity of the customs authorities and strengthening the competitiveness of EU businesses</w:t>
      </w:r>
      <w:r>
        <w:rPr>
          <w:bCs w:val="0"/>
          <w:noProof/>
        </w:rPr>
        <w:t>.</w:t>
      </w:r>
    </w:p>
    <w:p w:rsidR="0060634A" w:rsidRDefault="00F76D44">
      <w:pPr>
        <w:pStyle w:val="PPOBlackBULLETS-L2"/>
        <w:rPr>
          <w:noProof/>
        </w:rPr>
      </w:pPr>
      <w:r>
        <w:rPr>
          <w:noProof/>
        </w:rPr>
        <w:t>The programme has been effective in providing solutions for problems with a clear EU dimension through the use of common i</w:t>
      </w:r>
      <w:r>
        <w:rPr>
          <w:noProof/>
        </w:rPr>
        <w:t>nformation technology systems, joint actions and networking between Member States. This has led to added EU value, efficiency gains and cost savings, in particular through the interoperability and interconnectivity provided by the central information techn</w:t>
      </w:r>
      <w:r>
        <w:rPr>
          <w:noProof/>
        </w:rPr>
        <w:t xml:space="preserve">ology systems. </w:t>
      </w:r>
    </w:p>
    <w:p w:rsidR="0060634A" w:rsidRDefault="00F76D44">
      <w:pPr>
        <w:pStyle w:val="PPOBlackBULLETS-L2"/>
        <w:rPr>
          <w:noProof/>
        </w:rPr>
      </w:pPr>
      <w:r>
        <w:rPr>
          <w:noProof/>
        </w:rPr>
        <w:t>On average, over the 2014-2019 period, the availability rate of the systems surpassed the target level. This is with the exception of 2019, when the availability rate was below target due to planned new releases and applications.</w:t>
      </w:r>
    </w:p>
    <w:p w:rsidR="0060634A" w:rsidRDefault="00F76D44">
      <w:pPr>
        <w:pStyle w:val="PPOBlackBULLETS-L2"/>
        <w:rPr>
          <w:noProof/>
        </w:rPr>
      </w:pPr>
      <w:r>
        <w:rPr>
          <w:noProof/>
        </w:rPr>
        <w:t>The Commis</w:t>
      </w:r>
      <w:r>
        <w:rPr>
          <w:noProof/>
        </w:rPr>
        <w:t>sion has tried to increase the lasting network effect, which has remained below target since the launch of the programme, for instance by introducing improvements in the area of communication and to facilitate online collaboration and sharing between parti</w:t>
      </w:r>
      <w:r>
        <w:rPr>
          <w:noProof/>
        </w:rPr>
        <w:t>cipants in programme activities after the events come to an end. In addition, there may be an unclear understanding of the different possibilities for remaining in contact beyond physical meetings and phone calls.</w:t>
      </w:r>
    </w:p>
    <w:p w:rsidR="0060634A" w:rsidRDefault="00F76D44">
      <w:pPr>
        <w:pStyle w:val="PPOBlackBULLETS-L2"/>
        <w:rPr>
          <w:noProof/>
        </w:rPr>
      </w:pPr>
      <w:r>
        <w:rPr>
          <w:noProof/>
        </w:rPr>
        <w:t>The Customs 2020 programme remains central</w:t>
      </w:r>
      <w:r>
        <w:rPr>
          <w:noProof/>
        </w:rPr>
        <w:t xml:space="preserve"> to the functioning of the customs union and the further integration of the national customs authorities, including through its networking functions and the strengthening of the administrative capacity of the national authorities.</w:t>
      </w:r>
    </w:p>
    <w:p w:rsidR="0060634A" w:rsidRDefault="00F76D44">
      <w:pPr>
        <w:pStyle w:val="PPOTitle3"/>
        <w:spacing w:before="240"/>
        <w:rPr>
          <w:rFonts w:eastAsiaTheme="minorEastAsia"/>
        </w:rPr>
      </w:pPr>
      <w:r>
        <w:rPr>
          <w:rFonts w:eastAsiaTheme="minorEastAsia"/>
        </w:rPr>
        <w:t xml:space="preserve">Concrete examples of </w:t>
      </w:r>
      <w:r>
        <w:rPr>
          <w:rFonts w:eastAsiaTheme="minorEastAsia"/>
        </w:rPr>
        <w:t>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1701"/>
        <w:gridCol w:w="1985"/>
        <w:gridCol w:w="1984"/>
        <w:gridCol w:w="1701"/>
        <w:gridCol w:w="1701"/>
        <w:gridCol w:w="1701"/>
      </w:tblGrid>
      <w:tr w:rsidR="0060634A">
        <w:trPr>
          <w:trHeight w:val="128"/>
        </w:trPr>
        <w:tc>
          <w:tcPr>
            <w:tcW w:w="1701" w:type="dxa"/>
            <w:shd w:val="clear" w:color="auto" w:fill="00ADDC"/>
          </w:tcPr>
          <w:p w:rsidR="0060634A" w:rsidRDefault="00F76D44">
            <w:pPr>
              <w:pStyle w:val="PPOExamplesTABLEHeader"/>
              <w:rPr>
                <w:rFonts w:eastAsiaTheme="minorEastAsia"/>
              </w:rPr>
            </w:pPr>
            <w:r>
              <w:rPr>
                <w:rFonts w:eastAsiaTheme="minorEastAsia"/>
              </w:rPr>
              <w:t>54</w:t>
            </w:r>
          </w:p>
        </w:tc>
        <w:tc>
          <w:tcPr>
            <w:tcW w:w="1985" w:type="dxa"/>
            <w:shd w:val="clear" w:color="auto" w:fill="00ADDC"/>
          </w:tcPr>
          <w:p w:rsidR="0060634A" w:rsidRDefault="00F76D44">
            <w:pPr>
              <w:pStyle w:val="PPOExamplesTABLEHeader"/>
              <w:rPr>
                <w:rFonts w:eastAsiaTheme="minorEastAsia"/>
              </w:rPr>
            </w:pPr>
            <w:r>
              <w:rPr>
                <w:rFonts w:eastAsiaTheme="minorEastAsia"/>
              </w:rPr>
              <w:t>6.9 billion</w:t>
            </w:r>
          </w:p>
        </w:tc>
        <w:tc>
          <w:tcPr>
            <w:tcW w:w="1984" w:type="dxa"/>
            <w:shd w:val="clear" w:color="auto" w:fill="00ADDC"/>
          </w:tcPr>
          <w:p w:rsidR="0060634A" w:rsidRDefault="00F76D44">
            <w:pPr>
              <w:pStyle w:val="PPOExamplesTABLEHeader"/>
              <w:rPr>
                <w:rFonts w:eastAsiaTheme="minorEastAsia"/>
              </w:rPr>
            </w:pPr>
            <w:r>
              <w:rPr>
                <w:rFonts w:eastAsiaTheme="minorEastAsia"/>
              </w:rPr>
              <w:t>32 TB</w:t>
            </w:r>
          </w:p>
        </w:tc>
        <w:tc>
          <w:tcPr>
            <w:tcW w:w="1701" w:type="dxa"/>
            <w:shd w:val="clear" w:color="auto" w:fill="00ADDC"/>
          </w:tcPr>
          <w:p w:rsidR="0060634A" w:rsidRDefault="00F76D44">
            <w:pPr>
              <w:pStyle w:val="PPOExamplesTABLEHeader"/>
              <w:rPr>
                <w:rFonts w:eastAsiaTheme="minorEastAsia"/>
              </w:rPr>
            </w:pPr>
            <w:r>
              <w:rPr>
                <w:rFonts w:eastAsiaTheme="minorEastAsia"/>
              </w:rPr>
              <w:t>4</w:t>
            </w:r>
          </w:p>
        </w:tc>
        <w:tc>
          <w:tcPr>
            <w:tcW w:w="1701" w:type="dxa"/>
            <w:shd w:val="clear" w:color="auto" w:fill="00ADDC"/>
          </w:tcPr>
          <w:p w:rsidR="0060634A" w:rsidRDefault="00F76D44">
            <w:pPr>
              <w:pStyle w:val="PPOExamplesTABLEHeader"/>
              <w:rPr>
                <w:rFonts w:eastAsiaTheme="minorEastAsia"/>
              </w:rPr>
            </w:pPr>
            <w:r>
              <w:rPr>
                <w:rFonts w:eastAsiaTheme="minorEastAsia"/>
              </w:rPr>
              <w:t>30</w:t>
            </w:r>
          </w:p>
        </w:tc>
        <w:tc>
          <w:tcPr>
            <w:tcW w:w="1701" w:type="dxa"/>
            <w:shd w:val="clear" w:color="auto" w:fill="00ADDC"/>
          </w:tcPr>
          <w:p w:rsidR="0060634A" w:rsidRDefault="00F76D44">
            <w:pPr>
              <w:pStyle w:val="PPOExamplesTABLEHeader"/>
              <w:rPr>
                <w:rFonts w:eastAsiaTheme="minorEastAsia"/>
              </w:rPr>
            </w:pPr>
            <w:r>
              <w:rPr>
                <w:rFonts w:eastAsiaTheme="minorEastAsia"/>
              </w:rPr>
              <w:t>2</w:t>
            </w:r>
            <w:r>
              <w:rPr>
                <w:rFonts w:ascii="Calibri" w:eastAsiaTheme="minorEastAsia" w:hAnsi="Calibri" w:cs="Calibri"/>
              </w:rPr>
              <w:t> </w:t>
            </w:r>
            <w:r>
              <w:rPr>
                <w:rFonts w:eastAsiaTheme="minorEastAsia"/>
              </w:rPr>
              <w:t>000</w:t>
            </w:r>
          </w:p>
        </w:tc>
      </w:tr>
      <w:tr w:rsidR="0060634A">
        <w:trPr>
          <w:trHeight w:val="945"/>
        </w:trPr>
        <w:tc>
          <w:tcPr>
            <w:tcW w:w="1701" w:type="dxa"/>
            <w:shd w:val="clear" w:color="auto" w:fill="DCE6F2"/>
          </w:tcPr>
          <w:p w:rsidR="0060634A" w:rsidRDefault="00F76D44">
            <w:pPr>
              <w:pStyle w:val="PPOExamplesTABLEText"/>
              <w:spacing w:line="240" w:lineRule="auto"/>
              <w:rPr>
                <w:noProof/>
                <w:lang w:val="en-GB"/>
              </w:rPr>
            </w:pPr>
            <w:r>
              <w:rPr>
                <w:noProof/>
                <w:lang w:val="en-GB"/>
              </w:rPr>
              <w:t>European information systems were in operation in 2019.</w:t>
            </w:r>
          </w:p>
        </w:tc>
        <w:tc>
          <w:tcPr>
            <w:tcW w:w="1985" w:type="dxa"/>
            <w:shd w:val="clear" w:color="auto" w:fill="DCE6F2"/>
          </w:tcPr>
          <w:p w:rsidR="0060634A" w:rsidRDefault="00F76D44">
            <w:pPr>
              <w:pStyle w:val="PPOExamplesTABLEText"/>
              <w:spacing w:line="240" w:lineRule="auto"/>
              <w:rPr>
                <w:noProof/>
                <w:lang w:val="en-GB"/>
              </w:rPr>
            </w:pPr>
            <w:r>
              <w:rPr>
                <w:noProof/>
                <w:lang w:val="en-GB"/>
              </w:rPr>
              <w:t>messages were exchanged in 2019 on the Common Communication Network / Common Systems Interface (CCN/CSI, shared with Fiscalis).</w:t>
            </w:r>
          </w:p>
        </w:tc>
        <w:tc>
          <w:tcPr>
            <w:tcW w:w="1984" w:type="dxa"/>
            <w:shd w:val="clear" w:color="auto" w:fill="DCE6F2"/>
          </w:tcPr>
          <w:p w:rsidR="0060634A" w:rsidRDefault="00F76D44">
            <w:pPr>
              <w:pStyle w:val="PPOExamplesTABLEText"/>
              <w:spacing w:line="240" w:lineRule="auto"/>
              <w:rPr>
                <w:noProof/>
                <w:lang w:val="en-GB"/>
              </w:rPr>
            </w:pPr>
            <w:r>
              <w:rPr>
                <w:noProof/>
                <w:lang w:val="en-GB"/>
              </w:rPr>
              <w:t xml:space="preserve">of data was exchanged in </w:t>
            </w:r>
            <w:r>
              <w:rPr>
                <w:noProof/>
                <w:lang w:val="en-GB"/>
              </w:rPr>
              <w:t>2019 (+</w:t>
            </w:r>
            <w:r>
              <w:rPr>
                <w:rFonts w:ascii="Calibri" w:hAnsi="Calibri" w:cs="Calibri"/>
                <w:noProof/>
                <w:lang w:val="en-GB"/>
              </w:rPr>
              <w:t> </w:t>
            </w:r>
            <w:r>
              <w:rPr>
                <w:noProof/>
                <w:lang w:val="en-GB"/>
              </w:rPr>
              <w:t>11% compared to 2018).</w:t>
            </w:r>
          </w:p>
        </w:tc>
        <w:tc>
          <w:tcPr>
            <w:tcW w:w="1701" w:type="dxa"/>
            <w:shd w:val="clear" w:color="auto" w:fill="DCE6F2"/>
          </w:tcPr>
          <w:p w:rsidR="0060634A" w:rsidRDefault="00F76D44">
            <w:pPr>
              <w:pStyle w:val="PPOExamplesTABLEText"/>
              <w:spacing w:line="240" w:lineRule="auto"/>
              <w:rPr>
                <w:noProof/>
                <w:lang w:val="en-GB"/>
              </w:rPr>
            </w:pPr>
            <w:r>
              <w:rPr>
                <w:noProof/>
                <w:lang w:val="en-GB"/>
              </w:rPr>
              <w:t>expert teams were operational in the customs area in 2019.</w:t>
            </w:r>
          </w:p>
        </w:tc>
        <w:tc>
          <w:tcPr>
            <w:tcW w:w="1701" w:type="dxa"/>
            <w:shd w:val="clear" w:color="auto" w:fill="DCE6F2"/>
          </w:tcPr>
          <w:p w:rsidR="0060634A" w:rsidRDefault="00F76D44">
            <w:pPr>
              <w:pStyle w:val="PPOExamplesTABLEText"/>
              <w:spacing w:line="240" w:lineRule="auto"/>
              <w:rPr>
                <w:noProof/>
                <w:lang w:val="en-GB"/>
              </w:rPr>
            </w:pPr>
            <w:r>
              <w:rPr>
                <w:noProof/>
                <w:lang w:val="en-GB"/>
              </w:rPr>
              <w:t>e-learning courses in the customs area were available at the end of 2019.</w:t>
            </w:r>
          </w:p>
        </w:tc>
        <w:tc>
          <w:tcPr>
            <w:tcW w:w="1701" w:type="dxa"/>
            <w:shd w:val="clear" w:color="auto" w:fill="DCE6F2"/>
          </w:tcPr>
          <w:p w:rsidR="0060634A" w:rsidRDefault="00F76D44">
            <w:pPr>
              <w:pStyle w:val="PPOExamplesTABLEText"/>
              <w:spacing w:line="240" w:lineRule="auto"/>
              <w:rPr>
                <w:noProof/>
                <w:lang w:val="en-GB"/>
              </w:rPr>
            </w:pPr>
            <w:r>
              <w:rPr>
                <w:noProof/>
                <w:lang w:val="en-GB"/>
              </w:rPr>
              <w:t>guidelines and recommendations have been issued, including on the withdrawal of the United K</w:t>
            </w:r>
            <w:r>
              <w:rPr>
                <w:noProof/>
                <w:lang w:val="en-GB"/>
              </w:rPr>
              <w:t>ingdom.</w:t>
            </w:r>
          </w:p>
        </w:tc>
      </w:tr>
    </w:tbl>
    <w:p w:rsidR="0060634A" w:rsidRDefault="0060634A">
      <w:pPr>
        <w:pStyle w:val="PPObodyText"/>
        <w:rPr>
          <w:noProof/>
        </w:rPr>
        <w:sectPr w:rsidR="0060634A">
          <w:headerReference w:type="even" r:id="rId372"/>
          <w:headerReference w:type="default" r:id="rId373"/>
          <w:footerReference w:type="even" r:id="rId374"/>
          <w:footerReference w:type="default" r:id="rId375"/>
          <w:headerReference w:type="first" r:id="rId376"/>
          <w:footerReference w:type="first" r:id="rId377"/>
          <w:pgSz w:w="11906" w:h="16838" w:code="9"/>
          <w:pgMar w:top="567" w:right="567" w:bottom="567" w:left="567" w:header="567" w:footer="454" w:gutter="0"/>
          <w:paperSrc w:first="15" w:other="15"/>
          <w:cols w:space="720"/>
          <w:docGrid w:linePitch="360"/>
        </w:sectPr>
      </w:pPr>
    </w:p>
    <w:p w:rsidR="0060634A" w:rsidRDefault="00F76D44">
      <w:pPr>
        <w:pStyle w:val="PPO1AsidebarTitleBlue"/>
        <w:rPr>
          <w:rFonts w:eastAsiaTheme="minorEastAsia"/>
        </w:rPr>
      </w:pPr>
      <w:r>
        <w:rPr>
          <w:rFonts w:eastAsiaTheme="minorEastAsia"/>
          <w:lang w:val="fr-BE" w:eastAsia="fr-BE"/>
        </w:rPr>
        <mc:AlternateContent>
          <mc:Choice Requires="wps">
            <w:drawing>
              <wp:anchor distT="0" distB="0" distL="0" distR="0" simplePos="0" relativeHeight="251574272" behindDoc="0" locked="1" layoutInCell="1" allowOverlap="1">
                <wp:simplePos x="0" y="0"/>
                <wp:positionH relativeFrom="page">
                  <wp:posOffset>359410</wp:posOffset>
                </wp:positionH>
                <wp:positionV relativeFrom="page">
                  <wp:posOffset>595630</wp:posOffset>
                </wp:positionV>
                <wp:extent cx="1457960" cy="777240"/>
                <wp:effectExtent l="0" t="0" r="85090" b="3810"/>
                <wp:wrapTopAndBottom/>
                <wp:docPr id="516" name="Text Box 516"/>
                <wp:cNvGraphicFramePr/>
                <a:graphic xmlns:a="http://schemas.openxmlformats.org/drawingml/2006/main">
                  <a:graphicData uri="http://schemas.microsoft.com/office/word/2010/wordprocessingShape">
                    <wps:wsp>
                      <wps:cNvSpPr txBox="1"/>
                      <wps:spPr>
                        <a:xfrm>
                          <a:off x="0" y="0"/>
                          <a:ext cx="1457960" cy="777240"/>
                        </a:xfrm>
                        <a:prstGeom prst="wedgeRectCallout">
                          <a:avLst>
                            <a:gd name="adj1" fmla="val 54107"/>
                            <a:gd name="adj2" fmla="val -21878"/>
                          </a:avLst>
                        </a:prstGeom>
                        <a:solidFill>
                          <a:srgbClr val="28296E"/>
                        </a:solidFill>
                        <a:ln w="6350">
                          <a:noFill/>
                        </a:ln>
                      </wps:spPr>
                      <wps:txbx>
                        <w:txbxContent>
                          <w:p w:rsidR="0060634A" w:rsidRDefault="00F76D44">
                            <w:pPr>
                              <w:pStyle w:val="PPOsidebarLegalBasisBOXHeading"/>
                              <w:rPr>
                                <w:rFonts w:eastAsiaTheme="minorEastAsia"/>
                              </w:rPr>
                            </w:pPr>
                            <w:r>
                              <w:rPr>
                                <w:rFonts w:eastAsiaTheme="minorEastAsia"/>
                              </w:rPr>
                              <w:t>LEGAL BASIS</w:t>
                            </w:r>
                          </w:p>
                          <w:p w:rsidR="0060634A" w:rsidRDefault="00F76D44">
                            <w:pPr>
                              <w:pStyle w:val="PPOsidebarLegalBasisBOXtext"/>
                              <w:rPr>
                                <w:rFonts w:eastAsiaTheme="minorEastAsia"/>
                              </w:rPr>
                            </w:pPr>
                            <w:r>
                              <w:rPr>
                                <w:rFonts w:eastAsiaTheme="minorEastAsia"/>
                              </w:rPr>
                              <w:t>Regulation (EU)</w:t>
                            </w:r>
                            <w:r>
                              <w:rPr>
                                <w:rFonts w:eastAsiaTheme="minorEastAsia"/>
                              </w:rPr>
                              <w:t xml:space="preserve"> No</w:t>
                            </w:r>
                            <w:r>
                              <w:rPr>
                                <w:rFonts w:ascii="Calibri" w:eastAsiaTheme="minorEastAsia" w:hAnsi="Calibri" w:cs="Calibri"/>
                              </w:rPr>
                              <w:t> </w:t>
                            </w:r>
                            <w:r>
                              <w:rPr>
                                <w:rFonts w:eastAsiaTheme="minorEastAsia"/>
                              </w:rPr>
                              <w:t xml:space="preserve">1286/2013 of the European Parliament and of the Council </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6" o:spid="_x0000_s1140" type="#_x0000_t61" style="position:absolute;left:0;text-align:left;margin-left:28.3pt;margin-top:46.9pt;width:114.8pt;height:61.2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" adj="22487,6074" fillcolor="#28296e" stroked="f" strokeweight=".5pt">
                <v:textbox inset="2.5mm,1.3mm,2.5mm,1.3mm">
                  <w:txbxContent>
                    <w:p w:rsidR="0060634A" w:rsidRDefault="00F76D44">
                      <w:pPr>
                        <w:pStyle w:val="PPOsidebarLegalBasisBOXHeading"/>
                        <w:rPr>
                          <w:rFonts w:eastAsiaTheme="minorEastAsia"/>
                        </w:rPr>
                      </w:pPr>
                      <w:r>
                        <w:rPr>
                          <w:rFonts w:eastAsiaTheme="minorEastAsia"/>
                        </w:rPr>
                        <w:t>LEGAL BASIS</w:t>
                      </w:r>
                    </w:p>
                    <w:p w:rsidR="0060634A" w:rsidRDefault="00F76D44">
                      <w:pPr>
                        <w:pStyle w:val="PPOsidebarLegalBasisBOXtext"/>
                        <w:rPr>
                          <w:rFonts w:eastAsiaTheme="minorEastAsia"/>
                        </w:rPr>
                      </w:pPr>
                      <w:r>
                        <w:rPr>
                          <w:rFonts w:eastAsiaTheme="minorEastAsia"/>
                        </w:rPr>
                        <w:t>Regulation (EU)</w:t>
                      </w:r>
                      <w:r>
                        <w:rPr>
                          <w:rFonts w:eastAsiaTheme="minorEastAsia"/>
                        </w:rPr>
                        <w:t xml:space="preserve"> No</w:t>
                      </w:r>
                      <w:r>
                        <w:rPr>
                          <w:rFonts w:ascii="Calibri" w:eastAsiaTheme="minorEastAsia" w:hAnsi="Calibri" w:cs="Calibri"/>
                        </w:rPr>
                        <w:t> </w:t>
                      </w:r>
                      <w:r>
                        <w:rPr>
                          <w:rFonts w:eastAsiaTheme="minorEastAsia"/>
                        </w:rPr>
                        <w:t xml:space="preserve">1286/2013 of the European Parliament and of the Council </w:t>
                      </w:r>
                    </w:p>
                  </w:txbxContent>
                </v:textbox>
                <w10:wrap type="topAndBottom" anchorx="page" anchory="page"/>
                <w10:anchorlock/>
              </v:shape>
            </w:pict>
          </mc:Fallback>
        </mc:AlternateContent>
      </w:r>
      <w:r>
        <w:rPr>
          <w:rFonts w:eastAsiaTheme="minorEastAsia"/>
        </w:rPr>
        <w:t>MORE INFORMATION</w:t>
      </w:r>
    </w:p>
    <w:p w:rsidR="0060634A" w:rsidRDefault="00F76D44">
      <w:pPr>
        <w:pStyle w:val="PPOsidebartext"/>
        <w:rPr>
          <w:rStyle w:val="PPOChar-Hyperlink"/>
          <w:rFonts w:eastAsiaTheme="minorEastAsia"/>
        </w:rPr>
      </w:pPr>
      <w:r>
        <w:rPr>
          <w:rFonts w:eastAsiaTheme="minorEastAsia"/>
        </w:rPr>
        <w:t xml:space="preserve"> </w:t>
      </w:r>
      <w:hyperlink r:id="rId378" w:history="1">
        <w:r>
          <w:rPr>
            <w:rStyle w:val="PPOChar-Hyperlink"/>
            <w:rFonts w:eastAsiaTheme="minorEastAsia"/>
          </w:rPr>
          <w:t>http://europa.eu/!tp64hw</w:t>
        </w:r>
      </w:hyperlink>
    </w:p>
    <w:p w:rsidR="0060634A" w:rsidRDefault="00F76D44">
      <w:pPr>
        <w:pStyle w:val="PPO1AsidebarTitleBlue"/>
        <w:rPr>
          <w:rFonts w:eastAsiaTheme="minorEastAsia"/>
        </w:rPr>
      </w:pPr>
      <w:r>
        <w:rPr>
          <w:rFonts w:eastAsiaTheme="minorEastAsia"/>
        </w:rPr>
        <w:t>FINANCIAL PROGRAMMING</w:t>
      </w:r>
    </w:p>
    <w:p w:rsidR="0060634A" w:rsidRDefault="00F76D44">
      <w:pPr>
        <w:pStyle w:val="PPO1AsidebarTablecaption"/>
      </w:pPr>
      <w:r>
        <w:t>(million EUR)</w:t>
      </w:r>
    </w:p>
    <w:tbl>
      <w:tblPr>
        <w:tblOverlap w:val="never"/>
        <w:tblW w:w="2296" w:type="dxa"/>
        <w:jc w:val="right"/>
        <w:tblLayout w:type="fixed"/>
        <w:tblCellMar>
          <w:top w:w="28" w:type="dxa"/>
          <w:left w:w="28" w:type="dxa"/>
          <w:bottom w:w="28" w:type="dxa"/>
          <w:right w:w="28" w:type="dxa"/>
        </w:tblCellMar>
        <w:tblLook w:val="0000" w:firstRow="0" w:lastRow="0" w:firstColumn="0" w:lastColumn="0" w:noHBand="0" w:noVBand="0"/>
      </w:tblPr>
      <w:tblGrid>
        <w:gridCol w:w="1134"/>
        <w:gridCol w:w="1162"/>
      </w:tblGrid>
      <w:tr w:rsidR="0060634A">
        <w:trPr>
          <w:trHeight w:hRule="exact" w:val="229"/>
          <w:jc w:val="right"/>
        </w:trPr>
        <w:tc>
          <w:tcPr>
            <w:tcW w:w="1134" w:type="dxa"/>
            <w:tcBorders>
              <w:bottom w:val="single" w:sz="6" w:space="0" w:color="FFFFFF" w:themeColor="background1"/>
            </w:tcBorders>
            <w:shd w:val="clear" w:color="auto" w:fill="DCE6F2"/>
            <w:vAlign w:val="center"/>
          </w:tcPr>
          <w:p w:rsidR="0060634A" w:rsidRDefault="00F76D44">
            <w:pPr>
              <w:pStyle w:val="PPOsidebarTabletext"/>
            </w:pPr>
            <w:r>
              <w:t>2014</w:t>
            </w:r>
          </w:p>
        </w:tc>
        <w:tc>
          <w:tcPr>
            <w:tcW w:w="1162" w:type="dxa"/>
            <w:shd w:val="clear" w:color="auto" w:fill="FFFFFF"/>
            <w:vAlign w:val="center"/>
          </w:tcPr>
          <w:p w:rsidR="0060634A" w:rsidRDefault="00F76D44">
            <w:pPr>
              <w:pStyle w:val="PPOsidebarTabletext"/>
            </w:pPr>
            <w:r>
              <w:t>30.9</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2015</w:t>
            </w:r>
          </w:p>
        </w:tc>
        <w:tc>
          <w:tcPr>
            <w:tcW w:w="1162" w:type="dxa"/>
            <w:tcBorders>
              <w:top w:val="single" w:sz="4" w:space="0" w:color="auto"/>
            </w:tcBorders>
            <w:shd w:val="clear" w:color="auto" w:fill="FFFFFF"/>
            <w:vAlign w:val="center"/>
          </w:tcPr>
          <w:p w:rsidR="0060634A" w:rsidRDefault="00F76D44">
            <w:pPr>
              <w:pStyle w:val="PPOsidebarTabletext"/>
            </w:pPr>
            <w:r>
              <w:t>31.1</w:t>
            </w:r>
          </w:p>
        </w:tc>
      </w:tr>
      <w:tr w:rsidR="0060634A">
        <w:trPr>
          <w:trHeight w:hRule="exact" w:val="229"/>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2016</w:t>
            </w:r>
          </w:p>
        </w:tc>
        <w:tc>
          <w:tcPr>
            <w:tcW w:w="1162" w:type="dxa"/>
            <w:tcBorders>
              <w:top w:val="single" w:sz="4" w:space="0" w:color="auto"/>
            </w:tcBorders>
            <w:shd w:val="clear" w:color="auto" w:fill="FFFFFF"/>
            <w:vAlign w:val="center"/>
          </w:tcPr>
          <w:p w:rsidR="0060634A" w:rsidRDefault="00F76D44">
            <w:pPr>
              <w:pStyle w:val="PPOsidebarTabletext"/>
            </w:pPr>
            <w:r>
              <w:t>31.5</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2017</w:t>
            </w:r>
          </w:p>
        </w:tc>
        <w:tc>
          <w:tcPr>
            <w:tcW w:w="1162" w:type="dxa"/>
            <w:tcBorders>
              <w:top w:val="single" w:sz="4" w:space="0" w:color="auto"/>
            </w:tcBorders>
            <w:shd w:val="clear" w:color="auto" w:fill="FFFFFF"/>
            <w:vAlign w:val="center"/>
          </w:tcPr>
          <w:p w:rsidR="0060634A" w:rsidRDefault="00F76D44">
            <w:pPr>
              <w:pStyle w:val="PPOsidebarTabletext"/>
            </w:pPr>
            <w:r>
              <w:t>31.9</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2018</w:t>
            </w:r>
          </w:p>
        </w:tc>
        <w:tc>
          <w:tcPr>
            <w:tcW w:w="1162" w:type="dxa"/>
            <w:tcBorders>
              <w:top w:val="single" w:sz="4" w:space="0" w:color="auto"/>
            </w:tcBorders>
            <w:shd w:val="clear" w:color="auto" w:fill="FFFFFF"/>
            <w:vAlign w:val="center"/>
          </w:tcPr>
          <w:p w:rsidR="0060634A" w:rsidRDefault="00F76D44">
            <w:pPr>
              <w:pStyle w:val="PPOsidebarTabletext"/>
            </w:pPr>
            <w:r>
              <w:t>32.5</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2019</w:t>
            </w:r>
          </w:p>
        </w:tc>
        <w:tc>
          <w:tcPr>
            <w:tcW w:w="1162" w:type="dxa"/>
            <w:tcBorders>
              <w:top w:val="single" w:sz="4" w:space="0" w:color="auto"/>
            </w:tcBorders>
            <w:shd w:val="clear" w:color="auto" w:fill="FFFFFF"/>
            <w:vAlign w:val="center"/>
          </w:tcPr>
          <w:p w:rsidR="0060634A" w:rsidRDefault="00F76D44">
            <w:pPr>
              <w:pStyle w:val="PPOsidebarTabletext"/>
            </w:pPr>
            <w:r>
              <w:t>32.7</w:t>
            </w:r>
          </w:p>
        </w:tc>
      </w:tr>
      <w:tr w:rsidR="0060634A">
        <w:trPr>
          <w:trHeight w:hRule="exact" w:val="225"/>
          <w:jc w:val="right"/>
        </w:trPr>
        <w:tc>
          <w:tcPr>
            <w:tcW w:w="1134" w:type="dxa"/>
            <w:tcBorders>
              <w:top w:val="single" w:sz="6" w:space="0" w:color="FFFFFF" w:themeColor="background1"/>
            </w:tcBorders>
            <w:shd w:val="clear" w:color="auto" w:fill="DCE6F2"/>
            <w:vAlign w:val="center"/>
          </w:tcPr>
          <w:p w:rsidR="0060634A" w:rsidRDefault="00F76D44">
            <w:pPr>
              <w:pStyle w:val="PPOsidebarTabletext"/>
            </w:pPr>
            <w:r>
              <w:t>2020</w:t>
            </w:r>
          </w:p>
        </w:tc>
        <w:tc>
          <w:tcPr>
            <w:tcW w:w="1162" w:type="dxa"/>
            <w:tcBorders>
              <w:top w:val="single" w:sz="4" w:space="0" w:color="auto"/>
            </w:tcBorders>
            <w:shd w:val="clear" w:color="auto" w:fill="FFFFFF"/>
            <w:vAlign w:val="center"/>
          </w:tcPr>
          <w:p w:rsidR="0060634A" w:rsidRDefault="00F76D44">
            <w:pPr>
              <w:pStyle w:val="PPOsidebarTabletext"/>
            </w:pPr>
            <w:r>
              <w:t>33.1</w:t>
            </w:r>
          </w:p>
        </w:tc>
      </w:tr>
      <w:tr w:rsidR="0060634A">
        <w:trPr>
          <w:trHeight w:hRule="exact" w:val="258"/>
          <w:jc w:val="right"/>
        </w:trPr>
        <w:tc>
          <w:tcPr>
            <w:tcW w:w="1134" w:type="dxa"/>
            <w:shd w:val="clear" w:color="auto" w:fill="00ADDC"/>
            <w:vAlign w:val="center"/>
          </w:tcPr>
          <w:p w:rsidR="0060634A" w:rsidRDefault="00F76D44">
            <w:pPr>
              <w:pStyle w:val="PPOsidebarTabletext"/>
            </w:pPr>
            <w:r>
              <w:t>Total</w:t>
            </w:r>
          </w:p>
        </w:tc>
        <w:tc>
          <w:tcPr>
            <w:tcW w:w="1162" w:type="dxa"/>
            <w:tcBorders>
              <w:top w:val="single" w:sz="4" w:space="0" w:color="auto"/>
            </w:tcBorders>
            <w:shd w:val="clear" w:color="auto" w:fill="FFFFFF"/>
            <w:vAlign w:val="center"/>
          </w:tcPr>
          <w:p w:rsidR="0060634A" w:rsidRDefault="00F76D44">
            <w:pPr>
              <w:pStyle w:val="PPOsidebarTabletext"/>
            </w:pPr>
            <w:r>
              <w:t>223.7</w:t>
            </w:r>
          </w:p>
        </w:tc>
      </w:tr>
    </w:tbl>
    <w:p w:rsidR="0060634A" w:rsidRDefault="00F76D44">
      <w:pPr>
        <w:pStyle w:val="PPO1AsidebarTitleBlue"/>
        <w:rPr>
          <w:rFonts w:eastAsiaTheme="minorEastAsia"/>
        </w:rPr>
      </w:pPr>
      <w:r>
        <w:rPr>
          <w:rFonts w:eastAsiaTheme="minorEastAsia"/>
          <w:lang w:val="fr-BE" w:eastAsia="fr-BE"/>
        </w:rPr>
        <mc:AlternateContent>
          <mc:Choice Requires="wpg">
            <w:drawing>
              <wp:anchor distT="0" distB="0" distL="114300" distR="114300" simplePos="0" relativeHeight="251689984" behindDoc="1" locked="1" layoutInCell="1" allowOverlap="1">
                <wp:simplePos x="0" y="0"/>
                <wp:positionH relativeFrom="column">
                  <wp:posOffset>-268605</wp:posOffset>
                </wp:positionH>
                <wp:positionV relativeFrom="paragraph">
                  <wp:posOffset>594360</wp:posOffset>
                </wp:positionV>
                <wp:extent cx="1871980" cy="1454150"/>
                <wp:effectExtent l="0" t="0" r="0" b="0"/>
                <wp:wrapSquare wrapText="bothSides"/>
                <wp:docPr id="517" name="Group 517"/>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518" name="Chart 518"/>
                        <wpg:cNvFrPr/>
                        <wpg:xfrm>
                          <a:off x="461310" y="264194"/>
                          <a:ext cx="2492055" cy="1453317"/>
                        </wpg:xfrm>
                        <a:graphic>
                          <a:graphicData uri="http://schemas.openxmlformats.org/drawingml/2006/chart">
                            <c:chart xmlns:c="http://schemas.openxmlformats.org/drawingml/2006/chart" xmlns:r="http://schemas.openxmlformats.org/officeDocument/2006/relationships" r:id="rId379"/>
                          </a:graphicData>
                        </a:graphic>
                      </wpg:graphicFrame>
                      <wps:wsp>
                        <wps:cNvPr id="519" name="Text Box 2"/>
                        <wps:cNvSpPr txBox="1">
                          <a:spLocks noChangeArrowheads="1"/>
                        </wps:cNvSpPr>
                        <wps:spPr bwMode="auto">
                          <a:xfrm>
                            <a:off x="1287117" y="723786"/>
                            <a:ext cx="1276742" cy="600139"/>
                          </a:xfrm>
                          <a:prstGeom prst="rect">
                            <a:avLst/>
                          </a:prstGeom>
                          <a:noFill/>
                          <a:ln w="9525">
                            <a:noFill/>
                            <a:miter lim="800000"/>
                            <a:headEnd/>
                            <a:tailEnd/>
                          </a:ln>
                        </wps:spPr>
                        <wps:txbx>
                          <w:txbxContent>
                            <w:p w:rsidR="0060634A" w:rsidRDefault="00F76D44">
                              <w:pPr>
                                <w:pStyle w:val="PPO1AsidebarchartCenterText"/>
                                <w:rPr>
                                  <w:rFonts w:eastAsiaTheme="minorEastAsia"/>
                                </w:rPr>
                              </w:pPr>
                              <w:r>
                                <w:rPr>
                                  <w:rFonts w:eastAsiaTheme="minorEastAsia"/>
                                </w:rPr>
                                <w:t>EUR 223.7</w:t>
                              </w:r>
                              <w:r>
                                <w:rPr>
                                  <w:rFonts w:eastAsiaTheme="minorEastAsia"/>
                                </w:rPr>
                                <w:br/>
                                <w:t>million</w:t>
                              </w:r>
                            </w:p>
                          </w:txbxContent>
                        </wps:txbx>
                        <wps:bodyPr rot="0" vert="horz" wrap="square" lIns="91440" tIns="45720" rIns="91440" bIns="45720" anchor="t" anchorCtr="0">
                          <a:noAutofit/>
                        </wps:bodyPr>
                      </wps:wsp>
                      <wps:wsp>
                        <wps:cNvPr id="520" name="Text Box 2"/>
                        <wps:cNvSpPr txBox="1">
                          <a:spLocks noChangeArrowheads="1"/>
                        </wps:cNvSpPr>
                        <wps:spPr bwMode="auto">
                          <a:xfrm>
                            <a:off x="1007494" y="978502"/>
                            <a:ext cx="700344" cy="229870"/>
                          </a:xfrm>
                          <a:prstGeom prst="rect">
                            <a:avLst/>
                          </a:prstGeom>
                          <a:noFill/>
                          <a:ln w="9525">
                            <a:noFill/>
                            <a:miter lim="800000"/>
                            <a:headEnd/>
                            <a:tailEnd/>
                          </a:ln>
                        </wps:spPr>
                        <wps:txbx>
                          <w:txbxContent>
                            <w:p w:rsidR="0060634A" w:rsidRDefault="00F76D44">
                              <w:pPr>
                                <w:spacing w:after="120"/>
                                <w:jc w:val="center"/>
                                <w:rPr>
                                  <w:color w:val="00ADDC"/>
                                  <w:lang w:val="fr-BE"/>
                                </w:rPr>
                              </w:pPr>
                              <w:r>
                                <w:rPr>
                                  <w:b/>
                                  <w:color w:val="00ADDC"/>
                                  <w:lang w:val="fr-BE"/>
                                </w:rPr>
                                <w:t>68%%</w:t>
                              </w:r>
                            </w:p>
                          </w:txbxContent>
                        </wps:txbx>
                        <wps:bodyPr rot="0" vert="horz" wrap="square" lIns="91440" tIns="45720" rIns="91440" bIns="45720" anchor="t" anchorCtr="0">
                          <a:noAutofit/>
                        </wps:bodyPr>
                      </wps:wsp>
                      <wps:wsp>
                        <wps:cNvPr id="521" name="Text Box 2"/>
                        <wps:cNvSpPr txBox="1">
                          <a:spLocks noChangeArrowheads="1"/>
                        </wps:cNvSpPr>
                        <wps:spPr bwMode="auto">
                          <a:xfrm>
                            <a:off x="1007494" y="356578"/>
                            <a:ext cx="741153" cy="266065"/>
                          </a:xfrm>
                          <a:prstGeom prst="rect">
                            <a:avLst/>
                          </a:prstGeom>
                          <a:noFill/>
                          <a:ln w="9525">
                            <a:noFill/>
                            <a:miter lim="800000"/>
                            <a:headEnd/>
                            <a:tailEnd/>
                          </a:ln>
                        </wps:spPr>
                        <wps:txbx>
                          <w:txbxContent>
                            <w:p w:rsidR="0060634A" w:rsidRDefault="00F76D44">
                              <w:pPr>
                                <w:spacing w:after="120"/>
                                <w:jc w:val="center"/>
                                <w:rPr>
                                  <w:color w:val="28296E"/>
                                  <w:lang w:val="fr-BE"/>
                                </w:rPr>
                              </w:pPr>
                              <w:r>
                                <w:rPr>
                                  <w:b/>
                                  <w:color w:val="28296E"/>
                                  <w:lang w:val="fr-BE"/>
                                </w:rPr>
                                <w:t>85%%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17" o:spid="_x0000_s1141" style="position:absolute;left:0;text-align:left;margin-left:-21.15pt;margin-top:46.8pt;width:147.4pt;height:114.5pt;z-index:-251626496;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CgAAAAAAAAAhAFODQkC5IgAAuSIAAC0AAABkcnMvZW1iZWRkaW5ncy9NaWNyb3Nv&#10;ZnRfRXhjZWxfV29ya3NoZWV0Lnhsc3hQSwMEFAAGAAgAAAAhAN0ri1hsAQAAEAUAABMACAJbQ29u&#10;dGVudF9UeXBlc10ueG1s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">
                <v:shape id="Chart 518" o:spid="_x0000_s1142"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">
                  <v:imagedata r:id="rId380" o:title=""/>
                  <o:lock v:ext="edit" aspectratio="f"/>
                </v:shape>
                <v:shape id="_x0000_s1143" type="#_x0000_t202" style="position:absolute;left:12871;top:7237;width:12767;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" filled="f" stroked="f">
                  <v:textbox>
                    <w:txbxContent>
                      <w:p w:rsidR="0060634A" w:rsidRDefault="00F76D44">
                        <w:pPr>
                          <w:pStyle w:val="PPO1AsidebarchartCenterText"/>
                          <w:rPr>
                            <w:rFonts w:eastAsiaTheme="minorEastAsia"/>
                          </w:rPr>
                        </w:pPr>
                        <w:r>
                          <w:rPr>
                            <w:rFonts w:eastAsiaTheme="minorEastAsia"/>
                          </w:rPr>
                          <w:t>EUR 223.7</w:t>
                        </w:r>
                        <w:r>
                          <w:rPr>
                            <w:rFonts w:eastAsiaTheme="minorEastAsia"/>
                          </w:rPr>
                          <w:br/>
                          <w:t>million</w:t>
                        </w:r>
                      </w:p>
                    </w:txbxContent>
                  </v:textbox>
                </v:shape>
                <v:shape id="_x0000_s1144" type="#_x0000_t202" style="position:absolute;left:10074;top:9785;width:7004;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" filled="f" stroked="f">
                  <v:textbox>
                    <w:txbxContent>
                      <w:p w:rsidR="0060634A" w:rsidRDefault="00F76D44">
                        <w:pPr>
                          <w:spacing w:after="120"/>
                          <w:jc w:val="center"/>
                          <w:rPr>
                            <w:color w:val="00ADDC"/>
                            <w:lang w:val="fr-BE"/>
                          </w:rPr>
                        </w:pPr>
                        <w:r>
                          <w:rPr>
                            <w:b/>
                            <w:color w:val="00ADDC"/>
                            <w:lang w:val="fr-BE"/>
                          </w:rPr>
                          <w:t>68%%</w:t>
                        </w:r>
                      </w:p>
                    </w:txbxContent>
                  </v:textbox>
                </v:shape>
                <v:shape id="_x0000_s1145" type="#_x0000_t202" style="position:absolute;left:10074;top:3565;width:741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" filled="f" stroked="f">
                  <v:textbox>
                    <w:txbxContent>
                      <w:p w:rsidR="0060634A" w:rsidRDefault="00F76D44">
                        <w:pPr>
                          <w:spacing w:after="120"/>
                          <w:jc w:val="center"/>
                          <w:rPr>
                            <w:color w:val="28296E"/>
                            <w:lang w:val="fr-BE"/>
                          </w:rPr>
                        </w:pPr>
                        <w:r>
                          <w:rPr>
                            <w:b/>
                            <w:color w:val="28296E"/>
                            <w:lang w:val="fr-BE"/>
                          </w:rPr>
                          <w:t>85%%</w:t>
                        </w:r>
                      </w:p>
                    </w:txbxContent>
                  </v:textbox>
                </v:shape>
                <w10:wrap type="square"/>
                <w10:anchorlock/>
              </v:group>
              <o:OLEObject Type="Embed" ProgID="Excel.Chart.8" ShapeID="Chart 518" DrawAspect="Content" ObjectID="_1654495735" r:id="rId381">
                <o:FieldCodes>\s</o:FieldCodes>
              </o:OLEObject>
            </w:pict>
          </mc:Fallback>
        </mc:AlternateContent>
      </w:r>
      <w:r>
        <w:rPr>
          <w:rFonts w:eastAsiaTheme="minorEastAsia"/>
        </w:rPr>
        <w:t xml:space="preserve">OVERALL EXECUTION </w:t>
      </w:r>
      <w:r>
        <w:rPr>
          <w:rFonts w:eastAsiaTheme="minorEastAsia"/>
        </w:rPr>
        <w:br/>
        <w:t xml:space="preserve">(2014-2019) </w:t>
      </w:r>
    </w:p>
    <w:p w:rsidR="0060634A" w:rsidRDefault="00F76D44">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692032" behindDoc="0" locked="1" layoutInCell="1" allowOverlap="1">
                <wp:simplePos x="0" y="0"/>
                <wp:positionH relativeFrom="page">
                  <wp:posOffset>2244090</wp:posOffset>
                </wp:positionH>
                <wp:positionV relativeFrom="page">
                  <wp:posOffset>5312410</wp:posOffset>
                </wp:positionV>
                <wp:extent cx="2437130" cy="3241675"/>
                <wp:effectExtent l="0" t="0" r="1270" b="0"/>
                <wp:wrapTopAndBottom/>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3241675"/>
                        </a:xfrm>
                        <a:prstGeom prst="rect">
                          <a:avLst/>
                        </a:prstGeom>
                        <a:solidFill>
                          <a:srgbClr val="FFFFFF"/>
                        </a:solidFill>
                        <a:ln w="9525">
                          <a:noFill/>
                          <a:miter lim="800000"/>
                          <a:headEnd/>
                          <a:tailEnd/>
                        </a:ln>
                      </wps:spPr>
                      <wps:txbx id="76">
                        <w:txbxContent>
                          <w:p w:rsidR="0060634A" w:rsidRDefault="00F76D44">
                            <w:pPr>
                              <w:pStyle w:val="PPOTitle3-nospacebefore"/>
                              <w:rPr>
                                <w:rFonts w:eastAsiaTheme="minorEastAsia"/>
                              </w:rPr>
                            </w:pPr>
                            <w:r>
                              <w:rPr>
                                <w:rFonts w:eastAsiaTheme="minorEastAsia"/>
                              </w:rPr>
                              <w:t>Why is it necessary?</w:t>
                            </w:r>
                          </w:p>
                          <w:p w:rsidR="0060634A" w:rsidRDefault="00F76D44">
                            <w:pPr>
                              <w:pStyle w:val="PPObodyText"/>
                              <w:spacing w:after="220"/>
                              <w:rPr>
                                <w:noProof/>
                              </w:rPr>
                            </w:pPr>
                            <w:r>
                              <w:rPr>
                                <w:noProof/>
                              </w:rPr>
                              <w:t xml:space="preserve">Without intense cooperation and coordination between Member States, unfair tax competition and tax shopping would increase, while fraudsters would </w:t>
                            </w:r>
                            <w:r>
                              <w:rPr>
                                <w:noProof/>
                              </w:rPr>
                              <w:t>exploit the lack of cooperation between national authorities. The added value of the Fiscalis programme, including for the protection of the financial interests of the EU Member States and of taxpayers, has been recognised by the tax administrations of the</w:t>
                            </w:r>
                            <w:r>
                              <w:rPr>
                                <w:noProof/>
                              </w:rPr>
                              <w:t xml:space="preserve"> participating countries. The challenges identified for the next decade cannot be tackled if Member States do not look beyond the borders of their administrative territories or cooperate intensively with their counterparts. The Fiscalis programme, implemen</w:t>
                            </w:r>
                            <w:r>
                              <w:rPr>
                                <w:noProof/>
                              </w:rPr>
                              <w:t>ted by the Commission in cooperation with the participating countries, offers Member States an EU framework in which to develop activities through cooperation among national tax officials on the one hand, and cooperation on information technology on the ot</w:t>
                            </w:r>
                            <w:r>
                              <w:rPr>
                                <w:noProof/>
                              </w:rPr>
                              <w:t>her hand. This set-up is more cost-effective than if each Member State were to set up individual cooperation frameworks on a bilateral or multilateral basis.</w:t>
                            </w:r>
                          </w:p>
                          <w:p w:rsidR="0060634A" w:rsidRDefault="00F76D44">
                            <w:pPr>
                              <w:pStyle w:val="PPObodyText"/>
                              <w:rPr>
                                <w:noProof/>
                              </w:rPr>
                            </w:pPr>
                            <w:r>
                              <w:rPr>
                                <w:noProof/>
                              </w:rPr>
                              <w:t>The programme connects national tax administrations through approximately 5</w:t>
                            </w:r>
                            <w:r>
                              <w:rPr>
                                <w:rFonts w:ascii="Calibri" w:hAnsi="Calibri" w:cs="Calibri"/>
                                <w:noProof/>
                              </w:rPr>
                              <w:t> </w:t>
                            </w:r>
                            <w:r>
                              <w:rPr>
                                <w:noProof/>
                              </w:rPr>
                              <w:t xml:space="preserve">000 (customs and </w:t>
                            </w:r>
                            <w:r>
                              <w:rPr>
                                <w:noProof/>
                              </w:rPr>
                              <w:t>taxation) connection points. This common information technology network ensures that each national administration only needs to connect to this common infrastructure once to be able to exchange any kind of information. If no such infrastructure were availa</w:t>
                            </w:r>
                            <w:r>
                              <w:rPr>
                                <w:noProof/>
                              </w:rPr>
                              <w:t>ble, each Member State would have to link individually to the national systems of each of the other Member States.</w:t>
                            </w:r>
                          </w:p>
                          <w:p w:rsidR="0060634A" w:rsidRDefault="00F76D44">
                            <w:pPr>
                              <w:pStyle w:val="PPOTitle3"/>
                              <w:spacing w:before="260" w:after="140"/>
                              <w:rPr>
                                <w:rFonts w:eastAsiaTheme="minorEastAsia"/>
                              </w:rPr>
                            </w:pPr>
                            <w:r>
                              <w:rPr>
                                <w:rFonts w:eastAsiaTheme="minorEastAsia"/>
                              </w:rPr>
                              <w:t>Outlook for the 2021-2027 period</w:t>
                            </w:r>
                          </w:p>
                          <w:p w:rsidR="0060634A" w:rsidRDefault="00F76D44">
                            <w:pPr>
                              <w:pStyle w:val="PPObodyText"/>
                              <w:rPr>
                                <w:noProof/>
                              </w:rPr>
                            </w:pPr>
                            <w:r>
                              <w:rPr>
                                <w:noProof/>
                              </w:rPr>
                              <w:t>The Commission proposed a continuation of the programme for the next multiannual financial framework.</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left:0;text-align:left;margin-left:176.7pt;margin-top:418.3pt;width:191.9pt;height:255.25pt;z-index:25169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" stroked="f">
                <v:textbox style="mso-next-textbox:#Text Box 525" inset="0">
                  <w:txbxContent>
                    <w:p w:rsidR="0060634A" w:rsidRDefault="00F76D44">
                      <w:pPr>
                        <w:pStyle w:val="PPOTitle3-nospacebefore"/>
                        <w:rPr>
                          <w:rFonts w:eastAsiaTheme="minorEastAsia"/>
                        </w:rPr>
                      </w:pPr>
                      <w:r>
                        <w:rPr>
                          <w:rFonts w:eastAsiaTheme="minorEastAsia"/>
                        </w:rPr>
                        <w:t>Why is it necessary?</w:t>
                      </w:r>
                    </w:p>
                    <w:p w:rsidR="0060634A" w:rsidRDefault="00F76D44">
                      <w:pPr>
                        <w:pStyle w:val="PPObodyText"/>
                        <w:spacing w:after="220"/>
                        <w:rPr>
                          <w:noProof/>
                        </w:rPr>
                      </w:pPr>
                      <w:r>
                        <w:rPr>
                          <w:noProof/>
                        </w:rPr>
                        <w:t xml:space="preserve">Without intense cooperation and coordination between Member States, unfair tax competition and tax shopping would increase, while fraudsters would </w:t>
                      </w:r>
                      <w:r>
                        <w:rPr>
                          <w:noProof/>
                        </w:rPr>
                        <w:t>exploit the lack of cooperation between national authorities. The added value of the Fiscalis programme, including for the protection of the financial interests of the EU Member States and of taxpayers, has been recognised by the tax administrations of the</w:t>
                      </w:r>
                      <w:r>
                        <w:rPr>
                          <w:noProof/>
                        </w:rPr>
                        <w:t xml:space="preserve"> participating countries. The challenges identified for the next decade cannot be tackled if Member States do not look beyond the borders of their administrative territories or cooperate intensively with their counterparts. The Fiscalis programme, implemen</w:t>
                      </w:r>
                      <w:r>
                        <w:rPr>
                          <w:noProof/>
                        </w:rPr>
                        <w:t>ted by the Commission in cooperation with the participating countries, offers Member States an EU framework in which to develop activities through cooperation among national tax officials on the one hand, and cooperation on information technology on the ot</w:t>
                      </w:r>
                      <w:r>
                        <w:rPr>
                          <w:noProof/>
                        </w:rPr>
                        <w:t>her hand. This set-up is more cost-effective than if each Member State were to set up individual cooperation frameworks on a bilateral or multilateral basis.</w:t>
                      </w:r>
                    </w:p>
                    <w:p w:rsidR="0060634A" w:rsidRDefault="00F76D44">
                      <w:pPr>
                        <w:pStyle w:val="PPObodyText"/>
                        <w:rPr>
                          <w:noProof/>
                        </w:rPr>
                      </w:pPr>
                      <w:r>
                        <w:rPr>
                          <w:noProof/>
                        </w:rPr>
                        <w:t>The programme connects national tax administrations through approximately 5</w:t>
                      </w:r>
                      <w:r>
                        <w:rPr>
                          <w:rFonts w:ascii="Calibri" w:hAnsi="Calibri" w:cs="Calibri"/>
                          <w:noProof/>
                        </w:rPr>
                        <w:t> </w:t>
                      </w:r>
                      <w:r>
                        <w:rPr>
                          <w:noProof/>
                        </w:rPr>
                        <w:t xml:space="preserve">000 (customs and </w:t>
                      </w:r>
                      <w:r>
                        <w:rPr>
                          <w:noProof/>
                        </w:rPr>
                        <w:t>taxation) connection points. This common information technology network ensures that each national administration only needs to connect to this common infrastructure once to be able to exchange any kind of information. If no such infrastructure were availa</w:t>
                      </w:r>
                      <w:r>
                        <w:rPr>
                          <w:noProof/>
                        </w:rPr>
                        <w:t>ble, each Member State would have to link individually to the national systems of each of the other Member States.</w:t>
                      </w:r>
                    </w:p>
                    <w:p w:rsidR="0060634A" w:rsidRDefault="00F76D44">
                      <w:pPr>
                        <w:pStyle w:val="PPOTitle3"/>
                        <w:spacing w:before="260" w:after="140"/>
                        <w:rPr>
                          <w:rFonts w:eastAsiaTheme="minorEastAsia"/>
                        </w:rPr>
                      </w:pPr>
                      <w:r>
                        <w:rPr>
                          <w:rFonts w:eastAsiaTheme="minorEastAsia"/>
                        </w:rPr>
                        <w:t>Outlook for the 2021-2027 period</w:t>
                      </w:r>
                    </w:p>
                    <w:p w:rsidR="0060634A" w:rsidRDefault="00F76D44">
                      <w:pPr>
                        <w:pStyle w:val="PPObodyText"/>
                        <w:rPr>
                          <w:noProof/>
                        </w:rPr>
                      </w:pPr>
                      <w:r>
                        <w:rPr>
                          <w:noProof/>
                        </w:rPr>
                        <w:t>The Commission proposed a continuation of the programme for the next multiannual financial framework.</w:t>
                      </w:r>
                    </w:p>
                  </w:txbxContent>
                </v:textbox>
                <w10:wrap type="topAndBottom" anchorx="page" anchory="page"/>
                <w10:anchorlock/>
              </v:shape>
            </w:pict>
          </mc:Fallback>
        </mc:AlternateContent>
      </w:r>
    </w:p>
    <w:p w:rsidR="0060634A" w:rsidRDefault="00F76D44">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695104" behindDoc="0" locked="1" layoutInCell="1" allowOverlap="1">
                <wp:simplePos x="0" y="0"/>
                <wp:positionH relativeFrom="column">
                  <wp:posOffset>539750</wp:posOffset>
                </wp:positionH>
                <wp:positionV relativeFrom="paragraph">
                  <wp:posOffset>1270</wp:posOffset>
                </wp:positionV>
                <wp:extent cx="115200" cy="115200"/>
                <wp:effectExtent l="0" t="0" r="0" b="0"/>
                <wp:wrapNone/>
                <wp:docPr id="523" name="Oval 523"/>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00AD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FA7240" id="Oval 523" o:spid="_x0000_s1026" style="position:absolute;margin-left:42.5pt;margin-top:.1pt;width:9.05pt;height:9.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" fillcolor="#00addc" stroked="f" strokeweight="1pt">
                <v:stroke joinstyle="miter"/>
                <w10:anchorlock/>
              </v:oval>
            </w:pict>
          </mc:Fallback>
        </mc:AlternateContent>
      </w:r>
      <w:r>
        <w:rPr>
          <w:rFonts w:eastAsiaTheme="minorEastAsia"/>
          <w:lang w:val="fr-BE" w:eastAsia="fr-BE"/>
        </w:rPr>
        <w:drawing>
          <wp:anchor distT="0" distB="0" distL="114300" distR="114300" simplePos="0" relativeHeight="251688960" behindDoc="1" locked="1" layoutInCell="1" allowOverlap="1">
            <wp:simplePos x="0" y="0"/>
            <wp:positionH relativeFrom="page">
              <wp:posOffset>-414020</wp:posOffset>
            </wp:positionH>
            <wp:positionV relativeFrom="paragraph">
              <wp:posOffset>-1597660</wp:posOffset>
            </wp:positionV>
            <wp:extent cx="3412490" cy="1990725"/>
            <wp:effectExtent l="0" t="0" r="0" b="0"/>
            <wp:wrapNone/>
            <wp:docPr id="531" name="Chart 5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2"/>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691008" behindDoc="0" locked="1" layoutInCell="1" allowOverlap="1">
                <wp:simplePos x="0" y="0"/>
                <wp:positionH relativeFrom="column">
                  <wp:posOffset>539750</wp:posOffset>
                </wp:positionH>
                <wp:positionV relativeFrom="paragraph">
                  <wp:posOffset>195580</wp:posOffset>
                </wp:positionV>
                <wp:extent cx="115200" cy="115200"/>
                <wp:effectExtent l="0" t="0" r="0" b="0"/>
                <wp:wrapNone/>
                <wp:docPr id="524" name="Oval 524"/>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5BCE47" id="Oval 524" o:spid="_x0000_s1026" style="position:absolute;margin-left:42.5pt;margin-top:15.4pt;width:9.05pt;height:9.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" fillcolor="#28296e" stroked="f" strokeweight="1pt">
                <v:stroke joinstyle="miter"/>
                <w10:anchorlock/>
              </v:oval>
            </w:pict>
          </mc:Fallback>
        </mc:AlternateContent>
      </w:r>
      <w:r>
        <w:rPr>
          <w:rFonts w:eastAsiaTheme="minorEastAsia"/>
        </w:rPr>
        <w:t>Pa</w:t>
      </w:r>
      <w:r>
        <w:rPr>
          <w:rFonts w:eastAsiaTheme="minorEastAsia"/>
        </w:rPr>
        <w:t>yments</w:t>
      </w:r>
    </w:p>
    <w:p w:rsidR="0060634A" w:rsidRDefault="00F76D44">
      <w:pPr>
        <w:pStyle w:val="PPOsidebarchartLegends"/>
        <w:rPr>
          <w:rFonts w:eastAsiaTheme="minorEastAsia"/>
        </w:rPr>
      </w:pPr>
      <w:r>
        <w:rPr>
          <w:rFonts w:eastAsiaTheme="minorEastAsia"/>
        </w:rPr>
        <w:t>Commitments</w:t>
      </w:r>
    </w:p>
    <w:p w:rsidR="0060634A" w:rsidRDefault="00F76D44">
      <w:pPr>
        <w:pStyle w:val="PPO1AsidebarTitleLightBlue"/>
        <w:rPr>
          <w:rFonts w:eastAsiaTheme="minorEastAsia"/>
        </w:rPr>
      </w:pPr>
      <w:r>
        <w:rPr>
          <w:rFonts w:eastAsiaTheme="minorEastAsia"/>
        </w:rPr>
        <w:t>Evaluations/</w:t>
      </w:r>
      <w:r>
        <w:rPr>
          <w:rFonts w:eastAsiaTheme="minorEastAsia"/>
        </w:rPr>
        <w:br/>
        <w:t>studies conducted</w:t>
      </w:r>
    </w:p>
    <w:p w:rsidR="0060634A" w:rsidRDefault="00F76D44">
      <w:pPr>
        <w:pStyle w:val="PPOsidebartext"/>
        <w:rPr>
          <w:rFonts w:eastAsiaTheme="minorEastAsia"/>
        </w:rPr>
      </w:pPr>
      <w:r>
        <w:rPr>
          <w:rFonts w:eastAsiaTheme="minorEastAsia"/>
        </w:rPr>
        <w:t>The studies and evaluations financed under the Fiscalis programme can be consulted on the ‘Taxation and customs union’ section of the Europa website:</w:t>
      </w:r>
    </w:p>
    <w:p w:rsidR="0060634A" w:rsidRDefault="00F76D44">
      <w:pPr>
        <w:pStyle w:val="PPOsidebartext"/>
        <w:rPr>
          <w:rStyle w:val="PPOChar-Hyperlink"/>
          <w:rFonts w:eastAsiaTheme="minorEastAsia"/>
        </w:rPr>
      </w:pPr>
      <w:hyperlink r:id="rId383" w:history="1">
        <w:r>
          <w:rPr>
            <w:rStyle w:val="PPOChar-Hyperlink"/>
            <w:rFonts w:eastAsiaTheme="minorEastAsia"/>
          </w:rPr>
          <w:t>http://europa.e</w:t>
        </w:r>
        <w:r>
          <w:rPr>
            <w:rStyle w:val="PPOChar-Hyperlink"/>
            <w:rFonts w:eastAsiaTheme="minorEastAsia"/>
          </w:rPr>
          <w:t>u/!tv44YW</w:t>
        </w:r>
      </w:hyperlink>
    </w:p>
    <w:p w:rsidR="0060634A" w:rsidRDefault="00F76D44">
      <w:pPr>
        <w:pStyle w:val="PPO1AsidebarTitleLightBlue"/>
        <w:rPr>
          <w:rFonts w:eastAsiaTheme="minorEastAsia"/>
        </w:rPr>
      </w:pPr>
      <w:r>
        <w:rPr>
          <w:rFonts w:eastAsiaTheme="minorEastAsia"/>
        </w:rPr>
        <w:t>How is it implemented?</w:t>
      </w:r>
    </w:p>
    <w:tbl>
      <w:tblPr>
        <w:tblStyle w:val="TableGrid"/>
        <w:tblpPr w:vertAnchor="page" w:horzAnchor="page" w:tblpX="3663" w:tblpY="13629"/>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60634A">
        <w:trPr>
          <w:cantSplit/>
        </w:trPr>
        <w:tc>
          <w:tcPr>
            <w:tcW w:w="7792" w:type="dxa"/>
            <w:gridSpan w:val="3"/>
            <w:vAlign w:val="center"/>
          </w:tcPr>
          <w:p w:rsidR="0060634A" w:rsidRDefault="00F76D44">
            <w:pPr>
              <w:pStyle w:val="PPOTitle3-nospacebefore"/>
              <w:ind w:left="-108"/>
              <w:rPr>
                <w:rFonts w:eastAsiaTheme="minorEastAsia"/>
                <w:lang w:val="en-GB"/>
              </w:rPr>
            </w:pPr>
            <w:r>
              <w:rPr>
                <w:rFonts w:eastAsiaTheme="minorEastAsia"/>
                <w:lang w:val="en-GB"/>
              </w:rPr>
              <w:t>Voted budget execution (in EUR million)</w:t>
            </w:r>
          </w:p>
        </w:tc>
      </w:tr>
      <w:tr w:rsidR="0060634A">
        <w:tblPrEx>
          <w:tblCellMar>
            <w:left w:w="57" w:type="dxa"/>
            <w:right w:w="57" w:type="dxa"/>
          </w:tblCellMar>
        </w:tblPrEx>
        <w:trPr>
          <w:cantSplit/>
        </w:trPr>
        <w:tc>
          <w:tcPr>
            <w:tcW w:w="3471" w:type="dxa"/>
            <w:shd w:val="clear" w:color="auto" w:fill="00ADDC"/>
            <w:vAlign w:val="center"/>
          </w:tcPr>
          <w:p w:rsidR="0060634A" w:rsidRDefault="00F76D44">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00ADDC"/>
            <w:vAlign w:val="center"/>
          </w:tcPr>
          <w:p w:rsidR="0060634A" w:rsidRDefault="0060634A">
            <w:pPr>
              <w:spacing w:afterAutospacing="1"/>
              <w:jc w:val="center"/>
              <w:rPr>
                <w:noProof/>
                <w:sz w:val="18"/>
              </w:rPr>
            </w:pPr>
          </w:p>
        </w:tc>
        <w:tc>
          <w:tcPr>
            <w:tcW w:w="3471" w:type="dxa"/>
            <w:shd w:val="clear" w:color="auto" w:fill="00ADDC"/>
            <w:vAlign w:val="center"/>
          </w:tcPr>
          <w:p w:rsidR="0060634A" w:rsidRDefault="00F76D44">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60634A">
        <w:trPr>
          <w:cantSplit/>
        </w:trPr>
        <w:tc>
          <w:tcPr>
            <w:tcW w:w="3471" w:type="dxa"/>
            <w:shd w:val="clear" w:color="auto" w:fill="DCE6F2"/>
            <w:vAlign w:val="center"/>
          </w:tcPr>
          <w:p w:rsidR="0060634A" w:rsidRDefault="00F76D44">
            <w:pPr>
              <w:spacing w:after="100" w:afterAutospacing="1"/>
              <w:jc w:val="center"/>
              <w:rPr>
                <w:noProof/>
                <w:color w:val="0070C0"/>
                <w:sz w:val="18"/>
              </w:rPr>
            </w:pPr>
            <w:r>
              <w:rPr>
                <w:noProof/>
                <w:color w:val="0070C0"/>
                <w:sz w:val="18"/>
                <w:lang w:eastAsia="fr-BE"/>
              </w:rPr>
              <w:drawing>
                <wp:inline distT="0" distB="0" distL="0" distR="0">
                  <wp:extent cx="2158365" cy="89027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c>
          <w:tcPr>
            <w:tcW w:w="850" w:type="dxa"/>
            <w:shd w:val="clear" w:color="auto" w:fill="DCE6F2"/>
            <w:vAlign w:val="center"/>
          </w:tcPr>
          <w:p w:rsidR="0060634A" w:rsidRDefault="00F76D44">
            <w:pPr>
              <w:pStyle w:val="PPOVotedbudgetTABLEtextBlue"/>
              <w:framePr w:hSpace="0" w:wrap="auto" w:vAnchor="margin" w:hAnchor="text" w:xAlign="left" w:yAlign="inline"/>
              <w:suppressOverlap w:val="0"/>
              <w:rPr>
                <w:rFonts w:asciiTheme="minorHAnsi" w:eastAsiaTheme="minorEastAsia" w:hAnsiTheme="minorHAnsi" w:cstheme="minorBidi"/>
              </w:rPr>
            </w:pPr>
            <w:r>
              <w:rPr>
                <w:rFonts w:asciiTheme="minorHAnsi" w:eastAsiaTheme="minorEastAsia" w:hAnsiTheme="minorHAnsi" w:cstheme="minorBidi"/>
              </w:rPr>
              <w:t>2017</w:t>
            </w:r>
          </w:p>
          <w:p w:rsidR="0060634A" w:rsidRDefault="00F76D44">
            <w:pPr>
              <w:pStyle w:val="PPOVotedbudgetTABLEtextBlue"/>
              <w:framePr w:hSpace="0" w:wrap="auto" w:vAnchor="margin" w:hAnchor="text" w:xAlign="left" w:yAlign="inline"/>
              <w:suppressOverlap w:val="0"/>
              <w:rPr>
                <w:rFonts w:asciiTheme="minorHAnsi" w:eastAsiaTheme="minorEastAsia" w:hAnsiTheme="minorHAnsi" w:cstheme="minorBidi"/>
              </w:rPr>
            </w:pPr>
            <w:r>
              <w:rPr>
                <w:rFonts w:asciiTheme="minorHAnsi" w:eastAsiaTheme="minorEastAsia" w:hAnsiTheme="minorHAnsi" w:cstheme="minorBidi"/>
              </w:rPr>
              <w:t>2018</w:t>
            </w:r>
          </w:p>
          <w:p w:rsidR="0060634A" w:rsidRDefault="00F76D44">
            <w:pPr>
              <w:pStyle w:val="PPOVotedbudgetTABLEtextBlue"/>
              <w:framePr w:hSpace="0" w:wrap="auto" w:vAnchor="margin" w:hAnchor="text" w:xAlign="left" w:yAlign="inline"/>
              <w:suppressOverlap w:val="0"/>
              <w:rPr>
                <w:rFonts w:ascii="EC Square Sans Pro" w:eastAsiaTheme="minorEastAsia" w:hAnsi="EC Square Sans Pro" w:cstheme="minorBidi"/>
                <w:sz w:val="18"/>
              </w:rPr>
            </w:pPr>
            <w:r>
              <w:rPr>
                <w:rFonts w:asciiTheme="minorHAnsi" w:eastAsiaTheme="minorEastAsia" w:hAnsiTheme="minorHAnsi" w:cstheme="minorBidi"/>
              </w:rPr>
              <w:t>2019</w:t>
            </w:r>
          </w:p>
        </w:tc>
        <w:tc>
          <w:tcPr>
            <w:tcW w:w="3471" w:type="dxa"/>
            <w:shd w:val="clear" w:color="auto" w:fill="DCE6F2"/>
            <w:vAlign w:val="center"/>
          </w:tcPr>
          <w:p w:rsidR="0060634A" w:rsidRDefault="00F76D44">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89027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r>
    </w:tbl>
    <w:p w:rsidR="0060634A" w:rsidRDefault="00F76D44">
      <w:pPr>
        <w:pStyle w:val="PPOsidebartext"/>
        <w:rPr>
          <w:rFonts w:eastAsiaTheme="minorEastAsia"/>
        </w:rPr>
      </w:pPr>
      <w:r>
        <w:rPr>
          <w:rFonts w:eastAsiaTheme="minorEastAsia"/>
        </w:rPr>
        <w:t xml:space="preserve">The Directorate-General for Taxation and Customs Union is the lead DG for the implementation of the programme through </w:t>
      </w:r>
      <w:r>
        <w:rPr>
          <w:rFonts w:eastAsiaTheme="minorEastAsia"/>
        </w:rPr>
        <w:t>direct management.</w:t>
      </w:r>
    </w:p>
    <w:p w:rsidR="0060634A" w:rsidRDefault="00F76D44">
      <w:pPr>
        <w:pStyle w:val="PPO1ATitle1"/>
        <w:rPr>
          <w:rFonts w:eastAsiaTheme="minorEastAsia"/>
        </w:rPr>
      </w:pPr>
      <w:r>
        <w:rPr>
          <w:rFonts w:eastAsiaTheme="minorEastAsia"/>
        </w:rPr>
        <w:br w:type="column"/>
      </w:r>
      <w:bookmarkStart w:id="36" w:name="_Toc39583684"/>
      <w:r>
        <w:rPr>
          <w:rFonts w:eastAsiaTheme="minorEastAsia"/>
        </w:rPr>
        <w:t>FISCALIS 2020</w:t>
      </w:r>
      <w:bookmarkEnd w:id="36"/>
    </w:p>
    <w:p w:rsidR="0060634A" w:rsidRDefault="00F76D44">
      <w:pPr>
        <w:pStyle w:val="PPO1ATitle2"/>
        <w:rPr>
          <w:rFonts w:eastAsiaTheme="minorEastAsia"/>
        </w:rPr>
      </w:pPr>
      <w:r>
        <w:rPr>
          <w:rFonts w:eastAsiaTheme="minorEastAsia"/>
        </w:rPr>
        <w:t>ACTION PROGRAMME FOR TAXATION IN THE EUROPEAN UNION</w:t>
      </w:r>
    </w:p>
    <w:p w:rsidR="0060634A" w:rsidRDefault="00F76D44">
      <w:pPr>
        <w:pStyle w:val="PPOTitle3"/>
        <w:rPr>
          <w:rFonts w:eastAsiaTheme="minorEastAsia"/>
        </w:rPr>
      </w:pPr>
      <w:r>
        <w:rPr>
          <w:rFonts w:eastAsiaTheme="minorEastAsia"/>
        </w:rPr>
        <w:t>What is Fiscalis 2020?</w:t>
      </w:r>
    </w:p>
    <w:p w:rsidR="0060634A" w:rsidRDefault="00F76D44">
      <w:pPr>
        <w:pStyle w:val="PPObodyText"/>
        <w:rPr>
          <w:noProof/>
        </w:rPr>
      </w:pPr>
      <w:r>
        <w:rPr>
          <w:noProof/>
          <w:lang w:val="fr-BE" w:eastAsia="fr-BE"/>
        </w:rPr>
        <mc:AlternateContent>
          <mc:Choice Requires="wps">
            <w:drawing>
              <wp:anchor distT="0" distB="0" distL="114300" distR="114300" simplePos="0" relativeHeight="251694080" behindDoc="0" locked="1" layoutInCell="1" allowOverlap="1">
                <wp:simplePos x="0" y="0"/>
                <wp:positionH relativeFrom="page">
                  <wp:posOffset>4762500</wp:posOffset>
                </wp:positionH>
                <wp:positionV relativeFrom="page">
                  <wp:posOffset>5568950</wp:posOffset>
                </wp:positionV>
                <wp:extent cx="2437130" cy="2756535"/>
                <wp:effectExtent l="0" t="0" r="1270" b="5715"/>
                <wp:wrapTopAndBottom/>
                <wp:docPr id="525" name="Text Box 525"/>
                <wp:cNvGraphicFramePr/>
                <a:graphic xmlns:a="http://schemas.openxmlformats.org/drawingml/2006/main">
                  <a:graphicData uri="http://schemas.microsoft.com/office/word/2010/wordprocessingShape">
                    <wps:wsp>
                      <wps:cNvSpPr txBox="1"/>
                      <wps:spPr>
                        <a:xfrm>
                          <a:off x="0" y="0"/>
                          <a:ext cx="2437130" cy="2756535"/>
                        </a:xfrm>
                        <a:prstGeom prst="rect">
                          <a:avLst/>
                        </a:prstGeom>
                        <a:solidFill>
                          <a:schemeClr val="lt1"/>
                        </a:solidFill>
                        <a:ln w="6350">
                          <a:noFill/>
                        </a:ln>
                      </wps:spPr>
                      <wps:linkedTxbx id="76"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5" o:spid="_x0000_s1147" type="#_x0000_t202" style="position:absolute;left:0;text-align:left;margin-left:375pt;margin-top:438.5pt;width:191.9pt;height:217.0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" fillcolor="white [3201]" stroked="f" strokeweight=".5pt">
                <v:textbox inset=",,0">
                  <w:txbxContent/>
                </v:textbox>
                <w10:wrap type="topAndBottom" anchorx="page" anchory="page"/>
                <w10:anchorlock/>
              </v:shape>
            </w:pict>
          </mc:Fallback>
        </mc:AlternateContent>
      </w:r>
      <w:r>
        <w:rPr>
          <w:noProof/>
        </w:rPr>
        <w:t>Fiscalis 2020 is an EU cooperation programme enabling national tax administrations to create and exchange information and expertise. It allows maj</w:t>
      </w:r>
      <w:r>
        <w:rPr>
          <w:noProof/>
        </w:rPr>
        <w:t>or trans-European information technology systems to be developed and operated in partnership, and allows various person-to-person networks to be established by bringing together national officials from across the EU. The majority of the programme funding (</w:t>
      </w:r>
      <w:r>
        <w:rPr>
          <w:noProof/>
        </w:rPr>
        <w:t>approximately 80%) enables the development and operation of the European information systems for taxation, followed by the organisation of joint actions, cooperation and collaboration (around 15%) and training activities (around 5%).</w:t>
      </w:r>
    </w:p>
    <w:p w:rsidR="0060634A" w:rsidRDefault="00F76D44">
      <w:pPr>
        <w:pStyle w:val="PPObodyText"/>
        <w:rPr>
          <w:noProof/>
        </w:rPr>
      </w:pPr>
      <w:r>
        <w:rPr>
          <w:noProof/>
        </w:rPr>
        <w:t>It improves the proper</w:t>
      </w:r>
      <w:r>
        <w:rPr>
          <w:noProof/>
        </w:rPr>
        <w:t xml:space="preserve"> functioning of the taxation systems in the internal market by enhancing cooperation between participating countries, their tax authorities and their officials. This includes the fight against tax fraud, tax evasion and aggressive tax planning and the impl</w:t>
      </w:r>
      <w:r>
        <w:rPr>
          <w:noProof/>
        </w:rPr>
        <w:t xml:space="preserve">ementation of EU law in the field of taxation by ensuring the exchange of information, supporting administrative cooperation and, where necessary and appropriate, enhancing the administrative capacity of participating countries with a view to assisting in </w:t>
      </w:r>
      <w:r>
        <w:rPr>
          <w:noProof/>
        </w:rPr>
        <w:t>reducing the administrative burden on tax authorities and the compliance costs for taxpayers.</w:t>
      </w:r>
    </w:p>
    <w:p w:rsidR="0060634A" w:rsidRDefault="00F76D44">
      <w:pPr>
        <w:pStyle w:val="PPObodyText"/>
        <w:spacing w:after="280"/>
        <w:rPr>
          <w:noProof/>
        </w:rPr>
      </w:pPr>
      <w:r>
        <w:rPr>
          <w:noProof/>
        </w:rPr>
        <w:t>The Fiscalis 2020 programme supports a highly secure, dedicated communication network allowing the exchange of information in the framework of the fight against f</w:t>
      </w:r>
      <w:r>
        <w:rPr>
          <w:noProof/>
        </w:rPr>
        <w:t>raud, for both direct and indirect taxation.</w:t>
      </w:r>
    </w:p>
    <w:tbl>
      <w:tblPr>
        <w:tblStyle w:val="TableGrid"/>
        <w:tblpPr w:leftFromText="181" w:rightFromText="340" w:vertAnchor="text" w:tblpX="108" w:tblpY="1"/>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7797"/>
      </w:tblGrid>
      <w:tr w:rsidR="0060634A">
        <w:trPr>
          <w:trHeight w:val="1743"/>
        </w:trPr>
        <w:tc>
          <w:tcPr>
            <w:tcW w:w="7797" w:type="dxa"/>
            <w:shd w:val="clear" w:color="auto" w:fill="F2F2F2" w:themeFill="background1" w:themeFillShade="F2"/>
          </w:tcPr>
          <w:p w:rsidR="0060634A" w:rsidRDefault="00F76D44">
            <w:pPr>
              <w:pStyle w:val="PPO1ASpecificobjectivesBOX-HeadingLightBlue"/>
              <w:rPr>
                <w:rFonts w:eastAsiaTheme="minorEastAsia"/>
              </w:rPr>
            </w:pPr>
            <w:r>
              <w:rPr>
                <w:rFonts w:eastAsiaTheme="minorEastAsia"/>
              </w:rPr>
              <w:t>Specific objectives</w:t>
            </w:r>
            <w:r>
              <w:rPr>
                <w:rFonts w:eastAsiaTheme="minorEastAsia"/>
                <w:lang w:eastAsia="fr-BE"/>
              </w:rPr>
              <mc:AlternateContent>
                <mc:Choice Requires="wps">
                  <w:drawing>
                    <wp:anchor distT="0" distB="0" distL="114300" distR="114300" simplePos="0" relativeHeight="251696128"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24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00ADDC"/>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8992DB" id="Freeform 6" o:spid="_x0000_s1026" style="position:absolute;margin-left:4pt;margin-top:1.4pt;width:21.25pt;height:2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00addc"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p>
          <w:p w:rsidR="0060634A" w:rsidRDefault="00F76D44">
            <w:pPr>
              <w:pStyle w:val="PPO1ASpecificobjectivesBOX-BulletLightBlue"/>
              <w:numPr>
                <w:ilvl w:val="0"/>
                <w:numId w:val="10"/>
              </w:numPr>
              <w:rPr>
                <w:rFonts w:ascii="EC Square Sans Cond Pro" w:hAnsi="EC Square Sans Cond Pro"/>
                <w:lang w:val="en-GB"/>
              </w:rPr>
            </w:pPr>
            <w:r>
              <w:rPr>
                <w:rFonts w:ascii="EC Square Sans Cond Pro" w:hAnsi="EC Square Sans Cond Pro"/>
                <w:lang w:val="en-GB"/>
              </w:rPr>
              <w:t>To support the fight against tax fraud, tax evasion and aggressive tax planning and the implementation of EU law in the field of taxation by ensuring the exchange of information, by supporti</w:t>
            </w:r>
            <w:r>
              <w:rPr>
                <w:rFonts w:ascii="EC Square Sans Cond Pro" w:hAnsi="EC Square Sans Cond Pro"/>
                <w:lang w:val="en-GB"/>
              </w:rPr>
              <w:t>ng administrative cooperation and, where necessary and appropriate, by enhancing the administrative capacity of participating countries with a view to assisting in reducing the administrative burden on tax authorities and the compliance costs for taxpayers</w:t>
            </w:r>
            <w:r>
              <w:rPr>
                <w:rFonts w:ascii="EC Square Sans Cond Pro" w:hAnsi="EC Square Sans Cond Pro"/>
                <w:lang w:val="en-GB"/>
              </w:rPr>
              <w:t xml:space="preserve">. </w:t>
            </w:r>
          </w:p>
        </w:tc>
      </w:tr>
    </w:tbl>
    <w:p w:rsidR="0060634A" w:rsidRDefault="0060634A">
      <w:pPr>
        <w:framePr w:w="6721" w:wrap="auto" w:hAnchor="text" w:x="3544"/>
        <w:jc w:val="both"/>
        <w:rPr>
          <w:b/>
          <w:noProof/>
          <w:color w:val="1F95A5"/>
        </w:rPr>
        <w:sectPr w:rsidR="0060634A">
          <w:headerReference w:type="even" r:id="rId386"/>
          <w:headerReference w:type="default" r:id="rId387"/>
          <w:footerReference w:type="even" r:id="rId388"/>
          <w:footerReference w:type="default" r:id="rId389"/>
          <w:headerReference w:type="first" r:id="rId390"/>
          <w:footerReference w:type="first" r:id="rId391"/>
          <w:pgSz w:w="11906" w:h="16838"/>
          <w:pgMar w:top="567" w:right="567" w:bottom="567" w:left="567" w:header="567" w:footer="454" w:gutter="0"/>
          <w:paperSrc w:first="15" w:other="15"/>
          <w:cols w:num="2" w:space="708" w:equalWidth="0">
            <w:col w:w="2269" w:space="708"/>
            <w:col w:w="7795"/>
          </w:cols>
          <w:docGrid w:linePitch="360"/>
        </w:sectPr>
      </w:pPr>
    </w:p>
    <w:p w:rsidR="0060634A" w:rsidRDefault="00F76D44">
      <w:pPr>
        <w:pStyle w:val="PPOTitle3-nospacebefore"/>
        <w:rPr>
          <w:rFonts w:eastAsiaTheme="minorEastAsia"/>
          <w:color w:val="000000"/>
          <w:lang w:eastAsia="en-GB"/>
        </w:rPr>
      </w:pPr>
      <w:r>
        <w:rPr>
          <w:rFonts w:eastAsiaTheme="minorEastAsia"/>
        </w:rPr>
        <w:t xml:space="preserve">Key performance </w:t>
      </w:r>
      <w:r>
        <w:rPr>
          <w:rFonts w:eastAsiaTheme="minorEastAsia"/>
        </w:rPr>
        <w:t>indicators</w:t>
      </w:r>
    </w:p>
    <w:tbl>
      <w:tblPr>
        <w:tblStyle w:val="TableGrid"/>
        <w:tblW w:w="10740"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36"/>
        <w:gridCol w:w="707"/>
        <w:gridCol w:w="3478"/>
        <w:gridCol w:w="662"/>
        <w:gridCol w:w="2802"/>
        <w:gridCol w:w="55"/>
      </w:tblGrid>
      <w:tr w:rsidR="0060634A">
        <w:trPr>
          <w:gridAfter w:val="1"/>
          <w:wAfter w:w="55" w:type="dxa"/>
          <w:trHeight w:val="333"/>
        </w:trPr>
        <w:tc>
          <w:tcPr>
            <w:tcW w:w="3036" w:type="dxa"/>
            <w:vAlign w:val="center"/>
          </w:tcPr>
          <w:p w:rsidR="0060634A" w:rsidRDefault="0060634A">
            <w:pPr>
              <w:ind w:left="142"/>
              <w:jc w:val="right"/>
              <w:rPr>
                <w:noProof/>
                <w:sz w:val="16"/>
                <w:szCs w:val="16"/>
              </w:rPr>
            </w:pPr>
          </w:p>
        </w:tc>
        <w:tc>
          <w:tcPr>
            <w:tcW w:w="707" w:type="dxa"/>
            <w:vAlign w:val="bottom"/>
          </w:tcPr>
          <w:p w:rsidR="0060634A" w:rsidRDefault="00F76D44">
            <w:pPr>
              <w:jc w:val="center"/>
              <w:rPr>
                <w:b/>
                <w:noProof/>
                <w:color w:val="28296E"/>
                <w:sz w:val="16"/>
                <w:szCs w:val="16"/>
              </w:rPr>
            </w:pPr>
            <w:r>
              <w:rPr>
                <w:b/>
                <w:noProof/>
                <w:color w:val="28296E"/>
                <w:sz w:val="16"/>
                <w:szCs w:val="16"/>
              </w:rPr>
              <w:t>Baseline</w:t>
            </w:r>
          </w:p>
        </w:tc>
        <w:tc>
          <w:tcPr>
            <w:tcW w:w="3478" w:type="dxa"/>
            <w:vAlign w:val="center"/>
          </w:tcPr>
          <w:p w:rsidR="0060634A" w:rsidRDefault="00F76D44">
            <w:pPr>
              <w:ind w:left="142"/>
              <w:jc w:val="center"/>
              <w:rPr>
                <w:b/>
                <w:noProof/>
                <w:color w:val="28296E"/>
                <w:sz w:val="16"/>
                <w:szCs w:val="16"/>
              </w:rPr>
            </w:pPr>
            <w:r>
              <w:rPr>
                <w:b/>
                <w:noProof/>
                <w:color w:val="28296E"/>
                <w:sz w:val="16"/>
                <w:szCs w:val="16"/>
              </w:rPr>
              <w:t>PROGRESS TOWARDS THE TARGET</w:t>
            </w:r>
          </w:p>
        </w:tc>
        <w:tc>
          <w:tcPr>
            <w:tcW w:w="662" w:type="dxa"/>
            <w:vAlign w:val="bottom"/>
          </w:tcPr>
          <w:p w:rsidR="0060634A" w:rsidRDefault="00F76D44">
            <w:pPr>
              <w:jc w:val="center"/>
              <w:rPr>
                <w:b/>
                <w:noProof/>
                <w:color w:val="28296E"/>
                <w:sz w:val="16"/>
                <w:szCs w:val="16"/>
              </w:rPr>
            </w:pPr>
            <w:r>
              <w:rPr>
                <w:b/>
                <w:noProof/>
                <w:color w:val="28296E"/>
                <w:sz w:val="16"/>
                <w:szCs w:val="16"/>
              </w:rPr>
              <w:t>Target</w:t>
            </w:r>
          </w:p>
        </w:tc>
        <w:tc>
          <w:tcPr>
            <w:tcW w:w="2802" w:type="dxa"/>
            <w:vAlign w:val="bottom"/>
          </w:tcPr>
          <w:p w:rsidR="0060634A" w:rsidRDefault="00F76D44">
            <w:pPr>
              <w:jc w:val="center"/>
              <w:rPr>
                <w:b/>
                <w:noProof/>
                <w:color w:val="28296E"/>
                <w:sz w:val="16"/>
                <w:szCs w:val="16"/>
              </w:rPr>
            </w:pPr>
            <w:r>
              <w:rPr>
                <w:b/>
                <w:noProof/>
                <w:color w:val="28296E"/>
                <w:sz w:val="16"/>
                <w:szCs w:val="16"/>
              </w:rPr>
              <w:t>Results</w:t>
            </w:r>
          </w:p>
        </w:tc>
      </w:tr>
      <w:tr w:rsidR="0060634A">
        <w:tblPrEx>
          <w:tblCellMar>
            <w:left w:w="108" w:type="dxa"/>
            <w:right w:w="108" w:type="dxa"/>
          </w:tblCellMar>
        </w:tblPrEx>
        <w:trPr>
          <w:trHeight w:val="344"/>
        </w:trPr>
        <w:tc>
          <w:tcPr>
            <w:tcW w:w="3036"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The common communication network for the European information systems</w:t>
            </w:r>
            <w:r>
              <w:rPr>
                <w:rFonts w:ascii="EC Square Sans Cond Pro" w:hAnsi="EC Square Sans Cond Pro"/>
                <w:noProof/>
                <w:sz w:val="16"/>
                <w:lang w:val="en-GB"/>
              </w:rPr>
              <w:t xml:space="preserve"> (</w:t>
            </w:r>
            <w:r>
              <w:rPr>
                <w:rFonts w:ascii="EC Square Sans Cond Pro" w:hAnsi="EC Square Sans Cond Pro"/>
                <w:noProof/>
                <w:sz w:val="16"/>
                <w:vertAlign w:val="superscript"/>
                <w:lang w:val="en-GB"/>
              </w:rPr>
              <w:t>1</w:t>
            </w:r>
            <w:r>
              <w:rPr>
                <w:rFonts w:ascii="EC Square Sans Cond Pro" w:hAnsi="EC Square Sans Cond Pro"/>
                <w:noProof/>
                <w:sz w:val="16"/>
                <w:lang w:val="en-GB"/>
              </w:rPr>
              <w:t>)</w:t>
            </w:r>
          </w:p>
        </w:tc>
        <w:tc>
          <w:tcPr>
            <w:tcW w:w="707" w:type="dxa"/>
            <w:vAlign w:val="center"/>
          </w:tcPr>
          <w:p w:rsidR="0060634A" w:rsidRDefault="0060634A">
            <w:pPr>
              <w:jc w:val="center"/>
              <w:rPr>
                <w:rFonts w:ascii="EC Square Sans Cond Pro" w:hAnsi="EC Square Sans Cond Pro"/>
                <w:noProof/>
                <w:sz w:val="16"/>
                <w:szCs w:val="16"/>
                <w:lang w:val="en-GB" w:eastAsia="en-GB"/>
              </w:rPr>
            </w:pPr>
          </w:p>
        </w:tc>
        <w:tc>
          <w:tcPr>
            <w:tcW w:w="3478"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81200" cy="139700"/>
                  <wp:effectExtent l="0" t="0" r="0" b="0"/>
                  <wp:docPr id="534" name="Chart 5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2"/>
                    </a:graphicData>
                  </a:graphic>
                </wp:inline>
              </w:drawing>
            </w:r>
          </w:p>
        </w:tc>
        <w:tc>
          <w:tcPr>
            <w:tcW w:w="662"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99.90%</w:t>
            </w:r>
          </w:p>
        </w:tc>
        <w:tc>
          <w:tcPr>
            <w:tcW w:w="2857"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99.95% compared to 99.90% availability</w:t>
            </w:r>
          </w:p>
        </w:tc>
      </w:tr>
      <w:tr w:rsidR="0060634A">
        <w:tblPrEx>
          <w:tblCellMar>
            <w:left w:w="108" w:type="dxa"/>
            <w:right w:w="108" w:type="dxa"/>
          </w:tblCellMar>
        </w:tblPrEx>
        <w:trPr>
          <w:trHeight w:val="318"/>
        </w:trPr>
        <w:tc>
          <w:tcPr>
            <w:tcW w:w="3036" w:type="dxa"/>
            <w:vAlign w:val="center"/>
          </w:tcPr>
          <w:p w:rsidR="0060634A" w:rsidRDefault="00F76D44">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Network opportunity</w:t>
            </w:r>
            <w:r>
              <w:rPr>
                <w:rFonts w:ascii="EC Square Sans Cond Pro" w:hAnsi="EC Square Sans Cond Pro"/>
                <w:noProof/>
                <w:sz w:val="16"/>
              </w:rPr>
              <w:t xml:space="preserve"> (</w:t>
            </w:r>
            <w:r>
              <w:rPr>
                <w:rFonts w:ascii="EC Square Sans Cond Pro" w:hAnsi="EC Square Sans Cond Pro"/>
                <w:noProof/>
                <w:sz w:val="16"/>
                <w:vertAlign w:val="superscript"/>
              </w:rPr>
              <w:t>1</w:t>
            </w:r>
            <w:r>
              <w:rPr>
                <w:rFonts w:ascii="EC Square Sans Cond Pro" w:hAnsi="EC Square Sans Cond Pro"/>
                <w:noProof/>
                <w:sz w:val="16"/>
              </w:rPr>
              <w:t>)</w:t>
            </w:r>
          </w:p>
        </w:tc>
        <w:tc>
          <w:tcPr>
            <w:tcW w:w="707" w:type="dxa"/>
            <w:vAlign w:val="center"/>
          </w:tcPr>
          <w:p w:rsidR="0060634A" w:rsidRDefault="0060634A">
            <w:pPr>
              <w:jc w:val="center"/>
              <w:rPr>
                <w:rFonts w:ascii="EC Square Sans Cond Pro" w:hAnsi="EC Square Sans Cond Pro"/>
                <w:noProof/>
                <w:sz w:val="16"/>
                <w:szCs w:val="16"/>
                <w:lang w:eastAsia="en-GB"/>
              </w:rPr>
            </w:pPr>
          </w:p>
        </w:tc>
        <w:tc>
          <w:tcPr>
            <w:tcW w:w="3478"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81200" cy="139700"/>
                  <wp:effectExtent l="0" t="0" r="0" b="0"/>
                  <wp:docPr id="535" name="Chart 5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3"/>
                    </a:graphicData>
                  </a:graphic>
                </wp:inline>
              </w:drawing>
            </w:r>
          </w:p>
        </w:tc>
        <w:tc>
          <w:tcPr>
            <w:tcW w:w="662"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90%</w:t>
            </w:r>
          </w:p>
        </w:tc>
        <w:tc>
          <w:tcPr>
            <w:tcW w:w="2857"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96% compared to 90% availability</w:t>
            </w:r>
          </w:p>
        </w:tc>
      </w:tr>
      <w:tr w:rsidR="0060634A">
        <w:tblPrEx>
          <w:tblCellMar>
            <w:left w:w="108" w:type="dxa"/>
            <w:right w:w="108" w:type="dxa"/>
          </w:tblCellMar>
        </w:tblPrEx>
        <w:trPr>
          <w:trHeight w:val="309"/>
        </w:trPr>
        <w:tc>
          <w:tcPr>
            <w:tcW w:w="3036" w:type="dxa"/>
            <w:vAlign w:val="center"/>
          </w:tcPr>
          <w:p w:rsidR="0060634A" w:rsidRDefault="00F76D44">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Lasting networking effect</w:t>
            </w:r>
            <w:r>
              <w:rPr>
                <w:rFonts w:ascii="EC Square Sans Cond Pro" w:hAnsi="EC Square Sans Cond Pro"/>
                <w:noProof/>
                <w:sz w:val="16"/>
              </w:rPr>
              <w:t xml:space="preserve"> (</w:t>
            </w:r>
            <w:r>
              <w:rPr>
                <w:rFonts w:ascii="EC Square Sans Cond Pro" w:hAnsi="EC Square Sans Cond Pro"/>
                <w:noProof/>
                <w:sz w:val="16"/>
                <w:vertAlign w:val="superscript"/>
              </w:rPr>
              <w:t>2</w:t>
            </w:r>
            <w:r>
              <w:rPr>
                <w:rFonts w:ascii="EC Square Sans Cond Pro" w:hAnsi="EC Square Sans Cond Pro"/>
                <w:noProof/>
                <w:sz w:val="16"/>
              </w:rPr>
              <w:t>)</w:t>
            </w:r>
          </w:p>
        </w:tc>
        <w:tc>
          <w:tcPr>
            <w:tcW w:w="707" w:type="dxa"/>
            <w:vAlign w:val="center"/>
          </w:tcPr>
          <w:p w:rsidR="0060634A" w:rsidRDefault="0060634A">
            <w:pPr>
              <w:jc w:val="center"/>
              <w:rPr>
                <w:rFonts w:ascii="EC Square Sans Cond Pro" w:hAnsi="EC Square Sans Cond Pro"/>
                <w:noProof/>
                <w:sz w:val="16"/>
                <w:szCs w:val="16"/>
              </w:rPr>
            </w:pPr>
          </w:p>
        </w:tc>
        <w:tc>
          <w:tcPr>
            <w:tcW w:w="3478"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81200" cy="139700"/>
                  <wp:effectExtent l="0" t="0" r="0" b="0"/>
                  <wp:docPr id="536" name="Chart 5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4"/>
                    </a:graphicData>
                  </a:graphic>
                </wp:inline>
              </w:drawing>
            </w:r>
          </w:p>
        </w:tc>
        <w:tc>
          <w:tcPr>
            <w:tcW w:w="662"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78%</w:t>
            </w:r>
          </w:p>
        </w:tc>
        <w:tc>
          <w:tcPr>
            <w:tcW w:w="2857"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71% compared to 78% availability</w:t>
            </w:r>
          </w:p>
        </w:tc>
      </w:tr>
      <w:tr w:rsidR="0060634A">
        <w:tblPrEx>
          <w:tblCellMar>
            <w:left w:w="108" w:type="dxa"/>
            <w:right w:w="108" w:type="dxa"/>
          </w:tblCellMar>
        </w:tblPrEx>
        <w:trPr>
          <w:trHeight w:val="327"/>
        </w:trPr>
        <w:tc>
          <w:tcPr>
            <w:tcW w:w="3036" w:type="dxa"/>
            <w:vAlign w:val="center"/>
          </w:tcPr>
          <w:p w:rsidR="0060634A" w:rsidRDefault="00F76D44">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Face-to-face meetings</w:t>
            </w:r>
            <w:r>
              <w:rPr>
                <w:rFonts w:ascii="EC Square Sans Cond Pro" w:hAnsi="EC Square Sans Cond Pro"/>
                <w:noProof/>
                <w:sz w:val="16"/>
              </w:rPr>
              <w:t xml:space="preserve"> (</w:t>
            </w:r>
            <w:r>
              <w:rPr>
                <w:rFonts w:ascii="EC Square Sans Cond Pro" w:hAnsi="EC Square Sans Cond Pro"/>
                <w:noProof/>
                <w:sz w:val="16"/>
                <w:vertAlign w:val="superscript"/>
              </w:rPr>
              <w:t>2</w:t>
            </w:r>
            <w:r>
              <w:rPr>
                <w:rFonts w:ascii="EC Square Sans Cond Pro" w:hAnsi="EC Square Sans Cond Pro"/>
                <w:noProof/>
                <w:sz w:val="16"/>
              </w:rPr>
              <w:t>)</w:t>
            </w:r>
          </w:p>
        </w:tc>
        <w:tc>
          <w:tcPr>
            <w:tcW w:w="707" w:type="dxa"/>
            <w:vAlign w:val="center"/>
          </w:tcPr>
          <w:p w:rsidR="0060634A" w:rsidRDefault="0060634A">
            <w:pPr>
              <w:jc w:val="center"/>
              <w:rPr>
                <w:rFonts w:ascii="EC Square Sans Cond Pro" w:hAnsi="EC Square Sans Cond Pro"/>
                <w:noProof/>
                <w:sz w:val="16"/>
                <w:szCs w:val="16"/>
                <w:lang w:eastAsia="en-GB"/>
              </w:rPr>
            </w:pPr>
          </w:p>
        </w:tc>
        <w:tc>
          <w:tcPr>
            <w:tcW w:w="3478"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81200" cy="139700"/>
                  <wp:effectExtent l="0" t="0" r="0" b="0"/>
                  <wp:docPr id="537" name="Chart 5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5"/>
                    </a:graphicData>
                  </a:graphic>
                </wp:inline>
              </w:drawing>
            </w:r>
          </w:p>
        </w:tc>
        <w:tc>
          <w:tcPr>
            <w:tcW w:w="662"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441</w:t>
            </w:r>
          </w:p>
        </w:tc>
        <w:tc>
          <w:tcPr>
            <w:tcW w:w="2857" w:type="dxa"/>
            <w:gridSpan w:val="2"/>
            <w:vAlign w:val="center"/>
          </w:tcPr>
          <w:p w:rsidR="0060634A" w:rsidRDefault="00F76D44">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529 compared to 441 face-to-face meetings</w:t>
            </w:r>
          </w:p>
        </w:tc>
      </w:tr>
      <w:tr w:rsidR="0060634A">
        <w:trPr>
          <w:trHeight w:val="247"/>
        </w:trPr>
        <w:tc>
          <w:tcPr>
            <w:tcW w:w="3036" w:type="dxa"/>
            <w:tcBorders>
              <w:bottom w:val="nil"/>
            </w:tcBorders>
            <w:vAlign w:val="center"/>
          </w:tcPr>
          <w:p w:rsidR="0060634A" w:rsidRDefault="00F76D44">
            <w:pPr>
              <w:ind w:left="142"/>
              <w:jc w:val="right"/>
              <w:rPr>
                <w:noProof/>
                <w:sz w:val="16"/>
                <w:szCs w:val="16"/>
                <w:lang w:val="en-GB"/>
              </w:rPr>
            </w:pPr>
            <w:r>
              <w:rPr>
                <w:noProof/>
                <w:sz w:val="16"/>
                <w:szCs w:val="16"/>
                <w:lang w:val="en-GB"/>
              </w:rPr>
              <w:t xml:space="preserve">    </w:t>
            </w:r>
          </w:p>
        </w:tc>
        <w:tc>
          <w:tcPr>
            <w:tcW w:w="707" w:type="dxa"/>
            <w:tcBorders>
              <w:bottom w:val="nil"/>
            </w:tcBorders>
          </w:tcPr>
          <w:p w:rsidR="0060634A" w:rsidRDefault="0060634A">
            <w:pPr>
              <w:ind w:left="142"/>
              <w:rPr>
                <w:noProof/>
                <w:sz w:val="16"/>
                <w:szCs w:val="16"/>
                <w:lang w:val="en-GB" w:eastAsia="en-GB"/>
              </w:rPr>
            </w:pPr>
          </w:p>
        </w:tc>
        <w:tc>
          <w:tcPr>
            <w:tcW w:w="3478" w:type="dxa"/>
            <w:tcBorders>
              <w:bottom w:val="nil"/>
            </w:tcBorders>
            <w:vAlign w:val="center"/>
          </w:tcPr>
          <w:p w:rsidR="0060634A" w:rsidRDefault="00F76D44">
            <w:pPr>
              <w:spacing w:before="120"/>
              <w:rPr>
                <w:noProof/>
                <w:sz w:val="16"/>
                <w:szCs w:val="16"/>
                <w:lang w:val="en-GB"/>
              </w:rPr>
            </w:pPr>
            <w:r>
              <w:rPr>
                <w:noProof/>
                <w:sz w:val="16"/>
                <w:szCs w:val="16"/>
                <w:lang w:eastAsia="fr-BE"/>
              </w:rPr>
              <mc:AlternateContent>
                <mc:Choice Requires="wps">
                  <w:drawing>
                    <wp:anchor distT="0" distB="0" distL="114300" distR="114300" simplePos="0" relativeHeight="251693056"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527" name="Rectangle 527"/>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B5C6E" id="Rectangle 527" o:spid="_x0000_s1026" style="position:absolute;margin-left:-9.45pt;margin-top:6.1pt;width:6.35pt;height:7.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" fillcolor="#28296e" stroked="f" strokeweight="1pt">
                      <w10:wrap type="through"/>
                    </v:rect>
                  </w:pict>
                </mc:Fallback>
              </mc:AlternateContent>
            </w:r>
            <w:r>
              <w:rPr>
                <w:noProof/>
                <w:sz w:val="16"/>
                <w:szCs w:val="16"/>
                <w:lang w:val="en-GB"/>
              </w:rPr>
              <w:t>% of target achieved by the end of 2019</w:t>
            </w:r>
          </w:p>
        </w:tc>
        <w:tc>
          <w:tcPr>
            <w:tcW w:w="662" w:type="dxa"/>
            <w:tcBorders>
              <w:bottom w:val="nil"/>
            </w:tcBorders>
          </w:tcPr>
          <w:p w:rsidR="0060634A" w:rsidRDefault="0060634A">
            <w:pPr>
              <w:ind w:left="142"/>
              <w:rPr>
                <w:noProof/>
                <w:sz w:val="16"/>
                <w:szCs w:val="16"/>
                <w:lang w:val="en-GB" w:eastAsia="en-GB"/>
              </w:rPr>
            </w:pPr>
          </w:p>
        </w:tc>
        <w:tc>
          <w:tcPr>
            <w:tcW w:w="2857" w:type="dxa"/>
            <w:gridSpan w:val="2"/>
            <w:tcBorders>
              <w:bottom w:val="nil"/>
            </w:tcBorders>
            <w:vAlign w:val="center"/>
          </w:tcPr>
          <w:p w:rsidR="0060634A" w:rsidRDefault="0060634A">
            <w:pPr>
              <w:ind w:left="142"/>
              <w:rPr>
                <w:noProof/>
                <w:sz w:val="16"/>
                <w:szCs w:val="16"/>
                <w:lang w:val="en-GB"/>
              </w:rPr>
            </w:pPr>
          </w:p>
        </w:tc>
      </w:tr>
      <w:tr w:rsidR="0060634A">
        <w:trPr>
          <w:trHeight w:val="247"/>
        </w:trPr>
        <w:tc>
          <w:tcPr>
            <w:tcW w:w="10740" w:type="dxa"/>
            <w:gridSpan w:val="6"/>
            <w:tcBorders>
              <w:top w:val="nil"/>
              <w:bottom w:val="nil"/>
            </w:tcBorders>
            <w:vAlign w:val="center"/>
          </w:tcPr>
          <w:p w:rsidR="0060634A" w:rsidRDefault="00F76D44">
            <w:pPr>
              <w:ind w:left="142"/>
              <w:rPr>
                <w:noProof/>
                <w:sz w:val="14"/>
                <w:szCs w:val="16"/>
                <w:lang w:val="en-GB"/>
              </w:rPr>
            </w:pPr>
            <w:r>
              <w:rPr>
                <w:noProof/>
                <w:sz w:val="14"/>
                <w:szCs w:val="16"/>
                <w:lang w:val="en-GB"/>
              </w:rPr>
              <w:t>(</w:t>
            </w:r>
            <w:r>
              <w:rPr>
                <w:noProof/>
                <w:sz w:val="14"/>
                <w:szCs w:val="16"/>
                <w:vertAlign w:val="superscript"/>
                <w:lang w:val="en-GB"/>
              </w:rPr>
              <w:t>1</w:t>
            </w:r>
            <w:r>
              <w:rPr>
                <w:noProof/>
                <w:sz w:val="14"/>
                <w:szCs w:val="16"/>
                <w:lang w:val="en-GB"/>
              </w:rPr>
              <w:t>) Average of results for 2014-2019 compared to target.</w:t>
            </w:r>
          </w:p>
          <w:p w:rsidR="0060634A" w:rsidRDefault="00F76D44">
            <w:pPr>
              <w:ind w:left="142"/>
              <w:rPr>
                <w:noProof/>
                <w:sz w:val="14"/>
                <w:szCs w:val="16"/>
                <w:lang w:val="en-GB"/>
              </w:rPr>
            </w:pPr>
            <w:r>
              <w:rPr>
                <w:noProof/>
                <w:sz w:val="14"/>
                <w:szCs w:val="16"/>
                <w:lang w:val="en-GB"/>
              </w:rPr>
              <w:t>(</w:t>
            </w:r>
            <w:r>
              <w:rPr>
                <w:noProof/>
                <w:sz w:val="14"/>
                <w:szCs w:val="16"/>
                <w:vertAlign w:val="superscript"/>
                <w:lang w:val="en-GB"/>
              </w:rPr>
              <w:t>2</w:t>
            </w:r>
            <w:r>
              <w:rPr>
                <w:noProof/>
                <w:sz w:val="14"/>
                <w:szCs w:val="16"/>
                <w:lang w:val="en-GB"/>
              </w:rPr>
              <w:t>) Average of results for 2014-2019 compared to average of milestones 2014-2020.</w:t>
            </w:r>
          </w:p>
        </w:tc>
      </w:tr>
    </w:tbl>
    <w:p w:rsidR="0060634A" w:rsidRDefault="00F76D44">
      <w:pPr>
        <w:pStyle w:val="PPOTitle3"/>
        <w:rPr>
          <w:rFonts w:eastAsiaTheme="minorEastAsia"/>
        </w:rPr>
      </w:pPr>
      <w:r>
        <w:rPr>
          <w:rFonts w:eastAsiaTheme="minorEastAsia"/>
        </w:rPr>
        <w:t>Where are we in the implementation?</w:t>
      </w:r>
    </w:p>
    <w:p w:rsidR="0060634A" w:rsidRDefault="00F76D44">
      <w:pPr>
        <w:pStyle w:val="PPOBlackBULLETS-L1"/>
        <w:rPr>
          <w:noProof/>
        </w:rPr>
      </w:pPr>
      <w:r>
        <w:rPr>
          <w:noProof/>
        </w:rPr>
        <w:t xml:space="preserve">The core outcomes of the Fiscalis programme are the European information systems, which allow for the electronic exchange of tax-related </w:t>
      </w:r>
      <w:r>
        <w:rPr>
          <w:noProof/>
        </w:rPr>
        <w:t>information between the Member States. The funding available for the information technology systems (which are shared with the Customs 2020 programme) is mainly used for the maintenance and further development of the systems, so as to keep their availabili</w:t>
      </w:r>
      <w:r>
        <w:rPr>
          <w:noProof/>
        </w:rPr>
        <w:t>ty at a high level. The availability rate in 2019 (99%) reflected the deployment of new releases and new applications on the platform, mostly in the customs area.</w:t>
      </w:r>
    </w:p>
    <w:p w:rsidR="0060634A" w:rsidRDefault="00F76D44">
      <w:pPr>
        <w:pStyle w:val="PPOTitle3"/>
        <w:rPr>
          <w:rFonts w:eastAsiaTheme="minorEastAsia"/>
        </w:rPr>
      </w:pPr>
      <w:r>
        <w:rPr>
          <w:rFonts w:eastAsiaTheme="minorEastAsia"/>
        </w:rPr>
        <w:t>Performance assessment</w:t>
      </w:r>
    </w:p>
    <w:p w:rsidR="0060634A" w:rsidRDefault="00F76D44">
      <w:pPr>
        <w:pStyle w:val="PPObodyText"/>
        <w:rPr>
          <w:noProof/>
        </w:rPr>
      </w:pPr>
      <w:r>
        <w:rPr>
          <w:noProof/>
        </w:rPr>
        <w:t>The data collected in the performance measurement of the programme, to</w:t>
      </w:r>
      <w:r>
        <w:rPr>
          <w:noProof/>
        </w:rPr>
        <w:t>gether with the results of the midterm review, show that the Fiscalis 2020 programme is on course to fulfil its objective of supporting the fight against tax evasion, tax fraud and aggressive tax planning.</w:t>
      </w:r>
    </w:p>
    <w:p w:rsidR="0060634A" w:rsidRDefault="00F76D44">
      <w:pPr>
        <w:pStyle w:val="PPOBlackBULLETS-L1"/>
        <w:rPr>
          <w:noProof/>
        </w:rPr>
      </w:pPr>
      <w:r>
        <w:rPr>
          <w:noProof/>
        </w:rPr>
        <w:t>The programme has been effective in providing solu</w:t>
      </w:r>
      <w:r>
        <w:rPr>
          <w:noProof/>
        </w:rPr>
        <w:t>tions for problems with a clear EU dimension through the use of common information technology systems, joint actions and networking between Member States. This has led to added EU value, economies of scale and improved coordination, in particular through t</w:t>
      </w:r>
      <w:r>
        <w:rPr>
          <w:noProof/>
        </w:rPr>
        <w:t xml:space="preserve">he interoperability and interconnectivity provided by the central information technology systems. </w:t>
      </w:r>
    </w:p>
    <w:p w:rsidR="0060634A" w:rsidRDefault="00F76D44">
      <w:pPr>
        <w:pStyle w:val="PPOBlackBULLETS-L1"/>
        <w:rPr>
          <w:noProof/>
        </w:rPr>
      </w:pPr>
      <w:r>
        <w:rPr>
          <w:noProof/>
        </w:rPr>
        <w:t>On average, over the 2014-2019 period, the availability rate of the systems surpassed the target level. This is with the exception of 2019, when the availabi</w:t>
      </w:r>
      <w:r>
        <w:rPr>
          <w:noProof/>
        </w:rPr>
        <w:t>lity rate was below target due to planned new releases and applications.</w:t>
      </w:r>
    </w:p>
    <w:p w:rsidR="0060634A" w:rsidRDefault="00F76D44">
      <w:pPr>
        <w:pStyle w:val="PPOBlackBULLETS-L1"/>
        <w:rPr>
          <w:noProof/>
        </w:rPr>
      </w:pPr>
      <w:r>
        <w:rPr>
          <w:noProof/>
        </w:rPr>
        <w:t>The Commission has tried to increase the lasting network effect, which has remained below target since the launch of the programme, for instance by introducing improvements in the are</w:t>
      </w:r>
      <w:r>
        <w:rPr>
          <w:noProof/>
        </w:rPr>
        <w:t>a of communication and to facilitate online collaboration and sharing between participants in programme activities after the events come to an end. In addition, there may be an unclear understanding of the different possibilities for remaining in contact b</w:t>
      </w:r>
      <w:r>
        <w:rPr>
          <w:noProof/>
        </w:rPr>
        <w:t>eyond physical meetings and phone calls.</w:t>
      </w:r>
    </w:p>
    <w:p w:rsidR="0060634A" w:rsidRDefault="00F76D44">
      <w:pPr>
        <w:pStyle w:val="PPOBlackBULLETS-L1"/>
        <w:rPr>
          <w:noProof/>
        </w:rPr>
      </w:pPr>
      <w:r>
        <w:rPr>
          <w:noProof/>
        </w:rPr>
        <w:t>The Fiscalis 2020 programme provides valuable support to national tax administrations and economic operators, including through its networking functions and the reduction of administrative burdens</w:t>
      </w:r>
    </w:p>
    <w:p w:rsidR="0060634A" w:rsidRDefault="00F76D44">
      <w:pPr>
        <w:pStyle w:val="PPOTitle3"/>
        <w:rPr>
          <w:rFonts w:eastAsiaTheme="minorEastAsia"/>
        </w:rPr>
      </w:pPr>
      <w:r>
        <w:rPr>
          <w:rFonts w:eastAsiaTheme="minorEastAsia"/>
        </w:rPr>
        <w:t xml:space="preserve">Concrete examples </w:t>
      </w:r>
      <w:r>
        <w:rPr>
          <w:rFonts w:eastAsiaTheme="minorEastAsia"/>
        </w:rPr>
        <w:t>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1418"/>
        <w:gridCol w:w="1701"/>
        <w:gridCol w:w="1559"/>
        <w:gridCol w:w="1418"/>
        <w:gridCol w:w="1559"/>
        <w:gridCol w:w="1559"/>
        <w:gridCol w:w="1559"/>
      </w:tblGrid>
      <w:tr w:rsidR="0060634A">
        <w:trPr>
          <w:trHeight w:val="107"/>
        </w:trPr>
        <w:tc>
          <w:tcPr>
            <w:tcW w:w="1418" w:type="dxa"/>
            <w:shd w:val="clear" w:color="auto" w:fill="00ADDC"/>
          </w:tcPr>
          <w:p w:rsidR="0060634A" w:rsidRDefault="00F76D44">
            <w:pPr>
              <w:pStyle w:val="PPOExamplesTABLEHeader"/>
              <w:rPr>
                <w:rFonts w:eastAsiaTheme="minorEastAsia"/>
              </w:rPr>
            </w:pPr>
            <w:r>
              <w:rPr>
                <w:rFonts w:eastAsiaTheme="minorEastAsia"/>
              </w:rPr>
              <w:t>27</w:t>
            </w:r>
          </w:p>
        </w:tc>
        <w:tc>
          <w:tcPr>
            <w:tcW w:w="1701" w:type="dxa"/>
            <w:shd w:val="clear" w:color="auto" w:fill="00ADDC"/>
          </w:tcPr>
          <w:p w:rsidR="0060634A" w:rsidRDefault="00F76D44">
            <w:pPr>
              <w:pStyle w:val="PPOExamplesTABLEHeader"/>
              <w:rPr>
                <w:rFonts w:eastAsiaTheme="minorEastAsia"/>
              </w:rPr>
            </w:pPr>
            <w:r>
              <w:rPr>
                <w:rFonts w:eastAsiaTheme="minorEastAsia"/>
              </w:rPr>
              <w:t>6.9 billion</w:t>
            </w:r>
          </w:p>
        </w:tc>
        <w:tc>
          <w:tcPr>
            <w:tcW w:w="1559" w:type="dxa"/>
            <w:shd w:val="clear" w:color="auto" w:fill="00ADDC"/>
          </w:tcPr>
          <w:p w:rsidR="0060634A" w:rsidRDefault="00F76D44">
            <w:pPr>
              <w:pStyle w:val="PPOExamplesTABLEHeader"/>
              <w:rPr>
                <w:rFonts w:eastAsiaTheme="minorEastAsia"/>
              </w:rPr>
            </w:pPr>
            <w:r>
              <w:rPr>
                <w:rFonts w:eastAsiaTheme="minorEastAsia"/>
              </w:rPr>
              <w:t>32 TB</w:t>
            </w:r>
          </w:p>
        </w:tc>
        <w:tc>
          <w:tcPr>
            <w:tcW w:w="1418" w:type="dxa"/>
            <w:shd w:val="clear" w:color="auto" w:fill="00ADDC"/>
          </w:tcPr>
          <w:p w:rsidR="0060634A" w:rsidRDefault="00F76D44">
            <w:pPr>
              <w:pStyle w:val="PPOExamplesTABLEHeader"/>
              <w:rPr>
                <w:rFonts w:eastAsiaTheme="minorEastAsia"/>
              </w:rPr>
            </w:pPr>
            <w:r>
              <w:rPr>
                <w:rFonts w:eastAsiaTheme="minorEastAsia"/>
              </w:rPr>
              <w:t>4</w:t>
            </w:r>
          </w:p>
        </w:tc>
        <w:tc>
          <w:tcPr>
            <w:tcW w:w="1559" w:type="dxa"/>
            <w:shd w:val="clear" w:color="auto" w:fill="00ADDC"/>
          </w:tcPr>
          <w:p w:rsidR="0060634A" w:rsidRDefault="00F76D44">
            <w:pPr>
              <w:pStyle w:val="PPOExamplesTABLEHeader"/>
              <w:rPr>
                <w:rFonts w:eastAsiaTheme="minorEastAsia"/>
              </w:rPr>
            </w:pPr>
            <w:r>
              <w:rPr>
                <w:rFonts w:eastAsiaTheme="minorEastAsia"/>
              </w:rPr>
              <w:t>12</w:t>
            </w:r>
          </w:p>
        </w:tc>
        <w:tc>
          <w:tcPr>
            <w:tcW w:w="1559" w:type="dxa"/>
            <w:shd w:val="clear" w:color="auto" w:fill="00ADDC"/>
          </w:tcPr>
          <w:p w:rsidR="0060634A" w:rsidRDefault="00F76D44">
            <w:pPr>
              <w:pStyle w:val="PPOExamplesTABLEHeader"/>
              <w:rPr>
                <w:rFonts w:eastAsiaTheme="minorEastAsia"/>
              </w:rPr>
            </w:pPr>
            <w:r>
              <w:rPr>
                <w:rFonts w:eastAsiaTheme="minorEastAsia"/>
              </w:rPr>
              <w:t>EUR 3.3 billion</w:t>
            </w:r>
          </w:p>
        </w:tc>
        <w:tc>
          <w:tcPr>
            <w:tcW w:w="1559" w:type="dxa"/>
            <w:shd w:val="clear" w:color="auto" w:fill="00ADDC"/>
          </w:tcPr>
          <w:p w:rsidR="0060634A" w:rsidRDefault="00F76D44">
            <w:pPr>
              <w:pStyle w:val="PPOExamplesTABLEHeader"/>
              <w:rPr>
                <w:rFonts w:eastAsiaTheme="minorEastAsia"/>
              </w:rPr>
            </w:pPr>
            <w:r>
              <w:rPr>
                <w:rFonts w:eastAsiaTheme="minorEastAsia"/>
              </w:rPr>
              <w:t>EUR 4.5 billion</w:t>
            </w:r>
          </w:p>
        </w:tc>
      </w:tr>
      <w:tr w:rsidR="0060634A">
        <w:trPr>
          <w:trHeight w:val="793"/>
        </w:trPr>
        <w:tc>
          <w:tcPr>
            <w:tcW w:w="1418" w:type="dxa"/>
            <w:shd w:val="clear" w:color="auto" w:fill="DCE6F2"/>
          </w:tcPr>
          <w:p w:rsidR="0060634A" w:rsidRDefault="00F76D44">
            <w:pPr>
              <w:pStyle w:val="PPOExamplesTABLEText"/>
              <w:spacing w:line="240" w:lineRule="auto"/>
              <w:rPr>
                <w:noProof/>
                <w:lang w:val="en-GB"/>
              </w:rPr>
            </w:pPr>
            <w:r>
              <w:rPr>
                <w:noProof/>
                <w:lang w:val="en-GB"/>
              </w:rPr>
              <w:t>European information systems were in operation in 2019.</w:t>
            </w:r>
          </w:p>
        </w:tc>
        <w:tc>
          <w:tcPr>
            <w:tcW w:w="1701" w:type="dxa"/>
            <w:shd w:val="clear" w:color="auto" w:fill="DCE6F2"/>
          </w:tcPr>
          <w:p w:rsidR="0060634A" w:rsidRDefault="00F76D44">
            <w:pPr>
              <w:pStyle w:val="PPOExamplesTABLEText"/>
              <w:spacing w:line="240" w:lineRule="auto"/>
              <w:rPr>
                <w:noProof/>
                <w:lang w:val="en-GB"/>
              </w:rPr>
            </w:pPr>
            <w:r>
              <w:rPr>
                <w:noProof/>
                <w:lang w:val="en-GB"/>
              </w:rPr>
              <w:t xml:space="preserve">messages were exchanged in 2019 on the Common Communication Network / Common Systems Interface (CCN/CSI, shared with </w:t>
            </w:r>
            <w:r>
              <w:rPr>
                <w:noProof/>
                <w:lang w:val="en-GB"/>
              </w:rPr>
              <w:t>Customs).</w:t>
            </w:r>
          </w:p>
        </w:tc>
        <w:tc>
          <w:tcPr>
            <w:tcW w:w="1559" w:type="dxa"/>
            <w:shd w:val="clear" w:color="auto" w:fill="DCE6F2"/>
          </w:tcPr>
          <w:p w:rsidR="0060634A" w:rsidRDefault="00F76D44">
            <w:pPr>
              <w:pStyle w:val="PPOExamplesTABLEText"/>
              <w:spacing w:line="240" w:lineRule="auto"/>
              <w:rPr>
                <w:noProof/>
                <w:lang w:val="en-GB"/>
              </w:rPr>
            </w:pPr>
            <w:r>
              <w:rPr>
                <w:noProof/>
                <w:lang w:val="en-GB"/>
              </w:rPr>
              <w:t>of data was exchanged in 2019 (+</w:t>
            </w:r>
            <w:r>
              <w:rPr>
                <w:rFonts w:ascii="Calibri" w:hAnsi="Calibri" w:cs="Calibri"/>
                <w:noProof/>
                <w:lang w:val="en-GB"/>
              </w:rPr>
              <w:t> </w:t>
            </w:r>
            <w:r>
              <w:rPr>
                <w:noProof/>
                <w:lang w:val="en-GB"/>
              </w:rPr>
              <w:t>11% compared to 2018).</w:t>
            </w:r>
          </w:p>
        </w:tc>
        <w:tc>
          <w:tcPr>
            <w:tcW w:w="1418" w:type="dxa"/>
            <w:shd w:val="clear" w:color="auto" w:fill="DCE6F2"/>
          </w:tcPr>
          <w:p w:rsidR="0060634A" w:rsidRDefault="00F76D44">
            <w:pPr>
              <w:pStyle w:val="PPOExamplesTABLEText"/>
              <w:spacing w:line="240" w:lineRule="auto"/>
              <w:rPr>
                <w:noProof/>
                <w:lang w:val="en-GB"/>
              </w:rPr>
            </w:pPr>
            <w:r>
              <w:rPr>
                <w:noProof/>
                <w:lang w:val="en-GB"/>
              </w:rPr>
              <w:t>expert teams were operational in the taxation area in 2019.</w:t>
            </w:r>
          </w:p>
        </w:tc>
        <w:tc>
          <w:tcPr>
            <w:tcW w:w="1559" w:type="dxa"/>
            <w:shd w:val="clear" w:color="auto" w:fill="DCE6F2"/>
          </w:tcPr>
          <w:p w:rsidR="0060634A" w:rsidRDefault="00F76D44">
            <w:pPr>
              <w:pStyle w:val="PPOExamplesTABLEText"/>
              <w:spacing w:line="240" w:lineRule="auto"/>
              <w:rPr>
                <w:noProof/>
                <w:lang w:val="en-GB"/>
              </w:rPr>
            </w:pPr>
            <w:r>
              <w:rPr>
                <w:noProof/>
                <w:lang w:val="en-GB"/>
              </w:rPr>
              <w:t>e-learning courses in the area of value added tax were available at the end of 2019.</w:t>
            </w:r>
          </w:p>
        </w:tc>
        <w:tc>
          <w:tcPr>
            <w:tcW w:w="1559" w:type="dxa"/>
            <w:shd w:val="clear" w:color="auto" w:fill="DCE6F2"/>
          </w:tcPr>
          <w:p w:rsidR="0060634A" w:rsidRDefault="00F76D44">
            <w:pPr>
              <w:pStyle w:val="PPOExamplesTABLEText"/>
              <w:spacing w:line="240" w:lineRule="auto"/>
              <w:rPr>
                <w:noProof/>
                <w:lang w:val="en-GB"/>
              </w:rPr>
            </w:pPr>
            <w:r>
              <w:rPr>
                <w:noProof/>
                <w:lang w:val="en-GB"/>
              </w:rPr>
              <w:t>in tax was identified through multilateral co</w:t>
            </w:r>
            <w:r>
              <w:rPr>
                <w:noProof/>
                <w:lang w:val="en-GB"/>
              </w:rPr>
              <w:t>ntrols under Fiscalis 2013.</w:t>
            </w:r>
          </w:p>
        </w:tc>
        <w:tc>
          <w:tcPr>
            <w:tcW w:w="1559" w:type="dxa"/>
            <w:shd w:val="clear" w:color="auto" w:fill="DCE6F2"/>
          </w:tcPr>
          <w:p w:rsidR="0060634A" w:rsidRDefault="00F76D44">
            <w:pPr>
              <w:pStyle w:val="PPOExamplesTABLEText"/>
              <w:spacing w:line="240" w:lineRule="auto"/>
              <w:rPr>
                <w:noProof/>
                <w:lang w:val="en-GB"/>
              </w:rPr>
            </w:pPr>
            <w:r>
              <w:rPr>
                <w:noProof/>
                <w:lang w:val="en-GB"/>
              </w:rPr>
              <w:t>in value added tax was collected in 2018 under the mini one-stop-shop system, reducing cross-border administrative burden (+</w:t>
            </w:r>
            <w:r>
              <w:rPr>
                <w:rFonts w:ascii="Calibri" w:hAnsi="Calibri" w:cs="Calibri"/>
                <w:noProof/>
                <w:lang w:val="en-GB"/>
              </w:rPr>
              <w:t> </w:t>
            </w:r>
            <w:r>
              <w:rPr>
                <w:noProof/>
                <w:lang w:val="en-GB"/>
              </w:rPr>
              <w:t>20% compared to 2017).</w:t>
            </w:r>
          </w:p>
        </w:tc>
      </w:tr>
    </w:tbl>
    <w:p w:rsidR="0060634A" w:rsidRDefault="0060634A">
      <w:pPr>
        <w:pStyle w:val="PPObodyText"/>
        <w:rPr>
          <w:noProof/>
        </w:rPr>
        <w:sectPr w:rsidR="0060634A">
          <w:headerReference w:type="even" r:id="rId396"/>
          <w:headerReference w:type="default" r:id="rId397"/>
          <w:footerReference w:type="even" r:id="rId398"/>
          <w:footerReference w:type="default" r:id="rId399"/>
          <w:headerReference w:type="first" r:id="rId400"/>
          <w:footerReference w:type="first" r:id="rId401"/>
          <w:pgSz w:w="11906" w:h="16838" w:code="9"/>
          <w:pgMar w:top="567" w:right="567" w:bottom="567" w:left="567" w:header="567" w:footer="454" w:gutter="0"/>
          <w:paperSrc w:first="15" w:other="15"/>
          <w:cols w:space="720"/>
          <w:docGrid w:linePitch="360"/>
        </w:sectPr>
      </w:pPr>
    </w:p>
    <w:p w:rsidR="0060634A" w:rsidRDefault="00F76D44">
      <w:pPr>
        <w:pStyle w:val="PPO1AsidebarTitleBlue"/>
        <w:rPr>
          <w:rFonts w:eastAsiaTheme="minorEastAsia"/>
        </w:rPr>
      </w:pPr>
      <w:r>
        <w:rPr>
          <w:rFonts w:eastAsiaTheme="minorEastAsia"/>
          <w:lang w:val="fr-BE" w:eastAsia="fr-BE"/>
        </w:rPr>
        <mc:AlternateContent>
          <mc:Choice Requires="wps">
            <w:drawing>
              <wp:anchor distT="0" distB="0" distL="0" distR="0" simplePos="0" relativeHeight="251575296" behindDoc="0" locked="1" layoutInCell="1" allowOverlap="1">
                <wp:simplePos x="0" y="0"/>
                <wp:positionH relativeFrom="page">
                  <wp:posOffset>357505</wp:posOffset>
                </wp:positionH>
                <wp:positionV relativeFrom="page">
                  <wp:posOffset>592455</wp:posOffset>
                </wp:positionV>
                <wp:extent cx="1457960" cy="777240"/>
                <wp:effectExtent l="0" t="0" r="85090" b="3810"/>
                <wp:wrapTopAndBottom/>
                <wp:docPr id="540" name="Text Box 540"/>
                <wp:cNvGraphicFramePr/>
                <a:graphic xmlns:a="http://schemas.openxmlformats.org/drawingml/2006/main">
                  <a:graphicData uri="http://schemas.microsoft.com/office/word/2010/wordprocessingShape">
                    <wps:wsp>
                      <wps:cNvSpPr txBox="1"/>
                      <wps:spPr>
                        <a:xfrm>
                          <a:off x="0" y="0"/>
                          <a:ext cx="1457960" cy="777240"/>
                        </a:xfrm>
                        <a:prstGeom prst="wedgeRectCallout">
                          <a:avLst>
                            <a:gd name="adj1" fmla="val 54107"/>
                            <a:gd name="adj2" fmla="val -21878"/>
                          </a:avLst>
                        </a:prstGeom>
                        <a:solidFill>
                          <a:srgbClr val="28296E"/>
                        </a:solidFill>
                        <a:ln w="6350">
                          <a:noFill/>
                        </a:ln>
                      </wps:spPr>
                      <wps:txbx>
                        <w:txbxContent>
                          <w:p w:rsidR="0060634A" w:rsidRDefault="00F76D44">
                            <w:pPr>
                              <w:pStyle w:val="PPOsidebarLegalBasisBOXHeading"/>
                              <w:rPr>
                                <w:rFonts w:eastAsiaTheme="minorEastAsia"/>
                              </w:rPr>
                            </w:pPr>
                            <w:r>
                              <w:rPr>
                                <w:rFonts w:eastAsiaTheme="minorEastAsia"/>
                              </w:rPr>
                              <w:t>LEGAL BASIS</w:t>
                            </w:r>
                          </w:p>
                          <w:p w:rsidR="0060634A" w:rsidRDefault="00F76D44">
                            <w:pPr>
                              <w:pStyle w:val="PPOsidebarLegalBasisBOXtext"/>
                              <w:rPr>
                                <w:rFonts w:eastAsiaTheme="minorEastAsia"/>
                                <w:sz w:val="18"/>
                                <w:szCs w:val="20"/>
                              </w:rPr>
                            </w:pPr>
                            <w:r>
                              <w:rPr>
                                <w:rFonts w:eastAsiaTheme="minorEastAsia"/>
                              </w:rPr>
                              <w:t xml:space="preserve">Regulation (EU) No 250/2014 of the European Parliament and of the Council and repealing Decision No 804/2004/EC </w:t>
                            </w:r>
                            <w:r>
                              <w:rPr>
                                <w:rFonts w:eastAsiaTheme="minorEastAsia"/>
                                <w:sz w:val="18"/>
                                <w:szCs w:val="20"/>
                              </w:rPr>
                              <w:t xml:space="preserve"> </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0" o:spid="_x0000_s1148" type="#_x0000_t61" style="position:absolute;left:0;text-align:left;margin-left:28.15pt;margin-top:46.65pt;width:114.8pt;height:61.2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" adj="22487,6074" fillcolor="#28296e" stroked="f" strokeweight=".5pt">
                <v:textbox inset="2.5mm,1.3mm,2.5mm,1.3mm">
                  <w:txbxContent>
                    <w:p w:rsidR="0060634A" w:rsidRDefault="00F76D44">
                      <w:pPr>
                        <w:pStyle w:val="PPOsidebarLegalBasisBOXHeading"/>
                        <w:rPr>
                          <w:rFonts w:eastAsiaTheme="minorEastAsia"/>
                        </w:rPr>
                      </w:pPr>
                      <w:r>
                        <w:rPr>
                          <w:rFonts w:eastAsiaTheme="minorEastAsia"/>
                        </w:rPr>
                        <w:t>LEGAL BASIS</w:t>
                      </w:r>
                    </w:p>
                    <w:p w:rsidR="0060634A" w:rsidRDefault="00F76D44">
                      <w:pPr>
                        <w:pStyle w:val="PPOsidebarLegalBasisBOXtext"/>
                        <w:rPr>
                          <w:rFonts w:eastAsiaTheme="minorEastAsia"/>
                          <w:sz w:val="18"/>
                          <w:szCs w:val="20"/>
                        </w:rPr>
                      </w:pPr>
                      <w:r>
                        <w:rPr>
                          <w:rFonts w:eastAsiaTheme="minorEastAsia"/>
                        </w:rPr>
                        <w:t xml:space="preserve">Regulation (EU) No 250/2014 of the European Parliament and of the Council and repealing Decision No 804/2004/EC </w:t>
                      </w:r>
                      <w:r>
                        <w:rPr>
                          <w:rFonts w:eastAsiaTheme="minorEastAsia"/>
                          <w:sz w:val="18"/>
                          <w:szCs w:val="20"/>
                        </w:rPr>
                        <w:t xml:space="preserve"> </w:t>
                      </w:r>
                    </w:p>
                  </w:txbxContent>
                </v:textbox>
                <w10:wrap type="topAndBottom" anchorx="page" anchory="page"/>
                <w10:anchorlock/>
              </v:shape>
            </w:pict>
          </mc:Fallback>
        </mc:AlternateContent>
      </w:r>
      <w:r>
        <w:rPr>
          <w:rFonts w:eastAsiaTheme="minorEastAsia"/>
        </w:rPr>
        <w:t>MORE INFORMATION</w:t>
      </w:r>
    </w:p>
    <w:p w:rsidR="0060634A" w:rsidRDefault="00F76D44">
      <w:pPr>
        <w:pStyle w:val="PPOsidebartext"/>
        <w:rPr>
          <w:rStyle w:val="PPOChar-Hyperlink"/>
          <w:rFonts w:eastAsiaTheme="minorEastAsia"/>
        </w:rPr>
      </w:pPr>
      <w:hyperlink r:id="rId402" w:history="1">
        <w:r>
          <w:rPr>
            <w:rStyle w:val="PPOChar-Hyperlink"/>
            <w:rFonts w:eastAsiaTheme="minorEastAsia"/>
          </w:rPr>
          <w:t>http://europa.eu/!ry89dk</w:t>
        </w:r>
      </w:hyperlink>
    </w:p>
    <w:p w:rsidR="0060634A" w:rsidRDefault="00F76D44">
      <w:pPr>
        <w:pStyle w:val="PPO1AsidebarTitleBlue"/>
        <w:rPr>
          <w:rFonts w:eastAsiaTheme="minorEastAsia"/>
        </w:rPr>
      </w:pPr>
      <w:r>
        <w:rPr>
          <w:rFonts w:eastAsiaTheme="minorEastAsia"/>
        </w:rPr>
        <w:t>FINANCIAL PROGRAMMING</w:t>
      </w:r>
    </w:p>
    <w:p w:rsidR="0060634A" w:rsidRDefault="00F76D44">
      <w:pPr>
        <w:pStyle w:val="PPO1AsidebarTablecaption"/>
        <w:rPr>
          <w:rStyle w:val="Tablecaption1Exact"/>
        </w:rPr>
      </w:pPr>
      <w:r>
        <w:rPr>
          <w:rStyle w:val="Tablecaption1Exact"/>
        </w:rPr>
        <w:t>(million EUR)</w:t>
      </w:r>
    </w:p>
    <w:tbl>
      <w:tblPr>
        <w:tblOverlap w:val="never"/>
        <w:tblW w:w="2296" w:type="dxa"/>
        <w:jc w:val="right"/>
        <w:tblLayout w:type="fixed"/>
        <w:tblCellMar>
          <w:top w:w="28" w:type="dxa"/>
          <w:left w:w="28" w:type="dxa"/>
          <w:bottom w:w="28" w:type="dxa"/>
          <w:right w:w="28" w:type="dxa"/>
        </w:tblCellMar>
        <w:tblLook w:val="0000" w:firstRow="0" w:lastRow="0" w:firstColumn="0" w:lastColumn="0" w:noHBand="0" w:noVBand="0"/>
      </w:tblPr>
      <w:tblGrid>
        <w:gridCol w:w="1134"/>
        <w:gridCol w:w="1162"/>
      </w:tblGrid>
      <w:tr w:rsidR="0060634A">
        <w:trPr>
          <w:trHeight w:hRule="exact" w:val="229"/>
          <w:jc w:val="right"/>
        </w:trPr>
        <w:tc>
          <w:tcPr>
            <w:tcW w:w="1134" w:type="dxa"/>
            <w:tcBorders>
              <w:bottom w:val="single" w:sz="6" w:space="0" w:color="FFFFFF" w:themeColor="background1"/>
            </w:tcBorders>
            <w:shd w:val="clear" w:color="auto" w:fill="DCE6F2"/>
            <w:vAlign w:val="center"/>
          </w:tcPr>
          <w:p w:rsidR="0060634A" w:rsidRDefault="00F76D44">
            <w:pPr>
              <w:pStyle w:val="PPOsidebarTabletext"/>
              <w:rPr>
                <w:b/>
              </w:rPr>
            </w:pPr>
            <w:r>
              <w:t>2014</w:t>
            </w:r>
          </w:p>
        </w:tc>
        <w:tc>
          <w:tcPr>
            <w:tcW w:w="1162" w:type="dxa"/>
            <w:shd w:val="clear" w:color="auto" w:fill="FFFFFF"/>
          </w:tcPr>
          <w:p w:rsidR="0060634A" w:rsidRDefault="00F76D44">
            <w:pPr>
              <w:pStyle w:val="PPOsidebarTabletext"/>
              <w:rPr>
                <w:b/>
              </w:rPr>
            </w:pPr>
            <w:r>
              <w:t>13.7</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2015</w:t>
            </w:r>
          </w:p>
        </w:tc>
        <w:tc>
          <w:tcPr>
            <w:tcW w:w="1162" w:type="dxa"/>
            <w:tcBorders>
              <w:top w:val="single" w:sz="4" w:space="0" w:color="auto"/>
            </w:tcBorders>
            <w:shd w:val="clear" w:color="auto" w:fill="FFFFFF"/>
          </w:tcPr>
          <w:p w:rsidR="0060634A" w:rsidRDefault="00F76D44">
            <w:pPr>
              <w:pStyle w:val="PPOsidebarTabletext"/>
              <w:rPr>
                <w:b/>
              </w:rPr>
            </w:pPr>
            <w:r>
              <w:t>14.1</w:t>
            </w:r>
          </w:p>
        </w:tc>
      </w:tr>
      <w:tr w:rsidR="0060634A">
        <w:trPr>
          <w:trHeight w:hRule="exact" w:val="229"/>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2016</w:t>
            </w:r>
          </w:p>
        </w:tc>
        <w:tc>
          <w:tcPr>
            <w:tcW w:w="1162" w:type="dxa"/>
            <w:tcBorders>
              <w:top w:val="single" w:sz="4" w:space="0" w:color="auto"/>
            </w:tcBorders>
            <w:shd w:val="clear" w:color="auto" w:fill="FFFFFF"/>
          </w:tcPr>
          <w:p w:rsidR="0060634A" w:rsidRDefault="00F76D44">
            <w:pPr>
              <w:pStyle w:val="PPOsidebarTabletext"/>
              <w:rPr>
                <w:b/>
              </w:rPr>
            </w:pPr>
            <w:r>
              <w:t>14.5</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2017</w:t>
            </w:r>
          </w:p>
        </w:tc>
        <w:tc>
          <w:tcPr>
            <w:tcW w:w="1162" w:type="dxa"/>
            <w:tcBorders>
              <w:top w:val="single" w:sz="4" w:space="0" w:color="auto"/>
            </w:tcBorders>
            <w:shd w:val="clear" w:color="auto" w:fill="FFFFFF"/>
          </w:tcPr>
          <w:p w:rsidR="0060634A" w:rsidRDefault="00F76D44">
            <w:pPr>
              <w:pStyle w:val="PPOsidebarTabletext"/>
              <w:rPr>
                <w:b/>
              </w:rPr>
            </w:pPr>
            <w:r>
              <w:t>15.0</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2018</w:t>
            </w:r>
          </w:p>
        </w:tc>
        <w:tc>
          <w:tcPr>
            <w:tcW w:w="1162" w:type="dxa"/>
            <w:tcBorders>
              <w:top w:val="single" w:sz="4" w:space="0" w:color="auto"/>
            </w:tcBorders>
            <w:shd w:val="clear" w:color="auto" w:fill="FFFFFF"/>
          </w:tcPr>
          <w:p w:rsidR="0060634A" w:rsidRDefault="00F76D44">
            <w:pPr>
              <w:pStyle w:val="PPOsidebarTabletext"/>
              <w:rPr>
                <w:b/>
              </w:rPr>
            </w:pPr>
            <w:r>
              <w:t>15.3</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2019</w:t>
            </w:r>
          </w:p>
        </w:tc>
        <w:tc>
          <w:tcPr>
            <w:tcW w:w="1162" w:type="dxa"/>
            <w:tcBorders>
              <w:top w:val="single" w:sz="4" w:space="0" w:color="auto"/>
            </w:tcBorders>
            <w:shd w:val="clear" w:color="auto" w:fill="FFFFFF"/>
          </w:tcPr>
          <w:p w:rsidR="0060634A" w:rsidRDefault="00F76D44">
            <w:pPr>
              <w:pStyle w:val="PPOsidebarTabletext"/>
              <w:rPr>
                <w:b/>
              </w:rPr>
            </w:pPr>
            <w:r>
              <w:t>15.9</w:t>
            </w:r>
          </w:p>
        </w:tc>
      </w:tr>
      <w:tr w:rsidR="0060634A">
        <w:trPr>
          <w:trHeight w:hRule="exact" w:val="225"/>
          <w:jc w:val="right"/>
        </w:trPr>
        <w:tc>
          <w:tcPr>
            <w:tcW w:w="1134" w:type="dxa"/>
            <w:tcBorders>
              <w:top w:val="single" w:sz="6" w:space="0" w:color="FFFFFF" w:themeColor="background1"/>
            </w:tcBorders>
            <w:shd w:val="clear" w:color="auto" w:fill="DCE6F2"/>
            <w:vAlign w:val="center"/>
          </w:tcPr>
          <w:p w:rsidR="0060634A" w:rsidRDefault="00F76D44">
            <w:pPr>
              <w:pStyle w:val="PPOsidebarTabletext"/>
              <w:rPr>
                <w:b/>
              </w:rPr>
            </w:pPr>
            <w:r>
              <w:t>2020</w:t>
            </w:r>
          </w:p>
        </w:tc>
        <w:tc>
          <w:tcPr>
            <w:tcW w:w="1162" w:type="dxa"/>
            <w:tcBorders>
              <w:top w:val="single" w:sz="4" w:space="0" w:color="auto"/>
            </w:tcBorders>
            <w:shd w:val="clear" w:color="auto" w:fill="FFFFFF"/>
          </w:tcPr>
          <w:p w:rsidR="0060634A" w:rsidRDefault="00F76D44">
            <w:pPr>
              <w:pStyle w:val="PPOsidebarTabletext"/>
              <w:rPr>
                <w:b/>
              </w:rPr>
            </w:pPr>
            <w:r>
              <w:t>16.4</w:t>
            </w:r>
          </w:p>
        </w:tc>
      </w:tr>
      <w:tr w:rsidR="0060634A">
        <w:trPr>
          <w:trHeight w:hRule="exact" w:val="258"/>
          <w:jc w:val="right"/>
        </w:trPr>
        <w:tc>
          <w:tcPr>
            <w:tcW w:w="1134" w:type="dxa"/>
            <w:shd w:val="clear" w:color="auto" w:fill="00ADDC"/>
            <w:vAlign w:val="center"/>
          </w:tcPr>
          <w:p w:rsidR="0060634A" w:rsidRDefault="00F76D44">
            <w:pPr>
              <w:pStyle w:val="PPOsidebarTabletext"/>
            </w:pPr>
            <w:r>
              <w:t>Total</w:t>
            </w:r>
          </w:p>
        </w:tc>
        <w:tc>
          <w:tcPr>
            <w:tcW w:w="1162" w:type="dxa"/>
            <w:tcBorders>
              <w:top w:val="single" w:sz="4" w:space="0" w:color="auto"/>
            </w:tcBorders>
            <w:shd w:val="clear" w:color="auto" w:fill="FFFFFF"/>
          </w:tcPr>
          <w:p w:rsidR="0060634A" w:rsidRDefault="00F76D44">
            <w:pPr>
              <w:pStyle w:val="PPOsidebarTabletext"/>
              <w:rPr>
                <w:b/>
              </w:rPr>
            </w:pPr>
            <w:r>
              <w:t>104.9</w:t>
            </w:r>
          </w:p>
        </w:tc>
      </w:tr>
    </w:tbl>
    <w:p w:rsidR="0060634A" w:rsidRDefault="00F76D44">
      <w:pPr>
        <w:pStyle w:val="PPO1AsidebarTitleBlue"/>
        <w:rPr>
          <w:rFonts w:eastAsiaTheme="minorEastAsia"/>
        </w:rPr>
      </w:pPr>
      <w:r>
        <w:rPr>
          <w:rFonts w:eastAsiaTheme="minorEastAsia"/>
          <w:lang w:val="fr-BE" w:eastAsia="fr-BE"/>
        </w:rPr>
        <mc:AlternateContent>
          <mc:Choice Requires="wpg">
            <w:drawing>
              <wp:anchor distT="0" distB="0" distL="114300" distR="114300" simplePos="0" relativeHeight="251700224" behindDoc="1" locked="1" layoutInCell="1" allowOverlap="1">
                <wp:simplePos x="0" y="0"/>
                <wp:positionH relativeFrom="column">
                  <wp:posOffset>-271145</wp:posOffset>
                </wp:positionH>
                <wp:positionV relativeFrom="paragraph">
                  <wp:posOffset>568325</wp:posOffset>
                </wp:positionV>
                <wp:extent cx="1871980" cy="1454150"/>
                <wp:effectExtent l="0" t="0" r="0" b="0"/>
                <wp:wrapSquare wrapText="bothSides"/>
                <wp:docPr id="541" name="Group 541"/>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542" name="Chart 542"/>
                        <wpg:cNvFrPr/>
                        <wpg:xfrm>
                          <a:off x="461310" y="264194"/>
                          <a:ext cx="2492055" cy="1453317"/>
                        </wpg:xfrm>
                        <a:graphic>
                          <a:graphicData uri="http://schemas.openxmlformats.org/drawingml/2006/chart">
                            <c:chart xmlns:c="http://schemas.openxmlformats.org/drawingml/2006/chart" xmlns:r="http://schemas.openxmlformats.org/officeDocument/2006/relationships" r:id="rId403"/>
                          </a:graphicData>
                        </a:graphic>
                      </wpg:graphicFrame>
                      <wps:wsp>
                        <wps:cNvPr id="543" name="Text Box 2"/>
                        <wps:cNvSpPr txBox="1">
                          <a:spLocks noChangeArrowheads="1"/>
                        </wps:cNvSpPr>
                        <wps:spPr bwMode="auto">
                          <a:xfrm>
                            <a:off x="1287117" y="771383"/>
                            <a:ext cx="1276742" cy="600139"/>
                          </a:xfrm>
                          <a:prstGeom prst="rect">
                            <a:avLst/>
                          </a:prstGeom>
                          <a:noFill/>
                          <a:ln w="9525">
                            <a:noFill/>
                            <a:miter lim="800000"/>
                            <a:headEnd/>
                            <a:tailEnd/>
                          </a:ln>
                        </wps:spPr>
                        <wps:txbx>
                          <w:txbxContent>
                            <w:p w:rsidR="0060634A" w:rsidRDefault="00F76D44">
                              <w:pPr>
                                <w:pStyle w:val="PPO1AsidebarchartCenterText"/>
                                <w:rPr>
                                  <w:rFonts w:eastAsiaTheme="minorEastAsia"/>
                                </w:rPr>
                              </w:pPr>
                              <w:r>
                                <w:rPr>
                                  <w:rFonts w:eastAsiaTheme="minorEastAsia"/>
                                </w:rPr>
                                <w:t>EUR</w:t>
                              </w:r>
                              <w:r>
                                <w:rPr>
                                  <w:rFonts w:eastAsiaTheme="minorEastAsia"/>
                                  <w:b/>
                                </w:rPr>
                                <w:t xml:space="preserve"> 104.9</w:t>
                              </w:r>
                              <w:r>
                                <w:rPr>
                                  <w:rFonts w:eastAsiaTheme="minorEastAsia"/>
                                </w:rPr>
                                <w:br/>
                                <w:t>million</w:t>
                              </w:r>
                            </w:p>
                          </w:txbxContent>
                        </wps:txbx>
                        <wps:bodyPr rot="0" vert="horz" wrap="square" lIns="91440" tIns="45720" rIns="91440" bIns="45720" anchor="t" anchorCtr="0">
                          <a:noAutofit/>
                        </wps:bodyPr>
                      </wps:wsp>
                      <wps:wsp>
                        <wps:cNvPr id="544" name="Text Box 2"/>
                        <wps:cNvSpPr txBox="1">
                          <a:spLocks noChangeArrowheads="1"/>
                        </wps:cNvSpPr>
                        <wps:spPr bwMode="auto">
                          <a:xfrm>
                            <a:off x="1161345" y="1213317"/>
                            <a:ext cx="700344" cy="229870"/>
                          </a:xfrm>
                          <a:prstGeom prst="rect">
                            <a:avLst/>
                          </a:prstGeom>
                          <a:noFill/>
                          <a:ln w="9525">
                            <a:noFill/>
                            <a:miter lim="800000"/>
                            <a:headEnd/>
                            <a:tailEnd/>
                          </a:ln>
                        </wps:spPr>
                        <wps:txbx>
                          <w:txbxContent>
                            <w:p w:rsidR="0060634A" w:rsidRDefault="00F76D44">
                              <w:pPr>
                                <w:spacing w:after="120"/>
                                <w:jc w:val="center"/>
                                <w:rPr>
                                  <w:color w:val="00ADDC"/>
                                  <w:lang w:val="fr-BE"/>
                                </w:rPr>
                              </w:pPr>
                              <w:r>
                                <w:rPr>
                                  <w:b/>
                                  <w:color w:val="00ADDC"/>
                                  <w:lang w:val="fr-BE"/>
                                </w:rPr>
                                <w:t>56%%</w:t>
                              </w:r>
                            </w:p>
                          </w:txbxContent>
                        </wps:txbx>
                        <wps:bodyPr rot="0" vert="horz" wrap="square" lIns="91440" tIns="45720" rIns="91440" bIns="45720" anchor="t" anchorCtr="0">
                          <a:noAutofit/>
                        </wps:bodyPr>
                      </wps:wsp>
                      <wps:wsp>
                        <wps:cNvPr id="545" name="Text Box 2"/>
                        <wps:cNvSpPr txBox="1">
                          <a:spLocks noChangeArrowheads="1"/>
                        </wps:cNvSpPr>
                        <wps:spPr bwMode="auto">
                          <a:xfrm>
                            <a:off x="976636" y="376886"/>
                            <a:ext cx="741153" cy="266065"/>
                          </a:xfrm>
                          <a:prstGeom prst="rect">
                            <a:avLst/>
                          </a:prstGeom>
                          <a:noFill/>
                          <a:ln w="9525">
                            <a:noFill/>
                            <a:miter lim="800000"/>
                            <a:headEnd/>
                            <a:tailEnd/>
                          </a:ln>
                        </wps:spPr>
                        <wps:txbx>
                          <w:txbxContent>
                            <w:p w:rsidR="0060634A" w:rsidRDefault="00F76D44">
                              <w:pPr>
                                <w:spacing w:after="120"/>
                                <w:jc w:val="center"/>
                                <w:rPr>
                                  <w:color w:val="28296E"/>
                                  <w:lang w:val="fr-BE"/>
                                </w:rPr>
                              </w:pPr>
                              <w:r>
                                <w:rPr>
                                  <w:b/>
                                  <w:color w:val="28296E"/>
                                  <w:lang w:val="fr-BE"/>
                                </w:rPr>
                                <w:t>84%%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41" o:spid="_x0000_s1149" style="position:absolute;left:0;text-align:left;margin-left:-21.35pt;margin-top:44.75pt;width:147.4pt;height:114.5pt;z-index:-251616256;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KAAAAAAAAACEAMpaIHLwiAAC8IgAALQAAAGRycy9lbWJlZGRpbmdzL01p&#10;Y3Jvc29mdF9FeGNlbF9Xb3Jrc2hlZXQueGxzeFBLAwQUAAYACAAAACEA3SuLWGwBAAAQBQAAEwAI&#10;AltDb250ZW50X1R5cGVzXS54bWw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">
                <v:shape id="Chart 542" o:spid="_x0000_s1150"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">
                  <v:imagedata r:id="rId404" o:title=""/>
                  <o:lock v:ext="edit" aspectratio="f"/>
                </v:shape>
                <v:shape id="_x0000_s1151" type="#_x0000_t202" style="position:absolute;left:12871;top:7713;width:12767;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rsidR="0060634A" w:rsidRDefault="00F76D44">
                        <w:pPr>
                          <w:pStyle w:val="PPO1AsidebarchartCenterText"/>
                          <w:rPr>
                            <w:rFonts w:eastAsiaTheme="minorEastAsia"/>
                          </w:rPr>
                        </w:pPr>
                        <w:r>
                          <w:rPr>
                            <w:rFonts w:eastAsiaTheme="minorEastAsia"/>
                          </w:rPr>
                          <w:t>EUR</w:t>
                        </w:r>
                        <w:r>
                          <w:rPr>
                            <w:rFonts w:eastAsiaTheme="minorEastAsia"/>
                            <w:b/>
                          </w:rPr>
                          <w:t xml:space="preserve"> 104.9</w:t>
                        </w:r>
                        <w:r>
                          <w:rPr>
                            <w:rFonts w:eastAsiaTheme="minorEastAsia"/>
                          </w:rPr>
                          <w:br/>
                          <w:t>million</w:t>
                        </w:r>
                      </w:p>
                    </w:txbxContent>
                  </v:textbox>
                </v:shape>
                <v:shape id="_x0000_s1152" type="#_x0000_t202" style="position:absolute;left:11613;top:12133;width:7003;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w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qzSFvzPxCMj8BgAA//8DAFBLAQItABQABgAIAAAAIQDb4fbL7gAAAIUBAAATAAAAAAAAAAAA&#10;AAAAAAAAAABbQ29udGVudF9UeXBlc10ueG1sUEsBAi0AFAAGAAgAAAAhAFr0LFu/AAAAFQEAAAsA&#10;AAAAAAAAAAAAAAAAHwEAAF9yZWxzLy5yZWxzUEsBAi0AFAAGAAgAAAAhAB6ODDrEAAAA3AAAAA8A&#10;AAAAAAAAAAAAAAAABwIAAGRycy9kb3ducmV2LnhtbFBLBQYAAAAAAwADALcAAAD4AgAAAAA=&#10;" filled="f" stroked="f">
                  <v:textbox>
                    <w:txbxContent>
                      <w:p w:rsidR="0060634A" w:rsidRDefault="00F76D44">
                        <w:pPr>
                          <w:spacing w:after="120"/>
                          <w:jc w:val="center"/>
                          <w:rPr>
                            <w:color w:val="00ADDC"/>
                            <w:lang w:val="fr-BE"/>
                          </w:rPr>
                        </w:pPr>
                        <w:r>
                          <w:rPr>
                            <w:b/>
                            <w:color w:val="00ADDC"/>
                            <w:lang w:val="fr-BE"/>
                          </w:rPr>
                          <w:t>56%%</w:t>
                        </w:r>
                      </w:p>
                    </w:txbxContent>
                  </v:textbox>
                </v:shape>
                <v:shape id="_x0000_s1153" type="#_x0000_t202" style="position:absolute;left:9766;top:3768;width:741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" filled="f" stroked="f">
                  <v:textbox>
                    <w:txbxContent>
                      <w:p w:rsidR="0060634A" w:rsidRDefault="00F76D44">
                        <w:pPr>
                          <w:spacing w:after="120"/>
                          <w:jc w:val="center"/>
                          <w:rPr>
                            <w:color w:val="28296E"/>
                            <w:lang w:val="fr-BE"/>
                          </w:rPr>
                        </w:pPr>
                        <w:r>
                          <w:rPr>
                            <w:b/>
                            <w:color w:val="28296E"/>
                            <w:lang w:val="fr-BE"/>
                          </w:rPr>
                          <w:t>84%%</w:t>
                        </w:r>
                      </w:p>
                    </w:txbxContent>
                  </v:textbox>
                </v:shape>
                <w10:wrap type="square"/>
                <w10:anchorlock/>
              </v:group>
              <o:OLEObject Type="Embed" ProgID="Excel.Chart.8" ShapeID="Chart 542" DrawAspect="Content" ObjectID="_1654495737" r:id="rId405">
                <o:FieldCodes>\s</o:FieldCodes>
              </o:OLEObject>
            </w:pict>
          </mc:Fallback>
        </mc:AlternateContent>
      </w:r>
      <w:r>
        <w:rPr>
          <w:rFonts w:eastAsiaTheme="minorEastAsia"/>
        </w:rPr>
        <w:t xml:space="preserve">OVERALL EXECUTION </w:t>
      </w:r>
      <w:r>
        <w:rPr>
          <w:rFonts w:eastAsiaTheme="minorEastAsia"/>
        </w:rPr>
        <w:br/>
        <w:t xml:space="preserve">(2014-2019) </w:t>
      </w:r>
    </w:p>
    <w:p w:rsidR="0060634A" w:rsidRDefault="00F76D44">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697152" behindDoc="0" locked="1" layoutInCell="1" allowOverlap="1">
                <wp:simplePos x="0" y="0"/>
                <wp:positionH relativeFrom="page">
                  <wp:posOffset>2242185</wp:posOffset>
                </wp:positionH>
                <wp:positionV relativeFrom="page">
                  <wp:posOffset>6134735</wp:posOffset>
                </wp:positionV>
                <wp:extent cx="2437130" cy="2326640"/>
                <wp:effectExtent l="0" t="0" r="1270" b="0"/>
                <wp:wrapTopAndBottom/>
                <wp:docPr id="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326640"/>
                        </a:xfrm>
                        <a:prstGeom prst="rect">
                          <a:avLst/>
                        </a:prstGeom>
                        <a:solidFill>
                          <a:srgbClr val="FFFFFF"/>
                        </a:solidFill>
                        <a:ln w="9525">
                          <a:noFill/>
                          <a:miter lim="800000"/>
                          <a:headEnd/>
                          <a:tailEnd/>
                        </a:ln>
                      </wps:spPr>
                      <wps:txbx id="81">
                        <w:txbxContent>
                          <w:p w:rsidR="0060634A" w:rsidRDefault="00F76D44">
                            <w:pPr>
                              <w:pStyle w:val="PPOTitle3-nospacebefore"/>
                              <w:rPr>
                                <w:rFonts w:eastAsiaTheme="minorEastAsia"/>
                              </w:rPr>
                            </w:pPr>
                            <w:r>
                              <w:rPr>
                                <w:rFonts w:eastAsiaTheme="minorEastAsia"/>
                              </w:rPr>
                              <w:t>Why is it necessary?</w:t>
                            </w:r>
                          </w:p>
                          <w:p w:rsidR="0060634A" w:rsidRDefault="00F76D44">
                            <w:pPr>
                              <w:pStyle w:val="PPObodyText"/>
                              <w:rPr>
                                <w:noProof/>
                              </w:rPr>
                            </w:pPr>
                            <w:r>
                              <w:rPr>
                                <w:noProof/>
                              </w:rPr>
                              <w:t xml:space="preserve">From an EU perspective, the programme significantly contributes to the development of activities </w:t>
                            </w:r>
                            <w:r>
                              <w:rPr>
                                <w:noProof/>
                              </w:rPr>
                              <w:t>at EU level to counter fraud, corruption and any other illegal activities; to the creation of increased transnational cooperation and coordination between Member State authorities, the Commission and the European Anti-Fraud Office; and to the establishment</w:t>
                            </w:r>
                            <w:r>
                              <w:rPr>
                                <w:noProof/>
                              </w:rPr>
                              <w:t xml:space="preserve"> of an effective system to prevent fraud, corruption and any other illegal activities affecting the financial interests of the EU.</w:t>
                            </w:r>
                          </w:p>
                          <w:p w:rsidR="0060634A" w:rsidRDefault="00F76D44">
                            <w:pPr>
                              <w:pStyle w:val="PPObodyText"/>
                              <w:rPr>
                                <w:noProof/>
                              </w:rPr>
                            </w:pPr>
                            <w:r>
                              <w:rPr>
                                <w:noProof/>
                              </w:rPr>
                              <w:t>The programme creates in particular savings deriving from the collective procurement of specialised equipment and databases t</w:t>
                            </w:r>
                            <w:r>
                              <w:rPr>
                                <w:noProof/>
                              </w:rPr>
                              <w:t>o be used by stakeholders and those derived from the specialised training.</w:t>
                            </w:r>
                          </w:p>
                          <w:p w:rsidR="0060634A" w:rsidRDefault="00F76D44">
                            <w:pPr>
                              <w:pStyle w:val="PPOTitle3-nospacebefore"/>
                              <w:rPr>
                                <w:rFonts w:eastAsiaTheme="minorEastAsia"/>
                              </w:rPr>
                            </w:pPr>
                            <w:r>
                              <w:rPr>
                                <w:rFonts w:eastAsiaTheme="minorEastAsia"/>
                              </w:rPr>
                              <w:t>Outlook for the 2021-2027 period</w:t>
                            </w:r>
                          </w:p>
                          <w:p w:rsidR="0060634A" w:rsidRDefault="00F76D44">
                            <w:pPr>
                              <w:pStyle w:val="PPObodyText"/>
                              <w:rPr>
                                <w:noProof/>
                              </w:rPr>
                            </w:pPr>
                            <w:r>
                              <w:rPr>
                                <w:noProof/>
                              </w:rPr>
                              <w:t>The Commission has proposed a continuation of the programme for the next multiannual financial framework in the new anti-fraud programme, which will</w:t>
                            </w:r>
                            <w:r>
                              <w:rPr>
                                <w:noProof/>
                              </w:rPr>
                              <w:t xml:space="preserve"> also include the financing of the Anti-Fraud Information System (AFIS) and the Irregularity Management System (IMS).</w:t>
                            </w:r>
                          </w:p>
                          <w:p w:rsidR="0060634A" w:rsidRDefault="0060634A">
                            <w:pPr>
                              <w:jc w:val="both"/>
                              <w:rPr>
                                <w:rFonts w:ascii="EC Square Sans Cond Pro" w:hAnsi="EC Square Sans Cond Pro" w:cs="EC Square Sans Cond Pro"/>
                                <w:color w:val="000000"/>
                                <w:sz w:val="18"/>
                                <w:szCs w:val="18"/>
                              </w:rPr>
                            </w:pP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left:0;text-align:left;margin-left:176.55pt;margin-top:483.05pt;width:191.9pt;height:183.2pt;z-index:2516971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" stroked="f">
                <v:textbox style="mso-next-textbox:#Text Box 549" inset="0">
                  <w:txbxContent>
                    <w:p w:rsidR="0060634A" w:rsidRDefault="00F76D44">
                      <w:pPr>
                        <w:pStyle w:val="PPOTitle3-nospacebefore"/>
                        <w:rPr>
                          <w:rFonts w:eastAsiaTheme="minorEastAsia"/>
                        </w:rPr>
                      </w:pPr>
                      <w:r>
                        <w:rPr>
                          <w:rFonts w:eastAsiaTheme="minorEastAsia"/>
                        </w:rPr>
                        <w:t>Why is it necessary?</w:t>
                      </w:r>
                    </w:p>
                    <w:p w:rsidR="0060634A" w:rsidRDefault="00F76D44">
                      <w:pPr>
                        <w:pStyle w:val="PPObodyText"/>
                        <w:rPr>
                          <w:noProof/>
                        </w:rPr>
                      </w:pPr>
                      <w:r>
                        <w:rPr>
                          <w:noProof/>
                        </w:rPr>
                        <w:t xml:space="preserve">From an EU perspective, the programme significantly contributes to the development of activities </w:t>
                      </w:r>
                      <w:r>
                        <w:rPr>
                          <w:noProof/>
                        </w:rPr>
                        <w:t>at EU level to counter fraud, corruption and any other illegal activities; to the creation of increased transnational cooperation and coordination between Member State authorities, the Commission and the European Anti-Fraud Office; and to the establishment</w:t>
                      </w:r>
                      <w:r>
                        <w:rPr>
                          <w:noProof/>
                        </w:rPr>
                        <w:t xml:space="preserve"> of an effective system to prevent fraud, corruption and any other illegal activities affecting the financial interests of the EU.</w:t>
                      </w:r>
                    </w:p>
                    <w:p w:rsidR="0060634A" w:rsidRDefault="00F76D44">
                      <w:pPr>
                        <w:pStyle w:val="PPObodyText"/>
                        <w:rPr>
                          <w:noProof/>
                        </w:rPr>
                      </w:pPr>
                      <w:r>
                        <w:rPr>
                          <w:noProof/>
                        </w:rPr>
                        <w:t>The programme creates in particular savings deriving from the collective procurement of specialised equipment and databases t</w:t>
                      </w:r>
                      <w:r>
                        <w:rPr>
                          <w:noProof/>
                        </w:rPr>
                        <w:t>o be used by stakeholders and those derived from the specialised training.</w:t>
                      </w:r>
                    </w:p>
                    <w:p w:rsidR="0060634A" w:rsidRDefault="00F76D44">
                      <w:pPr>
                        <w:pStyle w:val="PPOTitle3-nospacebefore"/>
                        <w:rPr>
                          <w:rFonts w:eastAsiaTheme="minorEastAsia"/>
                        </w:rPr>
                      </w:pPr>
                      <w:r>
                        <w:rPr>
                          <w:rFonts w:eastAsiaTheme="minorEastAsia"/>
                        </w:rPr>
                        <w:t>Outlook for the 2021-2027 period</w:t>
                      </w:r>
                    </w:p>
                    <w:p w:rsidR="0060634A" w:rsidRDefault="00F76D44">
                      <w:pPr>
                        <w:pStyle w:val="PPObodyText"/>
                        <w:rPr>
                          <w:noProof/>
                        </w:rPr>
                      </w:pPr>
                      <w:r>
                        <w:rPr>
                          <w:noProof/>
                        </w:rPr>
                        <w:t>The Commission has proposed a continuation of the programme for the next multiannual financial framework in the new anti-fraud programme, which will</w:t>
                      </w:r>
                      <w:r>
                        <w:rPr>
                          <w:noProof/>
                        </w:rPr>
                        <w:t xml:space="preserve"> also include the financing of the Anti-Fraud Information System (AFIS) and the Irregularity Management System (IMS).</w:t>
                      </w:r>
                    </w:p>
                    <w:p w:rsidR="0060634A" w:rsidRDefault="0060634A">
                      <w:pPr>
                        <w:jc w:val="both"/>
                        <w:rPr>
                          <w:rFonts w:ascii="EC Square Sans Cond Pro" w:hAnsi="EC Square Sans Cond Pro" w:cs="EC Square Sans Cond Pro"/>
                          <w:color w:val="000000"/>
                          <w:sz w:val="18"/>
                          <w:szCs w:val="18"/>
                        </w:rPr>
                      </w:pPr>
                    </w:p>
                  </w:txbxContent>
                </v:textbox>
                <w10:wrap type="topAndBottom" anchorx="page" anchory="page"/>
                <w10:anchorlock/>
              </v:shape>
            </w:pict>
          </mc:Fallback>
        </mc:AlternateContent>
      </w:r>
    </w:p>
    <w:p w:rsidR="0060634A" w:rsidRDefault="00F76D44">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701248" behindDoc="0" locked="1" layoutInCell="1" allowOverlap="1">
                <wp:simplePos x="0" y="0"/>
                <wp:positionH relativeFrom="column">
                  <wp:posOffset>539750</wp:posOffset>
                </wp:positionH>
                <wp:positionV relativeFrom="paragraph">
                  <wp:posOffset>1270</wp:posOffset>
                </wp:positionV>
                <wp:extent cx="115200" cy="115200"/>
                <wp:effectExtent l="0" t="0" r="0" b="0"/>
                <wp:wrapNone/>
                <wp:docPr id="547" name="Oval 547"/>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00AD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15DDB7" id="Oval 547" o:spid="_x0000_s1026" style="position:absolute;margin-left:42.5pt;margin-top:.1pt;width:9.05pt;height:9.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" fillcolor="#00addc" stroked="f" strokeweight="1pt">
                <v:stroke joinstyle="miter"/>
                <w10:anchorlock/>
              </v:oval>
            </w:pict>
          </mc:Fallback>
        </mc:AlternateContent>
      </w:r>
      <w:r>
        <w:rPr>
          <w:rFonts w:eastAsiaTheme="minorEastAsia"/>
          <w:lang w:val="fr-BE" w:eastAsia="fr-BE"/>
        </w:rPr>
        <w:drawing>
          <wp:anchor distT="0" distB="0" distL="114300" distR="114300" simplePos="0" relativeHeight="251698176" behindDoc="1" locked="1" layoutInCell="1" allowOverlap="1">
            <wp:simplePos x="0" y="0"/>
            <wp:positionH relativeFrom="page">
              <wp:posOffset>-415925</wp:posOffset>
            </wp:positionH>
            <wp:positionV relativeFrom="paragraph">
              <wp:posOffset>-1602105</wp:posOffset>
            </wp:positionV>
            <wp:extent cx="3412800" cy="1990800"/>
            <wp:effectExtent l="0" t="0" r="0" b="0"/>
            <wp:wrapNone/>
            <wp:docPr id="555" name="Chart 5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6"/>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699200" behindDoc="0" locked="1" layoutInCell="1" allowOverlap="1">
                <wp:simplePos x="0" y="0"/>
                <wp:positionH relativeFrom="column">
                  <wp:posOffset>539750</wp:posOffset>
                </wp:positionH>
                <wp:positionV relativeFrom="paragraph">
                  <wp:posOffset>195580</wp:posOffset>
                </wp:positionV>
                <wp:extent cx="115200" cy="115200"/>
                <wp:effectExtent l="0" t="0" r="0" b="0"/>
                <wp:wrapNone/>
                <wp:docPr id="548" name="Oval 548"/>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B9B2DA" id="Oval 548" o:spid="_x0000_s1026" style="position:absolute;margin-left:42.5pt;margin-top:15.4pt;width:9.05pt;height:9.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" fillcolor="#28296e" stroked="f" strokeweight="1pt">
                <v:stroke joinstyle="miter"/>
                <w10:anchorlock/>
              </v:oval>
            </w:pict>
          </mc:Fallback>
        </mc:AlternateContent>
      </w:r>
      <w:r>
        <w:rPr>
          <w:rFonts w:eastAsiaTheme="minorEastAsia"/>
        </w:rPr>
        <w:t>Payments</w:t>
      </w:r>
    </w:p>
    <w:p w:rsidR="0060634A" w:rsidRDefault="00F76D44">
      <w:pPr>
        <w:pStyle w:val="PPOsidebarchartLegends"/>
        <w:rPr>
          <w:rFonts w:eastAsiaTheme="minorEastAsia"/>
        </w:rPr>
      </w:pPr>
      <w:r>
        <w:rPr>
          <w:rFonts w:eastAsiaTheme="minorEastAsia"/>
        </w:rPr>
        <w:t>Commitments</w:t>
      </w:r>
    </w:p>
    <w:p w:rsidR="0060634A" w:rsidRDefault="00F76D44">
      <w:pPr>
        <w:pStyle w:val="PPO1AsidebarTitleLightBlue"/>
        <w:rPr>
          <w:rFonts w:eastAsiaTheme="minorEastAsia"/>
        </w:rPr>
      </w:pPr>
      <w:r>
        <w:rPr>
          <w:rFonts w:eastAsiaTheme="minorEastAsia"/>
        </w:rPr>
        <w:t>Evaluations/</w:t>
      </w:r>
      <w:r>
        <w:rPr>
          <w:rFonts w:eastAsiaTheme="minorEastAsia"/>
        </w:rPr>
        <w:br/>
        <w:t xml:space="preserve">studies conducted </w:t>
      </w:r>
    </w:p>
    <w:p w:rsidR="0060634A" w:rsidRDefault="00F76D44">
      <w:pPr>
        <w:pStyle w:val="PPOsidebartext"/>
        <w:rPr>
          <w:rFonts w:eastAsiaTheme="minorEastAsia"/>
        </w:rPr>
      </w:pPr>
      <w:r>
        <w:rPr>
          <w:rFonts w:eastAsiaTheme="minorEastAsia"/>
        </w:rPr>
        <w:t>The mid-term evaluation of the Hercule</w:t>
      </w:r>
      <w:r>
        <w:rPr>
          <w:rFonts w:ascii="Calibri" w:eastAsiaTheme="minorEastAsia" w:hAnsi="Calibri" w:cs="Calibri"/>
        </w:rPr>
        <w:t> </w:t>
      </w:r>
      <w:r>
        <w:rPr>
          <w:rFonts w:eastAsiaTheme="minorEastAsia"/>
        </w:rPr>
        <w:t xml:space="preserve">III programme was carried out in 2017. </w:t>
      </w:r>
      <w:r>
        <w:rPr>
          <w:rFonts w:eastAsiaTheme="minorEastAsia"/>
        </w:rPr>
        <w:t>For further information please consult:</w:t>
      </w:r>
    </w:p>
    <w:p w:rsidR="0060634A" w:rsidRDefault="00F76D44">
      <w:pPr>
        <w:pStyle w:val="PPOsidebartext"/>
        <w:rPr>
          <w:rStyle w:val="PPOChar-Hyperlink"/>
          <w:rFonts w:eastAsiaTheme="minorEastAsia"/>
        </w:rPr>
      </w:pPr>
      <w:hyperlink r:id="rId407" w:history="1">
        <w:r>
          <w:rPr>
            <w:rStyle w:val="PPOChar-Hyperlink"/>
            <w:rFonts w:eastAsiaTheme="minorEastAsia"/>
          </w:rPr>
          <w:t>http://europa.eu/!Jq37nB</w:t>
        </w:r>
      </w:hyperlink>
    </w:p>
    <w:p w:rsidR="0060634A" w:rsidRDefault="00F76D44">
      <w:pPr>
        <w:pStyle w:val="PPO1AsidebarTitleLightBlue"/>
        <w:rPr>
          <w:rFonts w:eastAsiaTheme="minorEastAsia"/>
        </w:rPr>
      </w:pPr>
      <w:r>
        <w:rPr>
          <w:rFonts w:eastAsiaTheme="minorEastAsia"/>
        </w:rPr>
        <w:t>How is it implemented?</w:t>
      </w:r>
    </w:p>
    <w:tbl>
      <w:tblPr>
        <w:tblStyle w:val="TableGrid"/>
        <w:tblpPr w:vertAnchor="page" w:horzAnchor="page" w:tblpX="3663" w:tblpY="13629"/>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60634A">
        <w:trPr>
          <w:cantSplit/>
        </w:trPr>
        <w:tc>
          <w:tcPr>
            <w:tcW w:w="7792" w:type="dxa"/>
            <w:gridSpan w:val="3"/>
            <w:vAlign w:val="center"/>
          </w:tcPr>
          <w:p w:rsidR="0060634A" w:rsidRDefault="00F76D44">
            <w:pPr>
              <w:pStyle w:val="PPOTitle3-nospacebefore"/>
              <w:ind w:left="-108"/>
              <w:rPr>
                <w:rFonts w:eastAsiaTheme="minorEastAsia"/>
                <w:lang w:val="en-GB"/>
              </w:rPr>
            </w:pPr>
            <w:r>
              <w:rPr>
                <w:rFonts w:eastAsiaTheme="minorEastAsia"/>
                <w:lang w:val="en-GB"/>
              </w:rPr>
              <w:t>Voted budget execution (in million EUR)</w:t>
            </w:r>
          </w:p>
        </w:tc>
      </w:tr>
      <w:tr w:rsidR="0060634A">
        <w:tblPrEx>
          <w:tblCellMar>
            <w:left w:w="57" w:type="dxa"/>
            <w:right w:w="57" w:type="dxa"/>
          </w:tblCellMar>
        </w:tblPrEx>
        <w:trPr>
          <w:cantSplit/>
        </w:trPr>
        <w:tc>
          <w:tcPr>
            <w:tcW w:w="3471" w:type="dxa"/>
            <w:shd w:val="clear" w:color="auto" w:fill="00ADDC"/>
            <w:vAlign w:val="center"/>
          </w:tcPr>
          <w:p w:rsidR="0060634A" w:rsidRDefault="00F76D44">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00ADDC"/>
            <w:vAlign w:val="center"/>
          </w:tcPr>
          <w:p w:rsidR="0060634A" w:rsidRDefault="0060634A">
            <w:pPr>
              <w:spacing w:afterAutospacing="1"/>
              <w:jc w:val="center"/>
              <w:rPr>
                <w:noProof/>
                <w:sz w:val="18"/>
              </w:rPr>
            </w:pPr>
          </w:p>
        </w:tc>
        <w:tc>
          <w:tcPr>
            <w:tcW w:w="3471" w:type="dxa"/>
            <w:shd w:val="clear" w:color="auto" w:fill="00ADDC"/>
            <w:vAlign w:val="center"/>
          </w:tcPr>
          <w:p w:rsidR="0060634A" w:rsidRDefault="00F76D44">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60634A">
        <w:trPr>
          <w:cantSplit/>
        </w:trPr>
        <w:tc>
          <w:tcPr>
            <w:tcW w:w="3471" w:type="dxa"/>
            <w:shd w:val="clear" w:color="auto" w:fill="DCE6F2"/>
            <w:vAlign w:val="center"/>
          </w:tcPr>
          <w:p w:rsidR="0060634A" w:rsidRDefault="00F76D44">
            <w:pPr>
              <w:spacing w:after="100" w:afterAutospacing="1"/>
              <w:jc w:val="center"/>
              <w:rPr>
                <w:noProof/>
                <w:color w:val="0070C0"/>
                <w:sz w:val="18"/>
              </w:rPr>
            </w:pPr>
            <w:r>
              <w:rPr>
                <w:noProof/>
                <w:color w:val="0070C0"/>
                <w:sz w:val="18"/>
                <w:lang w:eastAsia="fr-BE"/>
              </w:rPr>
              <w:drawing>
                <wp:inline distT="0" distB="0" distL="0" distR="0">
                  <wp:extent cx="2158365" cy="89027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c>
          <w:tcPr>
            <w:tcW w:w="850" w:type="dxa"/>
            <w:shd w:val="clear" w:color="auto" w:fill="DCE6F2"/>
            <w:vAlign w:val="center"/>
          </w:tcPr>
          <w:p w:rsidR="0060634A" w:rsidRDefault="00F76D44">
            <w:pPr>
              <w:pStyle w:val="PPO1AVotedbudgetTABLEtextBlue"/>
              <w:framePr w:hSpace="0" w:wrap="auto" w:vAnchor="margin" w:hAnchor="text" w:xAlign="left" w:yAlign="inline"/>
              <w:suppressOverlap w:val="0"/>
              <w:rPr>
                <w:rFonts w:eastAsiaTheme="minorEastAsia"/>
              </w:rPr>
            </w:pPr>
            <w:r>
              <w:rPr>
                <w:rFonts w:eastAsiaTheme="minorEastAsia"/>
              </w:rPr>
              <w:t>2017</w:t>
            </w:r>
          </w:p>
          <w:p w:rsidR="0060634A" w:rsidRDefault="00F76D44">
            <w:pPr>
              <w:pStyle w:val="PPO1AVotedbudgetTABLEtextBlue"/>
              <w:framePr w:hSpace="0" w:wrap="auto" w:vAnchor="margin" w:hAnchor="text" w:xAlign="left" w:yAlign="inline"/>
              <w:suppressOverlap w:val="0"/>
              <w:rPr>
                <w:rFonts w:eastAsiaTheme="minorEastAsia"/>
              </w:rPr>
            </w:pPr>
            <w:r>
              <w:rPr>
                <w:rFonts w:eastAsiaTheme="minorEastAsia"/>
              </w:rPr>
              <w:t>2018</w:t>
            </w:r>
          </w:p>
          <w:p w:rsidR="0060634A" w:rsidRDefault="00F76D44">
            <w:pPr>
              <w:pStyle w:val="PPO1AVotedbudgetTABLEtextBlue"/>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DCE6F2"/>
            <w:vAlign w:val="center"/>
          </w:tcPr>
          <w:p w:rsidR="0060634A" w:rsidRDefault="00F76D44">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890270"/>
                  <wp:effectExtent l="0" t="0" r="0" b="0"/>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r>
    </w:tbl>
    <w:p w:rsidR="0060634A" w:rsidRDefault="00F76D44">
      <w:pPr>
        <w:pStyle w:val="PPOsidebartext"/>
        <w:rPr>
          <w:rFonts w:eastAsiaTheme="minorEastAsia"/>
        </w:rPr>
      </w:pPr>
      <w:r>
        <w:rPr>
          <w:rFonts w:eastAsiaTheme="minorEastAsia"/>
        </w:rPr>
        <w:t xml:space="preserve">The European Anti-Fraud </w:t>
      </w:r>
      <w:r>
        <w:rPr>
          <w:rFonts w:eastAsiaTheme="minorEastAsia"/>
        </w:rPr>
        <w:t>Office is the lead service for the implementation of the programme. The programme is implemented through direct management.</w:t>
      </w:r>
    </w:p>
    <w:p w:rsidR="0060634A" w:rsidRDefault="00F76D44">
      <w:pPr>
        <w:pStyle w:val="PPO1ATitle1"/>
        <w:rPr>
          <w:rFonts w:eastAsiaTheme="minorEastAsia"/>
        </w:rPr>
      </w:pPr>
      <w:r>
        <w:rPr>
          <w:rFonts w:eastAsiaTheme="minorEastAsia"/>
        </w:rPr>
        <w:br w:type="column"/>
      </w:r>
      <w:bookmarkStart w:id="37" w:name="_Toc39583685"/>
      <w:r>
        <w:rPr>
          <w:rFonts w:eastAsiaTheme="minorEastAsia"/>
        </w:rPr>
        <w:t>HERCULE III</w:t>
      </w:r>
      <w:bookmarkEnd w:id="37"/>
      <w:r>
        <w:rPr>
          <w:rFonts w:eastAsiaTheme="minorEastAsia"/>
        </w:rPr>
        <w:t xml:space="preserve"> </w:t>
      </w:r>
    </w:p>
    <w:p w:rsidR="0060634A" w:rsidRDefault="00F76D44">
      <w:pPr>
        <w:pStyle w:val="PPO1ATitle2"/>
        <w:rPr>
          <w:rFonts w:eastAsiaTheme="minorEastAsia"/>
          <w:sz w:val="32"/>
        </w:rPr>
      </w:pPr>
      <w:r>
        <w:rPr>
          <w:rFonts w:eastAsiaTheme="minorEastAsia"/>
        </w:rPr>
        <w:t>PROGRAMME TO PROMOTE ACTIVITIES IN THE FIELD OF THE PROTECTION OF THE FINANCIAL INTERESTS OF THE EUROPEAN UNION</w:t>
      </w:r>
    </w:p>
    <w:p w:rsidR="0060634A" w:rsidRDefault="00F76D44">
      <w:pPr>
        <w:pStyle w:val="PPOTitle3"/>
        <w:rPr>
          <w:rFonts w:eastAsiaTheme="minorEastAsia"/>
        </w:rPr>
      </w:pPr>
      <w:r>
        <w:rPr>
          <w:rFonts w:eastAsiaTheme="minorEastAsia"/>
        </w:rPr>
        <w:t>What i</w:t>
      </w:r>
      <w:r>
        <w:rPr>
          <w:rFonts w:eastAsiaTheme="minorEastAsia"/>
        </w:rPr>
        <w:t>s Hercule III?</w:t>
      </w:r>
    </w:p>
    <w:p w:rsidR="0060634A" w:rsidRDefault="00F76D44">
      <w:pPr>
        <w:pStyle w:val="PPObodyText"/>
        <w:rPr>
          <w:noProof/>
        </w:rPr>
      </w:pPr>
      <w:r>
        <w:rPr>
          <w:noProof/>
          <w:lang w:val="fr-BE" w:eastAsia="fr-BE"/>
        </w:rPr>
        <mc:AlternateContent>
          <mc:Choice Requires="wps">
            <w:drawing>
              <wp:anchor distT="0" distB="0" distL="114300" distR="114300" simplePos="0" relativeHeight="251740160" behindDoc="0" locked="1" layoutInCell="1" allowOverlap="1">
                <wp:simplePos x="0" y="0"/>
                <wp:positionH relativeFrom="page">
                  <wp:posOffset>4762500</wp:posOffset>
                </wp:positionH>
                <wp:positionV relativeFrom="page">
                  <wp:posOffset>6134735</wp:posOffset>
                </wp:positionV>
                <wp:extent cx="2437130" cy="2179320"/>
                <wp:effectExtent l="0" t="0" r="1270" b="0"/>
                <wp:wrapTopAndBottom/>
                <wp:docPr id="549" name="Text Box 549"/>
                <wp:cNvGraphicFramePr/>
                <a:graphic xmlns:a="http://schemas.openxmlformats.org/drawingml/2006/main">
                  <a:graphicData uri="http://schemas.microsoft.com/office/word/2010/wordprocessingShape">
                    <wps:wsp>
                      <wps:cNvSpPr txBox="1"/>
                      <wps:spPr>
                        <a:xfrm>
                          <a:off x="0" y="0"/>
                          <a:ext cx="2437130" cy="2179320"/>
                        </a:xfrm>
                        <a:prstGeom prst="rect">
                          <a:avLst/>
                        </a:prstGeom>
                        <a:solidFill>
                          <a:schemeClr val="lt1"/>
                        </a:solidFill>
                        <a:ln w="6350">
                          <a:noFill/>
                        </a:ln>
                      </wps:spPr>
                      <wps:linkedTxbx id="81"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9" o:spid="_x0000_s1155" type="#_x0000_t202" style="position:absolute;left:0;text-align:left;margin-left:375pt;margin-top:483.05pt;width:191.9pt;height:171.6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" fillcolor="white [3201]" stroked="f" strokeweight=".5pt">
                <v:textbox inset=",,0">
                  <w:txbxContent/>
                </v:textbox>
                <w10:wrap type="topAndBottom" anchorx="page" anchory="page"/>
                <w10:anchorlock/>
              </v:shape>
            </w:pict>
          </mc:Fallback>
        </mc:AlternateContent>
      </w:r>
      <w:r>
        <w:rPr>
          <w:noProof/>
        </w:rPr>
        <w:t>Hercule III is the latest EU anti-fraud programme, following Hercule</w:t>
      </w:r>
      <w:r>
        <w:rPr>
          <w:rFonts w:ascii="Calibri" w:hAnsi="Calibri" w:cs="Calibri"/>
          <w:noProof/>
        </w:rPr>
        <w:t> </w:t>
      </w:r>
      <w:r>
        <w:rPr>
          <w:noProof/>
        </w:rPr>
        <w:t>II (2007-2013). It helps Member States fight fraud, corruption and other illegal activities. It helps finance practical projects, such as the purchase by national authorit</w:t>
      </w:r>
      <w:r>
        <w:rPr>
          <w:noProof/>
        </w:rPr>
        <w:t>ies of sniffer dogs, X-ray scanners and other technical equipment, to stamp out smuggling and other criminal activities that are against the EU’s financial interests.</w:t>
      </w:r>
    </w:p>
    <w:p w:rsidR="0060634A" w:rsidRDefault="00F76D44">
      <w:pPr>
        <w:pStyle w:val="PPObodyText"/>
        <w:rPr>
          <w:noProof/>
        </w:rPr>
      </w:pPr>
      <w:r>
        <w:rPr>
          <w:noProof/>
        </w:rPr>
        <w:t>The programme protects the EU’s financial interests by supporting action to combat irregu</w:t>
      </w:r>
      <w:r>
        <w:rPr>
          <w:noProof/>
        </w:rPr>
        <w:t>larities, fraud and corruption affecting the EU budget. This includes combating tobacco smuggling, which remains a major concern, accounting for estimated annual losses of at least EUR</w:t>
      </w:r>
      <w:r>
        <w:rPr>
          <w:rFonts w:ascii="Calibri" w:hAnsi="Calibri" w:cs="Calibri"/>
          <w:noProof/>
        </w:rPr>
        <w:t> </w:t>
      </w:r>
      <w:r>
        <w:rPr>
          <w:noProof/>
        </w:rPr>
        <w:t>10 billion to national and EU budgets. Helping to fund technical equipm</w:t>
      </w:r>
      <w:r>
        <w:rPr>
          <w:noProof/>
        </w:rPr>
        <w:t>ent in harbours and airports aims to boost national authorities’ capacity to fight smuggling. Hercule</w:t>
      </w:r>
      <w:r>
        <w:rPr>
          <w:rFonts w:ascii="Calibri" w:hAnsi="Calibri" w:cs="Calibri"/>
          <w:noProof/>
        </w:rPr>
        <w:t> </w:t>
      </w:r>
      <w:r>
        <w:rPr>
          <w:noProof/>
        </w:rPr>
        <w:t>III also finances training activities. It helps national authorities share best practices through seminars and conferences on issues such as preventing co</w:t>
      </w:r>
      <w:r>
        <w:rPr>
          <w:noProof/>
        </w:rPr>
        <w:t>rruption in procurement procedures. Another facet is training to boost and update the digital forensic skills of law enforcement staff.</w:t>
      </w:r>
    </w:p>
    <w:p w:rsidR="0060634A" w:rsidRDefault="00F76D44">
      <w:pPr>
        <w:pStyle w:val="PPObodyText"/>
        <w:rPr>
          <w:noProof/>
        </w:rPr>
      </w:pPr>
      <w:r>
        <w:rPr>
          <w:noProof/>
        </w:rPr>
        <w:t>The programme contributes to:</w:t>
      </w:r>
    </w:p>
    <w:p w:rsidR="0060634A" w:rsidRDefault="00F76D44">
      <w:pPr>
        <w:pStyle w:val="PPOBlackBULLETS-L1"/>
        <w:rPr>
          <w:noProof/>
        </w:rPr>
      </w:pPr>
      <w:r>
        <w:rPr>
          <w:noProof/>
        </w:rPr>
        <w:t>the development of activities at EU and Member State level to counter fraud, corruption an</w:t>
      </w:r>
      <w:r>
        <w:rPr>
          <w:noProof/>
        </w:rPr>
        <w:t xml:space="preserve">d any other illegal activities affecting the financial interests of the EU, including the fight against cigarette smuggling and counterfeiting; </w:t>
      </w:r>
    </w:p>
    <w:p w:rsidR="0060634A" w:rsidRDefault="00F76D44">
      <w:pPr>
        <w:pStyle w:val="PPOBlackBULLETS-L1"/>
        <w:rPr>
          <w:noProof/>
        </w:rPr>
      </w:pPr>
      <w:r>
        <w:rPr>
          <w:noProof/>
        </w:rPr>
        <w:t>increased transnational cooperation and coordination at EU level between Member State authorities, the Commissi</w:t>
      </w:r>
      <w:r>
        <w:rPr>
          <w:noProof/>
        </w:rPr>
        <w:t>on and the European Anti-Fraud Office, and in particular increased effectiveness and efficiency of cross-border operations;</w:t>
      </w:r>
    </w:p>
    <w:p w:rsidR="0060634A" w:rsidRDefault="00F76D44">
      <w:pPr>
        <w:pStyle w:val="PPOBlackBULLETS-L1"/>
        <w:spacing w:after="360"/>
        <w:rPr>
          <w:noProof/>
        </w:rPr>
      </w:pPr>
      <w:r>
        <w:rPr>
          <w:noProof/>
        </w:rPr>
        <w:t xml:space="preserve">effective prevention of fraud, corruption and any other illegal activities affecting the financial interests of the EU, by offering </w:t>
      </w:r>
      <w:r>
        <w:rPr>
          <w:noProof/>
        </w:rPr>
        <w:t>joint specialised training for staff of national and regional administrations, and for other stakeholders.</w:t>
      </w:r>
    </w:p>
    <w:tbl>
      <w:tblPr>
        <w:tblStyle w:val="TableGrid"/>
        <w:tblpPr w:leftFromText="181" w:rightFromText="340" w:vertAnchor="text" w:tblpX="108" w:tblpY="1"/>
        <w:tblW w:w="7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7789"/>
      </w:tblGrid>
      <w:tr w:rsidR="0060634A">
        <w:trPr>
          <w:trHeight w:val="881"/>
        </w:trPr>
        <w:tc>
          <w:tcPr>
            <w:tcW w:w="7789" w:type="dxa"/>
            <w:shd w:val="clear" w:color="auto" w:fill="F2F2F2" w:themeFill="background1" w:themeFillShade="F2"/>
          </w:tcPr>
          <w:p w:rsidR="0060634A" w:rsidRDefault="00F76D44">
            <w:pPr>
              <w:pStyle w:val="PPO1ASpecificobjectivesBOX-HeadingLightBlue"/>
              <w:rPr>
                <w:rFonts w:eastAsiaTheme="minorEastAsia"/>
              </w:rPr>
            </w:pPr>
            <w:r>
              <w:rPr>
                <w:rFonts w:eastAsiaTheme="minorEastAsia"/>
              </w:rPr>
              <w:t>Specific objectives</w:t>
            </w:r>
            <w:r>
              <w:rPr>
                <w:rFonts w:eastAsiaTheme="minorEastAsia"/>
                <w:lang w:eastAsia="fr-BE"/>
              </w:rPr>
              <mc:AlternateContent>
                <mc:Choice Requires="wps">
                  <w:drawing>
                    <wp:anchor distT="0" distB="0" distL="114300" distR="114300" simplePos="0" relativeHeight="251703296"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24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00ADDC"/>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56546B0" id="Freeform 6" o:spid="_x0000_s1026" style="position:absolute;margin-left:4pt;margin-top:1.4pt;width:21.25pt;height:2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00addc"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p>
          <w:p w:rsidR="0060634A" w:rsidRDefault="00F76D44">
            <w:pPr>
              <w:pStyle w:val="PPO1ASpecificobjectivesBOX-BulletLightBlue"/>
              <w:rPr>
                <w:rFonts w:ascii="EC Square Sans Cond Pro" w:hAnsi="EC Square Sans Cond Pro"/>
                <w:lang w:val="en-GB"/>
              </w:rPr>
            </w:pPr>
            <w:r>
              <w:rPr>
                <w:rFonts w:ascii="EC Square Sans Cond Pro" w:hAnsi="EC Square Sans Cond Pro"/>
                <w:lang w:val="en-GB"/>
              </w:rPr>
              <w:t>To prevent and combat fraud, corruption and any other illegal activities affecting the EU’s financial interests.</w:t>
            </w:r>
          </w:p>
        </w:tc>
      </w:tr>
    </w:tbl>
    <w:p w:rsidR="0060634A" w:rsidRDefault="0060634A">
      <w:pPr>
        <w:rPr>
          <w:noProof/>
          <w:sz w:val="2"/>
          <w:szCs w:val="2"/>
        </w:rPr>
      </w:pPr>
    </w:p>
    <w:p w:rsidR="0060634A" w:rsidRDefault="0060634A">
      <w:pPr>
        <w:framePr w:w="6721" w:wrap="auto" w:hAnchor="text" w:x="3544"/>
        <w:jc w:val="both"/>
        <w:rPr>
          <w:b/>
          <w:noProof/>
          <w:color w:val="1F95A5"/>
        </w:rPr>
        <w:sectPr w:rsidR="0060634A">
          <w:headerReference w:type="even" r:id="rId410"/>
          <w:headerReference w:type="default" r:id="rId411"/>
          <w:footerReference w:type="even" r:id="rId412"/>
          <w:footerReference w:type="default" r:id="rId413"/>
          <w:headerReference w:type="first" r:id="rId414"/>
          <w:footerReference w:type="first" r:id="rId415"/>
          <w:pgSz w:w="11906" w:h="16838"/>
          <w:pgMar w:top="567" w:right="567" w:bottom="567" w:left="567" w:header="567" w:footer="454" w:gutter="0"/>
          <w:paperSrc w:first="15" w:other="15"/>
          <w:cols w:num="2" w:space="708" w:equalWidth="0">
            <w:col w:w="2269" w:space="708"/>
            <w:col w:w="7795"/>
          </w:cols>
          <w:docGrid w:linePitch="360"/>
        </w:sectPr>
      </w:pPr>
    </w:p>
    <w:p w:rsidR="0060634A" w:rsidRDefault="00F76D44">
      <w:pPr>
        <w:pStyle w:val="PPOTitle3-pagebreakbefore"/>
        <w:rPr>
          <w:rFonts w:eastAsiaTheme="minorEastAsia"/>
          <w:color w:val="000000"/>
        </w:rPr>
      </w:pPr>
      <w:r>
        <w:rPr>
          <w:rFonts w:eastAsiaTheme="minorEastAsia"/>
        </w:rPr>
        <w:t>Key performance indicators</w:t>
      </w:r>
      <w:r>
        <w:rPr>
          <w:rFonts w:eastAsiaTheme="minorEastAsia"/>
          <w:color w:val="000000"/>
          <w:lang w:eastAsia="en-GB"/>
        </w:rPr>
        <w:t xml:space="preserve"> </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77"/>
        <w:gridCol w:w="707"/>
        <w:gridCol w:w="3458"/>
        <w:gridCol w:w="596"/>
        <w:gridCol w:w="2846"/>
        <w:gridCol w:w="56"/>
      </w:tblGrid>
      <w:tr w:rsidR="0060634A">
        <w:trPr>
          <w:gridAfter w:val="1"/>
          <w:wAfter w:w="56" w:type="dxa"/>
          <w:trHeight w:val="333"/>
        </w:trPr>
        <w:tc>
          <w:tcPr>
            <w:tcW w:w="3077" w:type="dxa"/>
            <w:vAlign w:val="center"/>
          </w:tcPr>
          <w:p w:rsidR="0060634A" w:rsidRDefault="0060634A">
            <w:pPr>
              <w:ind w:left="142"/>
              <w:jc w:val="right"/>
              <w:rPr>
                <w:noProof/>
                <w:sz w:val="16"/>
                <w:szCs w:val="16"/>
              </w:rPr>
            </w:pPr>
          </w:p>
        </w:tc>
        <w:tc>
          <w:tcPr>
            <w:tcW w:w="707" w:type="dxa"/>
            <w:vAlign w:val="bottom"/>
          </w:tcPr>
          <w:p w:rsidR="0060634A" w:rsidRDefault="00F76D44">
            <w:pPr>
              <w:jc w:val="center"/>
              <w:rPr>
                <w:b/>
                <w:noProof/>
                <w:color w:val="28296E"/>
                <w:sz w:val="16"/>
                <w:szCs w:val="16"/>
              </w:rPr>
            </w:pPr>
            <w:r>
              <w:rPr>
                <w:b/>
                <w:noProof/>
                <w:color w:val="28296E"/>
                <w:sz w:val="16"/>
                <w:szCs w:val="16"/>
              </w:rPr>
              <w:t>Baseli</w:t>
            </w:r>
            <w:r>
              <w:rPr>
                <w:b/>
                <w:noProof/>
                <w:color w:val="28296E"/>
                <w:sz w:val="16"/>
                <w:szCs w:val="16"/>
              </w:rPr>
              <w:t>ne</w:t>
            </w:r>
          </w:p>
        </w:tc>
        <w:tc>
          <w:tcPr>
            <w:tcW w:w="3458" w:type="dxa"/>
            <w:vAlign w:val="center"/>
          </w:tcPr>
          <w:p w:rsidR="0060634A" w:rsidRDefault="00F76D44">
            <w:pPr>
              <w:ind w:left="142"/>
              <w:jc w:val="center"/>
              <w:rPr>
                <w:b/>
                <w:noProof/>
                <w:color w:val="28296E"/>
                <w:sz w:val="16"/>
                <w:szCs w:val="16"/>
              </w:rPr>
            </w:pPr>
            <w:r>
              <w:rPr>
                <w:b/>
                <w:noProof/>
                <w:color w:val="28296E"/>
                <w:sz w:val="16"/>
                <w:szCs w:val="16"/>
              </w:rPr>
              <w:t>PROGRESS TOWARDS THE TARGET</w:t>
            </w:r>
          </w:p>
        </w:tc>
        <w:tc>
          <w:tcPr>
            <w:tcW w:w="596" w:type="dxa"/>
            <w:vAlign w:val="bottom"/>
          </w:tcPr>
          <w:p w:rsidR="0060634A" w:rsidRDefault="00F76D44">
            <w:pPr>
              <w:jc w:val="center"/>
              <w:rPr>
                <w:b/>
                <w:noProof/>
                <w:color w:val="28296E"/>
                <w:sz w:val="16"/>
                <w:szCs w:val="16"/>
              </w:rPr>
            </w:pPr>
            <w:r>
              <w:rPr>
                <w:b/>
                <w:noProof/>
                <w:color w:val="28296E"/>
                <w:sz w:val="16"/>
                <w:szCs w:val="16"/>
              </w:rPr>
              <w:t>Target</w:t>
            </w:r>
          </w:p>
        </w:tc>
        <w:tc>
          <w:tcPr>
            <w:tcW w:w="2846" w:type="dxa"/>
            <w:vAlign w:val="bottom"/>
          </w:tcPr>
          <w:p w:rsidR="0060634A" w:rsidRDefault="00F76D44">
            <w:pPr>
              <w:jc w:val="center"/>
              <w:rPr>
                <w:b/>
                <w:noProof/>
                <w:color w:val="28296E"/>
                <w:sz w:val="16"/>
                <w:szCs w:val="16"/>
              </w:rPr>
            </w:pPr>
            <w:r>
              <w:rPr>
                <w:b/>
                <w:noProof/>
                <w:color w:val="28296E"/>
                <w:sz w:val="16"/>
                <w:szCs w:val="16"/>
              </w:rPr>
              <w:t>Results</w:t>
            </w:r>
          </w:p>
        </w:tc>
      </w:tr>
      <w:tr w:rsidR="0060634A">
        <w:tblPrEx>
          <w:tblCellMar>
            <w:left w:w="108" w:type="dxa"/>
            <w:right w:w="108" w:type="dxa"/>
          </w:tblCellMar>
        </w:tblPrEx>
        <w:trPr>
          <w:trHeight w:val="344"/>
        </w:trPr>
        <w:tc>
          <w:tcPr>
            <w:tcW w:w="3077" w:type="dxa"/>
            <w:vAlign w:val="center"/>
          </w:tcPr>
          <w:p w:rsidR="0060634A" w:rsidRDefault="00F76D44">
            <w:pPr>
              <w:ind w:left="142"/>
              <w:jc w:val="right"/>
              <w:rPr>
                <w:rFonts w:ascii="EC Square Sans Cond Pro" w:hAnsi="EC Square Sans Cond Pro"/>
                <w:noProof/>
                <w:sz w:val="16"/>
                <w:szCs w:val="16"/>
                <w:lang w:val="en-GB"/>
              </w:rPr>
            </w:pPr>
            <w:bookmarkStart w:id="38" w:name="_1646229607"/>
            <w:bookmarkEnd w:id="38"/>
            <w:r>
              <w:rPr>
                <w:rFonts w:ascii="EC Square Sans Cond Pro" w:hAnsi="EC Square Sans Cond Pro" w:cs="EC Square Sans Cond Pro"/>
                <w:noProof/>
                <w:color w:val="000000"/>
                <w:sz w:val="16"/>
                <w:szCs w:val="16"/>
                <w:lang w:val="en-GB" w:eastAsia="en-GB"/>
              </w:rPr>
              <w:t>Percentage of users that considered the use of Hercule-funded equipment added value to their activities</w:t>
            </w:r>
          </w:p>
        </w:tc>
        <w:tc>
          <w:tcPr>
            <w:tcW w:w="707" w:type="dxa"/>
            <w:vAlign w:val="center"/>
          </w:tcPr>
          <w:p w:rsidR="0060634A" w:rsidRDefault="0060634A">
            <w:pPr>
              <w:jc w:val="center"/>
              <w:rPr>
                <w:rFonts w:ascii="EC Square Sans Cond Pro" w:hAnsi="EC Square Sans Cond Pro"/>
                <w:noProof/>
                <w:sz w:val="16"/>
                <w:szCs w:val="16"/>
                <w:lang w:val="en-GB" w:eastAsia="en-GB"/>
              </w:rPr>
            </w:pPr>
          </w:p>
        </w:tc>
        <w:tc>
          <w:tcPr>
            <w:tcW w:w="3458"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558" name="Chart 5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6"/>
                    </a:graphicData>
                  </a:graphic>
                </wp:inline>
              </w:drawing>
            </w:r>
          </w:p>
        </w:tc>
        <w:tc>
          <w:tcPr>
            <w:tcW w:w="596" w:type="dxa"/>
            <w:vAlign w:val="center"/>
          </w:tcPr>
          <w:p w:rsidR="0060634A" w:rsidRDefault="00F76D44">
            <w:pPr>
              <w:jc w:val="center"/>
              <w:rPr>
                <w:rFonts w:ascii="EC Square Sans Cond Pro" w:hAnsi="EC Square Sans Cond Pro"/>
                <w:noProof/>
                <w:sz w:val="16"/>
                <w:szCs w:val="16"/>
              </w:rPr>
            </w:pPr>
            <w:bookmarkStart w:id="39" w:name="_1646229675"/>
            <w:bookmarkEnd w:id="39"/>
            <w:r>
              <w:rPr>
                <w:rFonts w:ascii="EC Square Sans Cond Pro" w:hAnsi="EC Square Sans Cond Pro" w:cs="EC Square Sans Cond Pro"/>
                <w:noProof/>
                <w:color w:val="000000"/>
                <w:sz w:val="16"/>
                <w:szCs w:val="16"/>
                <w:lang w:val="en-US"/>
              </w:rPr>
              <w:t>75%</w:t>
            </w:r>
          </w:p>
        </w:tc>
        <w:tc>
          <w:tcPr>
            <w:tcW w:w="2902" w:type="dxa"/>
            <w:gridSpan w:val="2"/>
            <w:vAlign w:val="center"/>
          </w:tcPr>
          <w:p w:rsidR="0060634A" w:rsidRDefault="00F76D44">
            <w:pPr>
              <w:ind w:left="142"/>
              <w:rPr>
                <w:rFonts w:ascii="EC Square Sans Cond Pro" w:hAnsi="EC Square Sans Cond Pro"/>
                <w:noProof/>
                <w:sz w:val="16"/>
                <w:szCs w:val="16"/>
              </w:rPr>
            </w:pPr>
            <w:bookmarkStart w:id="40" w:name="_1646229750"/>
            <w:bookmarkEnd w:id="40"/>
            <w:r>
              <w:rPr>
                <w:rFonts w:ascii="EC Square Sans Cond Pro" w:hAnsi="EC Square Sans Cond Pro" w:cs="EC Square Sans Cond Pro"/>
                <w:noProof/>
                <w:color w:val="000000"/>
                <w:sz w:val="16"/>
                <w:szCs w:val="16"/>
                <w:lang w:eastAsia="en-GB"/>
              </w:rPr>
              <w:t>96% compared to 75% of beneficiaries</w:t>
            </w:r>
          </w:p>
        </w:tc>
      </w:tr>
      <w:tr w:rsidR="0060634A">
        <w:tblPrEx>
          <w:tblCellMar>
            <w:left w:w="108" w:type="dxa"/>
            <w:right w:w="108" w:type="dxa"/>
          </w:tblCellMar>
        </w:tblPrEx>
        <w:trPr>
          <w:trHeight w:val="344"/>
        </w:trPr>
        <w:tc>
          <w:tcPr>
            <w:tcW w:w="3077" w:type="dxa"/>
            <w:vAlign w:val="center"/>
          </w:tcPr>
          <w:p w:rsidR="0060634A" w:rsidRDefault="00F76D44">
            <w:pPr>
              <w:ind w:left="142"/>
              <w:jc w:val="right"/>
              <w:rPr>
                <w:rFonts w:ascii="EC Square Sans Cond Pro" w:hAnsi="EC Square Sans Cond Pro"/>
                <w:noProof/>
                <w:sz w:val="16"/>
                <w:lang w:val="en-GB"/>
              </w:rPr>
            </w:pPr>
            <w:bookmarkStart w:id="41" w:name="_1646229825"/>
            <w:bookmarkEnd w:id="41"/>
            <w:r>
              <w:rPr>
                <w:rFonts w:ascii="EC Square Sans Cond Pro" w:hAnsi="EC Square Sans Cond Pro" w:cs="EC Square Sans Cond Pro"/>
                <w:noProof/>
                <w:color w:val="000000"/>
                <w:sz w:val="16"/>
                <w:szCs w:val="16"/>
                <w:lang w:val="en-GB" w:eastAsia="en-GB"/>
              </w:rPr>
              <w:t xml:space="preserve">Satisfaction rate for training activities funded, including </w:t>
            </w:r>
            <w:r>
              <w:rPr>
                <w:rFonts w:ascii="EC Square Sans Cond Pro" w:hAnsi="EC Square Sans Cond Pro" w:cs="EC Square Sans Cond Pro"/>
                <w:noProof/>
                <w:color w:val="000000"/>
                <w:sz w:val="16"/>
                <w:szCs w:val="16"/>
                <w:lang w:val="en-GB" w:eastAsia="en-GB"/>
              </w:rPr>
              <w:t>specialised training events</w:t>
            </w:r>
            <w:r>
              <w:rPr>
                <w:rFonts w:ascii="EC Square Sans Cond Pro" w:hAnsi="EC Square Sans Cond Pro"/>
                <w:noProof/>
                <w:sz w:val="16"/>
                <w:lang w:val="en-GB"/>
              </w:rPr>
              <w:t xml:space="preserve"> (</w:t>
            </w:r>
            <w:r>
              <w:rPr>
                <w:rFonts w:ascii="EC Square Sans Cond Pro" w:hAnsi="EC Square Sans Cond Pro"/>
                <w:noProof/>
                <w:sz w:val="16"/>
                <w:vertAlign w:val="superscript"/>
                <w:lang w:val="en-GB"/>
              </w:rPr>
              <w:t>1</w:t>
            </w:r>
            <w:r>
              <w:rPr>
                <w:rFonts w:ascii="EC Square Sans Cond Pro" w:hAnsi="EC Square Sans Cond Pro"/>
                <w:noProof/>
                <w:sz w:val="16"/>
                <w:lang w:val="en-GB"/>
              </w:rPr>
              <w:t>)</w:t>
            </w:r>
          </w:p>
        </w:tc>
        <w:tc>
          <w:tcPr>
            <w:tcW w:w="707" w:type="dxa"/>
            <w:vAlign w:val="center"/>
          </w:tcPr>
          <w:p w:rsidR="0060634A" w:rsidRDefault="00F76D44">
            <w:pPr>
              <w:jc w:val="center"/>
              <w:rPr>
                <w:rFonts w:ascii="EC Square Sans Cond Pro" w:hAnsi="EC Square Sans Cond Pro" w:cs="Calibri"/>
                <w:noProof/>
                <w:color w:val="000000"/>
                <w:sz w:val="16"/>
              </w:rPr>
            </w:pPr>
            <w:bookmarkStart w:id="42" w:name="_1646229919"/>
            <w:bookmarkEnd w:id="42"/>
            <w:r>
              <w:rPr>
                <w:rFonts w:ascii="EC Square Sans Cond Pro" w:hAnsi="EC Square Sans Cond Pro" w:cs="EC Square Sans Cond Pro"/>
                <w:noProof/>
                <w:color w:val="000000"/>
                <w:sz w:val="16"/>
                <w:szCs w:val="16"/>
                <w:lang w:val="en-US"/>
              </w:rPr>
              <w:t>60%</w:t>
            </w:r>
          </w:p>
        </w:tc>
        <w:tc>
          <w:tcPr>
            <w:tcW w:w="3458" w:type="dxa"/>
            <w:vAlign w:val="center"/>
          </w:tcPr>
          <w:p w:rsidR="0060634A" w:rsidRDefault="00F76D44">
            <w:pPr>
              <w:ind w:left="142"/>
              <w:rPr>
                <w:noProof/>
                <w:lang w:val="en-US"/>
              </w:rPr>
            </w:pPr>
            <w:r>
              <w:rPr>
                <w:noProof/>
                <w:lang w:eastAsia="fr-BE"/>
              </w:rPr>
              <w:drawing>
                <wp:inline distT="0" distB="0" distL="0" distR="0">
                  <wp:extent cx="1968500" cy="127000"/>
                  <wp:effectExtent l="0" t="0" r="0" b="6350"/>
                  <wp:docPr id="559" name="Chart 5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7"/>
                    </a:graphicData>
                  </a:graphic>
                </wp:inline>
              </w:drawing>
            </w:r>
          </w:p>
        </w:tc>
        <w:tc>
          <w:tcPr>
            <w:tcW w:w="596" w:type="dxa"/>
            <w:vAlign w:val="center"/>
          </w:tcPr>
          <w:p w:rsidR="0060634A" w:rsidRDefault="00F76D44">
            <w:pPr>
              <w:jc w:val="center"/>
              <w:rPr>
                <w:rFonts w:ascii="EC Square Sans Cond Pro" w:hAnsi="EC Square Sans Cond Pro" w:cs="Calibri"/>
                <w:noProof/>
                <w:color w:val="000000"/>
                <w:sz w:val="16"/>
              </w:rPr>
            </w:pPr>
            <w:bookmarkStart w:id="43" w:name="_1646229986"/>
            <w:bookmarkEnd w:id="43"/>
            <w:r>
              <w:rPr>
                <w:rFonts w:ascii="EC Square Sans Cond Pro" w:hAnsi="EC Square Sans Cond Pro" w:cs="EC Square Sans Cond Pro"/>
                <w:noProof/>
                <w:color w:val="000000"/>
                <w:sz w:val="16"/>
                <w:szCs w:val="16"/>
                <w:lang w:val="en-US"/>
              </w:rPr>
              <w:t>75%</w:t>
            </w:r>
          </w:p>
        </w:tc>
        <w:tc>
          <w:tcPr>
            <w:tcW w:w="2902" w:type="dxa"/>
            <w:gridSpan w:val="2"/>
            <w:vAlign w:val="center"/>
          </w:tcPr>
          <w:p w:rsidR="0060634A" w:rsidRDefault="00F76D44">
            <w:pPr>
              <w:ind w:left="142"/>
              <w:rPr>
                <w:rFonts w:ascii="EC Square Sans Cond Pro" w:hAnsi="EC Square Sans Cond Pro" w:cs="Calibri"/>
                <w:noProof/>
                <w:color w:val="000000"/>
                <w:sz w:val="16"/>
                <w:lang w:val="en-GB"/>
              </w:rPr>
            </w:pPr>
            <w:bookmarkStart w:id="44" w:name="_1646230066"/>
            <w:bookmarkEnd w:id="44"/>
            <w:r>
              <w:rPr>
                <w:rFonts w:ascii="EC Square Sans Cond Pro" w:hAnsi="EC Square Sans Cond Pro" w:cs="EC Square Sans Cond Pro"/>
                <w:noProof/>
                <w:color w:val="000000"/>
                <w:sz w:val="16"/>
                <w:szCs w:val="16"/>
                <w:lang w:val="en-GB" w:eastAsia="en-GB"/>
              </w:rPr>
              <w:t>90% compared to 75% of satisfaction rate</w:t>
            </w:r>
          </w:p>
        </w:tc>
      </w:tr>
      <w:tr w:rsidR="0060634A">
        <w:trPr>
          <w:trHeight w:val="247"/>
        </w:trPr>
        <w:tc>
          <w:tcPr>
            <w:tcW w:w="3077" w:type="dxa"/>
            <w:tcBorders>
              <w:bottom w:val="nil"/>
            </w:tcBorders>
            <w:vAlign w:val="center"/>
          </w:tcPr>
          <w:p w:rsidR="0060634A" w:rsidRDefault="00F76D44">
            <w:pPr>
              <w:ind w:left="142"/>
              <w:jc w:val="right"/>
              <w:rPr>
                <w:noProof/>
                <w:sz w:val="16"/>
                <w:szCs w:val="16"/>
                <w:lang w:val="en-GB"/>
              </w:rPr>
            </w:pPr>
            <w:r>
              <w:rPr>
                <w:noProof/>
                <w:sz w:val="16"/>
                <w:szCs w:val="16"/>
                <w:lang w:val="en-GB"/>
              </w:rPr>
              <w:t xml:space="preserve">    </w:t>
            </w:r>
          </w:p>
        </w:tc>
        <w:tc>
          <w:tcPr>
            <w:tcW w:w="707" w:type="dxa"/>
            <w:tcBorders>
              <w:bottom w:val="nil"/>
            </w:tcBorders>
          </w:tcPr>
          <w:p w:rsidR="0060634A" w:rsidRDefault="0060634A">
            <w:pPr>
              <w:ind w:left="142"/>
              <w:rPr>
                <w:noProof/>
                <w:sz w:val="16"/>
                <w:szCs w:val="16"/>
                <w:lang w:val="en-GB" w:eastAsia="en-GB"/>
              </w:rPr>
            </w:pPr>
          </w:p>
        </w:tc>
        <w:tc>
          <w:tcPr>
            <w:tcW w:w="3458" w:type="dxa"/>
            <w:tcBorders>
              <w:bottom w:val="nil"/>
            </w:tcBorders>
            <w:vAlign w:val="center"/>
          </w:tcPr>
          <w:p w:rsidR="0060634A" w:rsidRDefault="00F76D44">
            <w:pPr>
              <w:spacing w:before="120"/>
              <w:rPr>
                <w:noProof/>
                <w:sz w:val="16"/>
                <w:szCs w:val="16"/>
                <w:lang w:val="en-GB"/>
              </w:rPr>
            </w:pPr>
            <w:r>
              <w:rPr>
                <w:noProof/>
                <w:sz w:val="16"/>
                <w:szCs w:val="16"/>
                <w:lang w:eastAsia="fr-BE"/>
              </w:rPr>
              <mc:AlternateContent>
                <mc:Choice Requires="wps">
                  <w:drawing>
                    <wp:anchor distT="0" distB="0" distL="114300" distR="114300" simplePos="0" relativeHeight="251702272"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551" name="Rectangle 551"/>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17BF0" id="Rectangle 551" o:spid="_x0000_s1026" style="position:absolute;margin-left:-9.45pt;margin-top:6.1pt;width:6.35pt;height:7.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" fillcolor="#28296e" stroked="f" strokeweight="1pt">
                      <w10:wrap type="through"/>
                    </v:rect>
                  </w:pict>
                </mc:Fallback>
              </mc:AlternateContent>
            </w:r>
            <w:r>
              <w:rPr>
                <w:noProof/>
                <w:sz w:val="16"/>
                <w:szCs w:val="16"/>
                <w:lang w:val="en-GB"/>
              </w:rPr>
              <w:t>% of target achieved by the end of 2019</w:t>
            </w:r>
          </w:p>
        </w:tc>
        <w:tc>
          <w:tcPr>
            <w:tcW w:w="596" w:type="dxa"/>
            <w:tcBorders>
              <w:bottom w:val="nil"/>
            </w:tcBorders>
          </w:tcPr>
          <w:p w:rsidR="0060634A" w:rsidRDefault="0060634A">
            <w:pPr>
              <w:ind w:left="142"/>
              <w:rPr>
                <w:noProof/>
                <w:sz w:val="16"/>
                <w:szCs w:val="16"/>
                <w:lang w:val="en-GB" w:eastAsia="en-GB"/>
              </w:rPr>
            </w:pPr>
          </w:p>
        </w:tc>
        <w:tc>
          <w:tcPr>
            <w:tcW w:w="2902" w:type="dxa"/>
            <w:gridSpan w:val="2"/>
            <w:tcBorders>
              <w:bottom w:val="nil"/>
            </w:tcBorders>
            <w:vAlign w:val="center"/>
          </w:tcPr>
          <w:p w:rsidR="0060634A" w:rsidRDefault="0060634A">
            <w:pPr>
              <w:ind w:left="142"/>
              <w:rPr>
                <w:noProof/>
                <w:sz w:val="16"/>
                <w:szCs w:val="16"/>
                <w:lang w:val="en-GB"/>
              </w:rPr>
            </w:pPr>
          </w:p>
        </w:tc>
      </w:tr>
      <w:tr w:rsidR="0060634A">
        <w:trPr>
          <w:trHeight w:val="247"/>
        </w:trPr>
        <w:tc>
          <w:tcPr>
            <w:tcW w:w="10740" w:type="dxa"/>
            <w:gridSpan w:val="6"/>
            <w:tcBorders>
              <w:top w:val="nil"/>
              <w:bottom w:val="nil"/>
            </w:tcBorders>
            <w:vAlign w:val="center"/>
          </w:tcPr>
          <w:p w:rsidR="0060634A" w:rsidRDefault="00F76D44">
            <w:pPr>
              <w:ind w:left="142"/>
              <w:rPr>
                <w:noProof/>
                <w:sz w:val="14"/>
                <w:szCs w:val="16"/>
                <w:lang w:val="en-GB"/>
              </w:rPr>
            </w:pPr>
            <w:r>
              <w:rPr>
                <w:noProof/>
                <w:sz w:val="14"/>
                <w:szCs w:val="16"/>
                <w:lang w:val="en-GB"/>
              </w:rPr>
              <w:t>(</w:t>
            </w:r>
            <w:r>
              <w:rPr>
                <w:noProof/>
                <w:sz w:val="14"/>
                <w:szCs w:val="16"/>
                <w:vertAlign w:val="superscript"/>
                <w:lang w:val="en-GB"/>
              </w:rPr>
              <w:t>1</w:t>
            </w:r>
            <w:r>
              <w:rPr>
                <w:noProof/>
                <w:sz w:val="14"/>
                <w:szCs w:val="16"/>
                <w:lang w:val="en-GB"/>
              </w:rPr>
              <w:t>) Cumulative results for 2014-2019 compared to cumulative milestones for 2014-2020.</w:t>
            </w:r>
          </w:p>
        </w:tc>
      </w:tr>
    </w:tbl>
    <w:p w:rsidR="0060634A" w:rsidRDefault="00F76D44">
      <w:pPr>
        <w:pStyle w:val="PPOTitle3"/>
        <w:spacing w:before="240"/>
        <w:rPr>
          <w:rFonts w:eastAsiaTheme="minorEastAsia"/>
        </w:rPr>
      </w:pPr>
      <w:r>
        <w:rPr>
          <w:rFonts w:eastAsiaTheme="minorEastAsia"/>
        </w:rPr>
        <w:t>Where are we in the implementation?</w:t>
      </w:r>
    </w:p>
    <w:p w:rsidR="0060634A" w:rsidRDefault="00F76D44">
      <w:pPr>
        <w:pStyle w:val="PPOBlackBULLETS-L1"/>
        <w:rPr>
          <w:noProof/>
        </w:rPr>
      </w:pPr>
      <w:r>
        <w:rPr>
          <w:noProof/>
        </w:rPr>
        <w:t>Between 2017 and 2019, the Commission awarded more than 100 grants to national and regional authorities, research institutes and NGOs for the purchase of technical equipment or the organisation of training events, conferences and seminars. It also conclud</w:t>
      </w:r>
      <w:r>
        <w:rPr>
          <w:noProof/>
        </w:rPr>
        <w:t>ed contracts for the purchase of goods and services such as access to commercial databases, the development of information technology tools and the organisation of training courses and conferences.</w:t>
      </w:r>
    </w:p>
    <w:p w:rsidR="0060634A" w:rsidRDefault="00F76D44">
      <w:pPr>
        <w:pStyle w:val="PPOBlackBULLETS-L1"/>
        <w:rPr>
          <w:noProof/>
        </w:rPr>
      </w:pPr>
      <w:r>
        <w:rPr>
          <w:noProof/>
        </w:rPr>
        <w:t>The 2019 work programme was implemented according to plan,</w:t>
      </w:r>
      <w:r>
        <w:rPr>
          <w:noProof/>
        </w:rPr>
        <w:t xml:space="preserve"> without any significant delays or problems. Grants were awarded for the purchase of investigation equipment (including forensic tools) and detection equipment (such as X-ray scanners), and to finance conferences, training events and studies targeting the </w:t>
      </w:r>
      <w:r>
        <w:rPr>
          <w:noProof/>
        </w:rPr>
        <w:t>improved protection of the EU’s financial interests. The programme provided funds for access – through procurement - to commercial databases and the development of specific information technology tools for data analysis, to support law enforcement authorit</w:t>
      </w:r>
      <w:r>
        <w:rPr>
          <w:noProof/>
        </w:rPr>
        <w:t>ies in the Member States.</w:t>
      </w:r>
    </w:p>
    <w:p w:rsidR="0060634A" w:rsidRDefault="00F76D44">
      <w:pPr>
        <w:pStyle w:val="PPOTitle3"/>
        <w:spacing w:before="240"/>
        <w:rPr>
          <w:rFonts w:eastAsiaTheme="minorEastAsia"/>
        </w:rPr>
      </w:pPr>
      <w:r>
        <w:rPr>
          <w:rFonts w:eastAsiaTheme="minorEastAsia"/>
        </w:rPr>
        <w:t>Performance assessment</w:t>
      </w:r>
    </w:p>
    <w:p w:rsidR="0060634A" w:rsidRDefault="00F76D44">
      <w:pPr>
        <w:pStyle w:val="PPOBlackBULLETS-L1"/>
        <w:rPr>
          <w:noProof/>
        </w:rPr>
      </w:pPr>
      <w:r>
        <w:rPr>
          <w:noProof/>
        </w:rPr>
        <w:t>The programme has constantly achieved its objective of preventing and combating fraud through the organisation of specialised training events and the co-financed purchase of technical equipment.</w:t>
      </w:r>
    </w:p>
    <w:p w:rsidR="0060634A" w:rsidRDefault="00F76D44">
      <w:pPr>
        <w:pStyle w:val="PPOBlackBULLETS-L1"/>
        <w:rPr>
          <w:noProof/>
        </w:rPr>
      </w:pPr>
      <w:r>
        <w:rPr>
          <w:noProof/>
        </w:rPr>
        <w:t>The first in</w:t>
      </w:r>
      <w:r>
        <w:rPr>
          <w:noProof/>
        </w:rPr>
        <w:t>dicator shows an overall satisfaction rate of 96%, as expressed by users of the equipment in their final technical reports. The rate is significantly higher than the 75% target.</w:t>
      </w:r>
    </w:p>
    <w:p w:rsidR="0060634A" w:rsidRDefault="00F76D44">
      <w:pPr>
        <w:pStyle w:val="PPOBlackBULLETS-L1"/>
        <w:rPr>
          <w:noProof/>
        </w:rPr>
      </w:pPr>
      <w:r>
        <w:rPr>
          <w:noProof/>
        </w:rPr>
        <w:t>In 2019, the programme financed 63 events (39 conferences, 12 specialised trai</w:t>
      </w:r>
      <w:r>
        <w:rPr>
          <w:noProof/>
        </w:rPr>
        <w:t>ning courses and 12 staff exchanges). These activities were very well received by the participants – the first indicator shows that more than 1</w:t>
      </w:r>
      <w:r>
        <w:rPr>
          <w:rFonts w:ascii="Calibri" w:hAnsi="Calibri" w:cs="Calibri"/>
          <w:noProof/>
        </w:rPr>
        <w:t> </w:t>
      </w:r>
      <w:r>
        <w:rPr>
          <w:noProof/>
        </w:rPr>
        <w:t>000 participants, who replied to a survey, expressed a satisfaction rate of over 96%, confirming the added value</w:t>
      </w:r>
      <w:r>
        <w:rPr>
          <w:noProof/>
        </w:rPr>
        <w:t xml:space="preserve"> of the programme.</w:t>
      </w:r>
    </w:p>
    <w:p w:rsidR="0060634A" w:rsidRDefault="00F76D44">
      <w:pPr>
        <w:pStyle w:val="PPOTitle3"/>
        <w:spacing w:before="240"/>
        <w:rPr>
          <w:rFonts w:eastAsiaTheme="minorEastAsia"/>
        </w:rPr>
      </w:pPr>
      <w:r>
        <w:rPr>
          <w:rFonts w:eastAsiaTheme="minorEastAsia"/>
        </w:rPr>
        <w:t>Concrete examples of achievements</w:t>
      </w:r>
    </w:p>
    <w:tbl>
      <w:tblPr>
        <w:tblStyle w:val="TableGrid"/>
        <w:tblW w:w="6200" w:type="dxa"/>
        <w:jc w:val="center"/>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3100"/>
        <w:gridCol w:w="3100"/>
      </w:tblGrid>
      <w:tr w:rsidR="0060634A">
        <w:trPr>
          <w:trHeight w:val="136"/>
          <w:jc w:val="center"/>
        </w:trPr>
        <w:tc>
          <w:tcPr>
            <w:tcW w:w="3100" w:type="dxa"/>
            <w:tcBorders>
              <w:top w:val="nil"/>
              <w:left w:val="nil"/>
              <w:bottom w:val="single" w:sz="8" w:space="0" w:color="FFFFFF" w:themeColor="background1"/>
              <w:right w:val="single" w:sz="8" w:space="0" w:color="FFFFFF" w:themeColor="background1"/>
            </w:tcBorders>
            <w:shd w:val="clear" w:color="auto" w:fill="00ADDC"/>
          </w:tcPr>
          <w:p w:rsidR="0060634A" w:rsidRDefault="00F76D44">
            <w:pPr>
              <w:pStyle w:val="PPOExamplesTABLEHeader"/>
              <w:rPr>
                <w:rFonts w:eastAsiaTheme="minorEastAsia"/>
              </w:rPr>
            </w:pPr>
            <w:r>
              <w:rPr>
                <w:rFonts w:eastAsiaTheme="minorEastAsia"/>
              </w:rPr>
              <w:t>100 grants</w:t>
            </w:r>
          </w:p>
        </w:tc>
        <w:tc>
          <w:tcPr>
            <w:tcW w:w="3100" w:type="dxa"/>
            <w:tcBorders>
              <w:top w:val="nil"/>
              <w:left w:val="single" w:sz="8" w:space="0" w:color="FFFFFF" w:themeColor="background1"/>
              <w:bottom w:val="single" w:sz="8" w:space="0" w:color="FFFFFF" w:themeColor="background1"/>
              <w:right w:val="single" w:sz="8" w:space="0" w:color="FFFFFF" w:themeColor="background1"/>
            </w:tcBorders>
            <w:shd w:val="clear" w:color="auto" w:fill="00ADDC"/>
          </w:tcPr>
          <w:p w:rsidR="0060634A" w:rsidRDefault="00F76D44">
            <w:pPr>
              <w:pStyle w:val="PPOExamplesTABLEHeader"/>
              <w:rPr>
                <w:rFonts w:eastAsiaTheme="minorEastAsia"/>
              </w:rPr>
            </w:pPr>
            <w:r>
              <w:rPr>
                <w:rFonts w:eastAsiaTheme="minorEastAsia"/>
              </w:rPr>
              <w:t>63 events</w:t>
            </w:r>
          </w:p>
        </w:tc>
      </w:tr>
      <w:tr w:rsidR="0060634A">
        <w:trPr>
          <w:trHeight w:val="291"/>
          <w:jc w:val="center"/>
        </w:trPr>
        <w:tc>
          <w:tcPr>
            <w:tcW w:w="3100" w:type="dxa"/>
            <w:tcBorders>
              <w:top w:val="single" w:sz="8" w:space="0" w:color="FFFFFF" w:themeColor="background1"/>
              <w:left w:val="nil"/>
              <w:bottom w:val="nil"/>
              <w:right w:val="single" w:sz="8" w:space="0" w:color="FFFFFF" w:themeColor="background1"/>
            </w:tcBorders>
            <w:shd w:val="clear" w:color="auto" w:fill="DCE6F2"/>
          </w:tcPr>
          <w:p w:rsidR="0060634A" w:rsidRDefault="00F76D44">
            <w:pPr>
              <w:pStyle w:val="PPOExamplesTABLEText"/>
              <w:spacing w:line="240" w:lineRule="auto"/>
              <w:rPr>
                <w:noProof/>
                <w:lang w:val="en-GB"/>
              </w:rPr>
            </w:pPr>
            <w:r>
              <w:rPr>
                <w:noProof/>
                <w:lang w:val="en-GB"/>
              </w:rPr>
              <w:t xml:space="preserve">were awarded to national and regional authorities, research institutes and NGOs for the purchase of technical equipment and tools, as well as for training, conferences and research </w:t>
            </w:r>
            <w:r>
              <w:rPr>
                <w:noProof/>
                <w:lang w:val="en-GB"/>
              </w:rPr>
              <w:t>studies in 2017-2019.</w:t>
            </w:r>
          </w:p>
        </w:tc>
        <w:tc>
          <w:tcPr>
            <w:tcW w:w="3100" w:type="dxa"/>
            <w:tcBorders>
              <w:top w:val="single" w:sz="8" w:space="0" w:color="FFFFFF" w:themeColor="background1"/>
              <w:left w:val="single" w:sz="8" w:space="0" w:color="FFFFFF" w:themeColor="background1"/>
              <w:bottom w:val="nil"/>
              <w:right w:val="single" w:sz="8" w:space="0" w:color="FFFFFF" w:themeColor="background1"/>
            </w:tcBorders>
            <w:shd w:val="clear" w:color="auto" w:fill="DCE6F2"/>
          </w:tcPr>
          <w:p w:rsidR="0060634A" w:rsidRDefault="00F76D44">
            <w:pPr>
              <w:pStyle w:val="PPOExamplesTABLEText"/>
              <w:spacing w:line="240" w:lineRule="auto"/>
              <w:rPr>
                <w:noProof/>
                <w:lang w:val="en-GB"/>
              </w:rPr>
            </w:pPr>
            <w:r>
              <w:rPr>
                <w:noProof/>
                <w:lang w:val="en-GB"/>
              </w:rPr>
              <w:t>comprising 39 conferences, 12 specialised training courses and 12 staff exchanges were organised in 2019.</w:t>
            </w:r>
          </w:p>
        </w:tc>
      </w:tr>
    </w:tbl>
    <w:p w:rsidR="0060634A" w:rsidRDefault="00F76D44">
      <w:pPr>
        <w:pStyle w:val="PPOBlackBULLETS-L1"/>
        <w:spacing w:before="240"/>
        <w:rPr>
          <w:noProof/>
        </w:rPr>
      </w:pPr>
      <w:r>
        <w:rPr>
          <w:noProof/>
        </w:rPr>
        <w:t>During 2017-2019, the programme provided Member States with access to commercial databases containing worldwide trade statistic</w:t>
      </w:r>
      <w:r>
        <w:rPr>
          <w:noProof/>
        </w:rPr>
        <w:t xml:space="preserve">s, company information and vessel movements. The databases were used extensively by customs authorities to support both investigations and risk analysis activities, identifying potentially suspicious trade. </w:t>
      </w:r>
    </w:p>
    <w:p w:rsidR="0060634A" w:rsidRDefault="00F76D44">
      <w:pPr>
        <w:pStyle w:val="PPOBlackBULLETS-L1"/>
        <w:rPr>
          <w:noProof/>
        </w:rPr>
      </w:pPr>
      <w:r>
        <w:rPr>
          <w:noProof/>
        </w:rPr>
        <w:t>A grant from the programme for the purchase of s</w:t>
      </w:r>
      <w:r>
        <w:rPr>
          <w:noProof/>
        </w:rPr>
        <w:t>pecialised equipment helped the Spanish Guardia Civil to improve the skills and technical capacity of its investigators, while enhancing the quality and results of investigations. The saving to the EU budget in 2017 has been estimated at EUR</w:t>
      </w:r>
      <w:r>
        <w:rPr>
          <w:rFonts w:ascii="Calibri" w:hAnsi="Calibri" w:cs="Calibri"/>
          <w:noProof/>
        </w:rPr>
        <w:t> </w:t>
      </w:r>
      <w:r>
        <w:rPr>
          <w:noProof/>
        </w:rPr>
        <w:t>103 million, a</w:t>
      </w:r>
      <w:r>
        <w:rPr>
          <w:noProof/>
        </w:rPr>
        <w:t>nd more than 200 people were investigated or arrested.</w:t>
      </w:r>
    </w:p>
    <w:p w:rsidR="0060634A" w:rsidRDefault="00F76D44">
      <w:pPr>
        <w:pStyle w:val="PPOBlackBULLETS-L1"/>
        <w:rPr>
          <w:noProof/>
        </w:rPr>
      </w:pPr>
      <w:r>
        <w:rPr>
          <w:noProof/>
        </w:rPr>
        <w:t>The Latvian Ministry of Finance implemented a project aimed at strengthening the capacity of anti-fraud coordination service network members to develop strategic tools for the fight against fraud and c</w:t>
      </w:r>
      <w:r>
        <w:rPr>
          <w:noProof/>
        </w:rPr>
        <w:t>orruption affecting the EU’s financial interests. The event gathered more than 200 participants from five Member States as well as representatives of the relevant European institutions and led to sharing of best practices, improved cooperation and strength</w:t>
      </w:r>
      <w:r>
        <w:rPr>
          <w:noProof/>
        </w:rPr>
        <w:t xml:space="preserve">ening of the network. </w:t>
      </w:r>
    </w:p>
    <w:p w:rsidR="0060634A" w:rsidRDefault="00F76D44">
      <w:pPr>
        <w:pStyle w:val="PPOBlackBULLETS-L1"/>
        <w:rPr>
          <w:noProof/>
        </w:rPr>
      </w:pPr>
      <w:r>
        <w:rPr>
          <w:noProof/>
        </w:rPr>
        <w:t>Romania’s Anti-corruption General Directorate organised a series of law-enforcement staff exchanges and workshops involving around 100 officials from Romania and three neighbouring countries (Bulgaria, Hungary and Ukraine). The proje</w:t>
      </w:r>
      <w:r>
        <w:rPr>
          <w:noProof/>
        </w:rPr>
        <w:t>ct led to the sharing of best practices in preventing and combating fraud and illegal activities in south-eastern Europe, enhanced cooperation between anti-corruption agencies and the training of law-enforcement officers in using new methods of risk assess</w:t>
      </w:r>
      <w:r>
        <w:rPr>
          <w:noProof/>
        </w:rPr>
        <w:t>ment applicable to investigation of crimes affecting the EU’s financial interests.</w:t>
      </w:r>
    </w:p>
    <w:p w:rsidR="0060634A" w:rsidRDefault="00F76D44">
      <w:pPr>
        <w:pStyle w:val="PPOBlackBULLETS-L1"/>
        <w:rPr>
          <w:noProof/>
        </w:rPr>
      </w:pPr>
      <w:r>
        <w:rPr>
          <w:noProof/>
        </w:rPr>
        <w:t>During 2019, following feedback and interest expressed by Member States concerning the data analysis tool, five pilot projects related to priority fraud issues were launched</w:t>
      </w:r>
      <w:r>
        <w:rPr>
          <w:noProof/>
        </w:rPr>
        <w:t>, two study visits were organised in Member States and a workshop was held with Member State experts.</w:t>
      </w:r>
    </w:p>
    <w:p w:rsidR="0060634A" w:rsidRDefault="0060634A">
      <w:pPr>
        <w:pStyle w:val="PPObodyText"/>
        <w:rPr>
          <w:noProof/>
        </w:rPr>
        <w:sectPr w:rsidR="0060634A">
          <w:headerReference w:type="even" r:id="rId418"/>
          <w:headerReference w:type="default" r:id="rId419"/>
          <w:footerReference w:type="even" r:id="rId420"/>
          <w:footerReference w:type="default" r:id="rId421"/>
          <w:headerReference w:type="first" r:id="rId422"/>
          <w:footerReference w:type="first" r:id="rId423"/>
          <w:pgSz w:w="11906" w:h="16838" w:code="9"/>
          <w:pgMar w:top="567" w:right="567" w:bottom="567" w:left="567" w:header="567" w:footer="454" w:gutter="0"/>
          <w:paperSrc w:first="15" w:other="15"/>
          <w:cols w:space="720"/>
          <w:docGrid w:linePitch="360"/>
        </w:sectPr>
      </w:pPr>
    </w:p>
    <w:p w:rsidR="0060634A" w:rsidRDefault="00F76D44">
      <w:pPr>
        <w:pStyle w:val="PPO1AsidebarTitleBlue"/>
        <w:rPr>
          <w:rFonts w:eastAsiaTheme="minorEastAsia"/>
        </w:rPr>
      </w:pPr>
      <w:r>
        <w:rPr>
          <w:rFonts w:eastAsiaTheme="minorEastAsia"/>
          <w:lang w:val="fr-BE" w:eastAsia="fr-BE"/>
        </w:rPr>
        <mc:AlternateContent>
          <mc:Choice Requires="wps">
            <w:drawing>
              <wp:anchor distT="0" distB="0" distL="0" distR="0" simplePos="0" relativeHeight="251576320" behindDoc="0" locked="1" layoutInCell="1" allowOverlap="1">
                <wp:simplePos x="0" y="0"/>
                <wp:positionH relativeFrom="page">
                  <wp:posOffset>361950</wp:posOffset>
                </wp:positionH>
                <wp:positionV relativeFrom="page">
                  <wp:posOffset>595630</wp:posOffset>
                </wp:positionV>
                <wp:extent cx="1457960" cy="777240"/>
                <wp:effectExtent l="0" t="0" r="85090" b="3810"/>
                <wp:wrapTopAndBottom/>
                <wp:docPr id="562" name="Text Box 562"/>
                <wp:cNvGraphicFramePr/>
                <a:graphic xmlns:a="http://schemas.openxmlformats.org/drawingml/2006/main">
                  <a:graphicData uri="http://schemas.microsoft.com/office/word/2010/wordprocessingShape">
                    <wps:wsp>
                      <wps:cNvSpPr txBox="1"/>
                      <wps:spPr>
                        <a:xfrm>
                          <a:off x="0" y="0"/>
                          <a:ext cx="1457960" cy="777240"/>
                        </a:xfrm>
                        <a:prstGeom prst="wedgeRectCallout">
                          <a:avLst>
                            <a:gd name="adj1" fmla="val 54107"/>
                            <a:gd name="adj2" fmla="val -21878"/>
                          </a:avLst>
                        </a:prstGeom>
                        <a:solidFill>
                          <a:srgbClr val="28296E"/>
                        </a:solidFill>
                        <a:ln w="6350">
                          <a:noFill/>
                        </a:ln>
                      </wps:spPr>
                      <wps:txbx>
                        <w:txbxContent>
                          <w:p w:rsidR="0060634A" w:rsidRDefault="00F76D44">
                            <w:pPr>
                              <w:pStyle w:val="PPOsidebarLegalBasisBOXHeading"/>
                              <w:rPr>
                                <w:rFonts w:eastAsiaTheme="minorEastAsia"/>
                              </w:rPr>
                            </w:pPr>
                            <w:r>
                              <w:rPr>
                                <w:rFonts w:eastAsiaTheme="minorEastAsia"/>
                              </w:rPr>
                              <w:t>LEGAL BASIS</w:t>
                            </w:r>
                          </w:p>
                          <w:p w:rsidR="0060634A" w:rsidRDefault="00F76D44">
                            <w:pPr>
                              <w:pStyle w:val="PPOsidebarLegalBasisBOXtext"/>
                              <w:rPr>
                                <w:rFonts w:eastAsiaTheme="minorEastAsia"/>
                              </w:rPr>
                            </w:pPr>
                            <w:r>
                              <w:rPr>
                                <w:rFonts w:eastAsiaTheme="minorEastAsia"/>
                              </w:rPr>
                              <w:t>Regulation (EU) No 331/2014 of the European Parliament and of the Council</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2" o:spid="_x0000_s1156" type="#_x0000_t61" style="position:absolute;left:0;text-align:left;margin-left:28.5pt;margin-top:46.9pt;width:114.8pt;height:61.2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" adj="22487,6074" fillcolor="#28296e" stroked="f" strokeweight=".5pt">
                <v:textbox inset="2.5mm,1.3mm,2.5mm,1.3mm">
                  <w:txbxContent>
                    <w:p w:rsidR="0060634A" w:rsidRDefault="00F76D44">
                      <w:pPr>
                        <w:pStyle w:val="PPOsidebarLegalBasisBOXHeading"/>
                        <w:rPr>
                          <w:rFonts w:eastAsiaTheme="minorEastAsia"/>
                        </w:rPr>
                      </w:pPr>
                      <w:r>
                        <w:rPr>
                          <w:rFonts w:eastAsiaTheme="minorEastAsia"/>
                        </w:rPr>
                        <w:t>LEGAL BASIS</w:t>
                      </w:r>
                    </w:p>
                    <w:p w:rsidR="0060634A" w:rsidRDefault="00F76D44">
                      <w:pPr>
                        <w:pStyle w:val="PPOsidebarLegalBasisBOXtext"/>
                        <w:rPr>
                          <w:rFonts w:eastAsiaTheme="minorEastAsia"/>
                        </w:rPr>
                      </w:pPr>
                      <w:r>
                        <w:rPr>
                          <w:rFonts w:eastAsiaTheme="minorEastAsia"/>
                        </w:rPr>
                        <w:t>Regulation (EU) No 331/2014 of the European Parliament and of the Council</w:t>
                      </w:r>
                    </w:p>
                  </w:txbxContent>
                </v:textbox>
                <w10:wrap type="topAndBottom" anchorx="page" anchory="page"/>
                <w10:anchorlock/>
              </v:shape>
            </w:pict>
          </mc:Fallback>
        </mc:AlternateContent>
      </w:r>
      <w:r>
        <w:rPr>
          <w:rFonts w:eastAsiaTheme="minorEastAsia"/>
        </w:rPr>
        <w:t>MORE INFORMATION</w:t>
      </w:r>
    </w:p>
    <w:p w:rsidR="0060634A" w:rsidRDefault="00F76D44">
      <w:pPr>
        <w:pStyle w:val="PPOsidebartext"/>
        <w:rPr>
          <w:rFonts w:eastAsiaTheme="minorEastAsia"/>
        </w:rPr>
      </w:pPr>
      <w:hyperlink r:id="rId424" w:history="1">
        <w:r>
          <w:rPr>
            <w:rStyle w:val="PPOChar-Hyperlink"/>
            <w:rFonts w:eastAsiaTheme="minorEastAsia"/>
          </w:rPr>
          <w:t>http://europa.eu/!Uu48PC</w:t>
        </w:r>
      </w:hyperlink>
    </w:p>
    <w:p w:rsidR="0060634A" w:rsidRDefault="00F76D44">
      <w:pPr>
        <w:pStyle w:val="PPO1AsidebarTitleBlue"/>
        <w:rPr>
          <w:rFonts w:eastAsiaTheme="minorEastAsia"/>
        </w:rPr>
      </w:pPr>
      <w:r>
        <w:rPr>
          <w:rFonts w:eastAsiaTheme="minorEastAsia"/>
        </w:rPr>
        <w:t>FINANCIAL PROGRAMMING</w:t>
      </w:r>
    </w:p>
    <w:p w:rsidR="0060634A" w:rsidRDefault="00F76D44">
      <w:pPr>
        <w:pStyle w:val="PPO1AsidebarTablecaption"/>
      </w:pPr>
      <w:r>
        <w:t>(million EUR)</w:t>
      </w:r>
    </w:p>
    <w:tbl>
      <w:tblPr>
        <w:tblOverlap w:val="never"/>
        <w:tblW w:w="2296" w:type="dxa"/>
        <w:jc w:val="right"/>
        <w:tblLayout w:type="fixed"/>
        <w:tblCellMar>
          <w:top w:w="28" w:type="dxa"/>
          <w:left w:w="28" w:type="dxa"/>
          <w:bottom w:w="28" w:type="dxa"/>
          <w:right w:w="28" w:type="dxa"/>
        </w:tblCellMar>
        <w:tblLook w:val="0000" w:firstRow="0" w:lastRow="0" w:firstColumn="0" w:lastColumn="0" w:noHBand="0" w:noVBand="0"/>
      </w:tblPr>
      <w:tblGrid>
        <w:gridCol w:w="1134"/>
        <w:gridCol w:w="1162"/>
      </w:tblGrid>
      <w:tr w:rsidR="0060634A">
        <w:trPr>
          <w:trHeight w:hRule="exact" w:val="229"/>
          <w:jc w:val="right"/>
        </w:trPr>
        <w:tc>
          <w:tcPr>
            <w:tcW w:w="1134" w:type="dxa"/>
            <w:tcBorders>
              <w:bottom w:val="single" w:sz="6" w:space="0" w:color="FFFFFF" w:themeColor="background1"/>
            </w:tcBorders>
            <w:shd w:val="clear" w:color="auto" w:fill="DCE6F2"/>
            <w:vAlign w:val="center"/>
          </w:tcPr>
          <w:p w:rsidR="0060634A" w:rsidRDefault="00F76D44">
            <w:pPr>
              <w:pStyle w:val="PPOsidebarTabletext"/>
            </w:pPr>
            <w:r>
              <w:t>2014</w:t>
            </w:r>
          </w:p>
        </w:tc>
        <w:tc>
          <w:tcPr>
            <w:tcW w:w="1162" w:type="dxa"/>
            <w:shd w:val="clear" w:color="auto" w:fill="FFFFFF"/>
          </w:tcPr>
          <w:p w:rsidR="0060634A" w:rsidRDefault="00F76D44">
            <w:pPr>
              <w:pStyle w:val="PPOsidebarTabletext"/>
            </w:pPr>
            <w:r>
              <w:t>0.9</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2015</w:t>
            </w:r>
          </w:p>
        </w:tc>
        <w:tc>
          <w:tcPr>
            <w:tcW w:w="1162" w:type="dxa"/>
            <w:tcBorders>
              <w:top w:val="single" w:sz="4" w:space="0" w:color="auto"/>
            </w:tcBorders>
            <w:shd w:val="clear" w:color="auto" w:fill="FFFFFF"/>
          </w:tcPr>
          <w:p w:rsidR="0060634A" w:rsidRDefault="00F76D44">
            <w:pPr>
              <w:pStyle w:val="PPOsidebarTabletext"/>
            </w:pPr>
            <w:r>
              <w:t>1.0</w:t>
            </w:r>
          </w:p>
        </w:tc>
      </w:tr>
      <w:tr w:rsidR="0060634A">
        <w:trPr>
          <w:trHeight w:hRule="exact" w:val="229"/>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2016</w:t>
            </w:r>
          </w:p>
        </w:tc>
        <w:tc>
          <w:tcPr>
            <w:tcW w:w="1162" w:type="dxa"/>
            <w:tcBorders>
              <w:top w:val="single" w:sz="4" w:space="0" w:color="auto"/>
            </w:tcBorders>
            <w:shd w:val="clear" w:color="auto" w:fill="FFFFFF"/>
          </w:tcPr>
          <w:p w:rsidR="0060634A" w:rsidRDefault="00F76D44">
            <w:pPr>
              <w:pStyle w:val="PPOsidebarTabletext"/>
            </w:pPr>
            <w:r>
              <w:t>1.0</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2017</w:t>
            </w:r>
          </w:p>
        </w:tc>
        <w:tc>
          <w:tcPr>
            <w:tcW w:w="1162" w:type="dxa"/>
            <w:tcBorders>
              <w:top w:val="single" w:sz="4" w:space="0" w:color="auto"/>
            </w:tcBorders>
            <w:shd w:val="clear" w:color="auto" w:fill="FFFFFF"/>
          </w:tcPr>
          <w:p w:rsidR="0060634A" w:rsidRDefault="00F76D44">
            <w:pPr>
              <w:pStyle w:val="PPOsidebarTabletext"/>
            </w:pPr>
            <w:r>
              <w:t>1.0</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2018</w:t>
            </w:r>
          </w:p>
        </w:tc>
        <w:tc>
          <w:tcPr>
            <w:tcW w:w="1162" w:type="dxa"/>
            <w:tcBorders>
              <w:top w:val="single" w:sz="4" w:space="0" w:color="auto"/>
            </w:tcBorders>
            <w:shd w:val="clear" w:color="auto" w:fill="FFFFFF"/>
          </w:tcPr>
          <w:p w:rsidR="0060634A" w:rsidRDefault="00F76D44">
            <w:pPr>
              <w:pStyle w:val="PPOsidebarTabletext"/>
            </w:pPr>
            <w:r>
              <w:t>1.1</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2019</w:t>
            </w:r>
          </w:p>
        </w:tc>
        <w:tc>
          <w:tcPr>
            <w:tcW w:w="1162" w:type="dxa"/>
            <w:tcBorders>
              <w:top w:val="single" w:sz="4" w:space="0" w:color="auto"/>
            </w:tcBorders>
            <w:shd w:val="clear" w:color="auto" w:fill="FFFFFF"/>
          </w:tcPr>
          <w:p w:rsidR="0060634A" w:rsidRDefault="00F76D44">
            <w:pPr>
              <w:pStyle w:val="PPOsidebarTabletext"/>
            </w:pPr>
            <w:r>
              <w:t>1.1</w:t>
            </w:r>
          </w:p>
        </w:tc>
      </w:tr>
      <w:tr w:rsidR="0060634A">
        <w:trPr>
          <w:trHeight w:hRule="exact" w:val="225"/>
          <w:jc w:val="right"/>
        </w:trPr>
        <w:tc>
          <w:tcPr>
            <w:tcW w:w="1134" w:type="dxa"/>
            <w:tcBorders>
              <w:top w:val="single" w:sz="6" w:space="0" w:color="FFFFFF" w:themeColor="background1"/>
            </w:tcBorders>
            <w:shd w:val="clear" w:color="auto" w:fill="DCE6F2"/>
            <w:vAlign w:val="center"/>
          </w:tcPr>
          <w:p w:rsidR="0060634A" w:rsidRDefault="00F76D44">
            <w:pPr>
              <w:pStyle w:val="PPOsidebarTabletext"/>
            </w:pPr>
            <w:r>
              <w:t>2020</w:t>
            </w:r>
          </w:p>
        </w:tc>
        <w:tc>
          <w:tcPr>
            <w:tcW w:w="1162" w:type="dxa"/>
            <w:tcBorders>
              <w:top w:val="single" w:sz="4" w:space="0" w:color="auto"/>
            </w:tcBorders>
            <w:shd w:val="clear" w:color="auto" w:fill="FFFFFF"/>
          </w:tcPr>
          <w:p w:rsidR="0060634A" w:rsidRDefault="00F76D44">
            <w:pPr>
              <w:pStyle w:val="PPOsidebarTabletext"/>
            </w:pPr>
            <w:r>
              <w:t>1.1</w:t>
            </w:r>
          </w:p>
        </w:tc>
      </w:tr>
      <w:tr w:rsidR="0060634A">
        <w:trPr>
          <w:trHeight w:hRule="exact" w:val="258"/>
          <w:jc w:val="right"/>
        </w:trPr>
        <w:tc>
          <w:tcPr>
            <w:tcW w:w="1134" w:type="dxa"/>
            <w:shd w:val="clear" w:color="auto" w:fill="00ADDC"/>
            <w:vAlign w:val="center"/>
          </w:tcPr>
          <w:p w:rsidR="0060634A" w:rsidRDefault="00F76D44">
            <w:pPr>
              <w:pStyle w:val="PPOsidebarTabletext"/>
            </w:pPr>
            <w:r>
              <w:t>Total</w:t>
            </w:r>
          </w:p>
        </w:tc>
        <w:tc>
          <w:tcPr>
            <w:tcW w:w="1162" w:type="dxa"/>
            <w:tcBorders>
              <w:top w:val="single" w:sz="4" w:space="0" w:color="auto"/>
            </w:tcBorders>
            <w:shd w:val="clear" w:color="auto" w:fill="FFFFFF"/>
          </w:tcPr>
          <w:p w:rsidR="0060634A" w:rsidRDefault="00F76D44">
            <w:pPr>
              <w:pStyle w:val="PPOsidebarTabletext"/>
            </w:pPr>
            <w:r>
              <w:t>7.3</w:t>
            </w:r>
          </w:p>
        </w:tc>
      </w:tr>
    </w:tbl>
    <w:p w:rsidR="0060634A" w:rsidRDefault="00F76D44">
      <w:pPr>
        <w:pStyle w:val="PPO1AsidebarTitleBlue"/>
        <w:rPr>
          <w:rFonts w:eastAsiaTheme="minorEastAsia"/>
        </w:rPr>
      </w:pPr>
      <w:r>
        <w:rPr>
          <w:rFonts w:eastAsiaTheme="minorEastAsia"/>
          <w:lang w:val="fr-BE" w:eastAsia="fr-BE"/>
        </w:rPr>
        <mc:AlternateContent>
          <mc:Choice Requires="wpg">
            <w:drawing>
              <wp:anchor distT="0" distB="0" distL="114300" distR="114300" simplePos="0" relativeHeight="251714560" behindDoc="1" locked="1" layoutInCell="1" allowOverlap="1">
                <wp:simplePos x="0" y="0"/>
                <wp:positionH relativeFrom="column">
                  <wp:posOffset>-264795</wp:posOffset>
                </wp:positionH>
                <wp:positionV relativeFrom="paragraph">
                  <wp:posOffset>554355</wp:posOffset>
                </wp:positionV>
                <wp:extent cx="1871980" cy="1454150"/>
                <wp:effectExtent l="0" t="0" r="0" b="0"/>
                <wp:wrapSquare wrapText="bothSides"/>
                <wp:docPr id="563" name="Group 563"/>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564" name="Chart 564"/>
                        <wpg:cNvFrPr/>
                        <wpg:xfrm>
                          <a:off x="461310" y="264194"/>
                          <a:ext cx="2492055" cy="1453317"/>
                        </wpg:xfrm>
                        <a:graphic>
                          <a:graphicData uri="http://schemas.openxmlformats.org/drawingml/2006/chart">
                            <c:chart xmlns:c="http://schemas.openxmlformats.org/drawingml/2006/chart" xmlns:r="http://schemas.openxmlformats.org/officeDocument/2006/relationships" r:id="rId425"/>
                          </a:graphicData>
                        </a:graphic>
                      </wpg:graphicFrame>
                      <wps:wsp>
                        <wps:cNvPr id="565" name="Text Box 2"/>
                        <wps:cNvSpPr txBox="1">
                          <a:spLocks noChangeArrowheads="1"/>
                        </wps:cNvSpPr>
                        <wps:spPr bwMode="auto">
                          <a:xfrm>
                            <a:off x="1249777" y="751819"/>
                            <a:ext cx="1276742" cy="600139"/>
                          </a:xfrm>
                          <a:prstGeom prst="rect">
                            <a:avLst/>
                          </a:prstGeom>
                          <a:noFill/>
                          <a:ln w="9525">
                            <a:noFill/>
                            <a:miter lim="800000"/>
                            <a:headEnd/>
                            <a:tailEnd/>
                          </a:ln>
                        </wps:spPr>
                        <wps:txbx>
                          <w:txbxContent>
                            <w:p w:rsidR="0060634A" w:rsidRDefault="00F76D44">
                              <w:pPr>
                                <w:pStyle w:val="PPO1AsidebarchartCenterText"/>
                                <w:rPr>
                                  <w:rFonts w:eastAsiaTheme="minorEastAsia"/>
                                </w:rPr>
                              </w:pPr>
                              <w:r>
                                <w:rPr>
                                  <w:rFonts w:eastAsiaTheme="minorEastAsia"/>
                                </w:rPr>
                                <w:t>EUR</w:t>
                              </w:r>
                              <w:r>
                                <w:rPr>
                                  <w:rFonts w:eastAsiaTheme="minorEastAsia"/>
                                  <w:b/>
                                </w:rPr>
                                <w:t xml:space="preserve"> 7.3</w:t>
                              </w:r>
                              <w:r>
                                <w:rPr>
                                  <w:rFonts w:eastAsiaTheme="minorEastAsia"/>
                                </w:rPr>
                                <w:br/>
                                <w:t>million</w:t>
                              </w:r>
                            </w:p>
                          </w:txbxContent>
                        </wps:txbx>
                        <wps:bodyPr rot="0" vert="horz" wrap="square" lIns="91440" tIns="45720" rIns="91440" bIns="45720" anchor="t" anchorCtr="0">
                          <a:noAutofit/>
                        </wps:bodyPr>
                      </wps:wsp>
                      <wps:wsp>
                        <wps:cNvPr id="566" name="Text Box 2"/>
                        <wps:cNvSpPr txBox="1">
                          <a:spLocks noChangeArrowheads="1"/>
                        </wps:cNvSpPr>
                        <wps:spPr bwMode="auto">
                          <a:xfrm>
                            <a:off x="1145714" y="1174471"/>
                            <a:ext cx="700344" cy="220693"/>
                          </a:xfrm>
                          <a:prstGeom prst="rect">
                            <a:avLst/>
                          </a:prstGeom>
                          <a:noFill/>
                          <a:ln w="9525">
                            <a:noFill/>
                            <a:miter lim="800000"/>
                            <a:headEnd/>
                            <a:tailEnd/>
                          </a:ln>
                        </wps:spPr>
                        <wps:txbx>
                          <w:txbxContent>
                            <w:p w:rsidR="0060634A" w:rsidRDefault="00F76D44">
                              <w:pPr>
                                <w:spacing w:after="120"/>
                                <w:jc w:val="center"/>
                                <w:rPr>
                                  <w:color w:val="00ADDC"/>
                                  <w:lang w:val="fr-BE"/>
                                </w:rPr>
                              </w:pPr>
                              <w:r>
                                <w:rPr>
                                  <w:b/>
                                  <w:color w:val="00ADDC"/>
                                  <w:lang w:val="fr-BE"/>
                                </w:rPr>
                                <w:t>59%%</w:t>
                              </w:r>
                            </w:p>
                          </w:txbxContent>
                        </wps:txbx>
                        <wps:bodyPr rot="0" vert="horz" wrap="square" lIns="91440" tIns="45720" rIns="91440" bIns="45720" anchor="t" anchorCtr="0">
                          <a:noAutofit/>
                        </wps:bodyPr>
                      </wps:wsp>
                      <wps:wsp>
                        <wps:cNvPr id="567" name="Text Box 2"/>
                        <wps:cNvSpPr txBox="1">
                          <a:spLocks noChangeArrowheads="1"/>
                        </wps:cNvSpPr>
                        <wps:spPr bwMode="auto">
                          <a:xfrm>
                            <a:off x="902187" y="470813"/>
                            <a:ext cx="741153" cy="266065"/>
                          </a:xfrm>
                          <a:prstGeom prst="rect">
                            <a:avLst/>
                          </a:prstGeom>
                          <a:noFill/>
                          <a:ln w="9525">
                            <a:noFill/>
                            <a:miter lim="800000"/>
                            <a:headEnd/>
                            <a:tailEnd/>
                          </a:ln>
                        </wps:spPr>
                        <wps:txbx>
                          <w:txbxContent>
                            <w:p w:rsidR="0060634A" w:rsidRDefault="00F76D44">
                              <w:pPr>
                                <w:spacing w:after="120"/>
                                <w:jc w:val="center"/>
                                <w:rPr>
                                  <w:color w:val="28296E"/>
                                  <w:lang w:val="fr-BE"/>
                                </w:rPr>
                              </w:pPr>
                              <w:r>
                                <w:rPr>
                                  <w:b/>
                                  <w:color w:val="28296E"/>
                                  <w:lang w:val="fr-BE"/>
                                </w:rPr>
                                <w:t>82%%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63" o:spid="_x0000_s1157" style="position:absolute;left:0;text-align:left;margin-left:-20.85pt;margin-top:43.65pt;width:147.4pt;height:114.5pt;z-index:-251601920;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wQKAAAAAAAAACEAB+99BrYiAAC2IgAALQAAAGRycy9lbWJlZGRp&#10;bmdzL01pY3Jvc29mdF9FeGNlbF9Xb3Jrc2hlZXQueGxzeFBLAwQUAAYACAAAACEA3SuLWGwBAAAQ&#10;BQAAEwAIAltDb250ZW50X1R5cGVzXS54bWw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">
                <v:shape id="Chart 564" o:spid="_x0000_s1158"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">
                  <v:imagedata r:id="rId426" o:title=""/>
                  <o:lock v:ext="edit" aspectratio="f"/>
                </v:shape>
                <v:shape id="_x0000_s1159" type="#_x0000_t202" style="position:absolute;left:12497;top:7518;width:12768;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" filled="f" stroked="f">
                  <v:textbox>
                    <w:txbxContent>
                      <w:p w:rsidR="0060634A" w:rsidRDefault="00F76D44">
                        <w:pPr>
                          <w:pStyle w:val="PPO1AsidebarchartCenterText"/>
                          <w:rPr>
                            <w:rFonts w:eastAsiaTheme="minorEastAsia"/>
                          </w:rPr>
                        </w:pPr>
                        <w:r>
                          <w:rPr>
                            <w:rFonts w:eastAsiaTheme="minorEastAsia"/>
                          </w:rPr>
                          <w:t>EUR</w:t>
                        </w:r>
                        <w:r>
                          <w:rPr>
                            <w:rFonts w:eastAsiaTheme="minorEastAsia"/>
                            <w:b/>
                          </w:rPr>
                          <w:t xml:space="preserve"> 7.3</w:t>
                        </w:r>
                        <w:r>
                          <w:rPr>
                            <w:rFonts w:eastAsiaTheme="minorEastAsia"/>
                          </w:rPr>
                          <w:br/>
                          <w:t>million</w:t>
                        </w:r>
                      </w:p>
                    </w:txbxContent>
                  </v:textbox>
                </v:shape>
                <v:shape id="_x0000_s1160" type="#_x0000_t202" style="position:absolute;left:11457;top:11744;width:7003;height:2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" filled="f" stroked="f">
                  <v:textbox>
                    <w:txbxContent>
                      <w:p w:rsidR="0060634A" w:rsidRDefault="00F76D44">
                        <w:pPr>
                          <w:spacing w:after="120"/>
                          <w:jc w:val="center"/>
                          <w:rPr>
                            <w:color w:val="00ADDC"/>
                            <w:lang w:val="fr-BE"/>
                          </w:rPr>
                        </w:pPr>
                        <w:r>
                          <w:rPr>
                            <w:b/>
                            <w:color w:val="00ADDC"/>
                            <w:lang w:val="fr-BE"/>
                          </w:rPr>
                          <w:t>59%%</w:t>
                        </w:r>
                      </w:p>
                    </w:txbxContent>
                  </v:textbox>
                </v:shape>
                <v:shape id="_x0000_s1161" type="#_x0000_t202" style="position:absolute;left:9021;top:4708;width:7412;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" filled="f" stroked="f">
                  <v:textbox>
                    <w:txbxContent>
                      <w:p w:rsidR="0060634A" w:rsidRDefault="00F76D44">
                        <w:pPr>
                          <w:spacing w:after="120"/>
                          <w:jc w:val="center"/>
                          <w:rPr>
                            <w:color w:val="28296E"/>
                            <w:lang w:val="fr-BE"/>
                          </w:rPr>
                        </w:pPr>
                        <w:r>
                          <w:rPr>
                            <w:b/>
                            <w:color w:val="28296E"/>
                            <w:lang w:val="fr-BE"/>
                          </w:rPr>
                          <w:t>82%%</w:t>
                        </w:r>
                      </w:p>
                    </w:txbxContent>
                  </v:textbox>
                </v:shape>
                <w10:wrap type="square"/>
                <w10:anchorlock/>
              </v:group>
              <o:OLEObject Type="Embed" ProgID="Excel.Chart.8" ShapeID="Chart 564" DrawAspect="Content" ObjectID="_1654495738" r:id="rId427">
                <o:FieldCodes>\s</o:FieldCodes>
              </o:OLEObject>
            </w:pict>
          </mc:Fallback>
        </mc:AlternateContent>
      </w:r>
      <w:r>
        <w:rPr>
          <w:rFonts w:eastAsiaTheme="minorEastAsia"/>
        </w:rPr>
        <w:t xml:space="preserve">OVERALL EXECUTION </w:t>
      </w:r>
      <w:r>
        <w:rPr>
          <w:rFonts w:eastAsiaTheme="minorEastAsia"/>
        </w:rPr>
        <w:br/>
        <w:t xml:space="preserve">(2014-2019) </w:t>
      </w:r>
    </w:p>
    <w:p w:rsidR="0060634A" w:rsidRDefault="00F76D44">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715584" behindDoc="0" locked="1" layoutInCell="1" allowOverlap="1">
                <wp:simplePos x="0" y="0"/>
                <wp:positionH relativeFrom="page">
                  <wp:posOffset>2242185</wp:posOffset>
                </wp:positionH>
                <wp:positionV relativeFrom="page">
                  <wp:posOffset>5838190</wp:posOffset>
                </wp:positionV>
                <wp:extent cx="2437130" cy="1804670"/>
                <wp:effectExtent l="0" t="0" r="1270" b="5080"/>
                <wp:wrapTopAndBottom/>
                <wp:docPr id="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1804670"/>
                        </a:xfrm>
                        <a:prstGeom prst="rect">
                          <a:avLst/>
                        </a:prstGeom>
                        <a:solidFill>
                          <a:srgbClr val="FFFFFF"/>
                        </a:solidFill>
                        <a:ln w="9525">
                          <a:noFill/>
                          <a:miter lim="800000"/>
                          <a:headEnd/>
                          <a:tailEnd/>
                        </a:ln>
                      </wps:spPr>
                      <wps:txbx id="86">
                        <w:txbxContent>
                          <w:p w:rsidR="0060634A" w:rsidRDefault="00F76D44">
                            <w:pPr>
                              <w:pStyle w:val="PPOTitle3-nospacebefore"/>
                              <w:rPr>
                                <w:rFonts w:eastAsiaTheme="minorEastAsia"/>
                              </w:rPr>
                            </w:pPr>
                            <w:r>
                              <w:rPr>
                                <w:rFonts w:eastAsiaTheme="minorEastAsia"/>
                              </w:rPr>
                              <w:t>Why is it necessary?</w:t>
                            </w:r>
                          </w:p>
                          <w:p w:rsidR="0060634A" w:rsidRDefault="00F76D44">
                            <w:pPr>
                              <w:pStyle w:val="PPObodyText"/>
                              <w:rPr>
                                <w:noProof/>
                              </w:rPr>
                            </w:pPr>
                            <w:r>
                              <w:rPr>
                                <w:noProof/>
                              </w:rPr>
                              <w:t xml:space="preserve">The programme actively encourages and entails an increase in </w:t>
                            </w:r>
                            <w:r>
                              <w:rPr>
                                <w:noProof/>
                              </w:rPr>
                              <w:t>transnational cooperation for the protection of the euro inside and outside the EU and with the EU's trading partners, with attention being paid to those Member States or non-EU countries that have the highest rates of euro counterfeiting. This cooperation</w:t>
                            </w:r>
                            <w:r>
                              <w:rPr>
                                <w:noProof/>
                              </w:rPr>
                              <w:t xml:space="preserve"> shall contribute to greater effectiveness in protecting the euro against counterfeiting through the sharing of best practices, common standards and joint specialised training.</w:t>
                            </w:r>
                          </w:p>
                          <w:p w:rsidR="0060634A" w:rsidRDefault="00F76D44">
                            <w:pPr>
                              <w:pStyle w:val="PPOTitle3-nospacebefore"/>
                              <w:rPr>
                                <w:rFonts w:eastAsiaTheme="minorEastAsia"/>
                              </w:rPr>
                            </w:pPr>
                            <w:r>
                              <w:rPr>
                                <w:rFonts w:eastAsiaTheme="minorEastAsia"/>
                              </w:rPr>
                              <w:t>Outlook for the 2021-2027 period</w:t>
                            </w:r>
                          </w:p>
                          <w:p w:rsidR="0060634A" w:rsidRDefault="00F76D44">
                            <w:pPr>
                              <w:pStyle w:val="PPObodyText"/>
                              <w:rPr>
                                <w:noProof/>
                              </w:rPr>
                            </w:pPr>
                            <w:r>
                              <w:rPr>
                                <w:noProof/>
                              </w:rPr>
                              <w:t xml:space="preserve">The Commission proposed a continuation of the </w:t>
                            </w:r>
                            <w:r>
                              <w:rPr>
                                <w:noProof/>
                              </w:rPr>
                              <w:t>programme for the next multiannual financial framework.</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2" type="#_x0000_t202" style="position:absolute;left:0;text-align:left;margin-left:176.55pt;margin-top:459.7pt;width:191.9pt;height:142.1pt;z-index:2517155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" stroked="f">
                <v:textbox style="mso-next-textbox:#Text Box 571" inset="0">
                  <w:txbxContent>
                    <w:p w:rsidR="0060634A" w:rsidRDefault="00F76D44">
                      <w:pPr>
                        <w:pStyle w:val="PPOTitle3-nospacebefore"/>
                        <w:rPr>
                          <w:rFonts w:eastAsiaTheme="minorEastAsia"/>
                        </w:rPr>
                      </w:pPr>
                      <w:r>
                        <w:rPr>
                          <w:rFonts w:eastAsiaTheme="minorEastAsia"/>
                        </w:rPr>
                        <w:t>Why is it necessary?</w:t>
                      </w:r>
                    </w:p>
                    <w:p w:rsidR="0060634A" w:rsidRDefault="00F76D44">
                      <w:pPr>
                        <w:pStyle w:val="PPObodyText"/>
                        <w:rPr>
                          <w:noProof/>
                        </w:rPr>
                      </w:pPr>
                      <w:r>
                        <w:rPr>
                          <w:noProof/>
                        </w:rPr>
                        <w:t xml:space="preserve">The programme actively encourages and entails an increase in </w:t>
                      </w:r>
                      <w:r>
                        <w:rPr>
                          <w:noProof/>
                        </w:rPr>
                        <w:t>transnational cooperation for the protection of the euro inside and outside the EU and with the EU's trading partners, with attention being paid to those Member States or non-EU countries that have the highest rates of euro counterfeiting. This cooperation</w:t>
                      </w:r>
                      <w:r>
                        <w:rPr>
                          <w:noProof/>
                        </w:rPr>
                        <w:t xml:space="preserve"> shall contribute to greater effectiveness in protecting the euro against counterfeiting through the sharing of best practices, common standards and joint specialised training.</w:t>
                      </w:r>
                    </w:p>
                    <w:p w:rsidR="0060634A" w:rsidRDefault="00F76D44">
                      <w:pPr>
                        <w:pStyle w:val="PPOTitle3-nospacebefore"/>
                        <w:rPr>
                          <w:rFonts w:eastAsiaTheme="minorEastAsia"/>
                        </w:rPr>
                      </w:pPr>
                      <w:r>
                        <w:rPr>
                          <w:rFonts w:eastAsiaTheme="minorEastAsia"/>
                        </w:rPr>
                        <w:t>Outlook for the 2021-2027 period</w:t>
                      </w:r>
                    </w:p>
                    <w:p w:rsidR="0060634A" w:rsidRDefault="00F76D44">
                      <w:pPr>
                        <w:pStyle w:val="PPObodyText"/>
                        <w:rPr>
                          <w:noProof/>
                        </w:rPr>
                      </w:pPr>
                      <w:r>
                        <w:rPr>
                          <w:noProof/>
                        </w:rPr>
                        <w:t xml:space="preserve">The Commission proposed a continuation of the </w:t>
                      </w:r>
                      <w:r>
                        <w:rPr>
                          <w:noProof/>
                        </w:rPr>
                        <w:t>programme for the next multiannual financial framework.</w:t>
                      </w:r>
                    </w:p>
                  </w:txbxContent>
                </v:textbox>
                <w10:wrap type="topAndBottom" anchorx="page" anchory="page"/>
                <w10:anchorlock/>
              </v:shape>
            </w:pict>
          </mc:Fallback>
        </mc:AlternateContent>
      </w:r>
    </w:p>
    <w:p w:rsidR="0060634A" w:rsidRDefault="00F76D44">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716608" behindDoc="0" locked="1" layoutInCell="1" allowOverlap="1">
                <wp:simplePos x="0" y="0"/>
                <wp:positionH relativeFrom="column">
                  <wp:posOffset>539750</wp:posOffset>
                </wp:positionH>
                <wp:positionV relativeFrom="paragraph">
                  <wp:posOffset>1270</wp:posOffset>
                </wp:positionV>
                <wp:extent cx="115200" cy="115200"/>
                <wp:effectExtent l="0" t="0" r="0" b="0"/>
                <wp:wrapNone/>
                <wp:docPr id="569" name="Oval 569"/>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00AD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897DE4" id="Oval 569" o:spid="_x0000_s1026" style="position:absolute;margin-left:42.5pt;margin-top:.1pt;width:9.05pt;height:9.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" fillcolor="#00addc" stroked="f" strokeweight="1pt">
                <v:stroke joinstyle="miter"/>
                <w10:anchorlock/>
              </v:oval>
            </w:pict>
          </mc:Fallback>
        </mc:AlternateContent>
      </w:r>
      <w:r>
        <w:rPr>
          <w:rFonts w:eastAsiaTheme="minorEastAsia"/>
          <w:lang w:val="fr-BE" w:eastAsia="fr-BE"/>
        </w:rPr>
        <w:drawing>
          <wp:anchor distT="0" distB="0" distL="114300" distR="114300" simplePos="0" relativeHeight="251704320" behindDoc="1" locked="1" layoutInCell="1" allowOverlap="1">
            <wp:simplePos x="0" y="0"/>
            <wp:positionH relativeFrom="page">
              <wp:posOffset>-415925</wp:posOffset>
            </wp:positionH>
            <wp:positionV relativeFrom="paragraph">
              <wp:posOffset>-1598295</wp:posOffset>
            </wp:positionV>
            <wp:extent cx="3412490" cy="1990725"/>
            <wp:effectExtent l="0" t="0" r="0" b="0"/>
            <wp:wrapNone/>
            <wp:docPr id="577" name="Chart 5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8"/>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713536" behindDoc="0" locked="1" layoutInCell="1" allowOverlap="1">
                <wp:simplePos x="0" y="0"/>
                <wp:positionH relativeFrom="column">
                  <wp:posOffset>539750</wp:posOffset>
                </wp:positionH>
                <wp:positionV relativeFrom="paragraph">
                  <wp:posOffset>195580</wp:posOffset>
                </wp:positionV>
                <wp:extent cx="115200" cy="115200"/>
                <wp:effectExtent l="0" t="0" r="0" b="0"/>
                <wp:wrapNone/>
                <wp:docPr id="570" name="Oval 570"/>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77A057" id="Oval 570" o:spid="_x0000_s1026" style="position:absolute;margin-left:42.5pt;margin-top:15.4pt;width:9.05pt;height:9.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" fillcolor="#28296e" stroked="f" strokeweight="1pt">
                <v:stroke joinstyle="miter"/>
                <w10:anchorlock/>
              </v:oval>
            </w:pict>
          </mc:Fallback>
        </mc:AlternateContent>
      </w:r>
      <w:r>
        <w:rPr>
          <w:rFonts w:eastAsiaTheme="minorEastAsia"/>
        </w:rPr>
        <w:t>Payments</w:t>
      </w:r>
    </w:p>
    <w:p w:rsidR="0060634A" w:rsidRDefault="00F76D44">
      <w:pPr>
        <w:pStyle w:val="PPOsidebarchartLegends"/>
        <w:rPr>
          <w:rFonts w:eastAsiaTheme="minorEastAsia"/>
        </w:rPr>
      </w:pPr>
      <w:r>
        <w:rPr>
          <w:rFonts w:eastAsiaTheme="minorEastAsia"/>
        </w:rPr>
        <w:t>Commitments</w:t>
      </w:r>
    </w:p>
    <w:p w:rsidR="0060634A" w:rsidRDefault="00F76D44">
      <w:pPr>
        <w:pStyle w:val="PPO1AsidebarTitleLightBlue"/>
        <w:rPr>
          <w:rFonts w:eastAsiaTheme="minorEastAsia"/>
        </w:rPr>
      </w:pPr>
      <w:r>
        <w:rPr>
          <w:rFonts w:eastAsiaTheme="minorEastAsia"/>
        </w:rPr>
        <w:t>Evaluations/</w:t>
      </w:r>
      <w:r>
        <w:rPr>
          <w:rFonts w:eastAsiaTheme="minorEastAsia"/>
        </w:rPr>
        <w:br/>
        <w:t>studies conducted</w:t>
      </w:r>
      <w:r>
        <w:rPr>
          <w:rFonts w:eastAsiaTheme="minorEastAsia"/>
          <w:lang w:val="fr-BE" w:eastAsia="fr-BE"/>
        </w:rPr>
        <mc:AlternateContent>
          <mc:Choice Requires="wps">
            <w:drawing>
              <wp:anchor distT="0" distB="0" distL="114300" distR="114300" simplePos="0" relativeHeight="251718656" behindDoc="0" locked="1" layoutInCell="1" allowOverlap="1">
                <wp:simplePos x="0" y="0"/>
                <wp:positionH relativeFrom="page">
                  <wp:posOffset>4762500</wp:posOffset>
                </wp:positionH>
                <wp:positionV relativeFrom="page">
                  <wp:posOffset>5836285</wp:posOffset>
                </wp:positionV>
                <wp:extent cx="2437130" cy="1581150"/>
                <wp:effectExtent l="0" t="0" r="1270" b="0"/>
                <wp:wrapTopAndBottom/>
                <wp:docPr id="571" name="Text Box 571"/>
                <wp:cNvGraphicFramePr/>
                <a:graphic xmlns:a="http://schemas.openxmlformats.org/drawingml/2006/main">
                  <a:graphicData uri="http://schemas.microsoft.com/office/word/2010/wordprocessingShape">
                    <wps:wsp>
                      <wps:cNvSpPr txBox="1"/>
                      <wps:spPr>
                        <a:xfrm>
                          <a:off x="0" y="0"/>
                          <a:ext cx="2437130" cy="1581150"/>
                        </a:xfrm>
                        <a:prstGeom prst="rect">
                          <a:avLst/>
                        </a:prstGeom>
                        <a:solidFill>
                          <a:schemeClr val="lt1"/>
                        </a:solidFill>
                        <a:ln w="6350">
                          <a:noFill/>
                        </a:ln>
                      </wps:spPr>
                      <wps:linkedTxbx id="86"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1" o:spid="_x0000_s1163" type="#_x0000_t202" style="position:absolute;left:0;text-align:left;margin-left:375pt;margin-top:459.55pt;width:191.9pt;height:124.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" fillcolor="white [3201]" stroked="f" strokeweight=".5pt">
                <v:textbox inset=",,0">
                  <w:txbxContent/>
                </v:textbox>
                <w10:wrap type="topAndBottom" anchorx="page" anchory="page"/>
                <w10:anchorlock/>
              </v:shape>
            </w:pict>
          </mc:Fallback>
        </mc:AlternateContent>
      </w:r>
    </w:p>
    <w:p w:rsidR="0060634A" w:rsidRDefault="00F76D44">
      <w:pPr>
        <w:pStyle w:val="PPOsidebartext"/>
        <w:rPr>
          <w:rFonts w:eastAsiaTheme="minorEastAsia"/>
        </w:rPr>
      </w:pPr>
      <w:r>
        <w:rPr>
          <w:rFonts w:eastAsiaTheme="minorEastAsia"/>
        </w:rPr>
        <w:t xml:space="preserve">The midterm evaluation of the Pericles 2020 programme was carried out in 2017. For further information please consult: </w:t>
      </w:r>
      <w:hyperlink r:id="rId429" w:history="1">
        <w:r>
          <w:rPr>
            <w:rStyle w:val="PPOChar-Hyperlink"/>
            <w:rFonts w:eastAsiaTheme="minorEastAsia"/>
          </w:rPr>
          <w:t>http://europa.eu/!kq94nP</w:t>
        </w:r>
      </w:hyperlink>
    </w:p>
    <w:p w:rsidR="0060634A" w:rsidRDefault="00F76D44">
      <w:pPr>
        <w:pStyle w:val="PPO1AsidebarTitleLightBlue"/>
        <w:rPr>
          <w:rFonts w:eastAsiaTheme="minorEastAsia"/>
        </w:rPr>
      </w:pPr>
      <w:r>
        <w:rPr>
          <w:rFonts w:eastAsiaTheme="minorEastAsia"/>
        </w:rPr>
        <w:t>How is it implemented?</w:t>
      </w:r>
    </w:p>
    <w:tbl>
      <w:tblPr>
        <w:tblStyle w:val="TableGrid"/>
        <w:tblpPr w:vertAnchor="page" w:horzAnchor="page" w:tblpX="3599" w:tblpY="13608"/>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3471"/>
        <w:gridCol w:w="850"/>
        <w:gridCol w:w="3471"/>
      </w:tblGrid>
      <w:tr w:rsidR="0060634A">
        <w:trPr>
          <w:cantSplit/>
        </w:trPr>
        <w:tc>
          <w:tcPr>
            <w:tcW w:w="7792" w:type="dxa"/>
            <w:gridSpan w:val="3"/>
            <w:vAlign w:val="center"/>
          </w:tcPr>
          <w:p w:rsidR="0060634A" w:rsidRDefault="00F76D44">
            <w:pPr>
              <w:pStyle w:val="PPOTitle3-nospacebefore"/>
              <w:rPr>
                <w:rFonts w:eastAsiaTheme="minorEastAsia"/>
                <w:lang w:val="en-GB"/>
              </w:rPr>
            </w:pPr>
            <w:r>
              <w:rPr>
                <w:rFonts w:eastAsiaTheme="minorEastAsia"/>
                <w:lang w:val="en-GB"/>
              </w:rPr>
              <w:t>Voted budget execution (in million EUR)</w:t>
            </w:r>
          </w:p>
        </w:tc>
      </w:tr>
      <w:tr w:rsidR="0060634A">
        <w:trPr>
          <w:cantSplit/>
        </w:trPr>
        <w:tc>
          <w:tcPr>
            <w:tcW w:w="3471" w:type="dxa"/>
            <w:shd w:val="clear" w:color="auto" w:fill="00ADDC"/>
            <w:vAlign w:val="center"/>
          </w:tcPr>
          <w:p w:rsidR="0060634A" w:rsidRDefault="00F76D44">
            <w:pPr>
              <w:spacing w:after="100" w:afterAutospacing="1"/>
              <w:ind w:right="57"/>
              <w:jc w:val="right"/>
              <w:rPr>
                <w:noProof/>
                <w:sz w:val="18"/>
              </w:rPr>
            </w:pPr>
            <w:r>
              <w:rPr>
                <w:noProof/>
                <w:color w:val="FFFFFF" w:themeColor="background1"/>
                <w:sz w:val="18"/>
                <w:lang w:val="en-GB"/>
              </w:rPr>
              <w:t xml:space="preserve">                </w:t>
            </w:r>
            <w:r>
              <w:rPr>
                <w:noProof/>
                <w:color w:val="FFFFFF" w:themeColor="background1"/>
                <w:sz w:val="18"/>
              </w:rPr>
              <w:t>EXECUTED COMMITMENTS</w:t>
            </w:r>
          </w:p>
        </w:tc>
        <w:tc>
          <w:tcPr>
            <w:tcW w:w="850" w:type="dxa"/>
            <w:shd w:val="clear" w:color="auto" w:fill="00ADDC"/>
            <w:vAlign w:val="center"/>
          </w:tcPr>
          <w:p w:rsidR="0060634A" w:rsidRDefault="0060634A">
            <w:pPr>
              <w:spacing w:afterAutospacing="1"/>
              <w:jc w:val="center"/>
              <w:rPr>
                <w:noProof/>
                <w:sz w:val="18"/>
              </w:rPr>
            </w:pPr>
          </w:p>
        </w:tc>
        <w:tc>
          <w:tcPr>
            <w:tcW w:w="3471" w:type="dxa"/>
            <w:shd w:val="clear" w:color="auto" w:fill="00ADDC"/>
            <w:vAlign w:val="center"/>
          </w:tcPr>
          <w:p w:rsidR="0060634A" w:rsidRDefault="00F76D44">
            <w:pPr>
              <w:spacing w:after="100" w:afterAutospacing="1"/>
              <w:rPr>
                <w:noProof/>
                <w:sz w:val="18"/>
              </w:rPr>
            </w:pPr>
            <w:r>
              <w:rPr>
                <w:noProof/>
                <w:color w:val="FFFFFF" w:themeColor="background1"/>
                <w:sz w:val="18"/>
              </w:rPr>
              <w:t>EXECUTED PAYMENTS</w:t>
            </w:r>
          </w:p>
        </w:tc>
      </w:tr>
      <w:tr w:rsidR="0060634A">
        <w:tblPrEx>
          <w:tblCellMar>
            <w:left w:w="108" w:type="dxa"/>
            <w:right w:w="108" w:type="dxa"/>
          </w:tblCellMar>
        </w:tblPrEx>
        <w:trPr>
          <w:cantSplit/>
        </w:trPr>
        <w:tc>
          <w:tcPr>
            <w:tcW w:w="3471" w:type="dxa"/>
            <w:shd w:val="clear" w:color="auto" w:fill="DCE6F2"/>
            <w:vAlign w:val="center"/>
          </w:tcPr>
          <w:p w:rsidR="0060634A" w:rsidRDefault="00F76D44">
            <w:pPr>
              <w:spacing w:after="100" w:afterAutospacing="1"/>
              <w:jc w:val="center"/>
              <w:rPr>
                <w:noProof/>
                <w:color w:val="0070C0"/>
                <w:sz w:val="18"/>
              </w:rPr>
            </w:pPr>
            <w:r>
              <w:rPr>
                <w:noProof/>
                <w:color w:val="0070C0"/>
                <w:sz w:val="18"/>
                <w:lang w:eastAsia="fr-BE"/>
              </w:rPr>
              <w:drawing>
                <wp:inline distT="0" distB="0" distL="0" distR="0">
                  <wp:extent cx="2158365" cy="890270"/>
                  <wp:effectExtent l="0" t="0" r="0" b="0"/>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c>
          <w:tcPr>
            <w:tcW w:w="850" w:type="dxa"/>
            <w:shd w:val="clear" w:color="auto" w:fill="DCE6F2"/>
            <w:vAlign w:val="center"/>
          </w:tcPr>
          <w:p w:rsidR="0060634A" w:rsidRDefault="00F76D44">
            <w:pPr>
              <w:spacing w:after="60"/>
              <w:jc w:val="center"/>
              <w:rPr>
                <w:noProof/>
                <w:color w:val="0070C0"/>
              </w:rPr>
            </w:pPr>
            <w:r>
              <w:rPr>
                <w:noProof/>
                <w:color w:val="0070C0"/>
              </w:rPr>
              <w:t>2017</w:t>
            </w:r>
          </w:p>
          <w:p w:rsidR="0060634A" w:rsidRDefault="00F76D44">
            <w:pPr>
              <w:spacing w:after="60"/>
              <w:jc w:val="center"/>
              <w:rPr>
                <w:noProof/>
                <w:color w:val="0070C0"/>
              </w:rPr>
            </w:pPr>
            <w:r>
              <w:rPr>
                <w:noProof/>
                <w:color w:val="0070C0"/>
              </w:rPr>
              <w:t>2018</w:t>
            </w:r>
          </w:p>
          <w:p w:rsidR="0060634A" w:rsidRDefault="00F76D44">
            <w:pPr>
              <w:spacing w:after="60"/>
              <w:jc w:val="center"/>
              <w:rPr>
                <w:noProof/>
                <w:sz w:val="18"/>
              </w:rPr>
            </w:pPr>
            <w:r>
              <w:rPr>
                <w:noProof/>
                <w:color w:val="0070C0"/>
              </w:rPr>
              <w:t>2019</w:t>
            </w:r>
          </w:p>
        </w:tc>
        <w:tc>
          <w:tcPr>
            <w:tcW w:w="3471" w:type="dxa"/>
            <w:shd w:val="clear" w:color="auto" w:fill="DCE6F2"/>
            <w:vAlign w:val="center"/>
          </w:tcPr>
          <w:p w:rsidR="0060634A" w:rsidRDefault="00F76D44">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914400"/>
                  <wp:effectExtent l="0" t="0" r="0" b="0"/>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158365" cy="914400"/>
                          </a:xfrm>
                          <a:prstGeom prst="rect">
                            <a:avLst/>
                          </a:prstGeom>
                          <a:noFill/>
                        </pic:spPr>
                      </pic:pic>
                    </a:graphicData>
                  </a:graphic>
                </wp:inline>
              </w:drawing>
            </w:r>
          </w:p>
        </w:tc>
      </w:tr>
    </w:tbl>
    <w:p w:rsidR="0060634A" w:rsidRDefault="00F76D44">
      <w:pPr>
        <w:pStyle w:val="PPOsidebartext"/>
      </w:pPr>
      <w:r>
        <w:t xml:space="preserve">The Directorate-General for Economic and Financial </w:t>
      </w:r>
      <w:r>
        <w:t>Affairs is the lead DG for the implementation of the programme. Projects financed under the programme are implemented either directly by the Commission (DG Economic and Financial Affairs) or in the form of grants awarded to national competent authorities i</w:t>
      </w:r>
      <w:r>
        <w:t>n the EU (in both euro-area and non-euro-area Member States).</w:t>
      </w:r>
    </w:p>
    <w:p w:rsidR="0060634A" w:rsidRDefault="00F76D44">
      <w:pPr>
        <w:pStyle w:val="PPO1ATitle1"/>
        <w:rPr>
          <w:rFonts w:eastAsiaTheme="minorEastAsia"/>
        </w:rPr>
      </w:pPr>
      <w:r>
        <w:rPr>
          <w:rFonts w:eastAsiaTheme="minorEastAsia"/>
        </w:rPr>
        <w:br w:type="column"/>
      </w:r>
      <w:bookmarkStart w:id="45" w:name="_Toc39583686"/>
      <w:r>
        <w:rPr>
          <w:rFonts w:eastAsiaTheme="minorEastAsia"/>
        </w:rPr>
        <w:t>PERICLES 2020</w:t>
      </w:r>
      <w:bookmarkEnd w:id="45"/>
    </w:p>
    <w:p w:rsidR="0060634A" w:rsidRDefault="00F76D44">
      <w:pPr>
        <w:pStyle w:val="PPO1ATitle2"/>
        <w:rPr>
          <w:rFonts w:eastAsiaTheme="minorEastAsia"/>
        </w:rPr>
      </w:pPr>
      <w:r>
        <w:rPr>
          <w:rFonts w:eastAsiaTheme="minorEastAsia"/>
        </w:rPr>
        <w:t>EXCHANGE, ASSISTANCE AND TRAINING PROGRAMME FOR THE PROTECTION OF THE EURO AGAINST COUNTERFEITING</w:t>
      </w:r>
    </w:p>
    <w:p w:rsidR="0060634A" w:rsidRDefault="00F76D44">
      <w:pPr>
        <w:pStyle w:val="PPOTitle3"/>
        <w:rPr>
          <w:rFonts w:eastAsiaTheme="minorEastAsia"/>
        </w:rPr>
      </w:pPr>
      <w:r>
        <w:rPr>
          <w:rFonts w:eastAsiaTheme="minorEastAsia"/>
        </w:rPr>
        <w:t>What is Pericles 2020?</w:t>
      </w:r>
    </w:p>
    <w:p w:rsidR="0060634A" w:rsidRDefault="00F76D44">
      <w:pPr>
        <w:pStyle w:val="PPObodyText"/>
        <w:rPr>
          <w:noProof/>
        </w:rPr>
      </w:pPr>
      <w:r>
        <w:rPr>
          <w:noProof/>
        </w:rPr>
        <w:t>The Pericles 2020 programme promotes actions for the prote</w:t>
      </w:r>
      <w:r>
        <w:rPr>
          <w:noProof/>
        </w:rPr>
        <w:t>ction and safeguarding of the euro against counterfeiting and related fraud.</w:t>
      </w:r>
    </w:p>
    <w:p w:rsidR="0060634A" w:rsidRDefault="00F76D44">
      <w:pPr>
        <w:pStyle w:val="PPObodyText"/>
        <w:rPr>
          <w:noProof/>
        </w:rPr>
      </w:pPr>
      <w:r>
        <w:rPr>
          <w:noProof/>
        </w:rPr>
        <w:t>The programme funds staff exchanges, seminars, training courses and studies for law enforcement and judicial authorities, banks and others involved in combating euro counterfeitin</w:t>
      </w:r>
      <w:r>
        <w:rPr>
          <w:noProof/>
        </w:rPr>
        <w:t>g, along with the purchasing of equipment. Actions can take place in the euro area, in EU Member States outside the euro area and in non-EU countries. Since 2015 applications can be introduced by all 28 Member States’ competent authorities to receive co-fi</w:t>
      </w:r>
      <w:r>
        <w:rPr>
          <w:noProof/>
        </w:rPr>
        <w:t xml:space="preserve">nancing. </w:t>
      </w:r>
    </w:p>
    <w:p w:rsidR="0060634A" w:rsidRDefault="00F76D44">
      <w:pPr>
        <w:pStyle w:val="PPObodyText"/>
        <w:rPr>
          <w:noProof/>
        </w:rPr>
      </w:pPr>
      <w:r>
        <w:rPr>
          <w:noProof/>
        </w:rPr>
        <w:t xml:space="preserve">The programme’s strategy focuses on four priority areas, namely: </w:t>
      </w:r>
    </w:p>
    <w:p w:rsidR="0060634A" w:rsidRDefault="00F76D44">
      <w:pPr>
        <w:pStyle w:val="PPOBlackBULLETS-L1"/>
        <w:rPr>
          <w:noProof/>
        </w:rPr>
      </w:pPr>
      <w:r>
        <w:rPr>
          <w:noProof/>
        </w:rPr>
        <w:t xml:space="preserve">supporting EU Member States particularly affected by euro counterfeiting; </w:t>
      </w:r>
    </w:p>
    <w:p w:rsidR="0060634A" w:rsidRDefault="00F76D44">
      <w:pPr>
        <w:pStyle w:val="PPOBlackBULLETS-L1"/>
        <w:rPr>
          <w:noProof/>
        </w:rPr>
      </w:pPr>
      <w:r>
        <w:rPr>
          <w:noProof/>
        </w:rPr>
        <w:t>fostering cooperation with non-EU countries where there is evidence or suspicion of counterfeit euro prod</w:t>
      </w:r>
      <w:r>
        <w:rPr>
          <w:noProof/>
        </w:rPr>
        <w:t>uction;</w:t>
      </w:r>
    </w:p>
    <w:p w:rsidR="0060634A" w:rsidRDefault="00F76D44">
      <w:pPr>
        <w:pStyle w:val="PPOBlackBULLETS-L1"/>
        <w:rPr>
          <w:noProof/>
        </w:rPr>
      </w:pPr>
      <w:r>
        <w:rPr>
          <w:noProof/>
        </w:rPr>
        <w:t>maintaining an efficient framework for the protection of the euro in south-eastern Europe; and</w:t>
      </w:r>
    </w:p>
    <w:p w:rsidR="0060634A" w:rsidRDefault="00F76D44">
      <w:pPr>
        <w:pStyle w:val="PPOBlackBULLETS-L1"/>
        <w:spacing w:after="160"/>
        <w:rPr>
          <w:noProof/>
        </w:rPr>
      </w:pPr>
      <w:r>
        <w:rPr>
          <w:noProof/>
        </w:rPr>
        <w:t>addressing new developments and challenges.</w:t>
      </w:r>
    </w:p>
    <w:p w:rsidR="0060634A" w:rsidRDefault="00F76D44">
      <w:pPr>
        <w:pStyle w:val="PPObodyText"/>
        <w:spacing w:after="360"/>
        <w:rPr>
          <w:noProof/>
        </w:rPr>
      </w:pPr>
      <w:r>
        <w:rPr>
          <w:noProof/>
        </w:rPr>
        <w:t>The bodies eligible for funding under the programme shall be the competent national authorities. Pericles 202</w:t>
      </w:r>
      <w:r>
        <w:rPr>
          <w:noProof/>
        </w:rPr>
        <w:t>0 primarily provides assistance to national law enforcement agencies, national central banks, judicial authorities, mints, customs authorities, commercial banks, cash-operated industries and any other groups of specialists concerned.</w:t>
      </w:r>
    </w:p>
    <w:tbl>
      <w:tblPr>
        <w:tblStyle w:val="TableGrid"/>
        <w:tblpPr w:leftFromText="181" w:rightFromText="340" w:vertAnchor="text" w:tblpX="108" w:tblpY="1"/>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7763"/>
      </w:tblGrid>
      <w:tr w:rsidR="0060634A">
        <w:trPr>
          <w:trHeight w:val="1726"/>
        </w:trPr>
        <w:tc>
          <w:tcPr>
            <w:tcW w:w="7763" w:type="dxa"/>
            <w:shd w:val="clear" w:color="auto" w:fill="F2F2F2" w:themeFill="background1" w:themeFillShade="F2"/>
          </w:tcPr>
          <w:p w:rsidR="0060634A" w:rsidRDefault="00F76D44">
            <w:pPr>
              <w:pStyle w:val="PPO1ASpecificobjectivesBOX-HeadingLightBlue"/>
              <w:rPr>
                <w:rFonts w:eastAsiaTheme="minorEastAsia"/>
              </w:rPr>
            </w:pPr>
            <w:r>
              <w:rPr>
                <w:rFonts w:eastAsiaTheme="minorEastAsia"/>
                <w:lang w:eastAsia="fr-BE"/>
              </w:rPr>
              <mc:AlternateContent>
                <mc:Choice Requires="wps">
                  <w:drawing>
                    <wp:anchor distT="0" distB="0" distL="114300" distR="114300" simplePos="0" relativeHeight="251711488"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24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00ADDC"/>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7FE5281" id="Freeform 6" o:spid="_x0000_s1026" style="position:absolute;margin-left:4pt;margin-top:1.4pt;width:21.25pt;height:2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00addc"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rFonts w:eastAsiaTheme="minorEastAsia"/>
              </w:rPr>
              <w:t>Specific objectives</w:t>
            </w:r>
          </w:p>
          <w:p w:rsidR="0060634A" w:rsidRDefault="00F76D44">
            <w:pPr>
              <w:pStyle w:val="PPO1ASpecificobjectivesBOX-BulletLightBlue"/>
              <w:rPr>
                <w:rFonts w:ascii="EC Square Sans Cond Pro" w:hAnsi="EC Square Sans Cond Pro"/>
                <w:lang w:val="en-GB"/>
              </w:rPr>
            </w:pPr>
            <w:r>
              <w:rPr>
                <w:rFonts w:ascii="EC Square Sans Cond Pro" w:hAnsi="EC Square Sans Cond Pro"/>
                <w:lang w:val="en-GB"/>
              </w:rPr>
              <w:t>To protect euro banknotes and coins against counterfeiting and related fraud, by supporting and supplementing the measures undertaken by the Member States and assisting the competent national and EU authorities in their efforts to develop, between themselv</w:t>
            </w:r>
            <w:r>
              <w:rPr>
                <w:rFonts w:ascii="EC Square Sans Cond Pro" w:hAnsi="EC Square Sans Cond Pro"/>
                <w:lang w:val="en-GB"/>
              </w:rPr>
              <w:t>es and with the European Commission, close and regular cooperation and the exchange of best practices, also where appropriate, including for non-EU countries and international organisations.</w:t>
            </w:r>
          </w:p>
        </w:tc>
      </w:tr>
    </w:tbl>
    <w:p w:rsidR="0060634A" w:rsidRDefault="0060634A">
      <w:pPr>
        <w:framePr w:w="6721" w:wrap="auto" w:hAnchor="text" w:x="3544"/>
        <w:jc w:val="both"/>
        <w:rPr>
          <w:b/>
          <w:noProof/>
          <w:color w:val="1F95A5"/>
        </w:rPr>
        <w:sectPr w:rsidR="0060634A">
          <w:headerReference w:type="even" r:id="rId432"/>
          <w:headerReference w:type="default" r:id="rId433"/>
          <w:footerReference w:type="even" r:id="rId434"/>
          <w:footerReference w:type="default" r:id="rId435"/>
          <w:headerReference w:type="first" r:id="rId436"/>
          <w:footerReference w:type="first" r:id="rId437"/>
          <w:pgSz w:w="11906" w:h="16838"/>
          <w:pgMar w:top="567" w:right="567" w:bottom="567" w:left="567" w:header="567" w:footer="454" w:gutter="0"/>
          <w:paperSrc w:first="15" w:other="15"/>
          <w:cols w:num="2" w:space="708" w:equalWidth="0">
            <w:col w:w="2269" w:space="708"/>
            <w:col w:w="7795"/>
          </w:cols>
          <w:docGrid w:linePitch="360"/>
        </w:sectPr>
      </w:pPr>
    </w:p>
    <w:p w:rsidR="0060634A" w:rsidRDefault="00F76D44">
      <w:pPr>
        <w:pStyle w:val="PPOTitle3-nospacebefore"/>
        <w:rPr>
          <w:rFonts w:eastAsiaTheme="minorEastAsia"/>
        </w:rPr>
      </w:pPr>
      <w:r>
        <w:rPr>
          <w:rFonts w:eastAsiaTheme="minorEastAsia"/>
        </w:rPr>
        <w:t>Key performance indicators</w:t>
      </w:r>
    </w:p>
    <w:tbl>
      <w:tblPr>
        <w:tblStyle w:val="TableGrid"/>
        <w:tblW w:w="10665"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11"/>
        <w:gridCol w:w="773"/>
        <w:gridCol w:w="3458"/>
        <w:gridCol w:w="887"/>
        <w:gridCol w:w="2536"/>
      </w:tblGrid>
      <w:tr w:rsidR="0060634A">
        <w:trPr>
          <w:trHeight w:val="333"/>
        </w:trPr>
        <w:tc>
          <w:tcPr>
            <w:tcW w:w="3011" w:type="dxa"/>
            <w:vAlign w:val="center"/>
          </w:tcPr>
          <w:p w:rsidR="0060634A" w:rsidRDefault="0060634A">
            <w:pPr>
              <w:ind w:left="142"/>
              <w:jc w:val="right"/>
              <w:rPr>
                <w:noProof/>
                <w:sz w:val="16"/>
                <w:szCs w:val="16"/>
              </w:rPr>
            </w:pPr>
          </w:p>
        </w:tc>
        <w:tc>
          <w:tcPr>
            <w:tcW w:w="773" w:type="dxa"/>
            <w:vAlign w:val="bottom"/>
          </w:tcPr>
          <w:p w:rsidR="0060634A" w:rsidRDefault="00F76D44">
            <w:pPr>
              <w:jc w:val="center"/>
              <w:rPr>
                <w:b/>
                <w:noProof/>
                <w:color w:val="28296E"/>
                <w:sz w:val="16"/>
                <w:szCs w:val="16"/>
              </w:rPr>
            </w:pPr>
            <w:r>
              <w:rPr>
                <w:b/>
                <w:noProof/>
                <w:color w:val="28296E"/>
                <w:sz w:val="16"/>
                <w:szCs w:val="16"/>
              </w:rPr>
              <w:t>Baseline</w:t>
            </w:r>
          </w:p>
        </w:tc>
        <w:tc>
          <w:tcPr>
            <w:tcW w:w="3458" w:type="dxa"/>
            <w:vAlign w:val="center"/>
          </w:tcPr>
          <w:p w:rsidR="0060634A" w:rsidRDefault="00F76D44">
            <w:pPr>
              <w:ind w:left="142"/>
              <w:jc w:val="center"/>
              <w:rPr>
                <w:b/>
                <w:noProof/>
                <w:color w:val="28296E"/>
                <w:sz w:val="16"/>
                <w:szCs w:val="16"/>
              </w:rPr>
            </w:pPr>
            <w:r>
              <w:rPr>
                <w:b/>
                <w:noProof/>
                <w:color w:val="28296E"/>
                <w:sz w:val="16"/>
                <w:szCs w:val="16"/>
              </w:rPr>
              <w:t>PROGRESS TOWARDS THE TARGET</w:t>
            </w:r>
          </w:p>
        </w:tc>
        <w:tc>
          <w:tcPr>
            <w:tcW w:w="887" w:type="dxa"/>
            <w:vAlign w:val="bottom"/>
          </w:tcPr>
          <w:p w:rsidR="0060634A" w:rsidRDefault="00F76D44">
            <w:pPr>
              <w:jc w:val="center"/>
              <w:rPr>
                <w:b/>
                <w:noProof/>
                <w:color w:val="28296E"/>
                <w:sz w:val="16"/>
                <w:szCs w:val="16"/>
              </w:rPr>
            </w:pPr>
            <w:r>
              <w:rPr>
                <w:b/>
                <w:noProof/>
                <w:color w:val="28296E"/>
                <w:sz w:val="16"/>
                <w:szCs w:val="16"/>
              </w:rPr>
              <w:t>Target</w:t>
            </w:r>
          </w:p>
        </w:tc>
        <w:tc>
          <w:tcPr>
            <w:tcW w:w="2536" w:type="dxa"/>
            <w:vAlign w:val="bottom"/>
          </w:tcPr>
          <w:p w:rsidR="0060634A" w:rsidRDefault="00F76D44">
            <w:pPr>
              <w:jc w:val="center"/>
              <w:rPr>
                <w:b/>
                <w:noProof/>
                <w:color w:val="28296E"/>
                <w:sz w:val="16"/>
                <w:szCs w:val="16"/>
              </w:rPr>
            </w:pPr>
            <w:r>
              <w:rPr>
                <w:b/>
                <w:noProof/>
                <w:color w:val="28296E"/>
                <w:sz w:val="16"/>
                <w:szCs w:val="16"/>
              </w:rPr>
              <w:t>Results</w:t>
            </w:r>
          </w:p>
        </w:tc>
      </w:tr>
      <w:tr w:rsidR="0060634A">
        <w:tblPrEx>
          <w:tblCellMar>
            <w:left w:w="108" w:type="dxa"/>
            <w:right w:w="108" w:type="dxa"/>
          </w:tblCellMar>
        </w:tblPrEx>
        <w:trPr>
          <w:trHeight w:val="369"/>
        </w:trPr>
        <w:tc>
          <w:tcPr>
            <w:tcW w:w="3011"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rPr>
              <w:t>Counterfeit</w:t>
            </w:r>
            <w:r>
              <w:rPr>
                <w:rFonts w:ascii="EC Square Sans Cond Pro" w:hAnsi="EC Square Sans Cond Pro" w:cs="EC Square Sans Cond Pro"/>
                <w:noProof/>
                <w:color w:val="000000"/>
                <w:sz w:val="16"/>
                <w:szCs w:val="16"/>
                <w:lang w:val="en-GB"/>
              </w:rPr>
              <w:t xml:space="preserve"> euro banknotes detected in circulation</w:t>
            </w:r>
            <w:r>
              <w:rPr>
                <w:rFonts w:ascii="EC Square Sans Cond Pro" w:hAnsi="EC Square Sans Cond Pro"/>
                <w:noProof/>
                <w:sz w:val="16"/>
                <w:lang w:val="en-GB"/>
              </w:rPr>
              <w:t xml:space="preserve"> (</w:t>
            </w:r>
            <w:r>
              <w:rPr>
                <w:rFonts w:ascii="EC Square Sans Cond Pro" w:hAnsi="EC Square Sans Cond Pro"/>
                <w:noProof/>
                <w:sz w:val="16"/>
                <w:vertAlign w:val="superscript"/>
                <w:lang w:val="en-GB"/>
              </w:rPr>
              <w:t>1</w:t>
            </w:r>
            <w:r>
              <w:rPr>
                <w:rFonts w:ascii="EC Square Sans Cond Pro" w:hAnsi="EC Square Sans Cond Pro"/>
                <w:noProof/>
                <w:sz w:val="16"/>
                <w:lang w:val="en-GB"/>
              </w:rPr>
              <w:t>)</w:t>
            </w:r>
          </w:p>
        </w:tc>
        <w:tc>
          <w:tcPr>
            <w:tcW w:w="773" w:type="dxa"/>
            <w:vAlign w:val="center"/>
          </w:tcPr>
          <w:p w:rsidR="0060634A" w:rsidRDefault="0060634A">
            <w:pPr>
              <w:jc w:val="center"/>
              <w:rPr>
                <w:rFonts w:ascii="EC Square Sans Cond Pro" w:hAnsi="EC Square Sans Cond Pro"/>
                <w:noProof/>
                <w:sz w:val="16"/>
                <w:szCs w:val="16"/>
                <w:lang w:val="en-GB" w:eastAsia="en-GB"/>
              </w:rPr>
            </w:pPr>
          </w:p>
        </w:tc>
        <w:tc>
          <w:tcPr>
            <w:tcW w:w="3458"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580" name="Chart 5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8"/>
                    </a:graphicData>
                  </a:graphic>
                </wp:inline>
              </w:drawing>
            </w:r>
          </w:p>
        </w:tc>
        <w:tc>
          <w:tcPr>
            <w:tcW w:w="887"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0.6  m</w:t>
            </w:r>
          </w:p>
        </w:tc>
        <w:tc>
          <w:tcPr>
            <w:tcW w:w="2536" w:type="dxa"/>
            <w:vAlign w:val="center"/>
          </w:tcPr>
          <w:p w:rsidR="0060634A" w:rsidRDefault="00F76D44">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0.7 million compared to a target of 0.6 million</w:t>
            </w:r>
          </w:p>
        </w:tc>
      </w:tr>
      <w:tr w:rsidR="0060634A">
        <w:tblPrEx>
          <w:tblCellMar>
            <w:left w:w="108" w:type="dxa"/>
            <w:right w:w="108" w:type="dxa"/>
          </w:tblCellMar>
        </w:tblPrEx>
        <w:trPr>
          <w:trHeight w:val="369"/>
        </w:trPr>
        <w:tc>
          <w:tcPr>
            <w:tcW w:w="3011"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Counterfeit euro coins detected in circulation</w:t>
            </w:r>
            <w:r>
              <w:rPr>
                <w:rFonts w:ascii="EC Square Sans Cond Pro" w:hAnsi="EC Square Sans Cond Pro"/>
                <w:noProof/>
                <w:sz w:val="16"/>
                <w:vertAlign w:val="superscript"/>
                <w:lang w:val="en-GB"/>
              </w:rPr>
              <w:t xml:space="preserve"> </w:t>
            </w:r>
            <w:r>
              <w:rPr>
                <w:rFonts w:ascii="EC Square Sans Cond Pro" w:hAnsi="EC Square Sans Cond Pro"/>
                <w:noProof/>
                <w:sz w:val="16"/>
                <w:lang w:val="en-GB"/>
              </w:rPr>
              <w:t>(</w:t>
            </w:r>
            <w:r>
              <w:rPr>
                <w:rFonts w:ascii="EC Square Sans Cond Pro" w:hAnsi="EC Square Sans Cond Pro"/>
                <w:noProof/>
                <w:sz w:val="16"/>
                <w:vertAlign w:val="superscript"/>
                <w:lang w:val="en-GB"/>
              </w:rPr>
              <w:t>1</w:t>
            </w:r>
            <w:r>
              <w:rPr>
                <w:rFonts w:ascii="EC Square Sans Cond Pro" w:hAnsi="EC Square Sans Cond Pro"/>
                <w:noProof/>
                <w:sz w:val="16"/>
                <w:lang w:val="en-GB"/>
              </w:rPr>
              <w:t>)</w:t>
            </w:r>
          </w:p>
        </w:tc>
        <w:tc>
          <w:tcPr>
            <w:tcW w:w="773" w:type="dxa"/>
            <w:vAlign w:val="center"/>
          </w:tcPr>
          <w:p w:rsidR="0060634A" w:rsidRDefault="0060634A">
            <w:pPr>
              <w:jc w:val="center"/>
              <w:rPr>
                <w:rFonts w:ascii="EC Square Sans Cond Pro" w:hAnsi="EC Square Sans Cond Pro"/>
                <w:noProof/>
                <w:sz w:val="16"/>
                <w:szCs w:val="16"/>
                <w:lang w:val="en-GB" w:eastAsia="en-GB"/>
              </w:rPr>
            </w:pPr>
          </w:p>
        </w:tc>
        <w:tc>
          <w:tcPr>
            <w:tcW w:w="3458"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581" name="Chart 5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9"/>
                    </a:graphicData>
                  </a:graphic>
                </wp:inline>
              </w:drawing>
            </w:r>
          </w:p>
        </w:tc>
        <w:tc>
          <w:tcPr>
            <w:tcW w:w="887"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0.2  m</w:t>
            </w:r>
          </w:p>
        </w:tc>
        <w:tc>
          <w:tcPr>
            <w:tcW w:w="2536" w:type="dxa"/>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0.2 million out of 0.2 million</w:t>
            </w:r>
          </w:p>
        </w:tc>
      </w:tr>
      <w:tr w:rsidR="0060634A">
        <w:tblPrEx>
          <w:tblCellMar>
            <w:left w:w="108" w:type="dxa"/>
            <w:right w:w="108" w:type="dxa"/>
          </w:tblCellMar>
        </w:tblPrEx>
        <w:trPr>
          <w:trHeight w:val="369"/>
        </w:trPr>
        <w:tc>
          <w:tcPr>
            <w:tcW w:w="3011" w:type="dxa"/>
            <w:vAlign w:val="center"/>
          </w:tcPr>
          <w:p w:rsidR="0060634A" w:rsidRDefault="00F76D44">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Illegal workshops dismantled</w:t>
            </w:r>
            <w:r>
              <w:rPr>
                <w:rFonts w:ascii="EC Square Sans Cond Pro" w:hAnsi="EC Square Sans Cond Pro"/>
                <w:noProof/>
                <w:sz w:val="16"/>
                <w:vertAlign w:val="superscript"/>
              </w:rPr>
              <w:t xml:space="preserve"> </w:t>
            </w:r>
            <w:r>
              <w:rPr>
                <w:rFonts w:ascii="EC Square Sans Cond Pro" w:hAnsi="EC Square Sans Cond Pro"/>
                <w:noProof/>
                <w:sz w:val="16"/>
              </w:rPr>
              <w:t>(</w:t>
            </w:r>
            <w:r>
              <w:rPr>
                <w:rFonts w:ascii="EC Square Sans Cond Pro" w:hAnsi="EC Square Sans Cond Pro"/>
                <w:noProof/>
                <w:sz w:val="16"/>
                <w:vertAlign w:val="superscript"/>
              </w:rPr>
              <w:t>1, 2</w:t>
            </w:r>
            <w:r>
              <w:rPr>
                <w:rFonts w:ascii="EC Square Sans Cond Pro" w:hAnsi="EC Square Sans Cond Pro"/>
                <w:noProof/>
                <w:sz w:val="16"/>
              </w:rPr>
              <w:t>)</w:t>
            </w:r>
          </w:p>
        </w:tc>
        <w:tc>
          <w:tcPr>
            <w:tcW w:w="773" w:type="dxa"/>
            <w:vAlign w:val="center"/>
          </w:tcPr>
          <w:p w:rsidR="0060634A" w:rsidRDefault="0060634A">
            <w:pPr>
              <w:jc w:val="center"/>
              <w:rPr>
                <w:rFonts w:ascii="EC Square Sans Cond Pro" w:hAnsi="EC Square Sans Cond Pro"/>
                <w:noProof/>
                <w:sz w:val="16"/>
                <w:szCs w:val="16"/>
              </w:rPr>
            </w:pPr>
          </w:p>
        </w:tc>
        <w:tc>
          <w:tcPr>
            <w:tcW w:w="3458"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582" name="Chart 5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0"/>
                    </a:graphicData>
                  </a:graphic>
                </wp:inline>
              </w:drawing>
            </w:r>
          </w:p>
        </w:tc>
        <w:tc>
          <w:tcPr>
            <w:tcW w:w="887"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47</w:t>
            </w:r>
          </w:p>
        </w:tc>
        <w:tc>
          <w:tcPr>
            <w:tcW w:w="2536" w:type="dxa"/>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29 out of 47</w:t>
            </w:r>
          </w:p>
        </w:tc>
      </w:tr>
      <w:tr w:rsidR="0060634A">
        <w:tblPrEx>
          <w:tblCellMar>
            <w:left w:w="108" w:type="dxa"/>
            <w:right w:w="108" w:type="dxa"/>
          </w:tblCellMar>
        </w:tblPrEx>
        <w:trPr>
          <w:trHeight w:val="369"/>
        </w:trPr>
        <w:tc>
          <w:tcPr>
            <w:tcW w:w="3011" w:type="dxa"/>
            <w:vAlign w:val="center"/>
          </w:tcPr>
          <w:p w:rsidR="0060634A" w:rsidRDefault="00F76D44">
            <w:pPr>
              <w:ind w:left="142"/>
              <w:jc w:val="right"/>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Individuals arrested</w:t>
            </w:r>
            <w:r>
              <w:rPr>
                <w:rFonts w:ascii="EC Square Sans Cond Pro" w:hAnsi="EC Square Sans Cond Pro"/>
                <w:noProof/>
                <w:sz w:val="16"/>
                <w:vertAlign w:val="superscript"/>
              </w:rPr>
              <w:t xml:space="preserve"> </w:t>
            </w:r>
            <w:r>
              <w:rPr>
                <w:rFonts w:ascii="EC Square Sans Cond Pro" w:hAnsi="EC Square Sans Cond Pro"/>
                <w:noProof/>
                <w:sz w:val="16"/>
              </w:rPr>
              <w:t>(</w:t>
            </w:r>
            <w:r>
              <w:rPr>
                <w:rFonts w:ascii="EC Square Sans Cond Pro" w:hAnsi="EC Square Sans Cond Pro"/>
                <w:noProof/>
                <w:sz w:val="16"/>
                <w:vertAlign w:val="superscript"/>
              </w:rPr>
              <w:t>1, 2</w:t>
            </w:r>
            <w:r>
              <w:rPr>
                <w:rFonts w:ascii="EC Square Sans Cond Pro" w:hAnsi="EC Square Sans Cond Pro"/>
                <w:noProof/>
                <w:sz w:val="16"/>
              </w:rPr>
              <w:t>)</w:t>
            </w:r>
          </w:p>
        </w:tc>
        <w:tc>
          <w:tcPr>
            <w:tcW w:w="773" w:type="dxa"/>
            <w:vAlign w:val="center"/>
          </w:tcPr>
          <w:p w:rsidR="0060634A" w:rsidRDefault="0060634A">
            <w:pPr>
              <w:jc w:val="center"/>
              <w:rPr>
                <w:rFonts w:ascii="EC Square Sans Cond Pro" w:hAnsi="EC Square Sans Cond Pro"/>
                <w:noProof/>
                <w:sz w:val="16"/>
                <w:szCs w:val="16"/>
                <w:lang w:eastAsia="en-GB"/>
              </w:rPr>
            </w:pPr>
          </w:p>
        </w:tc>
        <w:tc>
          <w:tcPr>
            <w:tcW w:w="3458"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583" name="Chart 5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1"/>
                    </a:graphicData>
                  </a:graphic>
                </wp:inline>
              </w:drawing>
            </w:r>
          </w:p>
        </w:tc>
        <w:tc>
          <w:tcPr>
            <w:tcW w:w="887"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7 061</w:t>
            </w:r>
          </w:p>
        </w:tc>
        <w:tc>
          <w:tcPr>
            <w:tcW w:w="2536" w:type="dxa"/>
            <w:vAlign w:val="center"/>
          </w:tcPr>
          <w:p w:rsidR="0060634A" w:rsidRDefault="00F76D44">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7 795 compared to a target of 7 061</w:t>
            </w:r>
          </w:p>
        </w:tc>
      </w:tr>
      <w:tr w:rsidR="0060634A">
        <w:trPr>
          <w:trHeight w:val="247"/>
        </w:trPr>
        <w:tc>
          <w:tcPr>
            <w:tcW w:w="3011" w:type="dxa"/>
            <w:tcBorders>
              <w:bottom w:val="nil"/>
            </w:tcBorders>
            <w:vAlign w:val="center"/>
          </w:tcPr>
          <w:p w:rsidR="0060634A" w:rsidRDefault="00F76D44">
            <w:pPr>
              <w:ind w:left="142"/>
              <w:jc w:val="right"/>
              <w:rPr>
                <w:noProof/>
                <w:sz w:val="16"/>
                <w:szCs w:val="16"/>
                <w:lang w:val="en-GB"/>
              </w:rPr>
            </w:pPr>
            <w:r>
              <w:rPr>
                <w:noProof/>
                <w:sz w:val="16"/>
                <w:szCs w:val="16"/>
                <w:lang w:val="en-GB"/>
              </w:rPr>
              <w:t xml:space="preserve">    </w:t>
            </w:r>
          </w:p>
        </w:tc>
        <w:tc>
          <w:tcPr>
            <w:tcW w:w="773" w:type="dxa"/>
            <w:tcBorders>
              <w:bottom w:val="nil"/>
            </w:tcBorders>
          </w:tcPr>
          <w:p w:rsidR="0060634A" w:rsidRDefault="0060634A">
            <w:pPr>
              <w:ind w:left="142"/>
              <w:rPr>
                <w:noProof/>
                <w:sz w:val="16"/>
                <w:szCs w:val="16"/>
                <w:lang w:val="en-GB" w:eastAsia="en-GB"/>
              </w:rPr>
            </w:pPr>
          </w:p>
        </w:tc>
        <w:tc>
          <w:tcPr>
            <w:tcW w:w="3458" w:type="dxa"/>
            <w:tcBorders>
              <w:bottom w:val="nil"/>
            </w:tcBorders>
            <w:vAlign w:val="center"/>
          </w:tcPr>
          <w:p w:rsidR="0060634A" w:rsidRDefault="00F76D44">
            <w:pPr>
              <w:spacing w:before="120"/>
              <w:rPr>
                <w:noProof/>
                <w:sz w:val="16"/>
                <w:szCs w:val="16"/>
                <w:lang w:val="en-GB"/>
              </w:rPr>
            </w:pPr>
            <w:r>
              <w:rPr>
                <w:noProof/>
                <w:sz w:val="16"/>
                <w:szCs w:val="16"/>
                <w:lang w:eastAsia="fr-BE"/>
              </w:rPr>
              <mc:AlternateContent>
                <mc:Choice Requires="wps">
                  <w:drawing>
                    <wp:anchor distT="0" distB="0" distL="114300" distR="114300" simplePos="0" relativeHeight="251717632"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573" name="Rectangle 573"/>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84A44" id="Rectangle 573" o:spid="_x0000_s1026" style="position:absolute;margin-left:-9.45pt;margin-top:6.1pt;width:6.35pt;height:7.8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" fillcolor="#28296e" stroked="f" strokeweight="1pt">
                      <w10:wrap type="through"/>
                    </v:rect>
                  </w:pict>
                </mc:Fallback>
              </mc:AlternateContent>
            </w:r>
            <w:r>
              <w:rPr>
                <w:noProof/>
                <w:sz w:val="16"/>
                <w:szCs w:val="16"/>
                <w:lang w:val="en-GB"/>
              </w:rPr>
              <w:t>% of target achieved by the end of 2019</w:t>
            </w:r>
          </w:p>
        </w:tc>
        <w:tc>
          <w:tcPr>
            <w:tcW w:w="887" w:type="dxa"/>
            <w:tcBorders>
              <w:bottom w:val="nil"/>
            </w:tcBorders>
          </w:tcPr>
          <w:p w:rsidR="0060634A" w:rsidRDefault="0060634A">
            <w:pPr>
              <w:ind w:left="142"/>
              <w:rPr>
                <w:noProof/>
                <w:sz w:val="16"/>
                <w:szCs w:val="16"/>
                <w:lang w:val="en-GB" w:eastAsia="en-GB"/>
              </w:rPr>
            </w:pPr>
          </w:p>
        </w:tc>
        <w:tc>
          <w:tcPr>
            <w:tcW w:w="2536" w:type="dxa"/>
            <w:tcBorders>
              <w:bottom w:val="nil"/>
            </w:tcBorders>
            <w:vAlign w:val="center"/>
          </w:tcPr>
          <w:p w:rsidR="0060634A" w:rsidRDefault="0060634A">
            <w:pPr>
              <w:ind w:left="142"/>
              <w:rPr>
                <w:noProof/>
                <w:sz w:val="16"/>
                <w:szCs w:val="16"/>
                <w:lang w:val="en-GB"/>
              </w:rPr>
            </w:pPr>
          </w:p>
        </w:tc>
      </w:tr>
      <w:tr w:rsidR="0060634A">
        <w:trPr>
          <w:trHeight w:val="247"/>
        </w:trPr>
        <w:tc>
          <w:tcPr>
            <w:tcW w:w="10665" w:type="dxa"/>
            <w:gridSpan w:val="5"/>
            <w:tcBorders>
              <w:top w:val="nil"/>
              <w:bottom w:val="nil"/>
            </w:tcBorders>
            <w:vAlign w:val="center"/>
          </w:tcPr>
          <w:p w:rsidR="0060634A" w:rsidRDefault="00F76D44">
            <w:pPr>
              <w:ind w:left="142"/>
              <w:rPr>
                <w:noProof/>
                <w:sz w:val="14"/>
                <w:szCs w:val="16"/>
                <w:lang w:val="en-GB"/>
              </w:rPr>
            </w:pPr>
            <w:r>
              <w:rPr>
                <w:rFonts w:ascii="EC Square Sans Cond Pro" w:hAnsi="EC Square Sans Cond Pro"/>
                <w:noProof/>
                <w:sz w:val="16"/>
                <w:lang w:val="en-GB"/>
              </w:rPr>
              <w:t>(</w:t>
            </w:r>
            <w:r>
              <w:rPr>
                <w:rFonts w:ascii="EC Square Sans Cond Pro" w:hAnsi="EC Square Sans Cond Pro"/>
                <w:noProof/>
                <w:sz w:val="16"/>
                <w:vertAlign w:val="superscript"/>
                <w:lang w:val="en-GB"/>
              </w:rPr>
              <w:t>1,</w:t>
            </w:r>
            <w:r>
              <w:rPr>
                <w:rFonts w:ascii="EC Square Sans Cond Pro" w:hAnsi="EC Square Sans Cond Pro"/>
                <w:noProof/>
                <w:sz w:val="16"/>
                <w:lang w:val="en-GB"/>
              </w:rPr>
              <w:t xml:space="preserve">) </w:t>
            </w:r>
            <w:r>
              <w:rPr>
                <w:noProof/>
                <w:sz w:val="14"/>
                <w:szCs w:val="16"/>
                <w:lang w:val="en-GB"/>
              </w:rPr>
              <w:t>Average of results for 2014-2019.</w:t>
            </w:r>
          </w:p>
          <w:p w:rsidR="0060634A" w:rsidRDefault="00F76D44">
            <w:pPr>
              <w:ind w:left="142"/>
              <w:rPr>
                <w:noProof/>
                <w:sz w:val="14"/>
                <w:szCs w:val="16"/>
                <w:lang w:val="en-GB"/>
              </w:rPr>
            </w:pPr>
            <w:r>
              <w:rPr>
                <w:rFonts w:ascii="EC Square Sans Cond Pro" w:hAnsi="EC Square Sans Cond Pro"/>
                <w:noProof/>
                <w:sz w:val="16"/>
                <w:lang w:val="en-GB"/>
              </w:rPr>
              <w:t>(</w:t>
            </w:r>
            <w:r>
              <w:rPr>
                <w:rFonts w:ascii="EC Square Sans Cond Pro" w:hAnsi="EC Square Sans Cond Pro"/>
                <w:noProof/>
                <w:sz w:val="16"/>
                <w:vertAlign w:val="superscript"/>
                <w:lang w:val="en-GB"/>
              </w:rPr>
              <w:t>2</w:t>
            </w:r>
            <w:r>
              <w:rPr>
                <w:rFonts w:ascii="EC Square Sans Cond Pro" w:hAnsi="EC Square Sans Cond Pro"/>
                <w:noProof/>
                <w:sz w:val="16"/>
                <w:lang w:val="en-GB"/>
              </w:rPr>
              <w:t xml:space="preserve">) </w:t>
            </w:r>
            <w:r>
              <w:rPr>
                <w:noProof/>
                <w:sz w:val="14"/>
                <w:szCs w:val="16"/>
                <w:lang w:val="en-GB"/>
              </w:rPr>
              <w:t>Latest results from 2018.</w:t>
            </w:r>
          </w:p>
        </w:tc>
      </w:tr>
    </w:tbl>
    <w:p w:rsidR="0060634A" w:rsidRDefault="00F76D44">
      <w:pPr>
        <w:pStyle w:val="PPOTitle3"/>
        <w:spacing w:before="240"/>
      </w:pPr>
      <w:r>
        <w:t>Where are we in the implementation?</w:t>
      </w:r>
    </w:p>
    <w:p w:rsidR="0060634A" w:rsidRDefault="00F76D44">
      <w:pPr>
        <w:pStyle w:val="PPOBlackBULLETS-L1"/>
        <w:rPr>
          <w:noProof/>
        </w:rPr>
      </w:pPr>
      <w:r>
        <w:rPr>
          <w:noProof/>
        </w:rPr>
        <w:t xml:space="preserve">The commitments reached </w:t>
      </w:r>
      <w:r>
        <w:rPr>
          <w:noProof/>
        </w:rPr>
        <w:t>99.3% of the overall budget for 2019, funding 13 actions in total. Altogether, 10 grants were successfully awarded from applications originating from the competent authorities of the Member States. Furthermore, three Commission actions were funded.</w:t>
      </w:r>
    </w:p>
    <w:p w:rsidR="0060634A" w:rsidRDefault="00F76D44">
      <w:pPr>
        <w:pStyle w:val="PPOBlackBULLETS-L1"/>
        <w:rPr>
          <w:noProof/>
        </w:rPr>
      </w:pPr>
      <w:r>
        <w:rPr>
          <w:noProof/>
        </w:rPr>
        <w:t>The ten</w:t>
      </w:r>
      <w:r>
        <w:rPr>
          <w:noProof/>
        </w:rPr>
        <w:t xml:space="preserve"> grants consisted of eight seminars/workshops and two staff exchanges with the objective of increasing knowledge and cooperation and sharing best practices on different aspects related to counterfeiting. </w:t>
      </w:r>
    </w:p>
    <w:p w:rsidR="0060634A" w:rsidRDefault="00F76D44">
      <w:pPr>
        <w:pStyle w:val="PPOBlackBULLETS-L1"/>
        <w:rPr>
          <w:noProof/>
        </w:rPr>
      </w:pPr>
      <w:r>
        <w:rPr>
          <w:noProof/>
        </w:rPr>
        <w:t>The three Commission actions involved a meeting wit</w:t>
      </w:r>
      <w:r>
        <w:rPr>
          <w:noProof/>
        </w:rPr>
        <w:t>h euro-coin experts on the implementation of Regulation (EU) No</w:t>
      </w:r>
      <w:r>
        <w:rPr>
          <w:rFonts w:ascii="Calibri" w:hAnsi="Calibri" w:cs="Calibri"/>
          <w:noProof/>
        </w:rPr>
        <w:t> </w:t>
      </w:r>
      <w:r>
        <w:rPr>
          <w:noProof/>
        </w:rPr>
        <w:t xml:space="preserve">1210/2010 concerning authentication of euro coins and handling of euro coins unfit for circulation, hands-on training on the classification of counterfeit euro coins and technical training on </w:t>
      </w:r>
      <w:r>
        <w:rPr>
          <w:noProof/>
        </w:rPr>
        <w:t>the protection of euro coins.</w:t>
      </w:r>
    </w:p>
    <w:p w:rsidR="0060634A" w:rsidRDefault="00F76D44">
      <w:pPr>
        <w:pStyle w:val="PPOBlackBULLETS-L1"/>
        <w:rPr>
          <w:noProof/>
        </w:rPr>
      </w:pPr>
      <w:r>
        <w:rPr>
          <w:noProof/>
        </w:rPr>
        <w:t>In 2019 the programme funded actions inside and outside the EU depending on the specific needs to protect the euro against counterfeiting. There was a specific focus on Latin America (the seminar organised by Spain in Chile an</w:t>
      </w:r>
      <w:r>
        <w:rPr>
          <w:noProof/>
        </w:rPr>
        <w:t>d by Portugal involving Brazilian representatives), south-eastern Europe (actions organised by Bulgaria, Croatia, Italy and the Commission), newly covered geographical regions such as Africa and the Black Sea region, and China (a dedicated seminar organise</w:t>
      </w:r>
      <w:r>
        <w:rPr>
          <w:noProof/>
        </w:rPr>
        <w:t>d by the Italian competent authority in Rome).</w:t>
      </w:r>
    </w:p>
    <w:p w:rsidR="0060634A" w:rsidRDefault="00F76D44">
      <w:pPr>
        <w:pStyle w:val="PPOTitle3"/>
        <w:spacing w:before="240"/>
        <w:rPr>
          <w:rFonts w:eastAsiaTheme="minorEastAsia"/>
        </w:rPr>
      </w:pPr>
      <w:r>
        <w:rPr>
          <w:rFonts w:eastAsiaTheme="minorEastAsia"/>
        </w:rPr>
        <w:t>Performance assessment</w:t>
      </w:r>
    </w:p>
    <w:p w:rsidR="0060634A" w:rsidRDefault="00F76D44">
      <w:pPr>
        <w:pStyle w:val="PPOBlackBULLETS-L1"/>
        <w:rPr>
          <w:noProof/>
        </w:rPr>
      </w:pPr>
      <w:r>
        <w:rPr>
          <w:noProof/>
        </w:rPr>
        <w:t xml:space="preserve">Pericles 2020 is achieving its objective of protecting euro banknotes and coins against counterfeiting and fraud by supporting the Member States and assisting the competent national and </w:t>
      </w:r>
      <w:r>
        <w:rPr>
          <w:noProof/>
        </w:rPr>
        <w:t>EU authorities. The programme has made a substantial contribution to the further improvement of coordination and cooperation at the international, EU and Member State levels, and has created more solid structures for the protection of the euro.</w:t>
      </w:r>
    </w:p>
    <w:p w:rsidR="0060634A" w:rsidRDefault="00F76D44">
      <w:pPr>
        <w:pStyle w:val="PPOBlackBULLETS-L1"/>
        <w:rPr>
          <w:noProof/>
        </w:rPr>
      </w:pPr>
      <w:r>
        <w:rPr>
          <w:noProof/>
        </w:rPr>
        <w:t>The program</w:t>
      </w:r>
      <w:r>
        <w:rPr>
          <w:noProof/>
        </w:rPr>
        <w:t>me also contributed to the adoption of legislation aimed at improving euro protection and the establishment of national central offices.</w:t>
      </w:r>
    </w:p>
    <w:p w:rsidR="0060634A" w:rsidRDefault="00F76D44">
      <w:pPr>
        <w:pStyle w:val="PPOBlackBULLETS-L1"/>
        <w:rPr>
          <w:noProof/>
        </w:rPr>
      </w:pPr>
      <w:r>
        <w:rPr>
          <w:noProof/>
        </w:rPr>
        <w:t>The midterm evaluation of the programme concluded that, in terms of effectiveness, Pericles 2020 actions were typically</w:t>
      </w:r>
      <w:r>
        <w:rPr>
          <w:noProof/>
        </w:rPr>
        <w:t xml:space="preserve"> implemented as planned and achieved the intended outputs.</w:t>
      </w:r>
    </w:p>
    <w:p w:rsidR="0060634A" w:rsidRDefault="00F76D44">
      <w:pPr>
        <w:pStyle w:val="PPOBlackBULLETS-L1"/>
        <w:rPr>
          <w:noProof/>
        </w:rPr>
      </w:pPr>
      <w:r>
        <w:rPr>
          <w:noProof/>
        </w:rPr>
        <w:t>Participant feedback provided immediately after events showed that 97% expressed a positive or highly positive view. More importantly, survey results show that a large proportion of participants cl</w:t>
      </w:r>
      <w:r>
        <w:rPr>
          <w:noProof/>
        </w:rPr>
        <w:t>aimed to have learned about best practices, acquired useful skills and established contacts with colleagues in other countries. The quality of actions was also judged positively by the authorities involved.</w:t>
      </w:r>
    </w:p>
    <w:p w:rsidR="0060634A" w:rsidRDefault="00F76D44">
      <w:pPr>
        <w:pStyle w:val="PPOBlackBULLETS-L1"/>
        <w:rPr>
          <w:noProof/>
        </w:rPr>
      </w:pPr>
      <w:r>
        <w:rPr>
          <w:noProof/>
        </w:rPr>
        <w:t>One of the recommendations from the midterm evalu</w:t>
      </w:r>
      <w:r>
        <w:rPr>
          <w:noProof/>
        </w:rPr>
        <w:t>ation was to encourage more competent national authorities to apply for the programme. This could be achieved by a more intense marketing strategy and by establishing contacts with high-level decision-makers to ensure the opportunities provided by the prog</w:t>
      </w:r>
      <w:r>
        <w:rPr>
          <w:noProof/>
        </w:rPr>
        <w:t>ramme are well understood.</w:t>
      </w:r>
    </w:p>
    <w:p w:rsidR="0060634A" w:rsidRDefault="00F76D44">
      <w:pPr>
        <w:pStyle w:val="PPOBlackBULLETS-L1"/>
        <w:rPr>
          <w:noProof/>
        </w:rPr>
      </w:pPr>
      <w:r>
        <w:rPr>
          <w:noProof/>
        </w:rPr>
        <w:t>Despite the fact that the counterfeiting phenomenon seems currently to be under control, it continues to be a major threat to the euro. The rise of 'sophisticated' counterfeits, the increasing availability of technology and the c</w:t>
      </w:r>
      <w:r>
        <w:rPr>
          <w:noProof/>
        </w:rPr>
        <w:t>ontinued interest of organised crime groups in euro counterfeiting require continuous attention.</w:t>
      </w:r>
    </w:p>
    <w:p w:rsidR="0060634A" w:rsidRDefault="00F76D44">
      <w:pPr>
        <w:pStyle w:val="PPOTitle3"/>
        <w:spacing w:before="240"/>
        <w:rPr>
          <w:rFonts w:eastAsiaTheme="minorEastAsia"/>
        </w:rPr>
      </w:pPr>
      <w:r>
        <w:rPr>
          <w:rFonts w:eastAsiaTheme="minorEastAsia"/>
        </w:rPr>
        <w:t>Concrete examples of achievements</w:t>
      </w:r>
    </w:p>
    <w:tbl>
      <w:tblPr>
        <w:tblStyle w:val="TableGrid"/>
        <w:tblW w:w="10773" w:type="dxa"/>
        <w:tblInd w:w="11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1985"/>
        <w:gridCol w:w="2126"/>
        <w:gridCol w:w="1559"/>
        <w:gridCol w:w="1701"/>
        <w:gridCol w:w="1843"/>
        <w:gridCol w:w="1559"/>
      </w:tblGrid>
      <w:tr w:rsidR="0060634A">
        <w:trPr>
          <w:trHeight w:val="128"/>
        </w:trPr>
        <w:tc>
          <w:tcPr>
            <w:tcW w:w="1985" w:type="dxa"/>
            <w:shd w:val="clear" w:color="auto" w:fill="00ADDC"/>
          </w:tcPr>
          <w:p w:rsidR="0060634A" w:rsidRDefault="00F76D44">
            <w:pPr>
              <w:pStyle w:val="PPOExamplesTABLEHeader"/>
              <w:rPr>
                <w:rFonts w:eastAsiaTheme="minorEastAsia"/>
              </w:rPr>
            </w:pPr>
            <w:r>
              <w:rPr>
                <w:rFonts w:eastAsiaTheme="minorEastAsia"/>
              </w:rPr>
              <w:t>559 000</w:t>
            </w:r>
          </w:p>
        </w:tc>
        <w:tc>
          <w:tcPr>
            <w:tcW w:w="2126" w:type="dxa"/>
            <w:shd w:val="clear" w:color="auto" w:fill="00ADDC"/>
          </w:tcPr>
          <w:p w:rsidR="0060634A" w:rsidRDefault="00F76D44">
            <w:pPr>
              <w:pStyle w:val="PPOExamplesTABLEHeader"/>
              <w:rPr>
                <w:rFonts w:eastAsiaTheme="minorEastAsia"/>
              </w:rPr>
            </w:pPr>
            <w:r>
              <w:rPr>
                <w:rFonts w:eastAsiaTheme="minorEastAsia"/>
              </w:rPr>
              <w:t>187 602</w:t>
            </w:r>
          </w:p>
        </w:tc>
        <w:tc>
          <w:tcPr>
            <w:tcW w:w="1559" w:type="dxa"/>
            <w:shd w:val="clear" w:color="auto" w:fill="00ADDC"/>
          </w:tcPr>
          <w:p w:rsidR="0060634A" w:rsidRDefault="00F76D44">
            <w:pPr>
              <w:pStyle w:val="PPOExamplesTABLEHeader"/>
              <w:rPr>
                <w:rFonts w:eastAsiaTheme="minorEastAsia"/>
              </w:rPr>
            </w:pPr>
            <w:r>
              <w:rPr>
                <w:rFonts w:eastAsiaTheme="minorEastAsia"/>
              </w:rPr>
              <w:t>23</w:t>
            </w:r>
          </w:p>
        </w:tc>
        <w:tc>
          <w:tcPr>
            <w:tcW w:w="1701" w:type="dxa"/>
            <w:shd w:val="clear" w:color="auto" w:fill="00ADDC"/>
          </w:tcPr>
          <w:p w:rsidR="0060634A" w:rsidRDefault="00F76D44">
            <w:pPr>
              <w:pStyle w:val="PPOExamplesTABLEHeader"/>
              <w:rPr>
                <w:rFonts w:eastAsiaTheme="minorEastAsia"/>
              </w:rPr>
            </w:pPr>
            <w:r>
              <w:rPr>
                <w:rFonts w:eastAsiaTheme="minorEastAsia"/>
              </w:rPr>
              <w:t>5 932</w:t>
            </w:r>
          </w:p>
        </w:tc>
        <w:tc>
          <w:tcPr>
            <w:tcW w:w="1843" w:type="dxa"/>
            <w:shd w:val="clear" w:color="auto" w:fill="00ADDC"/>
          </w:tcPr>
          <w:p w:rsidR="0060634A" w:rsidRDefault="00F76D44">
            <w:pPr>
              <w:pStyle w:val="PPOExamplesTABLEHeader"/>
              <w:rPr>
                <w:rFonts w:eastAsiaTheme="minorEastAsia"/>
              </w:rPr>
            </w:pPr>
            <w:r>
              <w:rPr>
                <w:rFonts w:eastAsiaTheme="minorEastAsia"/>
              </w:rPr>
              <w:t>13</w:t>
            </w:r>
          </w:p>
        </w:tc>
        <w:tc>
          <w:tcPr>
            <w:tcW w:w="1559" w:type="dxa"/>
            <w:shd w:val="clear" w:color="auto" w:fill="00ADDC"/>
          </w:tcPr>
          <w:p w:rsidR="0060634A" w:rsidRDefault="00F76D44">
            <w:pPr>
              <w:pStyle w:val="PPOExamplesTABLEHeader"/>
              <w:rPr>
                <w:rFonts w:eastAsiaTheme="minorEastAsia"/>
              </w:rPr>
            </w:pPr>
            <w:r>
              <w:rPr>
                <w:rFonts w:eastAsiaTheme="minorEastAsia"/>
              </w:rPr>
              <w:t>565</w:t>
            </w:r>
          </w:p>
        </w:tc>
      </w:tr>
      <w:tr w:rsidR="0060634A">
        <w:trPr>
          <w:trHeight w:val="945"/>
        </w:trPr>
        <w:tc>
          <w:tcPr>
            <w:tcW w:w="1985" w:type="dxa"/>
            <w:shd w:val="clear" w:color="auto" w:fill="DCE6F2"/>
          </w:tcPr>
          <w:p w:rsidR="0060634A" w:rsidRDefault="00F76D44">
            <w:pPr>
              <w:pStyle w:val="PPOExamplesTABLEText"/>
              <w:spacing w:line="240" w:lineRule="auto"/>
              <w:rPr>
                <w:noProof/>
                <w:lang w:val="en-GB"/>
              </w:rPr>
            </w:pPr>
            <w:r>
              <w:rPr>
                <w:noProof/>
                <w:lang w:val="en-GB"/>
              </w:rPr>
              <w:t>counterfeit euro banknotes were detected in 2019</w:t>
            </w:r>
            <w:r>
              <w:rPr>
                <w:rFonts w:ascii="Calibri" w:hAnsi="Calibri" w:cs="Calibri"/>
                <w:noProof/>
                <w:lang w:val="en-GB"/>
              </w:rPr>
              <w:t> </w:t>
            </w:r>
            <w:r>
              <w:rPr>
                <w:noProof/>
                <w:lang w:val="en-GB"/>
              </w:rPr>
              <w:t>(</w:t>
            </w:r>
            <w:r>
              <w:rPr>
                <w:noProof/>
                <w:vertAlign w:val="superscript"/>
                <w:lang w:val="en-GB"/>
              </w:rPr>
              <w:t>1</w:t>
            </w:r>
            <w:r>
              <w:rPr>
                <w:noProof/>
                <w:lang w:val="en-GB"/>
              </w:rPr>
              <w:t>).</w:t>
            </w:r>
          </w:p>
        </w:tc>
        <w:tc>
          <w:tcPr>
            <w:tcW w:w="2126" w:type="dxa"/>
            <w:shd w:val="clear" w:color="auto" w:fill="DCE6F2"/>
          </w:tcPr>
          <w:p w:rsidR="0060634A" w:rsidRDefault="00F76D44">
            <w:pPr>
              <w:pStyle w:val="PPOExamplesTABLEText"/>
              <w:spacing w:line="240" w:lineRule="auto"/>
              <w:rPr>
                <w:noProof/>
                <w:lang w:val="en-GB"/>
              </w:rPr>
            </w:pPr>
            <w:r>
              <w:rPr>
                <w:noProof/>
                <w:lang w:val="en-GB"/>
              </w:rPr>
              <w:t xml:space="preserve">counterfeit euro coins were detected </w:t>
            </w:r>
            <w:r>
              <w:rPr>
                <w:noProof/>
                <w:lang w:val="en-GB"/>
              </w:rPr>
              <w:t>in 2019</w:t>
            </w:r>
            <w:r>
              <w:rPr>
                <w:rFonts w:ascii="Calibri" w:hAnsi="Calibri" w:cs="Calibri"/>
                <w:noProof/>
                <w:lang w:val="en-GB"/>
              </w:rPr>
              <w:t> </w:t>
            </w:r>
            <w:r>
              <w:rPr>
                <w:noProof/>
                <w:lang w:val="en-GB"/>
              </w:rPr>
              <w:t>(</w:t>
            </w:r>
            <w:r>
              <w:rPr>
                <w:noProof/>
                <w:vertAlign w:val="superscript"/>
                <w:lang w:val="en-GB"/>
              </w:rPr>
              <w:t>1</w:t>
            </w:r>
            <w:r>
              <w:rPr>
                <w:noProof/>
                <w:lang w:val="en-GB"/>
              </w:rPr>
              <w:t>).</w:t>
            </w:r>
          </w:p>
        </w:tc>
        <w:tc>
          <w:tcPr>
            <w:tcW w:w="1559" w:type="dxa"/>
            <w:shd w:val="clear" w:color="auto" w:fill="DCE6F2"/>
          </w:tcPr>
          <w:p w:rsidR="0060634A" w:rsidRDefault="00F76D44">
            <w:pPr>
              <w:pStyle w:val="PPOExamplesTABLEText"/>
              <w:spacing w:line="240" w:lineRule="auto"/>
              <w:rPr>
                <w:noProof/>
                <w:lang w:val="en-GB"/>
              </w:rPr>
            </w:pPr>
            <w:r>
              <w:rPr>
                <w:noProof/>
                <w:lang w:val="en-GB"/>
              </w:rPr>
              <w:t>illegal workshops (mints and print shops) were dismantled in 2019</w:t>
            </w:r>
            <w:r>
              <w:rPr>
                <w:rFonts w:ascii="Calibri" w:hAnsi="Calibri" w:cs="Calibri"/>
                <w:noProof/>
                <w:lang w:val="en-GB"/>
              </w:rPr>
              <w:t> </w:t>
            </w:r>
            <w:r>
              <w:rPr>
                <w:noProof/>
                <w:lang w:val="en-GB"/>
              </w:rPr>
              <w:t>(</w:t>
            </w:r>
            <w:r>
              <w:rPr>
                <w:noProof/>
                <w:vertAlign w:val="superscript"/>
                <w:lang w:val="en-GB"/>
              </w:rPr>
              <w:t>1</w:t>
            </w:r>
            <w:r>
              <w:rPr>
                <w:noProof/>
                <w:lang w:val="en-GB"/>
              </w:rPr>
              <w:t>).</w:t>
            </w:r>
          </w:p>
        </w:tc>
        <w:tc>
          <w:tcPr>
            <w:tcW w:w="1701" w:type="dxa"/>
            <w:shd w:val="clear" w:color="auto" w:fill="DCE6F2"/>
          </w:tcPr>
          <w:p w:rsidR="0060634A" w:rsidRDefault="00F76D44">
            <w:pPr>
              <w:pStyle w:val="PPOExamplesTABLEText"/>
              <w:spacing w:line="240" w:lineRule="auto"/>
              <w:rPr>
                <w:noProof/>
              </w:rPr>
            </w:pPr>
            <w:r>
              <w:rPr>
                <w:noProof/>
              </w:rPr>
              <w:t>individuals were arrested in 2019</w:t>
            </w:r>
            <w:r>
              <w:rPr>
                <w:rFonts w:ascii="Calibri" w:hAnsi="Calibri" w:cs="Calibri"/>
                <w:noProof/>
              </w:rPr>
              <w:t> </w:t>
            </w:r>
            <w:r>
              <w:rPr>
                <w:noProof/>
              </w:rPr>
              <w:t>(</w:t>
            </w:r>
            <w:r>
              <w:rPr>
                <w:noProof/>
                <w:vertAlign w:val="superscript"/>
              </w:rPr>
              <w:t>1</w:t>
            </w:r>
            <w:r>
              <w:rPr>
                <w:noProof/>
              </w:rPr>
              <w:t>).</w:t>
            </w:r>
          </w:p>
        </w:tc>
        <w:tc>
          <w:tcPr>
            <w:tcW w:w="1843" w:type="dxa"/>
            <w:shd w:val="clear" w:color="auto" w:fill="DCE6F2"/>
          </w:tcPr>
          <w:p w:rsidR="0060634A" w:rsidRDefault="00F76D44">
            <w:pPr>
              <w:pStyle w:val="PPOExamplesTABLEText"/>
              <w:spacing w:line="240" w:lineRule="auto"/>
              <w:rPr>
                <w:noProof/>
                <w:lang w:val="en-GB"/>
              </w:rPr>
            </w:pPr>
            <w:r>
              <w:rPr>
                <w:noProof/>
                <w:lang w:val="en-GB"/>
              </w:rPr>
              <w:t>seminars and exchange activities related to counterfeiting were funded in 2019.</w:t>
            </w:r>
          </w:p>
        </w:tc>
        <w:tc>
          <w:tcPr>
            <w:tcW w:w="1559" w:type="dxa"/>
            <w:shd w:val="clear" w:color="auto" w:fill="DCE6F2"/>
          </w:tcPr>
          <w:p w:rsidR="0060634A" w:rsidRDefault="00F76D44">
            <w:pPr>
              <w:pStyle w:val="PPOExamplesTABLEText"/>
              <w:spacing w:line="240" w:lineRule="auto"/>
              <w:rPr>
                <w:noProof/>
                <w:lang w:val="en-GB"/>
              </w:rPr>
            </w:pPr>
            <w:r>
              <w:rPr>
                <w:noProof/>
                <w:lang w:val="en-GB"/>
              </w:rPr>
              <w:t xml:space="preserve">people took part in the different activities funded </w:t>
            </w:r>
            <w:r>
              <w:rPr>
                <w:noProof/>
                <w:lang w:val="en-GB"/>
              </w:rPr>
              <w:t>in 2019 (estimated number).</w:t>
            </w:r>
          </w:p>
        </w:tc>
      </w:tr>
    </w:tbl>
    <w:p w:rsidR="0060634A" w:rsidRDefault="00F76D44">
      <w:pPr>
        <w:pStyle w:val="FootnoteText"/>
        <w:ind w:left="470"/>
        <w:rPr>
          <w:rFonts w:ascii="EC Square Sans Cond Pro" w:hAnsi="EC Square Sans Cond Pro"/>
          <w:sz w:val="18"/>
        </w:rPr>
      </w:pPr>
      <w:r>
        <w:rPr>
          <w:rFonts w:ascii="EC Square Sans Cond Pro" w:hAnsi="EC Square Sans Cond Pro"/>
          <w:szCs w:val="17"/>
          <w:lang w:eastAsia="en-GB"/>
        </w:rPr>
        <w:t>(</w:t>
      </w:r>
      <w:r>
        <w:rPr>
          <w:rFonts w:ascii="EC Square Sans Cond Pro" w:hAnsi="EC Square Sans Cond Pro"/>
          <w:szCs w:val="17"/>
          <w:vertAlign w:val="superscript"/>
          <w:lang w:eastAsia="en-GB"/>
        </w:rPr>
        <w:t>1</w:t>
      </w:r>
      <w:r>
        <w:rPr>
          <w:rFonts w:ascii="EC Square Sans Cond Pro" w:hAnsi="EC Square Sans Cond Pro"/>
          <w:szCs w:val="17"/>
          <w:lang w:eastAsia="en-GB"/>
        </w:rPr>
        <w:t>)</w:t>
      </w:r>
      <w:r>
        <w:rPr>
          <w:rFonts w:ascii="EC Square Sans Cond Pro" w:hAnsi="EC Square Sans Cond Pro"/>
          <w:szCs w:val="17"/>
          <w:lang w:eastAsia="en-GB"/>
        </w:rPr>
        <w:tab/>
      </w:r>
      <w:r>
        <w:rPr>
          <w:rFonts w:ascii="EC Square Sans Cond Pro" w:hAnsi="EC Square Sans Cond Pro"/>
          <w:sz w:val="18"/>
        </w:rPr>
        <w:t>These indicators, while linked to the protection of the euro, are not directly related to the implementation of the programme.</w:t>
      </w:r>
    </w:p>
    <w:p w:rsidR="0060634A" w:rsidRDefault="0060634A">
      <w:pPr>
        <w:pStyle w:val="BodyText1spaceafter"/>
        <w:sectPr w:rsidR="0060634A">
          <w:headerReference w:type="even" r:id="rId442"/>
          <w:headerReference w:type="default" r:id="rId443"/>
          <w:footerReference w:type="even" r:id="rId444"/>
          <w:footerReference w:type="default" r:id="rId445"/>
          <w:headerReference w:type="first" r:id="rId446"/>
          <w:footerReference w:type="first" r:id="rId447"/>
          <w:pgSz w:w="11906" w:h="16838" w:code="9"/>
          <w:pgMar w:top="567" w:right="567" w:bottom="567" w:left="567" w:header="567" w:footer="454" w:gutter="0"/>
          <w:paperSrc w:first="15" w:other="15"/>
          <w:cols w:space="720"/>
          <w:docGrid w:linePitch="360"/>
        </w:sectPr>
      </w:pPr>
    </w:p>
    <w:p w:rsidR="0060634A" w:rsidRDefault="00F76D44">
      <w:pPr>
        <w:pStyle w:val="PPO1AsidebarTitleBlue"/>
        <w:rPr>
          <w:rFonts w:eastAsiaTheme="minorEastAsia"/>
        </w:rPr>
      </w:pPr>
      <w:r>
        <w:rPr>
          <w:rFonts w:eastAsiaTheme="minorEastAsia"/>
          <w:lang w:val="fr-BE" w:eastAsia="fr-BE"/>
        </w:rPr>
        <mc:AlternateContent>
          <mc:Choice Requires="wps">
            <w:drawing>
              <wp:anchor distT="0" distB="0" distL="0" distR="0" simplePos="0" relativeHeight="251586560" behindDoc="0" locked="1" layoutInCell="1" allowOverlap="1">
                <wp:simplePos x="0" y="0"/>
                <wp:positionH relativeFrom="page">
                  <wp:posOffset>359410</wp:posOffset>
                </wp:positionH>
                <wp:positionV relativeFrom="page">
                  <wp:posOffset>603250</wp:posOffset>
                </wp:positionV>
                <wp:extent cx="1457960" cy="777240"/>
                <wp:effectExtent l="0" t="0" r="85090" b="3810"/>
                <wp:wrapTopAndBottom/>
                <wp:docPr id="586" name="Text Box 586"/>
                <wp:cNvGraphicFramePr/>
                <a:graphic xmlns:a="http://schemas.openxmlformats.org/drawingml/2006/main">
                  <a:graphicData uri="http://schemas.microsoft.com/office/word/2010/wordprocessingShape">
                    <wps:wsp>
                      <wps:cNvSpPr txBox="1"/>
                      <wps:spPr>
                        <a:xfrm>
                          <a:off x="0" y="0"/>
                          <a:ext cx="1457960" cy="777240"/>
                        </a:xfrm>
                        <a:prstGeom prst="wedgeRectCallout">
                          <a:avLst>
                            <a:gd name="adj1" fmla="val 54107"/>
                            <a:gd name="adj2" fmla="val -21878"/>
                          </a:avLst>
                        </a:prstGeom>
                        <a:solidFill>
                          <a:srgbClr val="28296E"/>
                        </a:solidFill>
                        <a:ln w="6350">
                          <a:noFill/>
                        </a:ln>
                      </wps:spPr>
                      <wps:txbx>
                        <w:txbxContent>
                          <w:p w:rsidR="0060634A" w:rsidRDefault="00F76D44">
                            <w:pPr>
                              <w:pStyle w:val="PPOsidebarLegalBasisBOXHeading"/>
                              <w:rPr>
                                <w:rFonts w:eastAsiaTheme="minorEastAsia"/>
                              </w:rPr>
                            </w:pPr>
                            <w:r>
                              <w:rPr>
                                <w:rFonts w:eastAsiaTheme="minorEastAsia"/>
                              </w:rPr>
                              <w:t>LEGAL BASIS</w:t>
                            </w:r>
                          </w:p>
                          <w:p w:rsidR="0060634A" w:rsidRDefault="00F76D44">
                            <w:pPr>
                              <w:pStyle w:val="PPOsidebarLegalBasisBOXtext"/>
                              <w:rPr>
                                <w:rFonts w:eastAsiaTheme="minorEastAsia"/>
                                <w:sz w:val="18"/>
                                <w:szCs w:val="20"/>
                              </w:rPr>
                            </w:pPr>
                            <w:r>
                              <w:rPr>
                                <w:rFonts w:eastAsiaTheme="minorEastAsia"/>
                              </w:rPr>
                              <w:t>Regulation (EU) 2015/1525 of the European Parliament and of the Council and Council Decision 2009/917/JHA</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6" o:spid="_x0000_s1164" type="#_x0000_t61" style="position:absolute;left:0;text-align:left;margin-left:28.3pt;margin-top:47.5pt;width:114.8pt;height:61.2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" adj="22487,6074" fillcolor="#28296e" stroked="f" strokeweight=".5pt">
                <v:textbox inset="2.5mm,1.3mm,2.5mm,1.3mm">
                  <w:txbxContent>
                    <w:p w:rsidR="0060634A" w:rsidRDefault="00F76D44">
                      <w:pPr>
                        <w:pStyle w:val="PPOsidebarLegalBasisBOXHeading"/>
                        <w:rPr>
                          <w:rFonts w:eastAsiaTheme="minorEastAsia"/>
                        </w:rPr>
                      </w:pPr>
                      <w:r>
                        <w:rPr>
                          <w:rFonts w:eastAsiaTheme="minorEastAsia"/>
                        </w:rPr>
                        <w:t>LEGAL BASIS</w:t>
                      </w:r>
                    </w:p>
                    <w:p w:rsidR="0060634A" w:rsidRDefault="00F76D44">
                      <w:pPr>
                        <w:pStyle w:val="PPOsidebarLegalBasisBOXtext"/>
                        <w:rPr>
                          <w:rFonts w:eastAsiaTheme="minorEastAsia"/>
                          <w:sz w:val="18"/>
                          <w:szCs w:val="20"/>
                        </w:rPr>
                      </w:pPr>
                      <w:r>
                        <w:rPr>
                          <w:rFonts w:eastAsiaTheme="minorEastAsia"/>
                        </w:rPr>
                        <w:t>Regulation (EU) 2015/1525 of the European Parliament and of the Council and Council Decision 2009/917/JHA</w:t>
                      </w:r>
                    </w:p>
                  </w:txbxContent>
                </v:textbox>
                <w10:wrap type="topAndBottom" anchorx="page" anchory="page"/>
                <w10:anchorlock/>
              </v:shape>
            </w:pict>
          </mc:Fallback>
        </mc:AlternateContent>
      </w:r>
      <w:r>
        <w:rPr>
          <w:rFonts w:eastAsiaTheme="minorEastAsia"/>
        </w:rPr>
        <w:t>MORE INFORMATION</w:t>
      </w:r>
    </w:p>
    <w:p w:rsidR="0060634A" w:rsidRDefault="00F76D44">
      <w:pPr>
        <w:pStyle w:val="PPOsidebartext"/>
        <w:rPr>
          <w:rStyle w:val="PPOChar-Hyperlink"/>
          <w:rFonts w:eastAsiaTheme="minorEastAsia"/>
        </w:rPr>
      </w:pPr>
      <w:r>
        <w:rPr>
          <w:rFonts w:eastAsiaTheme="minorEastAsia"/>
        </w:rPr>
        <w:t xml:space="preserve"> </w:t>
      </w:r>
      <w:hyperlink r:id="rId448" w:history="1">
        <w:r>
          <w:rPr>
            <w:rStyle w:val="PPOChar-Hyperlink"/>
            <w:rFonts w:eastAsiaTheme="minorEastAsia"/>
          </w:rPr>
          <w:t>http://europa.eu/!qh38yN</w:t>
        </w:r>
      </w:hyperlink>
    </w:p>
    <w:p w:rsidR="0060634A" w:rsidRDefault="00F76D44">
      <w:pPr>
        <w:pStyle w:val="PPO1AsidebarTitleBlue"/>
        <w:rPr>
          <w:rFonts w:eastAsiaTheme="minorEastAsia"/>
        </w:rPr>
      </w:pPr>
      <w:r>
        <w:rPr>
          <w:rFonts w:eastAsiaTheme="minorEastAsia"/>
        </w:rPr>
        <w:t>FINANCIAL PROGRAMMING</w:t>
      </w:r>
    </w:p>
    <w:p w:rsidR="0060634A" w:rsidRDefault="00F76D44">
      <w:pPr>
        <w:pStyle w:val="PPO1AsidebarTablecaption"/>
      </w:pPr>
      <w:r>
        <w:t>(million EUR)</w:t>
      </w:r>
    </w:p>
    <w:tbl>
      <w:tblPr>
        <w:tblOverlap w:val="never"/>
        <w:tblW w:w="2296" w:type="dxa"/>
        <w:jc w:val="right"/>
        <w:tblLayout w:type="fixed"/>
        <w:tblCellMar>
          <w:top w:w="28" w:type="dxa"/>
          <w:left w:w="28" w:type="dxa"/>
          <w:bottom w:w="28" w:type="dxa"/>
          <w:right w:w="28" w:type="dxa"/>
        </w:tblCellMar>
        <w:tblLook w:val="0000" w:firstRow="0" w:lastRow="0" w:firstColumn="0" w:lastColumn="0" w:noHBand="0" w:noVBand="0"/>
      </w:tblPr>
      <w:tblGrid>
        <w:gridCol w:w="1134"/>
        <w:gridCol w:w="1162"/>
      </w:tblGrid>
      <w:tr w:rsidR="0060634A">
        <w:trPr>
          <w:trHeight w:hRule="exact" w:val="229"/>
          <w:jc w:val="right"/>
        </w:trPr>
        <w:tc>
          <w:tcPr>
            <w:tcW w:w="1134" w:type="dxa"/>
            <w:tcBorders>
              <w:bottom w:val="single" w:sz="6" w:space="0" w:color="FFFFFF" w:themeColor="background1"/>
            </w:tcBorders>
            <w:shd w:val="clear" w:color="auto" w:fill="DCE6F2"/>
            <w:vAlign w:val="center"/>
          </w:tcPr>
          <w:p w:rsidR="0060634A" w:rsidRDefault="00F76D44">
            <w:pPr>
              <w:pStyle w:val="PPOsidebarTabletext"/>
              <w:rPr>
                <w:b/>
              </w:rPr>
            </w:pPr>
            <w:r>
              <w:t>2014</w:t>
            </w:r>
          </w:p>
        </w:tc>
        <w:tc>
          <w:tcPr>
            <w:tcW w:w="1162" w:type="dxa"/>
            <w:shd w:val="clear" w:color="auto" w:fill="FFFFFF"/>
          </w:tcPr>
          <w:p w:rsidR="0060634A" w:rsidRDefault="00F76D44">
            <w:pPr>
              <w:pStyle w:val="PPOsidebarTabletext"/>
              <w:rPr>
                <w:b/>
              </w:rPr>
            </w:pPr>
            <w:r>
              <w:t>6.4</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2015</w:t>
            </w:r>
          </w:p>
        </w:tc>
        <w:tc>
          <w:tcPr>
            <w:tcW w:w="1162" w:type="dxa"/>
            <w:tcBorders>
              <w:top w:val="single" w:sz="4" w:space="0" w:color="auto"/>
            </w:tcBorders>
            <w:shd w:val="clear" w:color="auto" w:fill="FFFFFF"/>
          </w:tcPr>
          <w:p w:rsidR="0060634A" w:rsidRDefault="00F76D44">
            <w:pPr>
              <w:pStyle w:val="PPOsidebarTabletext"/>
              <w:rPr>
                <w:b/>
              </w:rPr>
            </w:pPr>
            <w:r>
              <w:t>6.9</w:t>
            </w:r>
          </w:p>
        </w:tc>
      </w:tr>
      <w:tr w:rsidR="0060634A">
        <w:trPr>
          <w:trHeight w:hRule="exact" w:val="229"/>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2016</w:t>
            </w:r>
          </w:p>
        </w:tc>
        <w:tc>
          <w:tcPr>
            <w:tcW w:w="1162" w:type="dxa"/>
            <w:tcBorders>
              <w:top w:val="single" w:sz="4" w:space="0" w:color="auto"/>
            </w:tcBorders>
            <w:shd w:val="clear" w:color="auto" w:fill="FFFFFF"/>
          </w:tcPr>
          <w:p w:rsidR="0060634A" w:rsidRDefault="00F76D44">
            <w:pPr>
              <w:pStyle w:val="PPOsidebarTabletext"/>
              <w:rPr>
                <w:b/>
              </w:rPr>
            </w:pPr>
            <w:r>
              <w:t>6.6</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2017</w:t>
            </w:r>
          </w:p>
        </w:tc>
        <w:tc>
          <w:tcPr>
            <w:tcW w:w="1162" w:type="dxa"/>
            <w:tcBorders>
              <w:top w:val="single" w:sz="4" w:space="0" w:color="auto"/>
            </w:tcBorders>
            <w:shd w:val="clear" w:color="auto" w:fill="FFFFFF"/>
          </w:tcPr>
          <w:p w:rsidR="0060634A" w:rsidRDefault="00F76D44">
            <w:pPr>
              <w:pStyle w:val="PPOsidebarTabletext"/>
              <w:rPr>
                <w:b/>
              </w:rPr>
            </w:pPr>
            <w:r>
              <w:t>7.2</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2018</w:t>
            </w:r>
          </w:p>
        </w:tc>
        <w:tc>
          <w:tcPr>
            <w:tcW w:w="1162" w:type="dxa"/>
            <w:tcBorders>
              <w:top w:val="single" w:sz="4" w:space="0" w:color="auto"/>
            </w:tcBorders>
            <w:shd w:val="clear" w:color="auto" w:fill="FFFFFF"/>
          </w:tcPr>
          <w:p w:rsidR="0060634A" w:rsidRDefault="00F76D44">
            <w:pPr>
              <w:pStyle w:val="PPOsidebarTabletext"/>
              <w:rPr>
                <w:b/>
              </w:rPr>
            </w:pPr>
            <w:r>
              <w:t>7.7</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rPr>
                <w:b/>
              </w:rPr>
            </w:pPr>
            <w:r>
              <w:t>2019</w:t>
            </w:r>
          </w:p>
        </w:tc>
        <w:tc>
          <w:tcPr>
            <w:tcW w:w="1162" w:type="dxa"/>
            <w:tcBorders>
              <w:top w:val="single" w:sz="4" w:space="0" w:color="auto"/>
            </w:tcBorders>
            <w:shd w:val="clear" w:color="auto" w:fill="FFFFFF"/>
          </w:tcPr>
          <w:p w:rsidR="0060634A" w:rsidRDefault="00F76D44">
            <w:pPr>
              <w:pStyle w:val="PPOsidebarTabletext"/>
              <w:rPr>
                <w:b/>
              </w:rPr>
            </w:pPr>
            <w:r>
              <w:t>7.2</w:t>
            </w:r>
          </w:p>
        </w:tc>
      </w:tr>
      <w:tr w:rsidR="0060634A">
        <w:trPr>
          <w:trHeight w:hRule="exact" w:val="225"/>
          <w:jc w:val="right"/>
        </w:trPr>
        <w:tc>
          <w:tcPr>
            <w:tcW w:w="1134" w:type="dxa"/>
            <w:tcBorders>
              <w:top w:val="single" w:sz="6" w:space="0" w:color="FFFFFF" w:themeColor="background1"/>
            </w:tcBorders>
            <w:shd w:val="clear" w:color="auto" w:fill="DCE6F2"/>
            <w:vAlign w:val="center"/>
          </w:tcPr>
          <w:p w:rsidR="0060634A" w:rsidRDefault="00F76D44">
            <w:pPr>
              <w:pStyle w:val="PPOsidebarTabletext"/>
              <w:rPr>
                <w:b/>
              </w:rPr>
            </w:pPr>
            <w:r>
              <w:t>2020</w:t>
            </w:r>
          </w:p>
        </w:tc>
        <w:tc>
          <w:tcPr>
            <w:tcW w:w="1162" w:type="dxa"/>
            <w:tcBorders>
              <w:top w:val="single" w:sz="4" w:space="0" w:color="auto"/>
            </w:tcBorders>
            <w:shd w:val="clear" w:color="auto" w:fill="FFFFFF"/>
          </w:tcPr>
          <w:p w:rsidR="0060634A" w:rsidRDefault="00F76D44">
            <w:pPr>
              <w:pStyle w:val="PPOsidebarTabletext"/>
              <w:rPr>
                <w:b/>
              </w:rPr>
            </w:pPr>
            <w:r>
              <w:t>7.5</w:t>
            </w:r>
          </w:p>
        </w:tc>
      </w:tr>
      <w:tr w:rsidR="0060634A">
        <w:trPr>
          <w:trHeight w:hRule="exact" w:val="258"/>
          <w:jc w:val="right"/>
        </w:trPr>
        <w:tc>
          <w:tcPr>
            <w:tcW w:w="1134" w:type="dxa"/>
            <w:shd w:val="clear" w:color="auto" w:fill="00ADDC"/>
            <w:vAlign w:val="center"/>
          </w:tcPr>
          <w:p w:rsidR="0060634A" w:rsidRDefault="00F76D44">
            <w:pPr>
              <w:pStyle w:val="PPOsidebarTabletext"/>
            </w:pPr>
            <w:r>
              <w:t>Total</w:t>
            </w:r>
          </w:p>
        </w:tc>
        <w:tc>
          <w:tcPr>
            <w:tcW w:w="1162" w:type="dxa"/>
            <w:tcBorders>
              <w:top w:val="single" w:sz="4" w:space="0" w:color="auto"/>
            </w:tcBorders>
            <w:shd w:val="clear" w:color="auto" w:fill="FFFFFF"/>
          </w:tcPr>
          <w:p w:rsidR="0060634A" w:rsidRDefault="00F76D44">
            <w:pPr>
              <w:pStyle w:val="PPOsidebarTabletext"/>
              <w:rPr>
                <w:b/>
              </w:rPr>
            </w:pPr>
            <w:r>
              <w:t>49.4</w:t>
            </w:r>
          </w:p>
        </w:tc>
      </w:tr>
    </w:tbl>
    <w:p w:rsidR="0060634A" w:rsidRDefault="00F76D44">
      <w:pPr>
        <w:pStyle w:val="PPO1AsidebarTitleBlue"/>
        <w:rPr>
          <w:rFonts w:eastAsiaTheme="minorEastAsia"/>
        </w:rPr>
      </w:pPr>
      <w:r>
        <w:rPr>
          <w:rFonts w:eastAsiaTheme="minorEastAsia"/>
          <w:sz w:val="20"/>
          <w:lang w:val="fr-BE" w:eastAsia="fr-BE"/>
        </w:rPr>
        <mc:AlternateContent>
          <mc:Choice Requires="wpg">
            <w:drawing>
              <wp:anchor distT="0" distB="0" distL="114300" distR="114300" simplePos="0" relativeHeight="251720704" behindDoc="1" locked="1" layoutInCell="1" allowOverlap="1">
                <wp:simplePos x="0" y="0"/>
                <wp:positionH relativeFrom="column">
                  <wp:posOffset>-271145</wp:posOffset>
                </wp:positionH>
                <wp:positionV relativeFrom="paragraph">
                  <wp:posOffset>547370</wp:posOffset>
                </wp:positionV>
                <wp:extent cx="1871980" cy="1454150"/>
                <wp:effectExtent l="0" t="0" r="0" b="0"/>
                <wp:wrapSquare wrapText="bothSides"/>
                <wp:docPr id="587" name="Group 587"/>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588" name="Chart 588"/>
                        <wpg:cNvFrPr/>
                        <wpg:xfrm>
                          <a:off x="461310" y="264194"/>
                          <a:ext cx="2492055" cy="1453317"/>
                        </wpg:xfrm>
                        <a:graphic>
                          <a:graphicData uri="http://schemas.openxmlformats.org/drawingml/2006/chart">
                            <c:chart xmlns:c="http://schemas.openxmlformats.org/drawingml/2006/chart" xmlns:r="http://schemas.openxmlformats.org/officeDocument/2006/relationships" r:id="rId449"/>
                          </a:graphicData>
                        </a:graphic>
                      </wpg:graphicFrame>
                      <wps:wsp>
                        <wps:cNvPr id="589" name="Text Box 2"/>
                        <wps:cNvSpPr txBox="1">
                          <a:spLocks noChangeArrowheads="1"/>
                        </wps:cNvSpPr>
                        <wps:spPr bwMode="auto">
                          <a:xfrm>
                            <a:off x="1287117" y="723786"/>
                            <a:ext cx="1276742" cy="600139"/>
                          </a:xfrm>
                          <a:prstGeom prst="rect">
                            <a:avLst/>
                          </a:prstGeom>
                          <a:noFill/>
                          <a:ln w="9525">
                            <a:noFill/>
                            <a:miter lim="800000"/>
                            <a:headEnd/>
                            <a:tailEnd/>
                          </a:ln>
                        </wps:spPr>
                        <wps:txbx>
                          <w:txbxContent>
                            <w:p w:rsidR="0060634A" w:rsidRDefault="00F76D44">
                              <w:pPr>
                                <w:pStyle w:val="PPO1AsidebarchartCenterText"/>
                                <w:rPr>
                                  <w:rFonts w:eastAsiaTheme="minorEastAsia"/>
                                  <w:b/>
                                </w:rPr>
                              </w:pPr>
                              <w:r>
                                <w:rPr>
                                  <w:rFonts w:eastAsiaTheme="minorEastAsia"/>
                                </w:rPr>
                                <w:t>EUR</w:t>
                              </w:r>
                              <w:r>
                                <w:rPr>
                                  <w:rFonts w:ascii="Calibri" w:eastAsiaTheme="minorEastAsia" w:hAnsi="Calibri" w:cs="Calibri"/>
                                </w:rPr>
                                <w:t> </w:t>
                              </w:r>
                              <w:r>
                                <w:rPr>
                                  <w:rFonts w:eastAsiaTheme="minorEastAsia"/>
                                  <w:b/>
                                </w:rPr>
                                <w:t>49.4</w:t>
                              </w:r>
                            </w:p>
                            <w:p w:rsidR="0060634A" w:rsidRDefault="00F76D44">
                              <w:pPr>
                                <w:pStyle w:val="PPO1AsidebarchartCenterText"/>
                                <w:rPr>
                                  <w:rFonts w:eastAsiaTheme="minorEastAsia"/>
                                  <w:b/>
                                </w:rPr>
                              </w:pPr>
                              <w:r>
                                <w:rPr>
                                  <w:rFonts w:ascii="Calibri" w:eastAsiaTheme="minorEastAsia" w:hAnsi="Calibri" w:cs="Calibri"/>
                                </w:rPr>
                                <w:t> </w:t>
                              </w:r>
                              <w:r>
                                <w:rPr>
                                  <w:rFonts w:eastAsiaTheme="minorEastAsia"/>
                                </w:rPr>
                                <w:t>million</w:t>
                              </w:r>
                            </w:p>
                          </w:txbxContent>
                        </wps:txbx>
                        <wps:bodyPr rot="0" vert="horz" wrap="square" lIns="91440" tIns="45720" rIns="91440" bIns="45720" anchor="t" anchorCtr="0">
                          <a:noAutofit/>
                        </wps:bodyPr>
                      </wps:wsp>
                      <wps:wsp>
                        <wps:cNvPr id="590" name="Text Box 2"/>
                        <wps:cNvSpPr txBox="1">
                          <a:spLocks noChangeArrowheads="1"/>
                        </wps:cNvSpPr>
                        <wps:spPr bwMode="auto">
                          <a:xfrm>
                            <a:off x="996004" y="864267"/>
                            <a:ext cx="700344" cy="229870"/>
                          </a:xfrm>
                          <a:prstGeom prst="rect">
                            <a:avLst/>
                          </a:prstGeom>
                          <a:noFill/>
                          <a:ln w="9525">
                            <a:noFill/>
                            <a:miter lim="800000"/>
                            <a:headEnd/>
                            <a:tailEnd/>
                          </a:ln>
                        </wps:spPr>
                        <wps:txbx>
                          <w:txbxContent>
                            <w:p w:rsidR="0060634A" w:rsidRDefault="00F76D44">
                              <w:pPr>
                                <w:spacing w:after="120"/>
                                <w:jc w:val="center"/>
                                <w:rPr>
                                  <w:color w:val="00ADDC"/>
                                  <w:lang w:val="fr-BE"/>
                                </w:rPr>
                              </w:pPr>
                              <w:r>
                                <w:rPr>
                                  <w:b/>
                                  <w:color w:val="00ADDC"/>
                                  <w:lang w:val="fr-BE"/>
                                </w:rPr>
                                <w:t>71%%</w:t>
                              </w:r>
                            </w:p>
                          </w:txbxContent>
                        </wps:txbx>
                        <wps:bodyPr rot="0" vert="horz" wrap="square" lIns="91440" tIns="45720" rIns="91440" bIns="45720" anchor="t" anchorCtr="0">
                          <a:noAutofit/>
                        </wps:bodyPr>
                      </wps:wsp>
                      <wps:wsp>
                        <wps:cNvPr id="591" name="Text Box 2"/>
                        <wps:cNvSpPr txBox="1">
                          <a:spLocks noChangeArrowheads="1"/>
                        </wps:cNvSpPr>
                        <wps:spPr bwMode="auto">
                          <a:xfrm>
                            <a:off x="985089" y="402272"/>
                            <a:ext cx="741153" cy="266065"/>
                          </a:xfrm>
                          <a:prstGeom prst="rect">
                            <a:avLst/>
                          </a:prstGeom>
                          <a:noFill/>
                          <a:ln w="9525">
                            <a:noFill/>
                            <a:miter lim="800000"/>
                            <a:headEnd/>
                            <a:tailEnd/>
                          </a:ln>
                        </wps:spPr>
                        <wps:txbx>
                          <w:txbxContent>
                            <w:p w:rsidR="0060634A" w:rsidRDefault="00F76D44">
                              <w:pPr>
                                <w:spacing w:after="120"/>
                                <w:jc w:val="center"/>
                                <w:rPr>
                                  <w:color w:val="28296E"/>
                                  <w:lang w:val="fr-BE"/>
                                </w:rPr>
                              </w:pPr>
                              <w:r>
                                <w:rPr>
                                  <w:b/>
                                  <w:color w:val="28296E"/>
                                  <w:lang w:val="fr-BE"/>
                                </w:rPr>
                                <w:t>84%%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87" o:spid="_x0000_s1165" style="position:absolute;left:0;text-align:left;margin-left:-21.35pt;margin-top:43.1pt;width:147.4pt;height:114.5pt;z-index:-251595776;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CgAAAAAAAAAhABYYSB28IgAAvCIAAC0AAABkcnMvZW1iZWRk&#10;aW5ncy9NaWNyb3NvZnRfRXhjZWxfV29ya3NoZWV0Lnhsc3hQSwMEFAAGAAgAAAAhAN0ri1hsAQAA&#10;EAUAABMACAJbQ29udGVudF9UeXBlc10ueG1s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">
                <v:shape id="Chart 588" o:spid="_x0000_s1166"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">
                  <v:imagedata r:id="rId450" o:title=""/>
                  <o:lock v:ext="edit" aspectratio="f"/>
                </v:shape>
                <v:shape id="_x0000_s1167" type="#_x0000_t202" style="position:absolute;left:12871;top:7237;width:12767;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" filled="f" stroked="f">
                  <v:textbox>
                    <w:txbxContent>
                      <w:p w:rsidR="0060634A" w:rsidRDefault="00F76D44">
                        <w:pPr>
                          <w:pStyle w:val="PPO1AsidebarchartCenterText"/>
                          <w:rPr>
                            <w:rFonts w:eastAsiaTheme="minorEastAsia"/>
                            <w:b/>
                          </w:rPr>
                        </w:pPr>
                        <w:r>
                          <w:rPr>
                            <w:rFonts w:eastAsiaTheme="minorEastAsia"/>
                          </w:rPr>
                          <w:t>EUR</w:t>
                        </w:r>
                        <w:r>
                          <w:rPr>
                            <w:rFonts w:ascii="Calibri" w:eastAsiaTheme="minorEastAsia" w:hAnsi="Calibri" w:cs="Calibri"/>
                          </w:rPr>
                          <w:t> </w:t>
                        </w:r>
                        <w:r>
                          <w:rPr>
                            <w:rFonts w:eastAsiaTheme="minorEastAsia"/>
                            <w:b/>
                          </w:rPr>
                          <w:t>49.4</w:t>
                        </w:r>
                      </w:p>
                      <w:p w:rsidR="0060634A" w:rsidRDefault="00F76D44">
                        <w:pPr>
                          <w:pStyle w:val="PPO1AsidebarchartCenterText"/>
                          <w:rPr>
                            <w:rFonts w:eastAsiaTheme="minorEastAsia"/>
                            <w:b/>
                          </w:rPr>
                        </w:pPr>
                        <w:r>
                          <w:rPr>
                            <w:rFonts w:ascii="Calibri" w:eastAsiaTheme="minorEastAsia" w:hAnsi="Calibri" w:cs="Calibri"/>
                          </w:rPr>
                          <w:t> </w:t>
                        </w:r>
                        <w:r>
                          <w:rPr>
                            <w:rFonts w:eastAsiaTheme="minorEastAsia"/>
                          </w:rPr>
                          <w:t>million</w:t>
                        </w:r>
                      </w:p>
                    </w:txbxContent>
                  </v:textbox>
                </v:shape>
                <v:shape id="_x0000_s1168" type="#_x0000_t202" style="position:absolute;left:9960;top:8642;width:7003;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" filled="f" stroked="f">
                  <v:textbox>
                    <w:txbxContent>
                      <w:p w:rsidR="0060634A" w:rsidRDefault="00F76D44">
                        <w:pPr>
                          <w:spacing w:after="120"/>
                          <w:jc w:val="center"/>
                          <w:rPr>
                            <w:color w:val="00ADDC"/>
                            <w:lang w:val="fr-BE"/>
                          </w:rPr>
                        </w:pPr>
                        <w:r>
                          <w:rPr>
                            <w:b/>
                            <w:color w:val="00ADDC"/>
                            <w:lang w:val="fr-BE"/>
                          </w:rPr>
                          <w:t>71%%</w:t>
                        </w:r>
                      </w:p>
                    </w:txbxContent>
                  </v:textbox>
                </v:shape>
                <v:shape id="_x0000_s1169" type="#_x0000_t202" style="position:absolute;left:9850;top:4022;width:741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" filled="f" stroked="f">
                  <v:textbox>
                    <w:txbxContent>
                      <w:p w:rsidR="0060634A" w:rsidRDefault="00F76D44">
                        <w:pPr>
                          <w:spacing w:after="120"/>
                          <w:jc w:val="center"/>
                          <w:rPr>
                            <w:color w:val="28296E"/>
                            <w:lang w:val="fr-BE"/>
                          </w:rPr>
                        </w:pPr>
                        <w:r>
                          <w:rPr>
                            <w:b/>
                            <w:color w:val="28296E"/>
                            <w:lang w:val="fr-BE"/>
                          </w:rPr>
                          <w:t>84%%</w:t>
                        </w:r>
                      </w:p>
                    </w:txbxContent>
                  </v:textbox>
                </v:shape>
                <w10:wrap type="square"/>
                <w10:anchorlock/>
              </v:group>
              <o:OLEObject Type="Embed" ProgID="Excel.Chart.8" ShapeID="Chart 588" DrawAspect="Content" ObjectID="_1654495739" r:id="rId451">
                <o:FieldCodes>\s</o:FieldCodes>
              </o:OLEObject>
            </w:pict>
          </mc:Fallback>
        </mc:AlternateContent>
      </w:r>
      <w:r>
        <w:rPr>
          <w:rFonts w:eastAsiaTheme="minorEastAsia"/>
        </w:rPr>
        <w:t>OVERALL EXECUTION</w:t>
      </w:r>
      <w:r>
        <w:rPr>
          <w:rFonts w:eastAsiaTheme="minorEastAsia"/>
        </w:rPr>
        <w:br/>
      </w:r>
      <w:r>
        <w:rPr>
          <w:rFonts w:eastAsiaTheme="minorEastAsia"/>
        </w:rPr>
        <w:t>(2014-2019)</w:t>
      </w:r>
    </w:p>
    <w:p w:rsidR="0060634A" w:rsidRDefault="00F76D44">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726848" behindDoc="0" locked="1" layoutInCell="1" allowOverlap="1">
                <wp:simplePos x="0" y="0"/>
                <wp:positionH relativeFrom="page">
                  <wp:posOffset>2242185</wp:posOffset>
                </wp:positionH>
                <wp:positionV relativeFrom="page">
                  <wp:posOffset>5836920</wp:posOffset>
                </wp:positionV>
                <wp:extent cx="2437130" cy="2447925"/>
                <wp:effectExtent l="0" t="0" r="1270" b="9525"/>
                <wp:wrapTopAndBottom/>
                <wp:docPr id="5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447925"/>
                        </a:xfrm>
                        <a:prstGeom prst="rect">
                          <a:avLst/>
                        </a:prstGeom>
                        <a:solidFill>
                          <a:srgbClr val="FFFFFF"/>
                        </a:solidFill>
                        <a:ln w="9525">
                          <a:noFill/>
                          <a:miter lim="800000"/>
                          <a:headEnd/>
                          <a:tailEnd/>
                        </a:ln>
                      </wps:spPr>
                      <wps:txbx id="91">
                        <w:txbxContent>
                          <w:p w:rsidR="0060634A" w:rsidRDefault="00F76D44">
                            <w:pPr>
                              <w:pStyle w:val="PPOTitle3-nospacebefore"/>
                              <w:rPr>
                                <w:rFonts w:eastAsiaTheme="minorEastAsia"/>
                              </w:rPr>
                            </w:pPr>
                            <w:r>
                              <w:rPr>
                                <w:rFonts w:eastAsiaTheme="minorEastAsia"/>
                              </w:rPr>
                              <w:t>Why is it necessary?</w:t>
                            </w:r>
                          </w:p>
                          <w:p w:rsidR="0060634A" w:rsidRDefault="00F76D44">
                            <w:pPr>
                              <w:pStyle w:val="PPObodyText"/>
                              <w:rPr>
                                <w:noProof/>
                              </w:rPr>
                            </w:pPr>
                            <w:r>
                              <w:rPr>
                                <w:noProof/>
                              </w:rPr>
                              <w:t>By the very nature of customs fraud, which occurs by definition in at least two countries, there is a continuing necessity for centralised action at the EU level. Effective sharing of information and a wide-scale fight a</w:t>
                            </w:r>
                            <w:r>
                              <w:rPr>
                                <w:noProof/>
                              </w:rPr>
                              <w:t xml:space="preserve">gainst breaches of customs legislation cannot be conducted by national customs authorities alone at a reasonable cost. Systematic collection of the data required to analyse customs risks which pose a threat to the EU and its Member States would constitute </w:t>
                            </w:r>
                            <w:r>
                              <w:rPr>
                                <w:noProof/>
                              </w:rPr>
                              <w:t>a disproportionate effort for 27 individual Member States and can be achieved more effectively and efficiently through action at the EU level. Action at the EU level enables a significant improvement in risk management and the fight against customs-related</w:t>
                            </w:r>
                            <w:r>
                              <w:rPr>
                                <w:noProof/>
                              </w:rPr>
                              <w:t xml:space="preserve"> fraud by increasing the amount of evidence available, improving the possibilities for risk mitigation and detection and repression of fraud and rendering the action more efficient and effective.</w:t>
                            </w:r>
                          </w:p>
                          <w:p w:rsidR="0060634A" w:rsidRDefault="00F76D44">
                            <w:pPr>
                              <w:pStyle w:val="PPObodyText"/>
                              <w:rPr>
                                <w:noProof/>
                              </w:rPr>
                            </w:pPr>
                            <w:r>
                              <w:rPr>
                                <w:noProof/>
                              </w:rPr>
                              <w:t xml:space="preserve">Additionally, the AFIS Portal enables substantial economies </w:t>
                            </w:r>
                            <w:r>
                              <w:rPr>
                                <w:noProof/>
                              </w:rPr>
                              <w:t>of scale and synergies in the development, maintenance and operation of such a wide and diverse set of information technology services and tools.</w:t>
                            </w:r>
                          </w:p>
                          <w:p w:rsidR="0060634A" w:rsidRDefault="00F76D44">
                            <w:pPr>
                              <w:pStyle w:val="PPOTitle3"/>
                              <w:spacing w:after="100"/>
                              <w:rPr>
                                <w:rFonts w:eastAsiaTheme="minorEastAsia"/>
                              </w:rPr>
                            </w:pPr>
                            <w:r>
                              <w:rPr>
                                <w:rFonts w:eastAsiaTheme="minorEastAsia"/>
                              </w:rPr>
                              <w:t>Outlook for the 2021-2027 period</w:t>
                            </w:r>
                          </w:p>
                          <w:p w:rsidR="0060634A" w:rsidRDefault="00F76D44">
                            <w:pPr>
                              <w:pStyle w:val="PPObodyText"/>
                              <w:rPr>
                                <w:noProof/>
                              </w:rPr>
                            </w:pPr>
                            <w:r>
                              <w:rPr>
                                <w:noProof/>
                              </w:rPr>
                              <w:t xml:space="preserve">The Commission proposed a continuation of the programme for the next </w:t>
                            </w:r>
                            <w:r>
                              <w:rPr>
                                <w:noProof/>
                              </w:rPr>
                              <w:t>multiannual financial framework in the new anti-fraud programme, which will also include the Hercule III programme.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left:0;text-align:left;margin-left:176.55pt;margin-top:459.6pt;width:191.9pt;height:192.7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" stroked="f">
                <v:textbox style="mso-next-textbox:#Text Box 595" inset="0">
                  <w:txbxContent>
                    <w:p w:rsidR="0060634A" w:rsidRDefault="00F76D44">
                      <w:pPr>
                        <w:pStyle w:val="PPOTitle3-nospacebefore"/>
                        <w:rPr>
                          <w:rFonts w:eastAsiaTheme="minorEastAsia"/>
                        </w:rPr>
                      </w:pPr>
                      <w:r>
                        <w:rPr>
                          <w:rFonts w:eastAsiaTheme="minorEastAsia"/>
                        </w:rPr>
                        <w:t>Why is it necessary?</w:t>
                      </w:r>
                    </w:p>
                    <w:p w:rsidR="0060634A" w:rsidRDefault="00F76D44">
                      <w:pPr>
                        <w:pStyle w:val="PPObodyText"/>
                        <w:rPr>
                          <w:noProof/>
                        </w:rPr>
                      </w:pPr>
                      <w:r>
                        <w:rPr>
                          <w:noProof/>
                        </w:rPr>
                        <w:t>By the very nature of customs fraud, which occurs by definition in at least two countries, there is a continuing necessity for centralised action at the EU level. Effective sharing of information and a wide-scale fight a</w:t>
                      </w:r>
                      <w:r>
                        <w:rPr>
                          <w:noProof/>
                        </w:rPr>
                        <w:t xml:space="preserve">gainst breaches of customs legislation cannot be conducted by national customs authorities alone at a reasonable cost. Systematic collection of the data required to analyse customs risks which pose a threat to the EU and its Member States would constitute </w:t>
                      </w:r>
                      <w:r>
                        <w:rPr>
                          <w:noProof/>
                        </w:rPr>
                        <w:t>a disproportionate effort for 27 individual Member States and can be achieved more effectively and efficiently through action at the EU level. Action at the EU level enables a significant improvement in risk management and the fight against customs-related</w:t>
                      </w:r>
                      <w:r>
                        <w:rPr>
                          <w:noProof/>
                        </w:rPr>
                        <w:t xml:space="preserve"> fraud by increasing the amount of evidence available, improving the possibilities for risk mitigation and detection and repression of fraud and rendering the action more efficient and effective.</w:t>
                      </w:r>
                    </w:p>
                    <w:p w:rsidR="0060634A" w:rsidRDefault="00F76D44">
                      <w:pPr>
                        <w:pStyle w:val="PPObodyText"/>
                        <w:rPr>
                          <w:noProof/>
                        </w:rPr>
                      </w:pPr>
                      <w:r>
                        <w:rPr>
                          <w:noProof/>
                        </w:rPr>
                        <w:t xml:space="preserve">Additionally, the AFIS Portal enables substantial economies </w:t>
                      </w:r>
                      <w:r>
                        <w:rPr>
                          <w:noProof/>
                        </w:rPr>
                        <w:t>of scale and synergies in the development, maintenance and operation of such a wide and diverse set of information technology services and tools.</w:t>
                      </w:r>
                    </w:p>
                    <w:p w:rsidR="0060634A" w:rsidRDefault="00F76D44">
                      <w:pPr>
                        <w:pStyle w:val="PPOTitle3"/>
                        <w:spacing w:after="100"/>
                        <w:rPr>
                          <w:rFonts w:eastAsiaTheme="minorEastAsia"/>
                        </w:rPr>
                      </w:pPr>
                      <w:r>
                        <w:rPr>
                          <w:rFonts w:eastAsiaTheme="minorEastAsia"/>
                        </w:rPr>
                        <w:t>Outlook for the 2021-2027 period</w:t>
                      </w:r>
                    </w:p>
                    <w:p w:rsidR="0060634A" w:rsidRDefault="00F76D44">
                      <w:pPr>
                        <w:pStyle w:val="PPObodyText"/>
                        <w:rPr>
                          <w:noProof/>
                        </w:rPr>
                      </w:pPr>
                      <w:r>
                        <w:rPr>
                          <w:noProof/>
                        </w:rPr>
                        <w:t xml:space="preserve">The Commission proposed a continuation of the programme for the next </w:t>
                      </w:r>
                      <w:r>
                        <w:rPr>
                          <w:noProof/>
                        </w:rPr>
                        <w:t>multiannual financial framework in the new anti-fraud programme, which will also include the Hercule III programme.</w:t>
                      </w:r>
                    </w:p>
                  </w:txbxContent>
                </v:textbox>
                <w10:wrap type="topAndBottom" anchorx="page" anchory="page"/>
                <w10:anchorlock/>
              </v:shape>
            </w:pict>
          </mc:Fallback>
        </mc:AlternateContent>
      </w:r>
    </w:p>
    <w:p w:rsidR="0060634A" w:rsidRDefault="00F76D44">
      <w:pPr>
        <w:pStyle w:val="PPOsidebarchartLegends"/>
        <w:rPr>
          <w:rFonts w:eastAsiaTheme="minorEastAsia"/>
        </w:rPr>
      </w:pPr>
      <w:r>
        <w:rPr>
          <w:rFonts w:eastAsiaTheme="minorEastAsia"/>
          <w:szCs w:val="16"/>
          <w:lang w:val="fr-BE" w:eastAsia="fr-BE"/>
        </w:rPr>
        <mc:AlternateContent>
          <mc:Choice Requires="wps">
            <w:drawing>
              <wp:anchor distT="0" distB="0" distL="114300" distR="114300" simplePos="0" relativeHeight="251722752" behindDoc="0" locked="1" layoutInCell="1" allowOverlap="1">
                <wp:simplePos x="0" y="0"/>
                <wp:positionH relativeFrom="column">
                  <wp:posOffset>539750</wp:posOffset>
                </wp:positionH>
                <wp:positionV relativeFrom="paragraph">
                  <wp:posOffset>1270</wp:posOffset>
                </wp:positionV>
                <wp:extent cx="115200" cy="115200"/>
                <wp:effectExtent l="0" t="0" r="0" b="0"/>
                <wp:wrapNone/>
                <wp:docPr id="593" name="Oval 593"/>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00AD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58F0B4" id="Oval 593" o:spid="_x0000_s1026" style="position:absolute;margin-left:42.5pt;margin-top:.1pt;width:9.05pt;height:9.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" fillcolor="#00addc" stroked="f" strokeweight="1pt">
                <v:stroke joinstyle="miter"/>
                <w10:anchorlock/>
              </v:oval>
            </w:pict>
          </mc:Fallback>
        </mc:AlternateContent>
      </w:r>
      <w:r>
        <w:rPr>
          <w:rFonts w:eastAsiaTheme="minorEastAsia"/>
          <w:color w:val="00B050"/>
          <w:lang w:val="fr-BE" w:eastAsia="fr-BE"/>
        </w:rPr>
        <w:drawing>
          <wp:anchor distT="0" distB="0" distL="114300" distR="114300" simplePos="0" relativeHeight="251719680" behindDoc="1" locked="1" layoutInCell="1" allowOverlap="1">
            <wp:simplePos x="0" y="0"/>
            <wp:positionH relativeFrom="page">
              <wp:posOffset>-414655</wp:posOffset>
            </wp:positionH>
            <wp:positionV relativeFrom="paragraph">
              <wp:posOffset>-1596390</wp:posOffset>
            </wp:positionV>
            <wp:extent cx="3412490" cy="1990725"/>
            <wp:effectExtent l="0" t="0" r="0" b="0"/>
            <wp:wrapNone/>
            <wp:docPr id="601" name="Chart 6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2"/>
              </a:graphicData>
            </a:graphic>
            <wp14:sizeRelH relativeFrom="margin">
              <wp14:pctWidth>0</wp14:pctWidth>
            </wp14:sizeRelH>
            <wp14:sizeRelV relativeFrom="margin">
              <wp14:pctHeight>0</wp14:pctHeight>
            </wp14:sizeRelV>
          </wp:anchor>
        </w:drawing>
      </w:r>
      <w:r>
        <w:rPr>
          <w:rFonts w:eastAsiaTheme="minorEastAsia"/>
          <w:szCs w:val="16"/>
          <w:lang w:val="fr-BE" w:eastAsia="fr-BE"/>
        </w:rPr>
        <mc:AlternateContent>
          <mc:Choice Requires="wps">
            <w:drawing>
              <wp:anchor distT="0" distB="0" distL="114300" distR="114300" simplePos="0" relativeHeight="251721728" behindDoc="0" locked="1" layoutInCell="1" allowOverlap="1">
                <wp:simplePos x="0" y="0"/>
                <wp:positionH relativeFrom="column">
                  <wp:posOffset>539750</wp:posOffset>
                </wp:positionH>
                <wp:positionV relativeFrom="paragraph">
                  <wp:posOffset>195580</wp:posOffset>
                </wp:positionV>
                <wp:extent cx="115200" cy="115200"/>
                <wp:effectExtent l="0" t="0" r="0" b="0"/>
                <wp:wrapNone/>
                <wp:docPr id="594" name="Oval 594"/>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177354" id="Oval 594" o:spid="_x0000_s1026" style="position:absolute;margin-left:42.5pt;margin-top:15.4pt;width:9.05pt;height:9.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" fillcolor="#28296e" stroked="f" strokeweight="1pt">
                <v:stroke joinstyle="miter"/>
                <w10:anchorlock/>
              </v:oval>
            </w:pict>
          </mc:Fallback>
        </mc:AlternateContent>
      </w:r>
      <w:r>
        <w:rPr>
          <w:rFonts w:eastAsiaTheme="minorEastAsia"/>
        </w:rPr>
        <w:t>Payments</w:t>
      </w:r>
    </w:p>
    <w:p w:rsidR="0060634A" w:rsidRDefault="00F76D44">
      <w:pPr>
        <w:pStyle w:val="PPOsidebarchartLegends"/>
        <w:rPr>
          <w:rFonts w:eastAsiaTheme="minorEastAsia"/>
        </w:rPr>
      </w:pPr>
      <w:r>
        <w:rPr>
          <w:rFonts w:eastAsiaTheme="minorEastAsia"/>
        </w:rPr>
        <w:t>Commitments</w:t>
      </w:r>
    </w:p>
    <w:p w:rsidR="0060634A" w:rsidRDefault="00F76D44">
      <w:pPr>
        <w:pStyle w:val="PPO1AsidebarTitleLightBlue"/>
        <w:rPr>
          <w:rFonts w:eastAsiaTheme="minorEastAsia"/>
        </w:rPr>
      </w:pPr>
      <w:r>
        <w:rPr>
          <w:rFonts w:eastAsiaTheme="minorEastAsia"/>
        </w:rPr>
        <w:t>How is it implemented?</w:t>
      </w:r>
    </w:p>
    <w:tbl>
      <w:tblPr>
        <w:tblStyle w:val="TableGrid"/>
        <w:tblpPr w:vertAnchor="page" w:horzAnchor="page" w:tblpX="3663" w:tblpY="13629"/>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60634A">
        <w:trPr>
          <w:cantSplit/>
        </w:trPr>
        <w:tc>
          <w:tcPr>
            <w:tcW w:w="7792" w:type="dxa"/>
            <w:gridSpan w:val="3"/>
            <w:vAlign w:val="center"/>
          </w:tcPr>
          <w:p w:rsidR="0060634A" w:rsidRDefault="00F76D44">
            <w:pPr>
              <w:pStyle w:val="PPOTitle3-nospacebefore"/>
              <w:ind w:left="-108"/>
              <w:rPr>
                <w:rFonts w:eastAsiaTheme="minorEastAsia"/>
                <w:lang w:val="en-GB"/>
              </w:rPr>
            </w:pPr>
            <w:r>
              <w:rPr>
                <w:rFonts w:eastAsiaTheme="minorEastAsia"/>
                <w:lang w:val="en-GB"/>
              </w:rPr>
              <w:t>Voted budget execution (in million EUR)</w:t>
            </w:r>
          </w:p>
        </w:tc>
      </w:tr>
      <w:tr w:rsidR="0060634A">
        <w:tblPrEx>
          <w:tblCellMar>
            <w:left w:w="57" w:type="dxa"/>
            <w:right w:w="57" w:type="dxa"/>
          </w:tblCellMar>
        </w:tblPrEx>
        <w:trPr>
          <w:cantSplit/>
        </w:trPr>
        <w:tc>
          <w:tcPr>
            <w:tcW w:w="3471" w:type="dxa"/>
            <w:shd w:val="clear" w:color="auto" w:fill="00ADDC"/>
            <w:vAlign w:val="center"/>
          </w:tcPr>
          <w:p w:rsidR="0060634A" w:rsidRDefault="00F76D44">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00ADDC"/>
            <w:vAlign w:val="center"/>
          </w:tcPr>
          <w:p w:rsidR="0060634A" w:rsidRDefault="0060634A">
            <w:pPr>
              <w:spacing w:afterAutospacing="1"/>
              <w:jc w:val="center"/>
              <w:rPr>
                <w:noProof/>
                <w:sz w:val="18"/>
              </w:rPr>
            </w:pPr>
          </w:p>
        </w:tc>
        <w:tc>
          <w:tcPr>
            <w:tcW w:w="3471" w:type="dxa"/>
            <w:shd w:val="clear" w:color="auto" w:fill="00ADDC"/>
            <w:vAlign w:val="center"/>
          </w:tcPr>
          <w:p w:rsidR="0060634A" w:rsidRDefault="00F76D44">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60634A">
        <w:trPr>
          <w:cantSplit/>
        </w:trPr>
        <w:tc>
          <w:tcPr>
            <w:tcW w:w="3471" w:type="dxa"/>
            <w:shd w:val="clear" w:color="auto" w:fill="DCE6F2"/>
            <w:vAlign w:val="center"/>
          </w:tcPr>
          <w:p w:rsidR="0060634A" w:rsidRDefault="00F76D44">
            <w:pPr>
              <w:spacing w:after="100" w:afterAutospacing="1"/>
              <w:jc w:val="center"/>
              <w:rPr>
                <w:noProof/>
                <w:color w:val="0070C0"/>
                <w:sz w:val="18"/>
              </w:rPr>
            </w:pPr>
            <w:r>
              <w:rPr>
                <w:noProof/>
                <w:color w:val="0070C0"/>
                <w:sz w:val="18"/>
                <w:lang w:eastAsia="fr-BE"/>
              </w:rPr>
              <w:drawing>
                <wp:inline distT="0" distB="0" distL="0" distR="0">
                  <wp:extent cx="2158365" cy="890270"/>
                  <wp:effectExtent l="0" t="0" r="0" b="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c>
          <w:tcPr>
            <w:tcW w:w="850" w:type="dxa"/>
            <w:shd w:val="clear" w:color="auto" w:fill="DCE6F2"/>
            <w:vAlign w:val="center"/>
          </w:tcPr>
          <w:p w:rsidR="0060634A" w:rsidRDefault="00F76D44">
            <w:pPr>
              <w:pStyle w:val="PPOVotedbudgetTABLEtextBlue"/>
              <w:framePr w:hSpace="0" w:wrap="auto" w:vAnchor="margin" w:hAnchor="text" w:xAlign="left" w:yAlign="inline"/>
              <w:suppressOverlap w:val="0"/>
              <w:rPr>
                <w:rFonts w:asciiTheme="minorHAnsi" w:eastAsiaTheme="minorEastAsia" w:hAnsiTheme="minorHAnsi" w:cstheme="minorBidi"/>
              </w:rPr>
            </w:pPr>
            <w:r>
              <w:rPr>
                <w:rFonts w:asciiTheme="minorHAnsi" w:eastAsiaTheme="minorEastAsia" w:hAnsiTheme="minorHAnsi" w:cstheme="minorBidi"/>
              </w:rPr>
              <w:t>2017</w:t>
            </w:r>
          </w:p>
          <w:p w:rsidR="0060634A" w:rsidRDefault="00F76D44">
            <w:pPr>
              <w:pStyle w:val="PPOVotedbudgetTABLEtextBlue"/>
              <w:framePr w:hSpace="0" w:wrap="auto" w:vAnchor="margin" w:hAnchor="text" w:xAlign="left" w:yAlign="inline"/>
              <w:suppressOverlap w:val="0"/>
              <w:rPr>
                <w:rFonts w:asciiTheme="minorHAnsi" w:eastAsiaTheme="minorEastAsia" w:hAnsiTheme="minorHAnsi" w:cstheme="minorBidi"/>
              </w:rPr>
            </w:pPr>
            <w:r>
              <w:rPr>
                <w:rFonts w:asciiTheme="minorHAnsi" w:eastAsiaTheme="minorEastAsia" w:hAnsiTheme="minorHAnsi" w:cstheme="minorBidi"/>
              </w:rPr>
              <w:t>2018</w:t>
            </w:r>
          </w:p>
          <w:p w:rsidR="0060634A" w:rsidRDefault="00F76D44">
            <w:pPr>
              <w:pStyle w:val="PPOVotedbudgetTABLEtextBlue"/>
              <w:framePr w:hSpace="0" w:wrap="auto" w:vAnchor="margin" w:hAnchor="text" w:xAlign="left" w:yAlign="inline"/>
              <w:suppressOverlap w:val="0"/>
              <w:rPr>
                <w:rFonts w:ascii="EC Square Sans Pro" w:eastAsiaTheme="minorEastAsia" w:hAnsi="EC Square Sans Pro" w:cstheme="minorBidi"/>
                <w:sz w:val="18"/>
              </w:rPr>
            </w:pPr>
            <w:r>
              <w:rPr>
                <w:rFonts w:asciiTheme="minorHAnsi" w:eastAsiaTheme="minorEastAsia" w:hAnsiTheme="minorHAnsi" w:cstheme="minorBidi"/>
              </w:rPr>
              <w:t>2019</w:t>
            </w:r>
          </w:p>
        </w:tc>
        <w:tc>
          <w:tcPr>
            <w:tcW w:w="3471" w:type="dxa"/>
            <w:shd w:val="clear" w:color="auto" w:fill="DCE6F2"/>
            <w:vAlign w:val="center"/>
          </w:tcPr>
          <w:p w:rsidR="0060634A" w:rsidRDefault="00F76D44">
            <w:pPr>
              <w:spacing w:after="100" w:afterAutospacing="1"/>
              <w:jc w:val="center"/>
              <w:rPr>
                <w:noProof/>
                <w:color w:val="FFFFFF" w:themeColor="background1"/>
                <w:sz w:val="18"/>
              </w:rPr>
            </w:pPr>
            <w:r>
              <w:rPr>
                <w:noProof/>
                <w:color w:val="FFFFFF" w:themeColor="background1"/>
                <w:sz w:val="18"/>
                <w:lang w:eastAsia="fr-BE"/>
              </w:rPr>
              <w:drawing>
                <wp:inline distT="0" distB="0" distL="0" distR="0">
                  <wp:extent cx="2158365" cy="890270"/>
                  <wp:effectExtent l="0" t="0" r="0"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r>
    </w:tbl>
    <w:p w:rsidR="0060634A" w:rsidRDefault="00F76D44">
      <w:pPr>
        <w:pStyle w:val="PPOsidebartext"/>
        <w:rPr>
          <w:rFonts w:eastAsiaTheme="minorEastAsia"/>
        </w:rPr>
      </w:pPr>
      <w:r>
        <w:rPr>
          <w:rFonts w:eastAsiaTheme="minorEastAsia"/>
        </w:rPr>
        <w:t>The European Anti-Fraud Office is the lead service for the implementation of the programme. The programme is managed directly by the European Anti-Fraud Office through platform development (information technology systems).</w:t>
      </w:r>
    </w:p>
    <w:p w:rsidR="0060634A" w:rsidRDefault="00F76D44">
      <w:pPr>
        <w:pStyle w:val="PPO1ATitle1"/>
        <w:rPr>
          <w:rFonts w:eastAsiaTheme="minorEastAsia"/>
        </w:rPr>
      </w:pPr>
      <w:r>
        <w:rPr>
          <w:rStyle w:val="Title3Char"/>
          <w:rFonts w:eastAsiaTheme="minorEastAsia"/>
        </w:rPr>
        <w:br w:type="column"/>
      </w:r>
      <w:bookmarkStart w:id="46" w:name="_Toc39583687"/>
      <w:r>
        <w:rPr>
          <w:rFonts w:eastAsiaTheme="minorEastAsia"/>
        </w:rPr>
        <w:t>AFIS</w:t>
      </w:r>
      <w:bookmarkEnd w:id="46"/>
    </w:p>
    <w:p w:rsidR="0060634A" w:rsidRDefault="00F76D44">
      <w:pPr>
        <w:spacing w:after="120"/>
        <w:rPr>
          <w:rStyle w:val="Title3Char"/>
          <w:rFonts w:eastAsiaTheme="minorEastAsia"/>
        </w:rPr>
      </w:pPr>
      <w:r>
        <w:rPr>
          <w:noProof/>
          <w:color w:val="00ADDC"/>
        </w:rPr>
        <w:t xml:space="preserve">ANTI-FRAUD </w:t>
      </w:r>
      <w:r>
        <w:rPr>
          <w:noProof/>
          <w:color w:val="00ADDC"/>
        </w:rPr>
        <w:t>INFORMATION SYSTEM</w:t>
      </w:r>
      <w:r>
        <w:rPr>
          <w:rStyle w:val="Title3Char"/>
          <w:rFonts w:eastAsiaTheme="minorEastAsia"/>
        </w:rPr>
        <w:t xml:space="preserve"> </w:t>
      </w:r>
    </w:p>
    <w:p w:rsidR="0060634A" w:rsidRDefault="00F76D44">
      <w:pPr>
        <w:pStyle w:val="PPOTitle3"/>
        <w:rPr>
          <w:rFonts w:eastAsiaTheme="minorEastAsia"/>
        </w:rPr>
      </w:pPr>
      <w:r>
        <w:rPr>
          <w:rFonts w:eastAsiaTheme="minorEastAsia"/>
        </w:rPr>
        <w:t>What is AFIS?</w:t>
      </w:r>
    </w:p>
    <w:p w:rsidR="0060634A" w:rsidRDefault="00F76D44">
      <w:pPr>
        <w:pStyle w:val="PPObodyText"/>
        <w:rPr>
          <w:noProof/>
        </w:rPr>
      </w:pPr>
      <w:r>
        <w:rPr>
          <w:noProof/>
          <w:lang w:val="fr-BE" w:eastAsia="fr-BE"/>
        </w:rPr>
        <mc:AlternateContent>
          <mc:Choice Requires="wps">
            <w:drawing>
              <wp:anchor distT="0" distB="0" distL="114300" distR="114300" simplePos="0" relativeHeight="251725824" behindDoc="0" locked="1" layoutInCell="1" allowOverlap="1">
                <wp:simplePos x="0" y="0"/>
                <wp:positionH relativeFrom="page">
                  <wp:posOffset>4762500</wp:posOffset>
                </wp:positionH>
                <wp:positionV relativeFrom="page">
                  <wp:posOffset>6082030</wp:posOffset>
                </wp:positionV>
                <wp:extent cx="2437130" cy="2146300"/>
                <wp:effectExtent l="0" t="0" r="1270" b="6350"/>
                <wp:wrapTopAndBottom/>
                <wp:docPr id="595" name="Text Box 595"/>
                <wp:cNvGraphicFramePr/>
                <a:graphic xmlns:a="http://schemas.openxmlformats.org/drawingml/2006/main">
                  <a:graphicData uri="http://schemas.microsoft.com/office/word/2010/wordprocessingShape">
                    <wps:wsp>
                      <wps:cNvSpPr txBox="1"/>
                      <wps:spPr>
                        <a:xfrm>
                          <a:off x="0" y="0"/>
                          <a:ext cx="2437130" cy="2146300"/>
                        </a:xfrm>
                        <a:prstGeom prst="rect">
                          <a:avLst/>
                        </a:prstGeom>
                        <a:solidFill>
                          <a:schemeClr val="lt1"/>
                        </a:solidFill>
                        <a:ln w="6350">
                          <a:noFill/>
                        </a:ln>
                      </wps:spPr>
                      <wps:linkedTxbx id="91"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5" o:spid="_x0000_s1171" type="#_x0000_t202" style="position:absolute;left:0;text-align:left;margin-left:375pt;margin-top:478.9pt;width:191.9pt;height:169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" fillcolor="white [3201]" stroked="f" strokeweight=".5pt">
                <v:textbox inset=",,0">
                  <w:txbxContent/>
                </v:textbox>
                <w10:wrap type="topAndBottom" anchorx="page" anchory="page"/>
                <w10:anchorlock/>
              </v:shape>
            </w:pict>
          </mc:Fallback>
        </mc:AlternateContent>
      </w:r>
      <w:r>
        <w:rPr>
          <w:noProof/>
        </w:rPr>
        <w:t>The Anti-Fraud Information System (AFIS) is an umbrella term for a set of anti-fraud applications operated by the European Anti-Fraud Office under a common technical infrastructure aiming at the timely and secure exchange</w:t>
      </w:r>
      <w:r>
        <w:rPr>
          <w:noProof/>
        </w:rPr>
        <w:t xml:space="preserve"> of fraud-related information between the competent national and EU administrations, along with storage and analysis of relevant data. The AFIS programme encompasses two major areas: mutual assistance in customs matters and irregularities management.</w:t>
      </w:r>
    </w:p>
    <w:p w:rsidR="0060634A" w:rsidRDefault="00F76D44">
      <w:pPr>
        <w:pStyle w:val="PPObodyText"/>
        <w:rPr>
          <w:noProof/>
        </w:rPr>
      </w:pPr>
      <w:r>
        <w:rPr>
          <w:noProof/>
        </w:rPr>
        <w:t xml:space="preserve">AFIS </w:t>
      </w:r>
      <w:r>
        <w:rPr>
          <w:noProof/>
        </w:rPr>
        <w:t>supports mutual assistance in customs matters with collaboration tools such as the Virtual Operations Coordination Unit used for joint customs operations, secure web mail (AFISMail), specific information exchange modules and databases like the Customs Info</w:t>
      </w:r>
      <w:r>
        <w:rPr>
          <w:noProof/>
        </w:rPr>
        <w:t>rmation System and the Customs Investigation Files Identification Database, analysis tools like the Anti-Fraud Transit Information System and electronic workflow applications like the Tobacco Seizures Management Application.</w:t>
      </w:r>
    </w:p>
    <w:p w:rsidR="0060634A" w:rsidRDefault="00F76D44">
      <w:pPr>
        <w:pStyle w:val="PPObodyText"/>
        <w:spacing w:after="360"/>
        <w:rPr>
          <w:noProof/>
        </w:rPr>
      </w:pPr>
      <w:r>
        <w:rPr>
          <w:noProof/>
        </w:rPr>
        <w:t>AFIS also provides the Irregula</w:t>
      </w:r>
      <w:r>
        <w:rPr>
          <w:noProof/>
        </w:rPr>
        <w:t>rities Management System, a secure electronic tool which allows the Member States to fulfil their obligation to report irregularities detected in agricultural, structural, cohesion and fisheries funds, the Asylum, Migration and Integration Fund, the Intern</w:t>
      </w:r>
      <w:r>
        <w:rPr>
          <w:noProof/>
        </w:rPr>
        <w:t>al Security Fund Police, the Fund for European Aid to the Most Deprived and pre-accession aid. The tool supports the management and analysis of irregularities.</w:t>
      </w:r>
    </w:p>
    <w:tbl>
      <w:tblPr>
        <w:tblStyle w:val="TableGrid"/>
        <w:tblpPr w:leftFromText="181" w:rightFromText="340" w:vertAnchor="text" w:tblpX="108" w:tblpY="1"/>
        <w:tblW w:w="7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7789"/>
      </w:tblGrid>
      <w:tr w:rsidR="0060634A">
        <w:trPr>
          <w:trHeight w:val="2428"/>
        </w:trPr>
        <w:tc>
          <w:tcPr>
            <w:tcW w:w="7789" w:type="dxa"/>
            <w:shd w:val="clear" w:color="auto" w:fill="F2F2F2" w:themeFill="background1" w:themeFillShade="F2"/>
          </w:tcPr>
          <w:p w:rsidR="0060634A" w:rsidRDefault="00F76D44">
            <w:pPr>
              <w:pStyle w:val="PPO1ASpecificobjectivesBOX-HeadingLightBlue"/>
              <w:rPr>
                <w:rFonts w:eastAsiaTheme="minorEastAsia"/>
                <w:lang w:val="en-GB"/>
              </w:rPr>
            </w:pPr>
            <w:r>
              <w:rPr>
                <w:rFonts w:eastAsiaTheme="minorEastAsia"/>
                <w:lang w:val="en-GB"/>
              </w:rPr>
              <w:t>Specific objectives</w:t>
            </w:r>
            <w:r>
              <w:rPr>
                <w:rFonts w:eastAsiaTheme="minorEastAsia"/>
                <w:lang w:eastAsia="fr-BE"/>
              </w:rPr>
              <mc:AlternateContent>
                <mc:Choice Requires="wps">
                  <w:drawing>
                    <wp:anchor distT="0" distB="0" distL="114300" distR="114300" simplePos="0" relativeHeight="251723776"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24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00ADDC"/>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28E903" id="Freeform 6" o:spid="_x0000_s1026" style="position:absolute;margin-left:4pt;margin-top:1.4pt;width:21.25pt;height:21.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00addc"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p>
          <w:p w:rsidR="0060634A" w:rsidRDefault="00F76D44">
            <w:pPr>
              <w:pStyle w:val="PPOTitle3"/>
              <w:rPr>
                <w:rFonts w:eastAsiaTheme="minorEastAsia"/>
                <w:lang w:val="en-GB"/>
              </w:rPr>
            </w:pPr>
            <w:r>
              <w:rPr>
                <w:rFonts w:eastAsiaTheme="minorEastAsia"/>
                <w:lang w:val="en-GB"/>
              </w:rPr>
              <w:t>Supporting education and training</w:t>
            </w:r>
          </w:p>
          <w:p w:rsidR="0060634A" w:rsidRDefault="00F76D44">
            <w:pPr>
              <w:pStyle w:val="PPO1ASpecificobjectivesBOX-BulletLightBlue"/>
              <w:numPr>
                <w:ilvl w:val="0"/>
                <w:numId w:val="10"/>
              </w:numPr>
              <w:rPr>
                <w:rFonts w:ascii="EC Square Sans Cond Pro" w:hAnsi="EC Square Sans Cond Pro"/>
                <w:lang w:val="en-GB"/>
              </w:rPr>
            </w:pPr>
            <w:r>
              <w:rPr>
                <w:rFonts w:ascii="EC Square Sans Cond Pro" w:hAnsi="EC Square Sans Cond Pro"/>
                <w:lang w:val="en-GB"/>
              </w:rPr>
              <w:t xml:space="preserve">To support mutual assistance in customs </w:t>
            </w:r>
            <w:r>
              <w:rPr>
                <w:rFonts w:ascii="EC Square Sans Cond Pro" w:hAnsi="EC Square Sans Cond Pro"/>
                <w:lang w:val="en-GB"/>
              </w:rPr>
              <w:t>matters through the provision of secure information exchange tools for joint operations and specific customs anti-fraud information exchange modules and databases such as the Customs Information System.</w:t>
            </w:r>
          </w:p>
          <w:p w:rsidR="0060634A" w:rsidRDefault="00F76D44">
            <w:pPr>
              <w:pStyle w:val="PPO1ASpecificobjectivesBOX-BulletLightBlue"/>
              <w:numPr>
                <w:ilvl w:val="0"/>
                <w:numId w:val="10"/>
              </w:numPr>
              <w:rPr>
                <w:szCs w:val="14"/>
                <w:lang w:val="en-GB"/>
              </w:rPr>
            </w:pPr>
            <w:r>
              <w:rPr>
                <w:rFonts w:ascii="EC Square Sans Cond Pro" w:hAnsi="EC Square Sans Cond Pro"/>
                <w:lang w:val="en-GB"/>
              </w:rPr>
              <w:t xml:space="preserve">To facilitate secure electronic communication tools </w:t>
            </w:r>
            <w:r>
              <w:rPr>
                <w:rFonts w:ascii="EC Square Sans Cond Pro" w:hAnsi="EC Square Sans Cond Pro"/>
                <w:lang w:val="en-GB"/>
              </w:rPr>
              <w:t>for the Member States that allow them to fulfil their obligation to report irregularities detected in agricultural, structural, cohesion and fisheries funds and pre-accession aid</w:t>
            </w:r>
            <w:r>
              <w:rPr>
                <w:rFonts w:ascii="EC Square Sans Cond Pro" w:hAnsi="EC Square Sans Cond Pro"/>
                <w:lang w:val="en-US"/>
              </w:rPr>
              <w:t>.</w:t>
            </w:r>
            <w:r>
              <w:rPr>
                <w:rFonts w:ascii="EC Square Sans Cond Pro" w:hAnsi="EC Square Sans Cond Pro"/>
                <w:lang w:val="en-GB"/>
              </w:rPr>
              <w:t xml:space="preserve"> </w:t>
            </w:r>
          </w:p>
        </w:tc>
      </w:tr>
    </w:tbl>
    <w:p w:rsidR="0060634A" w:rsidRDefault="0060634A">
      <w:pPr>
        <w:framePr w:w="6721" w:wrap="auto" w:hAnchor="text" w:x="3544"/>
        <w:jc w:val="both"/>
        <w:rPr>
          <w:b/>
          <w:noProof/>
          <w:color w:val="1F95A5"/>
        </w:rPr>
        <w:sectPr w:rsidR="0060634A">
          <w:headerReference w:type="even" r:id="rId455"/>
          <w:headerReference w:type="default" r:id="rId456"/>
          <w:footerReference w:type="even" r:id="rId457"/>
          <w:footerReference w:type="default" r:id="rId458"/>
          <w:headerReference w:type="first" r:id="rId459"/>
          <w:footerReference w:type="first" r:id="rId460"/>
          <w:pgSz w:w="11906" w:h="16838"/>
          <w:pgMar w:top="567" w:right="567" w:bottom="567" w:left="567" w:header="567" w:footer="454" w:gutter="0"/>
          <w:paperSrc w:first="15" w:other="15"/>
          <w:cols w:num="2" w:space="708" w:equalWidth="0">
            <w:col w:w="2269" w:space="708"/>
            <w:col w:w="7795"/>
          </w:cols>
          <w:docGrid w:linePitch="360"/>
        </w:sectPr>
      </w:pPr>
    </w:p>
    <w:p w:rsidR="0060634A" w:rsidRDefault="00F76D44">
      <w:pPr>
        <w:pStyle w:val="PPOTitle3-nospacebefore"/>
        <w:rPr>
          <w:rFonts w:eastAsiaTheme="minorEastAsia"/>
          <w:color w:val="000000"/>
        </w:rPr>
      </w:pPr>
      <w:r>
        <w:rPr>
          <w:rFonts w:eastAsiaTheme="minorEastAsia"/>
        </w:rPr>
        <w:t>Key performance indicators</w:t>
      </w:r>
      <w:r>
        <w:rPr>
          <w:rFonts w:eastAsiaTheme="minorEastAsia"/>
          <w:color w:val="000000"/>
          <w:lang w:eastAsia="en-GB"/>
        </w:rPr>
        <w:t xml:space="preserve"> </w:t>
      </w:r>
    </w:p>
    <w:tbl>
      <w:tblPr>
        <w:tblStyle w:val="TableGrid"/>
        <w:tblW w:w="10665"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3068"/>
        <w:gridCol w:w="707"/>
        <w:gridCol w:w="3478"/>
        <w:gridCol w:w="728"/>
        <w:gridCol w:w="2684"/>
      </w:tblGrid>
      <w:tr w:rsidR="0060634A">
        <w:trPr>
          <w:trHeight w:val="333"/>
        </w:trPr>
        <w:tc>
          <w:tcPr>
            <w:tcW w:w="3078" w:type="dxa"/>
            <w:vAlign w:val="center"/>
          </w:tcPr>
          <w:p w:rsidR="0060634A" w:rsidRDefault="0060634A">
            <w:pPr>
              <w:ind w:left="142"/>
              <w:jc w:val="right"/>
              <w:rPr>
                <w:noProof/>
                <w:sz w:val="16"/>
                <w:szCs w:val="16"/>
              </w:rPr>
            </w:pPr>
          </w:p>
        </w:tc>
        <w:tc>
          <w:tcPr>
            <w:tcW w:w="707" w:type="dxa"/>
            <w:vAlign w:val="bottom"/>
          </w:tcPr>
          <w:p w:rsidR="0060634A" w:rsidRDefault="00F76D44">
            <w:pPr>
              <w:jc w:val="center"/>
              <w:rPr>
                <w:b/>
                <w:noProof/>
                <w:color w:val="28296E"/>
                <w:sz w:val="16"/>
                <w:szCs w:val="16"/>
              </w:rPr>
            </w:pPr>
            <w:r>
              <w:rPr>
                <w:b/>
                <w:noProof/>
                <w:color w:val="28296E"/>
                <w:sz w:val="16"/>
                <w:szCs w:val="16"/>
              </w:rPr>
              <w:t>Baseline</w:t>
            </w:r>
          </w:p>
        </w:tc>
        <w:tc>
          <w:tcPr>
            <w:tcW w:w="3458" w:type="dxa"/>
            <w:vAlign w:val="center"/>
          </w:tcPr>
          <w:p w:rsidR="0060634A" w:rsidRDefault="00F76D44">
            <w:pPr>
              <w:ind w:left="142"/>
              <w:jc w:val="center"/>
              <w:rPr>
                <w:b/>
                <w:noProof/>
                <w:color w:val="28296E"/>
                <w:sz w:val="16"/>
                <w:szCs w:val="16"/>
              </w:rPr>
            </w:pPr>
            <w:r>
              <w:rPr>
                <w:b/>
                <w:noProof/>
                <w:color w:val="28296E"/>
                <w:sz w:val="16"/>
                <w:szCs w:val="16"/>
              </w:rPr>
              <w:t>PROGRESS TOWARDS THE TARGET</w:t>
            </w:r>
          </w:p>
        </w:tc>
        <w:tc>
          <w:tcPr>
            <w:tcW w:w="729" w:type="dxa"/>
            <w:vAlign w:val="bottom"/>
          </w:tcPr>
          <w:p w:rsidR="0060634A" w:rsidRDefault="00F76D44">
            <w:pPr>
              <w:jc w:val="center"/>
              <w:rPr>
                <w:b/>
                <w:noProof/>
                <w:color w:val="28296E"/>
                <w:sz w:val="16"/>
                <w:szCs w:val="16"/>
              </w:rPr>
            </w:pPr>
            <w:r>
              <w:rPr>
                <w:b/>
                <w:noProof/>
                <w:color w:val="28296E"/>
                <w:sz w:val="16"/>
                <w:szCs w:val="16"/>
              </w:rPr>
              <w:t>Target</w:t>
            </w:r>
          </w:p>
        </w:tc>
        <w:tc>
          <w:tcPr>
            <w:tcW w:w="2693" w:type="dxa"/>
            <w:vAlign w:val="bottom"/>
          </w:tcPr>
          <w:p w:rsidR="0060634A" w:rsidRDefault="00F76D44">
            <w:pPr>
              <w:jc w:val="center"/>
              <w:rPr>
                <w:b/>
                <w:noProof/>
                <w:color w:val="28296E"/>
                <w:sz w:val="16"/>
                <w:szCs w:val="16"/>
              </w:rPr>
            </w:pPr>
            <w:r>
              <w:rPr>
                <w:b/>
                <w:noProof/>
                <w:color w:val="28296E"/>
                <w:sz w:val="16"/>
                <w:szCs w:val="16"/>
              </w:rPr>
              <w:t>Results</w:t>
            </w:r>
          </w:p>
        </w:tc>
      </w:tr>
      <w:tr w:rsidR="0060634A">
        <w:tblPrEx>
          <w:tblCellMar>
            <w:left w:w="108" w:type="dxa"/>
            <w:right w:w="108" w:type="dxa"/>
          </w:tblCellMar>
        </w:tblPrEx>
        <w:trPr>
          <w:trHeight w:val="344"/>
        </w:trPr>
        <w:tc>
          <w:tcPr>
            <w:tcW w:w="3078"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Mutual assistance – </w:t>
            </w:r>
            <w:r>
              <w:rPr>
                <w:rFonts w:ascii="EC Square Sans Cond Pro" w:hAnsi="EC Square Sans Cond Pro" w:cs="EC Square Sans Cond Pro"/>
                <w:noProof/>
                <w:color w:val="000000"/>
                <w:sz w:val="16"/>
                <w:szCs w:val="16"/>
                <w:lang w:val="en-GB" w:eastAsia="en-GB"/>
              </w:rPr>
              <w:t>information exchange: number of active customs fraud cases</w:t>
            </w:r>
          </w:p>
        </w:tc>
        <w:tc>
          <w:tcPr>
            <w:tcW w:w="707" w:type="dxa"/>
            <w:vAlign w:val="center"/>
          </w:tcPr>
          <w:p w:rsidR="0060634A" w:rsidRDefault="00F76D44">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lang w:eastAsia="en-GB"/>
              </w:rPr>
              <w:t>8 000</w:t>
            </w:r>
          </w:p>
        </w:tc>
        <w:tc>
          <w:tcPr>
            <w:tcW w:w="3458"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81200" cy="139700"/>
                  <wp:effectExtent l="0" t="0" r="0" b="0"/>
                  <wp:docPr id="604" name="Chart 6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1"/>
                    </a:graphicData>
                  </a:graphic>
                </wp:inline>
              </w:drawing>
            </w:r>
          </w:p>
        </w:tc>
        <w:tc>
          <w:tcPr>
            <w:tcW w:w="729"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24 000</w:t>
            </w:r>
          </w:p>
        </w:tc>
        <w:tc>
          <w:tcPr>
            <w:tcW w:w="2693" w:type="dxa"/>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18</w:t>
            </w:r>
            <w:r>
              <w:rPr>
                <w:rFonts w:cs="Calibri"/>
                <w:noProof/>
                <w:color w:val="000000"/>
                <w:sz w:val="16"/>
                <w:szCs w:val="16"/>
                <w:lang w:eastAsia="en-GB"/>
              </w:rPr>
              <w:t> </w:t>
            </w:r>
            <w:r>
              <w:rPr>
                <w:rFonts w:ascii="EC Square Sans Cond Pro" w:hAnsi="EC Square Sans Cond Pro" w:cs="EC Square Sans Cond Pro"/>
                <w:noProof/>
                <w:color w:val="000000"/>
                <w:sz w:val="16"/>
                <w:szCs w:val="16"/>
                <w:lang w:eastAsia="en-GB"/>
              </w:rPr>
              <w:t>639 out of 24</w:t>
            </w:r>
            <w:r>
              <w:rPr>
                <w:rFonts w:cs="Calibri"/>
                <w:noProof/>
                <w:color w:val="000000"/>
                <w:sz w:val="16"/>
                <w:szCs w:val="16"/>
                <w:lang w:eastAsia="en-GB"/>
              </w:rPr>
              <w:t> </w:t>
            </w:r>
            <w:r>
              <w:rPr>
                <w:rFonts w:ascii="EC Square Sans Cond Pro" w:hAnsi="EC Square Sans Cond Pro" w:cs="EC Square Sans Cond Pro"/>
                <w:noProof/>
                <w:color w:val="000000"/>
                <w:sz w:val="16"/>
                <w:szCs w:val="16"/>
                <w:lang w:eastAsia="en-GB"/>
              </w:rPr>
              <w:t>000 cases</w:t>
            </w:r>
          </w:p>
        </w:tc>
      </w:tr>
      <w:tr w:rsidR="0060634A">
        <w:tblPrEx>
          <w:tblCellMar>
            <w:left w:w="108" w:type="dxa"/>
            <w:right w:w="108" w:type="dxa"/>
          </w:tblCellMar>
        </w:tblPrEx>
        <w:trPr>
          <w:trHeight w:val="318"/>
        </w:trPr>
        <w:tc>
          <w:tcPr>
            <w:tcW w:w="3078"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Mutual assistance – number of joint customs operations</w:t>
            </w:r>
            <w:r>
              <w:rPr>
                <w:rFonts w:cs="Calibri"/>
                <w:noProof/>
                <w:sz w:val="16"/>
                <w:lang w:val="en-GB"/>
              </w:rPr>
              <w:t> </w:t>
            </w:r>
            <w:r>
              <w:rPr>
                <w:rFonts w:ascii="EC Square Sans Cond Pro" w:hAnsi="EC Square Sans Cond Pro"/>
                <w:noProof/>
                <w:sz w:val="16"/>
                <w:lang w:val="en-GB"/>
              </w:rPr>
              <w:t>(</w:t>
            </w:r>
            <w:r>
              <w:rPr>
                <w:rFonts w:ascii="EC Square Sans Cond Pro" w:hAnsi="EC Square Sans Cond Pro"/>
                <w:noProof/>
                <w:sz w:val="16"/>
                <w:vertAlign w:val="superscript"/>
                <w:lang w:val="en-GB"/>
              </w:rPr>
              <w:t>1</w:t>
            </w:r>
            <w:r>
              <w:rPr>
                <w:rFonts w:ascii="EC Square Sans Cond Pro" w:hAnsi="EC Square Sans Cond Pro"/>
                <w:noProof/>
                <w:sz w:val="16"/>
                <w:lang w:val="en-GB"/>
              </w:rPr>
              <w:t>)</w:t>
            </w:r>
          </w:p>
        </w:tc>
        <w:tc>
          <w:tcPr>
            <w:tcW w:w="707" w:type="dxa"/>
            <w:vAlign w:val="center"/>
          </w:tcPr>
          <w:p w:rsidR="0060634A" w:rsidRDefault="00F76D44">
            <w:pPr>
              <w:jc w:val="center"/>
              <w:rPr>
                <w:rFonts w:ascii="EC Square Sans Cond Pro" w:hAnsi="EC Square Sans Cond Pro"/>
                <w:noProof/>
                <w:sz w:val="16"/>
                <w:szCs w:val="16"/>
                <w:lang w:eastAsia="en-GB"/>
              </w:rPr>
            </w:pPr>
            <w:r>
              <w:rPr>
                <w:rFonts w:ascii="EC Square Sans Cond Pro" w:hAnsi="EC Square Sans Cond Pro" w:cs="EC Square Sans Cond Pro"/>
                <w:noProof/>
                <w:color w:val="000000"/>
                <w:sz w:val="16"/>
                <w:szCs w:val="16"/>
                <w:lang w:val="en-US"/>
              </w:rPr>
              <w:t>3</w:t>
            </w:r>
          </w:p>
        </w:tc>
        <w:tc>
          <w:tcPr>
            <w:tcW w:w="3458" w:type="dxa"/>
            <w:vAlign w:val="center"/>
          </w:tcPr>
          <w:p w:rsidR="0060634A" w:rsidRDefault="00F76D44">
            <w:pPr>
              <w:ind w:left="142"/>
              <w:rPr>
                <w:rFonts w:ascii="EC Square Sans Cond Pro" w:hAnsi="EC Square Sans Cond Pro"/>
                <w:noProof/>
                <w:sz w:val="16"/>
                <w:szCs w:val="16"/>
              </w:rPr>
            </w:pPr>
            <w:r>
              <w:rPr>
                <w:noProof/>
                <w:lang w:eastAsia="fr-BE"/>
              </w:rPr>
              <w:drawing>
                <wp:inline distT="0" distB="0" distL="0" distR="0">
                  <wp:extent cx="1968500" cy="127000"/>
                  <wp:effectExtent l="0" t="0" r="0" b="6350"/>
                  <wp:docPr id="605" name="Chart 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2"/>
                    </a:graphicData>
                  </a:graphic>
                </wp:inline>
              </w:drawing>
            </w:r>
          </w:p>
        </w:tc>
        <w:tc>
          <w:tcPr>
            <w:tcW w:w="729"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val="en-US"/>
              </w:rPr>
              <w:t>7</w:t>
            </w:r>
          </w:p>
        </w:tc>
        <w:tc>
          <w:tcPr>
            <w:tcW w:w="2693" w:type="dxa"/>
            <w:vAlign w:val="center"/>
          </w:tcPr>
          <w:p w:rsidR="0060634A" w:rsidRDefault="00F76D44">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9 operations achieved compared to a target of 7</w:t>
            </w:r>
          </w:p>
        </w:tc>
      </w:tr>
      <w:tr w:rsidR="0060634A">
        <w:trPr>
          <w:trHeight w:val="247"/>
        </w:trPr>
        <w:tc>
          <w:tcPr>
            <w:tcW w:w="3078" w:type="dxa"/>
            <w:tcBorders>
              <w:bottom w:val="nil"/>
            </w:tcBorders>
            <w:vAlign w:val="center"/>
          </w:tcPr>
          <w:p w:rsidR="0060634A" w:rsidRDefault="00F76D44">
            <w:pPr>
              <w:ind w:left="142"/>
              <w:jc w:val="right"/>
              <w:rPr>
                <w:noProof/>
                <w:sz w:val="16"/>
                <w:szCs w:val="16"/>
                <w:lang w:val="en-GB"/>
              </w:rPr>
            </w:pPr>
            <w:r>
              <w:rPr>
                <w:noProof/>
                <w:sz w:val="16"/>
                <w:szCs w:val="16"/>
                <w:lang w:val="en-GB"/>
              </w:rPr>
              <w:t xml:space="preserve">   </w:t>
            </w:r>
          </w:p>
        </w:tc>
        <w:tc>
          <w:tcPr>
            <w:tcW w:w="707" w:type="dxa"/>
            <w:tcBorders>
              <w:bottom w:val="nil"/>
            </w:tcBorders>
          </w:tcPr>
          <w:p w:rsidR="0060634A" w:rsidRDefault="0060634A">
            <w:pPr>
              <w:ind w:left="142"/>
              <w:rPr>
                <w:noProof/>
                <w:sz w:val="16"/>
                <w:szCs w:val="16"/>
                <w:lang w:val="en-GB" w:eastAsia="en-GB"/>
              </w:rPr>
            </w:pPr>
          </w:p>
        </w:tc>
        <w:tc>
          <w:tcPr>
            <w:tcW w:w="3458" w:type="dxa"/>
            <w:tcBorders>
              <w:bottom w:val="nil"/>
            </w:tcBorders>
            <w:vAlign w:val="center"/>
          </w:tcPr>
          <w:p w:rsidR="0060634A" w:rsidRDefault="00F76D44">
            <w:pPr>
              <w:spacing w:before="120"/>
              <w:rPr>
                <w:noProof/>
                <w:sz w:val="16"/>
                <w:szCs w:val="16"/>
                <w:lang w:val="en-GB"/>
              </w:rPr>
            </w:pPr>
            <w:r>
              <w:rPr>
                <w:noProof/>
                <w:sz w:val="16"/>
                <w:szCs w:val="16"/>
                <w:lang w:eastAsia="fr-BE"/>
              </w:rPr>
              <mc:AlternateContent>
                <mc:Choice Requires="wps">
                  <w:drawing>
                    <wp:anchor distT="0" distB="0" distL="114300" distR="114300" simplePos="0" relativeHeight="251724800"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597" name="Rectangle 597"/>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0925F" id="Rectangle 597" o:spid="_x0000_s1026" style="position:absolute;margin-left:-9.45pt;margin-top:6.1pt;width:6.35pt;height:7.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" fillcolor="#28296e" stroked="f" strokeweight="1pt">
                      <w10:wrap type="through"/>
                    </v:rect>
                  </w:pict>
                </mc:Fallback>
              </mc:AlternateContent>
            </w:r>
            <w:r>
              <w:rPr>
                <w:noProof/>
                <w:sz w:val="16"/>
                <w:szCs w:val="16"/>
                <w:lang w:val="en-GB"/>
              </w:rPr>
              <w:t>% of target achieved by the end of</w:t>
            </w:r>
            <w:r>
              <w:rPr>
                <w:noProof/>
                <w:sz w:val="16"/>
                <w:szCs w:val="16"/>
                <w:lang w:val="en-GB"/>
              </w:rPr>
              <w:t xml:space="preserve"> 2019</w:t>
            </w:r>
          </w:p>
        </w:tc>
        <w:tc>
          <w:tcPr>
            <w:tcW w:w="729" w:type="dxa"/>
            <w:tcBorders>
              <w:bottom w:val="nil"/>
            </w:tcBorders>
          </w:tcPr>
          <w:p w:rsidR="0060634A" w:rsidRDefault="0060634A">
            <w:pPr>
              <w:ind w:left="142"/>
              <w:rPr>
                <w:noProof/>
                <w:sz w:val="16"/>
                <w:szCs w:val="16"/>
                <w:lang w:val="en-GB" w:eastAsia="en-GB"/>
              </w:rPr>
            </w:pPr>
          </w:p>
        </w:tc>
        <w:tc>
          <w:tcPr>
            <w:tcW w:w="2693" w:type="dxa"/>
            <w:tcBorders>
              <w:bottom w:val="nil"/>
            </w:tcBorders>
            <w:vAlign w:val="center"/>
          </w:tcPr>
          <w:p w:rsidR="0060634A" w:rsidRDefault="0060634A">
            <w:pPr>
              <w:ind w:left="142"/>
              <w:rPr>
                <w:noProof/>
                <w:sz w:val="16"/>
                <w:szCs w:val="16"/>
                <w:lang w:val="en-GB"/>
              </w:rPr>
            </w:pPr>
          </w:p>
        </w:tc>
      </w:tr>
      <w:tr w:rsidR="0060634A">
        <w:trPr>
          <w:trHeight w:val="247"/>
        </w:trPr>
        <w:tc>
          <w:tcPr>
            <w:tcW w:w="10665" w:type="dxa"/>
            <w:gridSpan w:val="5"/>
            <w:tcBorders>
              <w:top w:val="nil"/>
              <w:bottom w:val="nil"/>
            </w:tcBorders>
            <w:vAlign w:val="center"/>
          </w:tcPr>
          <w:p w:rsidR="0060634A" w:rsidRDefault="00F76D44">
            <w:pPr>
              <w:ind w:left="142"/>
              <w:rPr>
                <w:noProof/>
                <w:sz w:val="14"/>
                <w:szCs w:val="16"/>
              </w:rPr>
            </w:pPr>
            <w:r>
              <w:rPr>
                <w:noProof/>
                <w:sz w:val="14"/>
                <w:szCs w:val="16"/>
              </w:rPr>
              <w:t>(</w:t>
            </w:r>
            <w:r>
              <w:rPr>
                <w:noProof/>
                <w:sz w:val="14"/>
                <w:szCs w:val="16"/>
                <w:vertAlign w:val="superscript"/>
              </w:rPr>
              <w:t>1</w:t>
            </w:r>
            <w:r>
              <w:rPr>
                <w:noProof/>
                <w:sz w:val="14"/>
                <w:szCs w:val="16"/>
              </w:rPr>
              <w:t>)</w:t>
            </w:r>
            <w:r>
              <w:rPr>
                <w:rFonts w:cs="Calibri"/>
                <w:noProof/>
                <w:sz w:val="14"/>
                <w:szCs w:val="16"/>
              </w:rPr>
              <w:t> </w:t>
            </w:r>
            <w:r>
              <w:rPr>
                <w:noProof/>
                <w:sz w:val="14"/>
                <w:szCs w:val="16"/>
              </w:rPr>
              <w:t>Average of results for 2014-2019.</w:t>
            </w:r>
          </w:p>
        </w:tc>
      </w:tr>
    </w:tbl>
    <w:p w:rsidR="0060634A" w:rsidRDefault="00F76D44">
      <w:pPr>
        <w:pStyle w:val="PPOTitle3"/>
        <w:spacing w:before="240"/>
        <w:rPr>
          <w:rFonts w:ascii="EC Square Sans Cond Pro" w:eastAsiaTheme="minorEastAsia" w:hAnsi="EC Square Sans Cond Pro"/>
          <w:color w:val="1F497D"/>
          <w:sz w:val="16"/>
          <w:szCs w:val="18"/>
        </w:rPr>
      </w:pPr>
      <w:r>
        <w:rPr>
          <w:rFonts w:eastAsiaTheme="minorEastAsia"/>
        </w:rPr>
        <w:t>Where are we in the implementation?</w:t>
      </w:r>
    </w:p>
    <w:p w:rsidR="0060634A" w:rsidRDefault="00F76D44">
      <w:pPr>
        <w:pStyle w:val="PPOBlackBULLETS-L1"/>
        <w:rPr>
          <w:noProof/>
        </w:rPr>
      </w:pPr>
      <w:r>
        <w:rPr>
          <w:noProof/>
        </w:rPr>
        <w:t xml:space="preserve">The development of a web service for the Customs Information System is planned for 2020. This interface will facilitate the automated import of cases from national systems </w:t>
      </w:r>
      <w:r>
        <w:rPr>
          <w:noProof/>
        </w:rPr>
        <w:t>and avoid the need for the same information to be entered multiple times in different systems by Member States’ authorities. This will contribute towards increasing the number of active customs fraud cases which are available in the mutual assistance datab</w:t>
      </w:r>
      <w:r>
        <w:rPr>
          <w:noProof/>
        </w:rPr>
        <w:t>ases. In addition, it will also improve the completeness and quality of the available cases.</w:t>
      </w:r>
    </w:p>
    <w:p w:rsidR="0060634A" w:rsidRDefault="00F76D44">
      <w:pPr>
        <w:pStyle w:val="PPOBlackBULLETS-L1"/>
        <w:rPr>
          <w:noProof/>
        </w:rPr>
      </w:pPr>
      <w:r>
        <w:rPr>
          <w:noProof/>
        </w:rPr>
        <w:t>New versions of the Container Status Messages Directory and the Import, Export and Transit Directory are planned for 2020, which will provide additional features s</w:t>
      </w:r>
      <w:r>
        <w:rPr>
          <w:noProof/>
        </w:rPr>
        <w:t>uch as enhanced search and data export capabilities, to improve the usability of the systems for analytical and investigative purposes. This will support the competent authorities in preventing, detecting and investigating customs fraud cases and, conseque</w:t>
      </w:r>
      <w:r>
        <w:rPr>
          <w:noProof/>
        </w:rPr>
        <w:t>ntially, lead to an increase in the number of active fraud cases in the mutual assistance databases.</w:t>
      </w:r>
    </w:p>
    <w:p w:rsidR="0060634A" w:rsidRDefault="00F76D44">
      <w:pPr>
        <w:pStyle w:val="PPOTitle3"/>
        <w:spacing w:before="240"/>
        <w:rPr>
          <w:rFonts w:eastAsiaTheme="minorEastAsia"/>
        </w:rPr>
      </w:pPr>
      <w:r>
        <w:rPr>
          <w:rFonts w:eastAsiaTheme="minorEastAsia"/>
        </w:rPr>
        <w:t>Performance assessment</w:t>
      </w:r>
    </w:p>
    <w:p w:rsidR="0060634A" w:rsidRDefault="00F76D44">
      <w:pPr>
        <w:pStyle w:val="PPOBlackBULLETS-L1"/>
        <w:rPr>
          <w:noProof/>
        </w:rPr>
      </w:pPr>
      <w:r>
        <w:rPr>
          <w:noProof/>
        </w:rPr>
        <w:t>The programme is well on track for the delivery of its objective of supporting the Member States and facilitating the exchange of in</w:t>
      </w:r>
      <w:r>
        <w:rPr>
          <w:noProof/>
        </w:rPr>
        <w:t xml:space="preserve">formation in relation to customs fraud. </w:t>
      </w:r>
    </w:p>
    <w:p w:rsidR="0060634A" w:rsidRDefault="00F76D44">
      <w:pPr>
        <w:pStyle w:val="PPOBlackBULLETS-L1"/>
        <w:rPr>
          <w:noProof/>
        </w:rPr>
      </w:pPr>
      <w:r>
        <w:rPr>
          <w:noProof/>
        </w:rPr>
        <w:t>Since 2019, AFIS has offered a built-in online analytical tool which allows users to make use of and analyse data on reported irregularities.</w:t>
      </w:r>
    </w:p>
    <w:p w:rsidR="0060634A" w:rsidRDefault="00F76D44">
      <w:pPr>
        <w:pStyle w:val="PPOBlackBULLETS-L1"/>
        <w:rPr>
          <w:noProof/>
        </w:rPr>
      </w:pPr>
      <w:r>
        <w:rPr>
          <w:noProof/>
        </w:rPr>
        <w:t>The interface with DG Taxation and Customs Union’s Anti-Counterfeit and A</w:t>
      </w:r>
      <w:r>
        <w:rPr>
          <w:noProof/>
        </w:rPr>
        <w:t>nti-Piracy Information System went live in 2019. The development of this interface was originally supposed to start in 2014, but was delayed to 2017 due to the late go-live of the Anti-Counterfeit and Anti-Piracy Information System. As a consequence, the 2</w:t>
      </w:r>
      <w:r>
        <w:rPr>
          <w:noProof/>
        </w:rPr>
        <w:t>019 target for the number of customs fraud cases to be made available in the mutual assistance databases (indicator</w:t>
      </w:r>
      <w:r>
        <w:rPr>
          <w:rFonts w:ascii="Calibri" w:hAnsi="Calibri" w:cs="Calibri"/>
          <w:noProof/>
        </w:rPr>
        <w:t> </w:t>
      </w:r>
      <w:r>
        <w:rPr>
          <w:noProof/>
        </w:rPr>
        <w:t>1) has not been met and the corresponding 2020 target will most likely not be achieved.</w:t>
      </w:r>
    </w:p>
    <w:p w:rsidR="0060634A" w:rsidRDefault="00F76D44">
      <w:pPr>
        <w:pStyle w:val="PPOBlackBULLETS-L1"/>
        <w:rPr>
          <w:noProof/>
        </w:rPr>
      </w:pPr>
      <w:r>
        <w:rPr>
          <w:noProof/>
        </w:rPr>
        <w:t>The programme is very much appreciated by its users.</w:t>
      </w:r>
      <w:r>
        <w:rPr>
          <w:noProof/>
        </w:rPr>
        <w:t xml:space="preserve"> The 2019 satisfaction survey shows that the majority of users are satisfied with the AFIS applications. Of the respondents, 84% agreed or slightly agreed that the AFIS applications they use most frequently respond to their professional needs. As little as</w:t>
      </w:r>
      <w:r>
        <w:rPr>
          <w:noProof/>
        </w:rPr>
        <w:t xml:space="preserve"> less than 5% of the respondents disagree to a certain extent (disagree: 1.5%; slightly disagree: 3.3%), while 10% of users remain neutral.</w:t>
      </w:r>
    </w:p>
    <w:p w:rsidR="0060634A" w:rsidRDefault="00F76D44">
      <w:pPr>
        <w:pStyle w:val="PPOTitle3"/>
        <w:spacing w:before="240"/>
        <w:rPr>
          <w:rFonts w:eastAsiaTheme="minorEastAsia"/>
        </w:rPr>
      </w:pPr>
      <w:r>
        <w:rPr>
          <w:rFonts w:eastAsiaTheme="minorEastAsia"/>
        </w:rPr>
        <w:t>Concrete examples of achievements</w:t>
      </w:r>
    </w:p>
    <w:tbl>
      <w:tblPr>
        <w:tblStyle w:val="TableGrid"/>
        <w:tblW w:w="5782" w:type="dxa"/>
        <w:jc w:val="center"/>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13" w:type="dxa"/>
          <w:bottom w:w="85" w:type="dxa"/>
          <w:right w:w="113" w:type="dxa"/>
        </w:tblCellMar>
        <w:tblLook w:val="04A0" w:firstRow="1" w:lastRow="0" w:firstColumn="1" w:lastColumn="0" w:noHBand="0" w:noVBand="1"/>
      </w:tblPr>
      <w:tblGrid>
        <w:gridCol w:w="2891"/>
        <w:gridCol w:w="2891"/>
      </w:tblGrid>
      <w:tr w:rsidR="0060634A">
        <w:trPr>
          <w:trHeight w:val="128"/>
          <w:jc w:val="center"/>
        </w:trPr>
        <w:tc>
          <w:tcPr>
            <w:tcW w:w="2891" w:type="dxa"/>
            <w:shd w:val="clear" w:color="auto" w:fill="00ADDC"/>
          </w:tcPr>
          <w:p w:rsidR="0060634A" w:rsidRDefault="00F76D44">
            <w:pPr>
              <w:pStyle w:val="PPOExamplesTABLEHeader"/>
              <w:rPr>
                <w:rFonts w:eastAsiaTheme="minorEastAsia"/>
              </w:rPr>
            </w:pPr>
            <w:r>
              <w:rPr>
                <w:rFonts w:eastAsiaTheme="minorEastAsia"/>
              </w:rPr>
              <w:t>EUR</w:t>
            </w:r>
            <w:r>
              <w:rPr>
                <w:rFonts w:ascii="Calibri" w:eastAsiaTheme="minorEastAsia" w:hAnsi="Calibri" w:cs="Calibri"/>
              </w:rPr>
              <w:t> </w:t>
            </w:r>
            <w:r>
              <w:rPr>
                <w:rFonts w:eastAsiaTheme="minorEastAsia"/>
              </w:rPr>
              <w:t>12</w:t>
            </w:r>
            <w:r>
              <w:rPr>
                <w:rFonts w:ascii="Calibri" w:eastAsiaTheme="minorEastAsia" w:hAnsi="Calibri" w:cs="Calibri"/>
              </w:rPr>
              <w:t> </w:t>
            </w:r>
            <w:r>
              <w:rPr>
                <w:rFonts w:eastAsiaTheme="minorEastAsia"/>
              </w:rPr>
              <w:t>million</w:t>
            </w:r>
          </w:p>
        </w:tc>
        <w:tc>
          <w:tcPr>
            <w:tcW w:w="2891" w:type="dxa"/>
            <w:shd w:val="clear" w:color="auto" w:fill="00ADDC"/>
          </w:tcPr>
          <w:p w:rsidR="0060634A" w:rsidRDefault="00F76D44">
            <w:pPr>
              <w:pStyle w:val="PPOExamplesTABLEHeader"/>
              <w:rPr>
                <w:rFonts w:eastAsiaTheme="minorEastAsia"/>
              </w:rPr>
            </w:pPr>
            <w:r>
              <w:rPr>
                <w:rFonts w:eastAsiaTheme="minorEastAsia"/>
              </w:rPr>
              <w:t>EUR</w:t>
            </w:r>
            <w:r>
              <w:rPr>
                <w:rFonts w:ascii="Calibri" w:eastAsiaTheme="minorEastAsia" w:hAnsi="Calibri" w:cs="Calibri"/>
              </w:rPr>
              <w:t> </w:t>
            </w:r>
            <w:r>
              <w:rPr>
                <w:rFonts w:eastAsiaTheme="minorEastAsia"/>
              </w:rPr>
              <w:t>4.2</w:t>
            </w:r>
            <w:r>
              <w:rPr>
                <w:rFonts w:ascii="Calibri" w:eastAsiaTheme="minorEastAsia" w:hAnsi="Calibri" w:cs="Calibri"/>
              </w:rPr>
              <w:t> </w:t>
            </w:r>
            <w:r>
              <w:rPr>
                <w:rFonts w:eastAsiaTheme="minorEastAsia"/>
              </w:rPr>
              <w:t>million</w:t>
            </w:r>
          </w:p>
        </w:tc>
      </w:tr>
      <w:tr w:rsidR="0060634A">
        <w:trPr>
          <w:trHeight w:val="274"/>
          <w:jc w:val="center"/>
        </w:trPr>
        <w:tc>
          <w:tcPr>
            <w:tcW w:w="2891" w:type="dxa"/>
            <w:shd w:val="clear" w:color="auto" w:fill="DCE6F2"/>
          </w:tcPr>
          <w:p w:rsidR="0060634A" w:rsidRDefault="00F76D44">
            <w:pPr>
              <w:pStyle w:val="PPOExamplesTABLEText"/>
              <w:spacing w:line="240" w:lineRule="auto"/>
              <w:rPr>
                <w:noProof/>
                <w:lang w:val="en-GB"/>
              </w:rPr>
            </w:pPr>
            <w:r>
              <w:rPr>
                <w:noProof/>
                <w:lang w:val="en-GB"/>
              </w:rPr>
              <w:t>of losses in customs duties and taxes was prevente</w:t>
            </w:r>
            <w:r>
              <w:rPr>
                <w:noProof/>
                <w:lang w:val="en-GB"/>
              </w:rPr>
              <w:t>d by a single joint customs operation.</w:t>
            </w:r>
          </w:p>
        </w:tc>
        <w:tc>
          <w:tcPr>
            <w:tcW w:w="2891" w:type="dxa"/>
            <w:shd w:val="clear" w:color="auto" w:fill="DCE6F2"/>
          </w:tcPr>
          <w:p w:rsidR="0060634A" w:rsidRDefault="00F76D44">
            <w:pPr>
              <w:pStyle w:val="PPOExamplesTABLEText"/>
              <w:spacing w:line="240" w:lineRule="auto"/>
              <w:rPr>
                <w:noProof/>
                <w:lang w:val="en-GB"/>
              </w:rPr>
            </w:pPr>
            <w:r>
              <w:rPr>
                <w:noProof/>
                <w:lang w:val="en-GB"/>
              </w:rPr>
              <w:t>in counterfeit products was seized during the joint customs operation Hygiea.</w:t>
            </w:r>
          </w:p>
        </w:tc>
      </w:tr>
    </w:tbl>
    <w:p w:rsidR="0060634A" w:rsidRDefault="00F76D44">
      <w:pPr>
        <w:pStyle w:val="PPOBlackBULLETS-L1"/>
        <w:spacing w:before="160"/>
        <w:rPr>
          <w:noProof/>
        </w:rPr>
      </w:pPr>
      <w:r>
        <w:rPr>
          <w:noProof/>
        </w:rPr>
        <w:t>During one of the joint customs operations, Hygiea, which was carried out within the Asia–Europe Meeting, approximatively 200</w:t>
      </w:r>
      <w:r>
        <w:rPr>
          <w:rFonts w:ascii="Calibri" w:hAnsi="Calibri" w:cs="Calibri"/>
          <w:noProof/>
        </w:rPr>
        <w:t> </w:t>
      </w:r>
      <w:r>
        <w:rPr>
          <w:noProof/>
        </w:rPr>
        <w:t>000 items of</w:t>
      </w:r>
      <w:r>
        <w:rPr>
          <w:noProof/>
        </w:rPr>
        <w:t xml:space="preserve"> counterfeit perfumes, toothpastes and cosmetics, 120</w:t>
      </w:r>
      <w:r>
        <w:rPr>
          <w:rFonts w:ascii="Calibri" w:hAnsi="Calibri" w:cs="Calibri"/>
          <w:noProof/>
        </w:rPr>
        <w:t> </w:t>
      </w:r>
      <w:r>
        <w:rPr>
          <w:noProof/>
        </w:rPr>
        <w:t>tonnes of counterfeit detergents, shampoos and nappies, more than 4.2</w:t>
      </w:r>
      <w:r>
        <w:rPr>
          <w:rFonts w:ascii="Calibri" w:hAnsi="Calibri" w:cs="Calibri"/>
          <w:noProof/>
        </w:rPr>
        <w:t> </w:t>
      </w:r>
      <w:r>
        <w:rPr>
          <w:noProof/>
        </w:rPr>
        <w:t>million other counterfeit goods (battery cells, footwear, toys, tennis balls, shavers, electronic devices, etc.) and 44</w:t>
      </w:r>
      <w:r>
        <w:rPr>
          <w:rFonts w:ascii="Calibri" w:hAnsi="Calibri" w:cs="Calibri"/>
          <w:noProof/>
        </w:rPr>
        <w:t> </w:t>
      </w:r>
      <w:r>
        <w:rPr>
          <w:noProof/>
        </w:rPr>
        <w:t xml:space="preserve">tonnes of counterfeit waterpipe tobacco were seized by the participating Asian and EU customs authorities. </w:t>
      </w:r>
    </w:p>
    <w:p w:rsidR="0060634A" w:rsidRDefault="0060634A">
      <w:pPr>
        <w:pStyle w:val="BodyText1spaceafter"/>
        <w:sectPr w:rsidR="0060634A">
          <w:headerReference w:type="even" r:id="rId463"/>
          <w:headerReference w:type="default" r:id="rId464"/>
          <w:footerReference w:type="even" r:id="rId465"/>
          <w:footerReference w:type="default" r:id="rId466"/>
          <w:headerReference w:type="first" r:id="rId467"/>
          <w:footerReference w:type="first" r:id="rId468"/>
          <w:pgSz w:w="11906" w:h="16838" w:code="9"/>
          <w:pgMar w:top="567" w:right="567" w:bottom="567" w:left="567" w:header="567" w:footer="454" w:gutter="0"/>
          <w:paperSrc w:first="15" w:other="15"/>
          <w:cols w:space="720"/>
          <w:docGrid w:linePitch="360"/>
        </w:sectPr>
      </w:pPr>
    </w:p>
    <w:p w:rsidR="0060634A" w:rsidRDefault="00F76D44">
      <w:pPr>
        <w:pStyle w:val="PPO1AsidebarTitleBlue"/>
        <w:rPr>
          <w:rFonts w:eastAsiaTheme="minorEastAsia"/>
        </w:rPr>
      </w:pPr>
      <w:r>
        <w:rPr>
          <w:rFonts w:eastAsiaTheme="minorEastAsia"/>
          <w:lang w:val="fr-BE" w:eastAsia="fr-BE"/>
        </w:rPr>
        <mc:AlternateContent>
          <mc:Choice Requires="wps">
            <w:drawing>
              <wp:anchor distT="0" distB="0" distL="0" distR="0" simplePos="0" relativeHeight="251587584" behindDoc="0" locked="1" layoutInCell="1" allowOverlap="1">
                <wp:simplePos x="0" y="0"/>
                <wp:positionH relativeFrom="page">
                  <wp:posOffset>358140</wp:posOffset>
                </wp:positionH>
                <wp:positionV relativeFrom="page">
                  <wp:posOffset>601345</wp:posOffset>
                </wp:positionV>
                <wp:extent cx="1457960" cy="1022985"/>
                <wp:effectExtent l="0" t="0" r="85090" b="5715"/>
                <wp:wrapTopAndBottom/>
                <wp:docPr id="608" name="Text Box 608"/>
                <wp:cNvGraphicFramePr/>
                <a:graphic xmlns:a="http://schemas.openxmlformats.org/drawingml/2006/main">
                  <a:graphicData uri="http://schemas.microsoft.com/office/word/2010/wordprocessingShape">
                    <wps:wsp>
                      <wps:cNvSpPr txBox="1"/>
                      <wps:spPr>
                        <a:xfrm>
                          <a:off x="0" y="0"/>
                          <a:ext cx="1457960" cy="1022985"/>
                        </a:xfrm>
                        <a:prstGeom prst="wedgeRectCallout">
                          <a:avLst>
                            <a:gd name="adj1" fmla="val 54107"/>
                            <a:gd name="adj2" fmla="val -21878"/>
                          </a:avLst>
                        </a:prstGeom>
                        <a:solidFill>
                          <a:srgbClr val="28296E"/>
                        </a:solidFill>
                        <a:ln w="6350">
                          <a:noFill/>
                        </a:ln>
                      </wps:spPr>
                      <wps:txbx>
                        <w:txbxContent>
                          <w:p w:rsidR="0060634A" w:rsidRDefault="00F76D44">
                            <w:pPr>
                              <w:pStyle w:val="PPOsidebarLegalBasisBOXHeading"/>
                              <w:rPr>
                                <w:rFonts w:eastAsiaTheme="minorEastAsia"/>
                              </w:rPr>
                            </w:pPr>
                            <w:r>
                              <w:rPr>
                                <w:rFonts w:eastAsiaTheme="minorEastAsia"/>
                              </w:rPr>
                              <w:t>LEGAL BASIS</w:t>
                            </w:r>
                          </w:p>
                          <w:p w:rsidR="0060634A" w:rsidRDefault="00F76D44">
                            <w:pPr>
                              <w:pStyle w:val="PPOsidebarLegalBasisBOXtext"/>
                              <w:rPr>
                                <w:rFonts w:eastAsiaTheme="minorEastAsia"/>
                              </w:rPr>
                            </w:pPr>
                            <w:r>
                              <w:rPr>
                                <w:rFonts w:eastAsiaTheme="minorEastAsia"/>
                              </w:rPr>
                              <w:t>Regulation (EU) No 1316/2013 of the European Parliament and of the Council and Regulation (EU) 2015/1017 of the European Parliament and of the Council</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8" o:spid="_x0000_s1172" type="#_x0000_t61" style="position:absolute;left:0;text-align:left;margin-left:28.2pt;margin-top:47.35pt;width:114.8pt;height:80.55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" adj="22487,6074" fillcolor="#28296e" stroked="f" strokeweight=".5pt">
                <v:textbox inset="2.5mm,1.3mm,2.5mm,1.3mm">
                  <w:txbxContent>
                    <w:p w:rsidR="0060634A" w:rsidRDefault="00F76D44">
                      <w:pPr>
                        <w:pStyle w:val="PPOsidebarLegalBasisBOXHeading"/>
                        <w:rPr>
                          <w:rFonts w:eastAsiaTheme="minorEastAsia"/>
                        </w:rPr>
                      </w:pPr>
                      <w:r>
                        <w:rPr>
                          <w:rFonts w:eastAsiaTheme="minorEastAsia"/>
                        </w:rPr>
                        <w:t>LEGAL BASIS</w:t>
                      </w:r>
                    </w:p>
                    <w:p w:rsidR="0060634A" w:rsidRDefault="00F76D44">
                      <w:pPr>
                        <w:pStyle w:val="PPOsidebarLegalBasisBOXtext"/>
                        <w:rPr>
                          <w:rFonts w:eastAsiaTheme="minorEastAsia"/>
                        </w:rPr>
                      </w:pPr>
                      <w:r>
                        <w:rPr>
                          <w:rFonts w:eastAsiaTheme="minorEastAsia"/>
                        </w:rPr>
                        <w:t>Regulation (EU) No 1316/2013 of the European Parliament and of the Council and Regulation (EU) 2015/1017 of the European Parliament and of the Council</w:t>
                      </w:r>
                    </w:p>
                  </w:txbxContent>
                </v:textbox>
                <w10:wrap type="topAndBottom" anchorx="page" anchory="page"/>
                <w10:anchorlock/>
              </v:shape>
            </w:pict>
          </mc:Fallback>
        </mc:AlternateContent>
      </w:r>
      <w:r>
        <w:rPr>
          <w:rFonts w:eastAsiaTheme="minorEastAsia"/>
        </w:rPr>
        <w:t>MORE INFORMATION</w:t>
      </w:r>
    </w:p>
    <w:p w:rsidR="0060634A" w:rsidRDefault="00F76D44">
      <w:pPr>
        <w:pStyle w:val="PPOsidebartext"/>
        <w:rPr>
          <w:rFonts w:eastAsiaTheme="minorEastAsia"/>
        </w:rPr>
      </w:pPr>
      <w:hyperlink r:id="rId469" w:tgtFrame="_blank" w:history="1">
        <w:r>
          <w:rPr>
            <w:rStyle w:val="PPOChar-Hyperlink"/>
            <w:rFonts w:eastAsiaTheme="minorEastAsia"/>
          </w:rPr>
          <w:t>https://europa.eu/!Px98ju</w:t>
        </w:r>
      </w:hyperlink>
    </w:p>
    <w:p w:rsidR="0060634A" w:rsidRDefault="00F76D44">
      <w:pPr>
        <w:pStyle w:val="PPO1AsidebarTitleBlue"/>
        <w:rPr>
          <w:rFonts w:eastAsiaTheme="minorEastAsia"/>
        </w:rPr>
      </w:pPr>
      <w:r>
        <w:rPr>
          <w:rFonts w:eastAsiaTheme="minorEastAsia"/>
        </w:rPr>
        <w:t>FINANCIAL PROGRAMMING</w:t>
      </w:r>
    </w:p>
    <w:p w:rsidR="0060634A" w:rsidRDefault="00F76D44">
      <w:pPr>
        <w:pStyle w:val="PPO1AsidebarTablecaption"/>
      </w:pPr>
      <w:r>
        <w:t>(million EUR)</w:t>
      </w:r>
    </w:p>
    <w:tbl>
      <w:tblPr>
        <w:tblOverlap w:val="never"/>
        <w:tblW w:w="2296" w:type="dxa"/>
        <w:jc w:val="right"/>
        <w:tblLayout w:type="fixed"/>
        <w:tblCellMar>
          <w:top w:w="28" w:type="dxa"/>
          <w:left w:w="28" w:type="dxa"/>
          <w:bottom w:w="28" w:type="dxa"/>
          <w:right w:w="28" w:type="dxa"/>
        </w:tblCellMar>
        <w:tblLook w:val="0000" w:firstRow="0" w:lastRow="0" w:firstColumn="0" w:lastColumn="0" w:noHBand="0" w:noVBand="0"/>
      </w:tblPr>
      <w:tblGrid>
        <w:gridCol w:w="1134"/>
        <w:gridCol w:w="1162"/>
      </w:tblGrid>
      <w:tr w:rsidR="0060634A">
        <w:trPr>
          <w:trHeight w:hRule="exact" w:val="229"/>
          <w:jc w:val="right"/>
        </w:trPr>
        <w:tc>
          <w:tcPr>
            <w:tcW w:w="1134" w:type="dxa"/>
            <w:tcBorders>
              <w:bottom w:val="single" w:sz="6" w:space="0" w:color="FFFFFF" w:themeColor="background1"/>
            </w:tcBorders>
            <w:shd w:val="clear" w:color="auto" w:fill="DCE6F2"/>
            <w:vAlign w:val="center"/>
          </w:tcPr>
          <w:p w:rsidR="0060634A" w:rsidRDefault="00F76D44">
            <w:pPr>
              <w:pStyle w:val="PPOsidebarTabletext"/>
            </w:pPr>
            <w:r>
              <w:t>2014</w:t>
            </w:r>
          </w:p>
        </w:tc>
        <w:tc>
          <w:tcPr>
            <w:tcW w:w="1162" w:type="dxa"/>
            <w:shd w:val="clear" w:color="auto" w:fill="FFFFFF"/>
            <w:vAlign w:val="center"/>
          </w:tcPr>
          <w:p w:rsidR="0060634A" w:rsidRDefault="00F76D44">
            <w:pPr>
              <w:pStyle w:val="PPOsidebarTabletext"/>
            </w:pPr>
            <w:r>
              <w:t>1 976.2</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2015</w:t>
            </w:r>
          </w:p>
        </w:tc>
        <w:tc>
          <w:tcPr>
            <w:tcW w:w="1162" w:type="dxa"/>
            <w:tcBorders>
              <w:top w:val="single" w:sz="4" w:space="0" w:color="auto"/>
            </w:tcBorders>
            <w:shd w:val="clear" w:color="auto" w:fill="FFFFFF"/>
            <w:vAlign w:val="center"/>
          </w:tcPr>
          <w:p w:rsidR="0060634A" w:rsidRDefault="00F76D44">
            <w:pPr>
              <w:pStyle w:val="PPOsidebarTabletext"/>
            </w:pPr>
            <w:r>
              <w:t>1 435.0</w:t>
            </w:r>
          </w:p>
        </w:tc>
      </w:tr>
      <w:tr w:rsidR="0060634A">
        <w:trPr>
          <w:trHeight w:hRule="exact" w:val="229"/>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2016</w:t>
            </w:r>
          </w:p>
        </w:tc>
        <w:tc>
          <w:tcPr>
            <w:tcW w:w="1162" w:type="dxa"/>
            <w:tcBorders>
              <w:top w:val="single" w:sz="4" w:space="0" w:color="auto"/>
            </w:tcBorders>
            <w:shd w:val="clear" w:color="auto" w:fill="FFFFFF"/>
            <w:vAlign w:val="center"/>
          </w:tcPr>
          <w:p w:rsidR="0060634A" w:rsidRDefault="00F76D44">
            <w:pPr>
              <w:pStyle w:val="PPOsidebarTabletext"/>
            </w:pPr>
            <w:r>
              <w:t>2 134.5</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2017</w:t>
            </w:r>
          </w:p>
        </w:tc>
        <w:tc>
          <w:tcPr>
            <w:tcW w:w="1162" w:type="dxa"/>
            <w:tcBorders>
              <w:top w:val="single" w:sz="4" w:space="0" w:color="auto"/>
            </w:tcBorders>
            <w:shd w:val="clear" w:color="auto" w:fill="FFFFFF"/>
            <w:vAlign w:val="center"/>
          </w:tcPr>
          <w:p w:rsidR="0060634A" w:rsidRDefault="00F76D44">
            <w:pPr>
              <w:pStyle w:val="PPOsidebarTabletext"/>
            </w:pPr>
            <w:r>
              <w:t>2 469.7</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2018</w:t>
            </w:r>
          </w:p>
        </w:tc>
        <w:tc>
          <w:tcPr>
            <w:tcW w:w="1162" w:type="dxa"/>
            <w:tcBorders>
              <w:top w:val="single" w:sz="4" w:space="0" w:color="auto"/>
            </w:tcBorders>
            <w:shd w:val="clear" w:color="auto" w:fill="FFFFFF"/>
            <w:vAlign w:val="center"/>
          </w:tcPr>
          <w:p w:rsidR="0060634A" w:rsidRDefault="00F76D44">
            <w:pPr>
              <w:pStyle w:val="PPOsidebarTabletext"/>
            </w:pPr>
            <w:r>
              <w:t>2 747.9</w:t>
            </w:r>
          </w:p>
        </w:tc>
      </w:tr>
      <w:tr w:rsidR="0060634A">
        <w:trPr>
          <w:trHeight w:hRule="exact" w:val="225"/>
          <w:jc w:val="right"/>
        </w:trPr>
        <w:tc>
          <w:tcPr>
            <w:tcW w:w="1134" w:type="dxa"/>
            <w:tcBorders>
              <w:top w:val="single" w:sz="6" w:space="0" w:color="FFFFFF" w:themeColor="background1"/>
              <w:bottom w:val="single" w:sz="6" w:space="0" w:color="FFFFFF" w:themeColor="background1"/>
            </w:tcBorders>
            <w:shd w:val="clear" w:color="auto" w:fill="DCE6F2"/>
            <w:vAlign w:val="center"/>
          </w:tcPr>
          <w:p w:rsidR="0060634A" w:rsidRDefault="00F76D44">
            <w:pPr>
              <w:pStyle w:val="PPOsidebarTabletext"/>
            </w:pPr>
            <w:r>
              <w:t>2019</w:t>
            </w:r>
          </w:p>
        </w:tc>
        <w:tc>
          <w:tcPr>
            <w:tcW w:w="1162" w:type="dxa"/>
            <w:tcBorders>
              <w:top w:val="single" w:sz="4" w:space="0" w:color="auto"/>
            </w:tcBorders>
            <w:shd w:val="clear" w:color="auto" w:fill="FFFFFF"/>
            <w:vAlign w:val="center"/>
          </w:tcPr>
          <w:p w:rsidR="0060634A" w:rsidRDefault="00F76D44">
            <w:pPr>
              <w:pStyle w:val="PPOsidebarTabletext"/>
            </w:pPr>
            <w:r>
              <w:t>3 764.0</w:t>
            </w:r>
          </w:p>
        </w:tc>
      </w:tr>
      <w:tr w:rsidR="0060634A">
        <w:trPr>
          <w:trHeight w:hRule="exact" w:val="225"/>
          <w:jc w:val="right"/>
        </w:trPr>
        <w:tc>
          <w:tcPr>
            <w:tcW w:w="1134" w:type="dxa"/>
            <w:tcBorders>
              <w:top w:val="single" w:sz="6" w:space="0" w:color="FFFFFF" w:themeColor="background1"/>
            </w:tcBorders>
            <w:shd w:val="clear" w:color="auto" w:fill="DCE6F2"/>
            <w:vAlign w:val="center"/>
          </w:tcPr>
          <w:p w:rsidR="0060634A" w:rsidRDefault="00F76D44">
            <w:pPr>
              <w:pStyle w:val="PPOsidebarTabletext"/>
            </w:pPr>
            <w:r>
              <w:t>2020</w:t>
            </w:r>
          </w:p>
        </w:tc>
        <w:tc>
          <w:tcPr>
            <w:tcW w:w="1162" w:type="dxa"/>
            <w:tcBorders>
              <w:top w:val="single" w:sz="4" w:space="0" w:color="auto"/>
            </w:tcBorders>
            <w:shd w:val="clear" w:color="auto" w:fill="FFFFFF"/>
            <w:vAlign w:val="center"/>
          </w:tcPr>
          <w:p w:rsidR="0060634A" w:rsidRDefault="00F76D44">
            <w:pPr>
              <w:pStyle w:val="PPOsidebarTabletext"/>
            </w:pPr>
            <w:r>
              <w:t>4 070.3</w:t>
            </w:r>
          </w:p>
        </w:tc>
      </w:tr>
      <w:tr w:rsidR="0060634A">
        <w:trPr>
          <w:trHeight w:hRule="exact" w:val="258"/>
          <w:jc w:val="right"/>
        </w:trPr>
        <w:tc>
          <w:tcPr>
            <w:tcW w:w="1134" w:type="dxa"/>
            <w:shd w:val="clear" w:color="auto" w:fill="00ADDC"/>
            <w:vAlign w:val="center"/>
          </w:tcPr>
          <w:p w:rsidR="0060634A" w:rsidRDefault="00F76D44">
            <w:pPr>
              <w:pStyle w:val="PPOsidebarTabletext"/>
            </w:pPr>
            <w:r>
              <w:t>Total</w:t>
            </w:r>
          </w:p>
        </w:tc>
        <w:tc>
          <w:tcPr>
            <w:tcW w:w="1162" w:type="dxa"/>
            <w:tcBorders>
              <w:top w:val="single" w:sz="4" w:space="0" w:color="auto"/>
            </w:tcBorders>
            <w:shd w:val="clear" w:color="auto" w:fill="FFFFFF"/>
            <w:vAlign w:val="center"/>
          </w:tcPr>
          <w:p w:rsidR="0060634A" w:rsidRDefault="00F76D44">
            <w:pPr>
              <w:pStyle w:val="PPOsidebarTabletext"/>
            </w:pPr>
            <w:r>
              <w:t>18 597.6</w:t>
            </w:r>
          </w:p>
        </w:tc>
      </w:tr>
    </w:tbl>
    <w:p w:rsidR="0060634A" w:rsidRDefault="00F76D44">
      <w:pPr>
        <w:pStyle w:val="PPO1AsidebarTitleBlue"/>
        <w:rPr>
          <w:rFonts w:eastAsiaTheme="minorEastAsia"/>
        </w:rPr>
      </w:pPr>
      <w:r>
        <w:rPr>
          <w:rFonts w:eastAsiaTheme="minorEastAsia"/>
          <w:lang w:val="fr-BE" w:eastAsia="fr-BE"/>
        </w:rPr>
        <mc:AlternateContent>
          <mc:Choice Requires="wpg">
            <w:drawing>
              <wp:anchor distT="0" distB="0" distL="114300" distR="114300" simplePos="0" relativeHeight="251728896" behindDoc="1" locked="1" layoutInCell="1" allowOverlap="1">
                <wp:simplePos x="0" y="0"/>
                <wp:positionH relativeFrom="column">
                  <wp:posOffset>-270510</wp:posOffset>
                </wp:positionH>
                <wp:positionV relativeFrom="paragraph">
                  <wp:posOffset>545465</wp:posOffset>
                </wp:positionV>
                <wp:extent cx="1871980" cy="1454150"/>
                <wp:effectExtent l="0" t="0" r="0" b="0"/>
                <wp:wrapSquare wrapText="bothSides"/>
                <wp:docPr id="609" name="Group 609"/>
                <wp:cNvGraphicFramePr/>
                <a:graphic xmlns:a="http://schemas.openxmlformats.org/drawingml/2006/main">
                  <a:graphicData uri="http://schemas.microsoft.com/office/word/2010/wordprocessingGroup">
                    <wpg:wgp>
                      <wpg:cNvGrpSpPr/>
                      <wpg:grpSpPr>
                        <a:xfrm>
                          <a:off x="0" y="0"/>
                          <a:ext cx="1871980" cy="1454150"/>
                          <a:chOff x="461310" y="264194"/>
                          <a:chExt cx="2492055" cy="1453317"/>
                        </a:xfrm>
                      </wpg:grpSpPr>
                      <wpg:graphicFrame>
                        <wpg:cNvPr id="610" name="Chart 610"/>
                        <wpg:cNvFrPr/>
                        <wpg:xfrm>
                          <a:off x="461310" y="264194"/>
                          <a:ext cx="2492055" cy="1453317"/>
                        </wpg:xfrm>
                        <a:graphic>
                          <a:graphicData uri="http://schemas.openxmlformats.org/drawingml/2006/chart">
                            <c:chart xmlns:c="http://schemas.openxmlformats.org/drawingml/2006/chart" xmlns:r="http://schemas.openxmlformats.org/officeDocument/2006/relationships" r:id="rId470"/>
                          </a:graphicData>
                        </a:graphic>
                      </wpg:graphicFrame>
                      <wps:wsp>
                        <wps:cNvPr id="611" name="Text Box 2"/>
                        <wps:cNvSpPr txBox="1">
                          <a:spLocks noChangeArrowheads="1"/>
                        </wps:cNvSpPr>
                        <wps:spPr bwMode="auto">
                          <a:xfrm>
                            <a:off x="1165219" y="819147"/>
                            <a:ext cx="1398640" cy="600139"/>
                          </a:xfrm>
                          <a:prstGeom prst="rect">
                            <a:avLst/>
                          </a:prstGeom>
                          <a:noFill/>
                          <a:ln w="9525">
                            <a:noFill/>
                            <a:miter lim="800000"/>
                            <a:headEnd/>
                            <a:tailEnd/>
                          </a:ln>
                        </wps:spPr>
                        <wps:txbx>
                          <w:txbxContent>
                            <w:p w:rsidR="0060634A" w:rsidRDefault="00F76D44">
                              <w:pPr>
                                <w:pStyle w:val="PPO1AsidebarchartCenterText"/>
                                <w:rPr>
                                  <w:rFonts w:eastAsiaTheme="minorEastAsia"/>
                                </w:rPr>
                              </w:pPr>
                              <w:r>
                                <w:rPr>
                                  <w:rFonts w:eastAsiaTheme="minorEastAsia"/>
                                </w:rPr>
                                <w:t>EUR</w:t>
                              </w:r>
                              <w:r>
                                <w:rPr>
                                  <w:rFonts w:eastAsiaTheme="minorEastAsia"/>
                                  <w:b/>
                                </w:rPr>
                                <w:t xml:space="preserve"> 18 597.6</w:t>
                              </w:r>
                              <w:r>
                                <w:rPr>
                                  <w:rFonts w:eastAsiaTheme="minorEastAsia"/>
                                </w:rPr>
                                <w:br/>
                                <w:t>million</w:t>
                              </w:r>
                            </w:p>
                          </w:txbxContent>
                        </wps:txbx>
                        <wps:bodyPr rot="0" vert="horz" wrap="square" lIns="91440" tIns="45720" rIns="91440" bIns="45720" anchor="t" anchorCtr="0">
                          <a:noAutofit/>
                        </wps:bodyPr>
                      </wps:wsp>
                      <wps:wsp>
                        <wps:cNvPr id="612" name="Text Box 2"/>
                        <wps:cNvSpPr txBox="1">
                          <a:spLocks noChangeArrowheads="1"/>
                        </wps:cNvSpPr>
                        <wps:spPr bwMode="auto">
                          <a:xfrm>
                            <a:off x="2017551" y="1158013"/>
                            <a:ext cx="700344" cy="229870"/>
                          </a:xfrm>
                          <a:prstGeom prst="rect">
                            <a:avLst/>
                          </a:prstGeom>
                          <a:noFill/>
                          <a:ln w="9525">
                            <a:noFill/>
                            <a:miter lim="800000"/>
                            <a:headEnd/>
                            <a:tailEnd/>
                          </a:ln>
                        </wps:spPr>
                        <wps:txbx>
                          <w:txbxContent>
                            <w:p w:rsidR="0060634A" w:rsidRDefault="00F76D44">
                              <w:pPr>
                                <w:spacing w:after="120"/>
                                <w:jc w:val="center"/>
                                <w:rPr>
                                  <w:color w:val="00ADDC"/>
                                  <w:lang w:val="fr-BE"/>
                                </w:rPr>
                              </w:pPr>
                              <w:r>
                                <w:rPr>
                                  <w:b/>
                                  <w:color w:val="00ADDC"/>
                                  <w:lang w:val="fr-BE"/>
                                </w:rPr>
                                <w:t>31%%</w:t>
                              </w:r>
                            </w:p>
                          </w:txbxContent>
                        </wps:txbx>
                        <wps:bodyPr rot="0" vert="horz" wrap="square" lIns="91440" tIns="45720" rIns="91440" bIns="45720" anchor="t" anchorCtr="0">
                          <a:noAutofit/>
                        </wps:bodyPr>
                      </wps:wsp>
                      <wps:wsp>
                        <wps:cNvPr id="613" name="Text Box 2"/>
                        <wps:cNvSpPr txBox="1">
                          <a:spLocks noChangeArrowheads="1"/>
                        </wps:cNvSpPr>
                        <wps:spPr bwMode="auto">
                          <a:xfrm>
                            <a:off x="845004" y="636181"/>
                            <a:ext cx="741153" cy="266065"/>
                          </a:xfrm>
                          <a:prstGeom prst="rect">
                            <a:avLst/>
                          </a:prstGeom>
                          <a:noFill/>
                          <a:ln w="9525">
                            <a:noFill/>
                            <a:miter lim="800000"/>
                            <a:headEnd/>
                            <a:tailEnd/>
                          </a:ln>
                        </wps:spPr>
                        <wps:txbx>
                          <w:txbxContent>
                            <w:p w:rsidR="0060634A" w:rsidRDefault="00F76D44">
                              <w:pPr>
                                <w:spacing w:after="120"/>
                                <w:jc w:val="center"/>
                                <w:rPr>
                                  <w:color w:val="28296E"/>
                                  <w:lang w:val="fr-BE"/>
                                </w:rPr>
                              </w:pPr>
                              <w:r>
                                <w:rPr>
                                  <w:b/>
                                  <w:color w:val="28296E"/>
                                  <w:lang w:val="fr-BE"/>
                                </w:rPr>
                                <w:t>78%%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09" o:spid="_x0000_s1173" style="position:absolute;left:0;text-align:left;margin-left:-21.3pt;margin-top:42.95pt;width:147.4pt;height:114.5pt;z-index:-251587584;mso-width-relative:margin;mso-height-relative:margin" coordorigin="4613,2641" coordsize="24920,145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AoAAAAAAAAAIQBEBz4dtiIAALYiAAAtAAAAZHJzL2VtYmVkZGluZ3MvTWlj&#10;cm9zb2Z0X0V4Y2VsX1dvcmtzaGVldC54bHN4UEsDBBQABgAIAAAAIQDdK4tYbAEAABAFAAATAAgC&#10;W0NvbnRlbnRfVHlwZXNdLnhtbCCiBAIoo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">
                <v:shape id="Chart 610" o:spid="_x0000_s1174" type="#_x0000_t75" style="position:absolute;left:11105;top:3860;width:16230;height:1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">
                  <v:imagedata r:id="rId471" o:title=""/>
                  <o:lock v:ext="edit" aspectratio="f"/>
                </v:shape>
                <v:shape id="_x0000_s1175" type="#_x0000_t202" style="position:absolute;left:11652;top:8191;width:1398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" filled="f" stroked="f">
                  <v:textbox>
                    <w:txbxContent>
                      <w:p w:rsidR="0060634A" w:rsidRDefault="00F76D44">
                        <w:pPr>
                          <w:pStyle w:val="PPO1AsidebarchartCenterText"/>
                          <w:rPr>
                            <w:rFonts w:eastAsiaTheme="minorEastAsia"/>
                          </w:rPr>
                        </w:pPr>
                        <w:r>
                          <w:rPr>
                            <w:rFonts w:eastAsiaTheme="minorEastAsia"/>
                          </w:rPr>
                          <w:t>EUR</w:t>
                        </w:r>
                        <w:r>
                          <w:rPr>
                            <w:rFonts w:eastAsiaTheme="minorEastAsia"/>
                            <w:b/>
                          </w:rPr>
                          <w:t xml:space="preserve"> 18 597.6</w:t>
                        </w:r>
                        <w:r>
                          <w:rPr>
                            <w:rFonts w:eastAsiaTheme="minorEastAsia"/>
                          </w:rPr>
                          <w:br/>
                          <w:t>million</w:t>
                        </w:r>
                      </w:p>
                    </w:txbxContent>
                  </v:textbox>
                </v:shape>
                <v:shape id="_x0000_s1176" type="#_x0000_t202" style="position:absolute;left:20175;top:11580;width:7003;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" filled="f" stroked="f">
                  <v:textbox>
                    <w:txbxContent>
                      <w:p w:rsidR="0060634A" w:rsidRDefault="00F76D44">
                        <w:pPr>
                          <w:spacing w:after="120"/>
                          <w:jc w:val="center"/>
                          <w:rPr>
                            <w:color w:val="00ADDC"/>
                            <w:lang w:val="fr-BE"/>
                          </w:rPr>
                        </w:pPr>
                        <w:r>
                          <w:rPr>
                            <w:b/>
                            <w:color w:val="00ADDC"/>
                            <w:lang w:val="fr-BE"/>
                          </w:rPr>
                          <w:t>31%%</w:t>
                        </w:r>
                      </w:p>
                    </w:txbxContent>
                  </v:textbox>
                </v:shape>
                <v:shape id="_x0000_s1177" type="#_x0000_t202" style="position:absolute;left:8450;top:6361;width:741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" filled="f" stroked="f">
                  <v:textbox>
                    <w:txbxContent>
                      <w:p w:rsidR="0060634A" w:rsidRDefault="00F76D44">
                        <w:pPr>
                          <w:spacing w:after="120"/>
                          <w:jc w:val="center"/>
                          <w:rPr>
                            <w:color w:val="28296E"/>
                            <w:lang w:val="fr-BE"/>
                          </w:rPr>
                        </w:pPr>
                        <w:r>
                          <w:rPr>
                            <w:b/>
                            <w:color w:val="28296E"/>
                            <w:lang w:val="fr-BE"/>
                          </w:rPr>
                          <w:t>78%%</w:t>
                        </w:r>
                      </w:p>
                    </w:txbxContent>
                  </v:textbox>
                </v:shape>
                <w10:wrap type="square"/>
                <w10:anchorlock/>
              </v:group>
              <o:OLEObject Type="Embed" ProgID="Excel.Chart.8" ShapeID="Chart 610" DrawAspect="Content" ObjectID="_1654495740" r:id="rId472">
                <o:FieldCodes>\s</o:FieldCodes>
              </o:OLEObject>
            </w:pict>
          </mc:Fallback>
        </mc:AlternateContent>
      </w:r>
      <w:r>
        <w:rPr>
          <w:rFonts w:eastAsiaTheme="minorEastAsia"/>
        </w:rPr>
        <w:t xml:space="preserve">OVERALL EXECUTION </w:t>
      </w:r>
      <w:r>
        <w:rPr>
          <w:rFonts w:eastAsiaTheme="minorEastAsia"/>
        </w:rPr>
        <w:br/>
        <w:t>(2014-2019)</w:t>
      </w:r>
    </w:p>
    <w:p w:rsidR="0060634A" w:rsidRDefault="00F76D44">
      <w:pPr>
        <w:pStyle w:val="PPOsidebartext"/>
        <w:rPr>
          <w:rFonts w:eastAsiaTheme="minorEastAsia"/>
        </w:rPr>
      </w:pPr>
      <w:r>
        <w:rPr>
          <w:rFonts w:eastAsiaTheme="minorEastAsia"/>
          <w:lang w:val="fr-BE" w:eastAsia="fr-BE"/>
        </w:rPr>
        <mc:AlternateContent>
          <mc:Choice Requires="wps">
            <w:drawing>
              <wp:anchor distT="45720" distB="45720" distL="114300" distR="114300" simplePos="0" relativeHeight="251731968" behindDoc="0" locked="1" layoutInCell="1" allowOverlap="1">
                <wp:simplePos x="0" y="0"/>
                <wp:positionH relativeFrom="page">
                  <wp:posOffset>2242185</wp:posOffset>
                </wp:positionH>
                <wp:positionV relativeFrom="page">
                  <wp:posOffset>6089015</wp:posOffset>
                </wp:positionV>
                <wp:extent cx="2437130" cy="2314575"/>
                <wp:effectExtent l="0" t="0" r="1270" b="9525"/>
                <wp:wrapTopAndBottom/>
                <wp:docPr id="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314575"/>
                        </a:xfrm>
                        <a:prstGeom prst="rect">
                          <a:avLst/>
                        </a:prstGeom>
                        <a:solidFill>
                          <a:srgbClr val="FFFFFF"/>
                        </a:solidFill>
                        <a:ln w="9525">
                          <a:noFill/>
                          <a:miter lim="800000"/>
                          <a:headEnd/>
                          <a:tailEnd/>
                        </a:ln>
                      </wps:spPr>
                      <wps:txbx id="96">
                        <w:txbxContent>
                          <w:p w:rsidR="0060634A" w:rsidRDefault="00F76D44">
                            <w:pPr>
                              <w:pStyle w:val="PPOTitle3-nospacebefore"/>
                            </w:pPr>
                            <w:r>
                              <w:t>Why is it necessary?</w:t>
                            </w:r>
                          </w:p>
                          <w:p w:rsidR="0060634A" w:rsidRDefault="00F76D44">
                            <w:pPr>
                              <w:pStyle w:val="PPObodyText"/>
                            </w:pPr>
                            <w:r>
                              <w:t>CEF Transport makes travel easier and more sustainable. It contributes to the decarbonisation of the European economy by investing heavily in environmentally friendly transport modes, including</w:t>
                            </w:r>
                            <w:r>
                              <w:t xml:space="preserve"> railway for around 70% of the funding. CEF focuses on cross-border projects, efficient traffic management systems and alternative fuels, thus increasing safety and sustainability.</w:t>
                            </w:r>
                          </w:p>
                          <w:p w:rsidR="0060634A" w:rsidRDefault="00F76D44">
                            <w:pPr>
                              <w:pStyle w:val="PPObodyText"/>
                            </w:pPr>
                            <w:r>
                              <w:t>CEF Energy enhances the EU’s energy security and enables wider use of renew</w:t>
                            </w:r>
                            <w:r>
                              <w:t>ables. It promotes the further integration of the internal energy market and the interoperability of electricity and gas networks across borders, and ensures that no Member State is isolated. It enhances EU security of supply and contributes to sustainable</w:t>
                            </w:r>
                            <w:r>
                              <w:t xml:space="preserve"> development and protection of the environment by fostering the integration of more renewable electricity.</w:t>
                            </w:r>
                          </w:p>
                          <w:p w:rsidR="0060634A" w:rsidRDefault="00F76D44">
                            <w:pPr>
                              <w:pStyle w:val="PPObodyText"/>
                            </w:pPr>
                            <w:r>
                              <w:t xml:space="preserve">CEF Telecom facilitates cross-border interactions between public administrations, businesses and citizens. It supports the vision of public services </w:t>
                            </w:r>
                            <w:r>
                              <w:t>being digital and cross-border. It also promotes free wireless connectivity in local communities and stimulates investment for deploying and modernising broadband networks, therefore sustaining the digital single market.</w:t>
                            </w:r>
                          </w:p>
                          <w:p w:rsidR="0060634A" w:rsidRDefault="00F76D44">
                            <w:pPr>
                              <w:pStyle w:val="PPOTitle3"/>
                            </w:pPr>
                            <w:r>
                              <w:t>Outlook for the 2021-2027 period</w:t>
                            </w:r>
                          </w:p>
                          <w:p w:rsidR="0060634A" w:rsidRDefault="00F76D44">
                            <w:pPr>
                              <w:pStyle w:val="PPObodyText"/>
                            </w:pPr>
                            <w:r>
                              <w:t>Th</w:t>
                            </w:r>
                            <w:r>
                              <w:t>e Commission proposed a continuation of the programme for the next multiannual financial framework.</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left:0;text-align:left;margin-left:176.55pt;margin-top:479.45pt;width:191.9pt;height:182.25pt;z-index:2517319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" stroked="f">
                <v:textbox style="mso-next-textbox:#Text Box 617" inset="0">
                  <w:txbxContent>
                    <w:p w:rsidR="0060634A" w:rsidRDefault="00F76D44">
                      <w:pPr>
                        <w:pStyle w:val="PPOTitle3-nospacebefore"/>
                      </w:pPr>
                      <w:r>
                        <w:t>Why is it necessary?</w:t>
                      </w:r>
                    </w:p>
                    <w:p w:rsidR="0060634A" w:rsidRDefault="00F76D44">
                      <w:pPr>
                        <w:pStyle w:val="PPObodyText"/>
                      </w:pPr>
                      <w:r>
                        <w:t>CEF Transport makes travel easier and more sustainable. It contributes to the decarbonisation of the European economy by investing heavily in environmentally friendly transport modes, including</w:t>
                      </w:r>
                      <w:r>
                        <w:t xml:space="preserve"> railway for around 70% of the funding. CEF focuses on cross-border projects, efficient traffic management systems and alternative fuels, thus increasing safety and sustainability.</w:t>
                      </w:r>
                    </w:p>
                    <w:p w:rsidR="0060634A" w:rsidRDefault="00F76D44">
                      <w:pPr>
                        <w:pStyle w:val="PPObodyText"/>
                      </w:pPr>
                      <w:r>
                        <w:t>CEF Energy enhances the EU’s energy security and enables wider use of renew</w:t>
                      </w:r>
                      <w:r>
                        <w:t>ables. It promotes the further integration of the internal energy market and the interoperability of electricity and gas networks across borders, and ensures that no Member State is isolated. It enhances EU security of supply and contributes to sustainable</w:t>
                      </w:r>
                      <w:r>
                        <w:t xml:space="preserve"> development and protection of the environment by fostering the integration of more renewable electricity.</w:t>
                      </w:r>
                    </w:p>
                    <w:p w:rsidR="0060634A" w:rsidRDefault="00F76D44">
                      <w:pPr>
                        <w:pStyle w:val="PPObodyText"/>
                      </w:pPr>
                      <w:r>
                        <w:t xml:space="preserve">CEF Telecom facilitates cross-border interactions between public administrations, businesses and citizens. It supports the vision of public services </w:t>
                      </w:r>
                      <w:r>
                        <w:t>being digital and cross-border. It also promotes free wireless connectivity in local communities and stimulates investment for deploying and modernising broadband networks, therefore sustaining the digital single market.</w:t>
                      </w:r>
                    </w:p>
                    <w:p w:rsidR="0060634A" w:rsidRDefault="00F76D44">
                      <w:pPr>
                        <w:pStyle w:val="PPOTitle3"/>
                      </w:pPr>
                      <w:r>
                        <w:t>Outlook for the 2021-2027 period</w:t>
                      </w:r>
                    </w:p>
                    <w:p w:rsidR="0060634A" w:rsidRDefault="00F76D44">
                      <w:pPr>
                        <w:pStyle w:val="PPObodyText"/>
                      </w:pPr>
                      <w:r>
                        <w:t>Th</w:t>
                      </w:r>
                      <w:r>
                        <w:t>e Commission proposed a continuation of the programme for the next multiannual financial framework.</w:t>
                      </w:r>
                    </w:p>
                  </w:txbxContent>
                </v:textbox>
                <w10:wrap type="topAndBottom" anchorx="page" anchory="page"/>
                <w10:anchorlock/>
              </v:shape>
            </w:pict>
          </mc:Fallback>
        </mc:AlternateContent>
      </w:r>
    </w:p>
    <w:p w:rsidR="0060634A" w:rsidRDefault="00F76D44">
      <w:pPr>
        <w:pStyle w:val="PPOsidebarchartLegends"/>
        <w:rPr>
          <w:rFonts w:eastAsiaTheme="minorEastAsia"/>
        </w:rPr>
      </w:pPr>
      <w:r>
        <w:rPr>
          <w:rFonts w:eastAsiaTheme="minorEastAsia"/>
          <w:lang w:val="fr-BE" w:eastAsia="fr-BE"/>
        </w:rPr>
        <mc:AlternateContent>
          <mc:Choice Requires="wps">
            <w:drawing>
              <wp:anchor distT="0" distB="0" distL="114300" distR="114300" simplePos="0" relativeHeight="251730944" behindDoc="0" locked="1" layoutInCell="1" allowOverlap="1">
                <wp:simplePos x="0" y="0"/>
                <wp:positionH relativeFrom="column">
                  <wp:posOffset>539750</wp:posOffset>
                </wp:positionH>
                <wp:positionV relativeFrom="paragraph">
                  <wp:posOffset>1270</wp:posOffset>
                </wp:positionV>
                <wp:extent cx="115200" cy="115200"/>
                <wp:effectExtent l="0" t="0" r="0" b="0"/>
                <wp:wrapNone/>
                <wp:docPr id="615" name="Oval 615"/>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00AD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6F9BFB" id="Oval 615" o:spid="_x0000_s1026" style="position:absolute;margin-left:42.5pt;margin-top:.1pt;width:9.05pt;height:9.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" fillcolor="#00addc" stroked="f" strokeweight="1pt">
                <v:stroke joinstyle="miter"/>
                <w10:anchorlock/>
              </v:oval>
            </w:pict>
          </mc:Fallback>
        </mc:AlternateContent>
      </w:r>
      <w:r>
        <w:rPr>
          <w:rFonts w:eastAsiaTheme="minorEastAsia"/>
          <w:lang w:val="fr-BE" w:eastAsia="fr-BE"/>
        </w:rPr>
        <w:drawing>
          <wp:anchor distT="0" distB="0" distL="114300" distR="114300" simplePos="0" relativeHeight="251727872" behindDoc="1" locked="1" layoutInCell="1" allowOverlap="1">
            <wp:simplePos x="0" y="0"/>
            <wp:positionH relativeFrom="page">
              <wp:posOffset>-415925</wp:posOffset>
            </wp:positionH>
            <wp:positionV relativeFrom="paragraph">
              <wp:posOffset>-1605915</wp:posOffset>
            </wp:positionV>
            <wp:extent cx="3412800" cy="1990800"/>
            <wp:effectExtent l="0" t="0" r="0" b="0"/>
            <wp:wrapNone/>
            <wp:docPr id="624" name="Chart 6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3"/>
              </a:graphicData>
            </a:graphic>
            <wp14:sizeRelH relativeFrom="margin">
              <wp14:pctWidth>0</wp14:pctWidth>
            </wp14:sizeRelH>
            <wp14:sizeRelV relativeFrom="margin">
              <wp14:pctHeight>0</wp14:pctHeight>
            </wp14:sizeRelV>
          </wp:anchor>
        </w:drawing>
      </w:r>
      <w:r>
        <w:rPr>
          <w:rFonts w:eastAsiaTheme="minorEastAsia"/>
          <w:lang w:val="fr-BE" w:eastAsia="fr-BE"/>
        </w:rPr>
        <mc:AlternateContent>
          <mc:Choice Requires="wps">
            <w:drawing>
              <wp:anchor distT="0" distB="0" distL="114300" distR="114300" simplePos="0" relativeHeight="251729920" behindDoc="0" locked="1" layoutInCell="1" allowOverlap="1">
                <wp:simplePos x="0" y="0"/>
                <wp:positionH relativeFrom="column">
                  <wp:posOffset>539750</wp:posOffset>
                </wp:positionH>
                <wp:positionV relativeFrom="paragraph">
                  <wp:posOffset>195580</wp:posOffset>
                </wp:positionV>
                <wp:extent cx="115200" cy="115200"/>
                <wp:effectExtent l="0" t="0" r="0" b="0"/>
                <wp:wrapNone/>
                <wp:docPr id="616" name="Oval 616"/>
                <wp:cNvGraphicFramePr/>
                <a:graphic xmlns:a="http://schemas.openxmlformats.org/drawingml/2006/main">
                  <a:graphicData uri="http://schemas.microsoft.com/office/word/2010/wordprocessingShape">
                    <wps:wsp>
                      <wps:cNvSpPr/>
                      <wps:spPr>
                        <a:xfrm>
                          <a:off x="0" y="0"/>
                          <a:ext cx="115200" cy="115200"/>
                        </a:xfrm>
                        <a:prstGeom prst="ellipse">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113D5C" id="Oval 616" o:spid="_x0000_s1026" style="position:absolute;margin-left:42.5pt;margin-top:15.4pt;width:9.05pt;height:9.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" fillcolor="#28296e" stroked="f" strokeweight="1pt">
                <v:stroke joinstyle="miter"/>
                <w10:anchorlock/>
              </v:oval>
            </w:pict>
          </mc:Fallback>
        </mc:AlternateContent>
      </w:r>
      <w:r>
        <w:rPr>
          <w:rFonts w:eastAsiaTheme="minorEastAsia"/>
        </w:rPr>
        <w:t>Payments</w:t>
      </w:r>
    </w:p>
    <w:p w:rsidR="0060634A" w:rsidRDefault="00F76D44">
      <w:pPr>
        <w:pStyle w:val="PPOsidebarchartLegends"/>
        <w:rPr>
          <w:rFonts w:eastAsiaTheme="minorEastAsia"/>
        </w:rPr>
      </w:pPr>
      <w:r>
        <w:rPr>
          <w:rFonts w:eastAsiaTheme="minorEastAsia"/>
        </w:rPr>
        <w:t>Commitments</w:t>
      </w:r>
    </w:p>
    <w:p w:rsidR="0060634A" w:rsidRDefault="00F76D44">
      <w:pPr>
        <w:pStyle w:val="PPO1AsidebarTitleLightBlue"/>
        <w:rPr>
          <w:rFonts w:eastAsiaTheme="minorEastAsia"/>
        </w:rPr>
      </w:pPr>
      <w:r>
        <w:rPr>
          <w:rFonts w:eastAsiaTheme="minorEastAsia"/>
        </w:rPr>
        <w:t>Evaluations/</w:t>
      </w:r>
      <w:r>
        <w:rPr>
          <w:rFonts w:eastAsiaTheme="minorEastAsia"/>
        </w:rPr>
        <w:br/>
        <w:t>studies conducted</w:t>
      </w:r>
    </w:p>
    <w:p w:rsidR="0060634A" w:rsidRDefault="00F76D44">
      <w:pPr>
        <w:pStyle w:val="PPOsidebartext"/>
        <w:rPr>
          <w:rFonts w:eastAsiaTheme="minorEastAsia"/>
        </w:rPr>
      </w:pPr>
      <w:r>
        <w:rPr>
          <w:rFonts w:eastAsiaTheme="minorEastAsia"/>
        </w:rPr>
        <w:t>The midterm evaluation of the CEF was carried out in 2017. For further information please consult:</w:t>
      </w:r>
    </w:p>
    <w:p w:rsidR="0060634A" w:rsidRDefault="00F76D44">
      <w:pPr>
        <w:pStyle w:val="PPOsidebartext"/>
        <w:rPr>
          <w:rFonts w:eastAsiaTheme="minorEastAsia"/>
        </w:rPr>
      </w:pPr>
      <w:hyperlink r:id="rId474" w:history="1">
        <w:r>
          <w:rPr>
            <w:rStyle w:val="PPOChar-Hyperlink"/>
            <w:rFonts w:eastAsiaTheme="minorEastAsia"/>
          </w:rPr>
          <w:t>http://europa.eu/!Rc38MC</w:t>
        </w:r>
      </w:hyperlink>
    </w:p>
    <w:p w:rsidR="0060634A" w:rsidRDefault="00F76D44">
      <w:pPr>
        <w:pStyle w:val="PPO1AsidebarTitleLightBlue"/>
        <w:rPr>
          <w:rFonts w:eastAsiaTheme="minorEastAsia"/>
        </w:rPr>
      </w:pPr>
      <w:r>
        <w:rPr>
          <w:rFonts w:eastAsiaTheme="minorEastAsia"/>
        </w:rPr>
        <w:t>How is it implemented?</w:t>
      </w:r>
    </w:p>
    <w:tbl>
      <w:tblPr>
        <w:tblStyle w:val="TableGrid"/>
        <w:tblpPr w:vertAnchor="page" w:horzAnchor="page" w:tblpX="3663" w:tblpY="13622"/>
        <w:tblOverlap w:val="never"/>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471"/>
        <w:gridCol w:w="850"/>
        <w:gridCol w:w="3471"/>
      </w:tblGrid>
      <w:tr w:rsidR="0060634A">
        <w:trPr>
          <w:cantSplit/>
        </w:trPr>
        <w:tc>
          <w:tcPr>
            <w:tcW w:w="7792" w:type="dxa"/>
            <w:gridSpan w:val="3"/>
            <w:vAlign w:val="center"/>
          </w:tcPr>
          <w:p w:rsidR="0060634A" w:rsidRDefault="00F76D44">
            <w:pPr>
              <w:pStyle w:val="PPOTitle3-nospacebefore"/>
              <w:ind w:left="-108"/>
              <w:rPr>
                <w:rFonts w:eastAsiaTheme="minorEastAsia"/>
                <w:lang w:val="en-GB"/>
              </w:rPr>
            </w:pPr>
            <w:r>
              <w:rPr>
                <w:rFonts w:eastAsiaTheme="minorEastAsia"/>
                <w:lang w:val="en-GB"/>
              </w:rPr>
              <w:t>Voted budget execution (in EUR million)</w:t>
            </w:r>
          </w:p>
        </w:tc>
      </w:tr>
      <w:tr w:rsidR="0060634A">
        <w:tblPrEx>
          <w:tblCellMar>
            <w:left w:w="57" w:type="dxa"/>
            <w:right w:w="57" w:type="dxa"/>
          </w:tblCellMar>
        </w:tblPrEx>
        <w:trPr>
          <w:cantSplit/>
        </w:trPr>
        <w:tc>
          <w:tcPr>
            <w:tcW w:w="3471" w:type="dxa"/>
            <w:shd w:val="clear" w:color="auto" w:fill="00ADDC"/>
            <w:vAlign w:val="center"/>
          </w:tcPr>
          <w:p w:rsidR="0060634A" w:rsidRDefault="00F76D44">
            <w:pPr>
              <w:pStyle w:val="PPOVotedbudgetTABLEHeaderLeftcol"/>
              <w:framePr w:hSpace="0" w:wrap="auto" w:vAnchor="margin" w:hAnchor="text" w:xAlign="left" w:yAlign="inline"/>
              <w:suppressOverlap w:val="0"/>
              <w:rPr>
                <w:rFonts w:eastAsiaTheme="minorEastAsia"/>
              </w:rPr>
            </w:pPr>
            <w:r>
              <w:rPr>
                <w:rFonts w:eastAsiaTheme="minorEastAsia"/>
              </w:rPr>
              <w:t>EXECUTED COMMITMENTS</w:t>
            </w:r>
          </w:p>
        </w:tc>
        <w:tc>
          <w:tcPr>
            <w:tcW w:w="850" w:type="dxa"/>
            <w:shd w:val="clear" w:color="auto" w:fill="00ADDC"/>
            <w:vAlign w:val="center"/>
          </w:tcPr>
          <w:p w:rsidR="0060634A" w:rsidRDefault="0060634A">
            <w:pPr>
              <w:rPr>
                <w:noProof/>
              </w:rPr>
            </w:pPr>
          </w:p>
        </w:tc>
        <w:tc>
          <w:tcPr>
            <w:tcW w:w="3471" w:type="dxa"/>
            <w:shd w:val="clear" w:color="auto" w:fill="00ADDC"/>
            <w:vAlign w:val="center"/>
          </w:tcPr>
          <w:p w:rsidR="0060634A" w:rsidRDefault="00F76D44">
            <w:pPr>
              <w:pStyle w:val="PPOVotedbudgetTABLEHeaderRightcol"/>
              <w:framePr w:hSpace="0" w:wrap="auto" w:vAnchor="margin" w:hAnchor="text" w:xAlign="left" w:yAlign="inline"/>
              <w:suppressOverlap w:val="0"/>
              <w:rPr>
                <w:rFonts w:eastAsiaTheme="minorEastAsia"/>
              </w:rPr>
            </w:pPr>
            <w:r>
              <w:rPr>
                <w:rFonts w:eastAsiaTheme="minorEastAsia"/>
              </w:rPr>
              <w:t>EXECUTED PAYMENTS</w:t>
            </w:r>
          </w:p>
        </w:tc>
      </w:tr>
      <w:tr w:rsidR="0060634A">
        <w:trPr>
          <w:cantSplit/>
        </w:trPr>
        <w:tc>
          <w:tcPr>
            <w:tcW w:w="3471" w:type="dxa"/>
            <w:shd w:val="clear" w:color="auto" w:fill="DCE6F2"/>
            <w:vAlign w:val="center"/>
          </w:tcPr>
          <w:p w:rsidR="0060634A" w:rsidRDefault="00F76D44">
            <w:pPr>
              <w:spacing w:after="100" w:afterAutospacing="1"/>
              <w:jc w:val="right"/>
              <w:rPr>
                <w:noProof/>
                <w:color w:val="0070C0"/>
                <w:sz w:val="18"/>
              </w:rPr>
            </w:pPr>
            <w:r>
              <w:rPr>
                <w:noProof/>
                <w:lang w:eastAsia="fr-BE"/>
              </w:rPr>
              <w:drawing>
                <wp:inline distT="0" distB="0" distL="0" distR="0">
                  <wp:extent cx="2160000" cy="889200"/>
                  <wp:effectExtent l="0" t="0" r="0" b="0"/>
                  <wp:docPr id="625" name="Chart 6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5"/>
                    </a:graphicData>
                  </a:graphic>
                </wp:inline>
              </w:drawing>
            </w:r>
          </w:p>
        </w:tc>
        <w:tc>
          <w:tcPr>
            <w:tcW w:w="850" w:type="dxa"/>
            <w:shd w:val="clear" w:color="auto" w:fill="DCE6F2"/>
            <w:vAlign w:val="center"/>
          </w:tcPr>
          <w:p w:rsidR="0060634A" w:rsidRDefault="00F76D44">
            <w:pPr>
              <w:pStyle w:val="PPO1AVotedbudgetTABLEtextBlue"/>
              <w:framePr w:hSpace="0" w:wrap="auto" w:vAnchor="margin" w:hAnchor="text" w:xAlign="left" w:yAlign="inline"/>
              <w:suppressOverlap w:val="0"/>
              <w:rPr>
                <w:rFonts w:eastAsiaTheme="minorEastAsia"/>
              </w:rPr>
            </w:pPr>
            <w:r>
              <w:rPr>
                <w:rFonts w:eastAsiaTheme="minorEastAsia"/>
              </w:rPr>
              <w:t>2017</w:t>
            </w:r>
          </w:p>
          <w:p w:rsidR="0060634A" w:rsidRDefault="00F76D44">
            <w:pPr>
              <w:pStyle w:val="PPO1AVotedbudgetTABLEtextBlue"/>
              <w:framePr w:hSpace="0" w:wrap="auto" w:vAnchor="margin" w:hAnchor="text" w:xAlign="left" w:yAlign="inline"/>
              <w:suppressOverlap w:val="0"/>
              <w:rPr>
                <w:rFonts w:eastAsiaTheme="minorEastAsia"/>
              </w:rPr>
            </w:pPr>
            <w:r>
              <w:rPr>
                <w:rFonts w:eastAsiaTheme="minorEastAsia"/>
              </w:rPr>
              <w:t>2018</w:t>
            </w:r>
          </w:p>
          <w:p w:rsidR="0060634A" w:rsidRDefault="00F76D44">
            <w:pPr>
              <w:pStyle w:val="PPO1AVotedbudgetTABLEtextBlue"/>
              <w:framePr w:hSpace="0" w:wrap="auto" w:vAnchor="margin" w:hAnchor="text" w:xAlign="left" w:yAlign="inline"/>
              <w:suppressOverlap w:val="0"/>
              <w:rPr>
                <w:rFonts w:ascii="EC Square Sans Pro" w:eastAsiaTheme="minorEastAsia" w:hAnsi="EC Square Sans Pro"/>
                <w:sz w:val="18"/>
              </w:rPr>
            </w:pPr>
            <w:r>
              <w:rPr>
                <w:rFonts w:eastAsiaTheme="minorEastAsia"/>
              </w:rPr>
              <w:t>2019</w:t>
            </w:r>
          </w:p>
        </w:tc>
        <w:tc>
          <w:tcPr>
            <w:tcW w:w="3471" w:type="dxa"/>
            <w:shd w:val="clear" w:color="auto" w:fill="DCE6F2"/>
            <w:vAlign w:val="center"/>
          </w:tcPr>
          <w:p w:rsidR="0060634A" w:rsidRDefault="00F76D44">
            <w:pPr>
              <w:spacing w:after="100" w:afterAutospacing="1"/>
              <w:jc w:val="right"/>
              <w:rPr>
                <w:noProof/>
                <w:color w:val="FFFFFF" w:themeColor="background1"/>
                <w:sz w:val="18"/>
              </w:rPr>
            </w:pPr>
            <w:r>
              <w:rPr>
                <w:noProof/>
                <w:color w:val="FFFFFF" w:themeColor="background1"/>
                <w:sz w:val="18"/>
                <w:lang w:eastAsia="fr-BE"/>
              </w:rPr>
              <w:drawing>
                <wp:inline distT="0" distB="0" distL="0" distR="0">
                  <wp:extent cx="2158365" cy="890270"/>
                  <wp:effectExtent l="0" t="0" r="0" b="0"/>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158365" cy="890270"/>
                          </a:xfrm>
                          <a:prstGeom prst="rect">
                            <a:avLst/>
                          </a:prstGeom>
                          <a:noFill/>
                        </pic:spPr>
                      </pic:pic>
                    </a:graphicData>
                  </a:graphic>
                </wp:inline>
              </w:drawing>
            </w:r>
          </w:p>
        </w:tc>
      </w:tr>
    </w:tbl>
    <w:p w:rsidR="0060634A" w:rsidRDefault="00F76D44">
      <w:pPr>
        <w:pStyle w:val="PPOsidebartext"/>
        <w:rPr>
          <w:rFonts w:eastAsiaTheme="minorEastAsia"/>
        </w:rPr>
      </w:pPr>
      <w:r>
        <w:rPr>
          <w:rFonts w:eastAsiaTheme="minorEastAsia"/>
        </w:rPr>
        <w:t xml:space="preserve">The Directorate-General for Mobility and Transport is the lead DG </w:t>
      </w:r>
      <w:r>
        <w:rPr>
          <w:rFonts w:eastAsiaTheme="minorEastAsia"/>
        </w:rPr>
        <w:t>for the implementation of the programme, in association with DG Energy and DG Communications Networks, Content and Technology. The CEF is implemented through direct management, mainly in the form of grants. In addition, it offers financial support to proje</w:t>
      </w:r>
      <w:r>
        <w:rPr>
          <w:rFonts w:eastAsiaTheme="minorEastAsia"/>
        </w:rPr>
        <w:t>cts through innovative financial instruments such as guarantees and project bonds.</w:t>
      </w:r>
    </w:p>
    <w:p w:rsidR="0060634A" w:rsidRDefault="00F76D44">
      <w:pPr>
        <w:pStyle w:val="PPO1ATitle1"/>
        <w:rPr>
          <w:rFonts w:eastAsiaTheme="minorEastAsia"/>
        </w:rPr>
      </w:pPr>
      <w:r>
        <w:rPr>
          <w:rFonts w:eastAsiaTheme="minorEastAsia"/>
        </w:rPr>
        <w:br w:type="column"/>
      </w:r>
      <w:bookmarkStart w:id="47" w:name="_Toc39583688"/>
      <w:r>
        <w:rPr>
          <w:rFonts w:eastAsiaTheme="minorEastAsia"/>
        </w:rPr>
        <w:t>CEF</w:t>
      </w:r>
      <w:bookmarkEnd w:id="47"/>
    </w:p>
    <w:p w:rsidR="0060634A" w:rsidRDefault="00F76D44">
      <w:pPr>
        <w:pStyle w:val="PPO1ATitle2"/>
        <w:rPr>
          <w:rFonts w:eastAsiaTheme="minorEastAsia"/>
        </w:rPr>
      </w:pPr>
      <w:r>
        <w:rPr>
          <w:rFonts w:eastAsiaTheme="minorEastAsia"/>
        </w:rPr>
        <w:t>CONNECTING EUROPE FACILITY</w:t>
      </w:r>
    </w:p>
    <w:p w:rsidR="0060634A" w:rsidRDefault="00F76D44">
      <w:pPr>
        <w:pStyle w:val="PPOTitle3"/>
        <w:rPr>
          <w:rFonts w:eastAsiaTheme="minorEastAsia"/>
        </w:rPr>
      </w:pPr>
      <w:r>
        <w:rPr>
          <w:rFonts w:eastAsiaTheme="minorEastAsia"/>
        </w:rPr>
        <w:t>What is the CEF?</w:t>
      </w:r>
    </w:p>
    <w:p w:rsidR="0060634A" w:rsidRDefault="00F76D44">
      <w:pPr>
        <w:pStyle w:val="PPObodyText"/>
        <w:spacing w:after="200"/>
        <w:rPr>
          <w:noProof/>
        </w:rPr>
      </w:pPr>
      <w:r>
        <w:rPr>
          <w:noProof/>
          <w:lang w:val="fr-BE" w:eastAsia="fr-BE"/>
        </w:rPr>
        <mc:AlternateContent>
          <mc:Choice Requires="wps">
            <w:drawing>
              <wp:anchor distT="0" distB="0" distL="114300" distR="114300" simplePos="0" relativeHeight="251732992" behindDoc="0" locked="1" layoutInCell="1" allowOverlap="1">
                <wp:simplePos x="0" y="0"/>
                <wp:positionH relativeFrom="page">
                  <wp:posOffset>4762500</wp:posOffset>
                </wp:positionH>
                <wp:positionV relativeFrom="page">
                  <wp:posOffset>6323330</wp:posOffset>
                </wp:positionV>
                <wp:extent cx="2437130" cy="2105025"/>
                <wp:effectExtent l="0" t="0" r="1270" b="9525"/>
                <wp:wrapTopAndBottom/>
                <wp:docPr id="617" name="Text Box 617"/>
                <wp:cNvGraphicFramePr/>
                <a:graphic xmlns:a="http://schemas.openxmlformats.org/drawingml/2006/main">
                  <a:graphicData uri="http://schemas.microsoft.com/office/word/2010/wordprocessingShape">
                    <wps:wsp>
                      <wps:cNvSpPr txBox="1"/>
                      <wps:spPr>
                        <a:xfrm>
                          <a:off x="0" y="0"/>
                          <a:ext cx="2437130" cy="2105025"/>
                        </a:xfrm>
                        <a:prstGeom prst="rect">
                          <a:avLst/>
                        </a:prstGeom>
                        <a:solidFill>
                          <a:schemeClr val="lt1"/>
                        </a:solidFill>
                        <a:ln w="6350">
                          <a:noFill/>
                        </a:ln>
                      </wps:spPr>
                      <wps:linkedTxbx id="96" seq="1"/>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7" o:spid="_x0000_s1179" type="#_x0000_t202" style="position:absolute;left:0;text-align:left;margin-left:375pt;margin-top:497.9pt;width:191.9pt;height:165.7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" fillcolor="white [3201]" stroked="f" strokeweight=".5pt">
                <v:textbox inset=",,0">
                  <w:txbxContent/>
                </v:textbox>
                <w10:wrap type="topAndBottom" anchorx="page" anchory="page"/>
                <w10:anchorlock/>
              </v:shape>
            </w:pict>
          </mc:Fallback>
        </mc:AlternateContent>
      </w:r>
      <w:r>
        <w:rPr>
          <w:noProof/>
        </w:rPr>
        <w:t>The Connecting Europe Facility (CEF) is a key EU funding instrument to promote jobs, growth and competitiveness through tar</w:t>
      </w:r>
      <w:r>
        <w:rPr>
          <w:noProof/>
        </w:rPr>
        <w:t>geted infrastructure investment at the EU level. It supports the development of high-performance, sustainable and efficiently interconnected trans-European networks in the fields of transport, energy and digital services. CEF investments fill in the missin</w:t>
      </w:r>
      <w:r>
        <w:rPr>
          <w:noProof/>
        </w:rPr>
        <w:t>g links in the EU’s energy, transport and digital backbone.</w:t>
      </w:r>
    </w:p>
    <w:tbl>
      <w:tblPr>
        <w:tblStyle w:val="TableGrid"/>
        <w:tblpPr w:leftFromText="181" w:rightFromText="340" w:vertAnchor="text" w:tblpX="108" w:tblpY="1"/>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7763"/>
      </w:tblGrid>
      <w:tr w:rsidR="0060634A">
        <w:trPr>
          <w:trHeight w:val="5702"/>
        </w:trPr>
        <w:tc>
          <w:tcPr>
            <w:tcW w:w="7763" w:type="dxa"/>
            <w:shd w:val="clear" w:color="auto" w:fill="F2F2F2" w:themeFill="background1" w:themeFillShade="F2"/>
          </w:tcPr>
          <w:p w:rsidR="0060634A" w:rsidRDefault="00F76D44">
            <w:pPr>
              <w:pStyle w:val="PPO1ASpecificobjectivesBOX-HeadingLightBlue"/>
              <w:rPr>
                <w:rFonts w:eastAsiaTheme="minorEastAsia"/>
              </w:rPr>
            </w:pPr>
            <w:r>
              <w:rPr>
                <w:rFonts w:eastAsiaTheme="minorEastAsia"/>
                <w:lang w:eastAsia="fr-BE"/>
              </w:rPr>
              <mc:AlternateContent>
                <mc:Choice Requires="wps">
                  <w:drawing>
                    <wp:anchor distT="0" distB="0" distL="114300" distR="114300" simplePos="0" relativeHeight="251734016" behindDoc="0" locked="1" layoutInCell="1" allowOverlap="1">
                      <wp:simplePos x="0" y="0"/>
                      <wp:positionH relativeFrom="column">
                        <wp:posOffset>50800</wp:posOffset>
                      </wp:positionH>
                      <wp:positionV relativeFrom="page">
                        <wp:posOffset>17780</wp:posOffset>
                      </wp:positionV>
                      <wp:extent cx="270000" cy="270000"/>
                      <wp:effectExtent l="0" t="0" r="0" b="0"/>
                      <wp:wrapThrough wrapText="bothSides">
                        <wp:wrapPolygon edited="0">
                          <wp:start x="13722" y="0"/>
                          <wp:lineTo x="0" y="4574"/>
                          <wp:lineTo x="0" y="19821"/>
                          <wp:lineTo x="15247" y="19821"/>
                          <wp:lineTo x="19821" y="7624"/>
                          <wp:lineTo x="19821" y="0"/>
                          <wp:lineTo x="13722" y="0"/>
                        </wp:wrapPolygon>
                      </wp:wrapThrough>
                      <wp:docPr id="24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70000"/>
                              </a:xfrm>
                              <a:custGeom>
                                <a:avLst/>
                                <a:gdLst>
                                  <a:gd name="T0" fmla="*/ 543 w 546"/>
                                  <a:gd name="T1" fmla="*/ 92 h 546"/>
                                  <a:gd name="T2" fmla="*/ 544 w 546"/>
                                  <a:gd name="T3" fmla="*/ 89 h 546"/>
                                  <a:gd name="T4" fmla="*/ 545 w 546"/>
                                  <a:gd name="T5" fmla="*/ 83 h 546"/>
                                  <a:gd name="T6" fmla="*/ 544 w 546"/>
                                  <a:gd name="T7" fmla="*/ 81 h 546"/>
                                  <a:gd name="T8" fmla="*/ 543 w 546"/>
                                  <a:gd name="T9" fmla="*/ 78 h 546"/>
                                  <a:gd name="T10" fmla="*/ 538 w 546"/>
                                  <a:gd name="T11" fmla="*/ 74 h 546"/>
                                  <a:gd name="T12" fmla="*/ 536 w 546"/>
                                  <a:gd name="T13" fmla="*/ 73 h 546"/>
                                  <a:gd name="T14" fmla="*/ 532 w 546"/>
                                  <a:gd name="T15" fmla="*/ 72 h 546"/>
                                  <a:gd name="T16" fmla="*/ 472 w 546"/>
                                  <a:gd name="T17" fmla="*/ 14 h 546"/>
                                  <a:gd name="T18" fmla="*/ 471 w 546"/>
                                  <a:gd name="T19" fmla="*/ 10 h 546"/>
                                  <a:gd name="T20" fmla="*/ 470 w 546"/>
                                  <a:gd name="T21" fmla="*/ 8 h 546"/>
                                  <a:gd name="T22" fmla="*/ 466 w 546"/>
                                  <a:gd name="T23" fmla="*/ 3 h 546"/>
                                  <a:gd name="T24" fmla="*/ 464 w 546"/>
                                  <a:gd name="T25" fmla="*/ 2 h 546"/>
                                  <a:gd name="T26" fmla="*/ 462 w 546"/>
                                  <a:gd name="T27" fmla="*/ 0 h 546"/>
                                  <a:gd name="T28" fmla="*/ 456 w 546"/>
                                  <a:gd name="T29" fmla="*/ 2 h 546"/>
                                  <a:gd name="T30" fmla="*/ 454 w 546"/>
                                  <a:gd name="T31" fmla="*/ 3 h 546"/>
                                  <a:gd name="T32" fmla="*/ 451 w 546"/>
                                  <a:gd name="T33" fmla="*/ 6 h 546"/>
                                  <a:gd name="T34" fmla="*/ 415 w 546"/>
                                  <a:gd name="T35" fmla="*/ 42 h 546"/>
                                  <a:gd name="T36" fmla="*/ 377 w 546"/>
                                  <a:gd name="T37" fmla="*/ 80 h 546"/>
                                  <a:gd name="T38" fmla="*/ 376 w 546"/>
                                  <a:gd name="T39" fmla="*/ 83 h 546"/>
                                  <a:gd name="T40" fmla="*/ 374 w 546"/>
                                  <a:gd name="T41" fmla="*/ 85 h 546"/>
                                  <a:gd name="T42" fmla="*/ 374 w 546"/>
                                  <a:gd name="T43" fmla="*/ 155 h 546"/>
                                  <a:gd name="T44" fmla="*/ 218 w 546"/>
                                  <a:gd name="T45" fmla="*/ 111 h 546"/>
                                  <a:gd name="T46" fmla="*/ 218 w 546"/>
                                  <a:gd name="T47" fmla="*/ 546 h 546"/>
                                  <a:gd name="T48" fmla="*/ 380 w 546"/>
                                  <a:gd name="T49" fmla="*/ 183 h 546"/>
                                  <a:gd name="T50" fmla="*/ 460 w 546"/>
                                  <a:gd name="T51" fmla="*/ 171 h 546"/>
                                  <a:gd name="T52" fmla="*/ 463 w 546"/>
                                  <a:gd name="T53" fmla="*/ 170 h 546"/>
                                  <a:gd name="T54" fmla="*/ 466 w 546"/>
                                  <a:gd name="T55" fmla="*/ 169 h 546"/>
                                  <a:gd name="T56" fmla="*/ 468 w 546"/>
                                  <a:gd name="T57" fmla="*/ 167 h 546"/>
                                  <a:gd name="T58" fmla="*/ 505 w 546"/>
                                  <a:gd name="T59" fmla="*/ 130 h 546"/>
                                  <a:gd name="T60" fmla="*/ 543 w 546"/>
                                  <a:gd name="T61" fmla="*/ 93 h 546"/>
                                  <a:gd name="T62" fmla="*/ 453 w 546"/>
                                  <a:gd name="T63" fmla="*/ 111 h 546"/>
                                  <a:gd name="T64" fmla="*/ 503 w 546"/>
                                  <a:gd name="T65" fmla="*/ 98 h 546"/>
                                  <a:gd name="T66" fmla="*/ 455 w 546"/>
                                  <a:gd name="T67" fmla="*/ 147 h 546"/>
                                  <a:gd name="T68" fmla="*/ 429 w 546"/>
                                  <a:gd name="T69" fmla="*/ 135 h 546"/>
                                  <a:gd name="T70" fmla="*/ 455 w 546"/>
                                  <a:gd name="T71" fmla="*/ 147 h 546"/>
                                  <a:gd name="T72" fmla="*/ 411 w 546"/>
                                  <a:gd name="T73" fmla="*/ 79 h 546"/>
                                  <a:gd name="T74" fmla="*/ 399 w 546"/>
                                  <a:gd name="T75" fmla="*/ 129 h 546"/>
                                  <a:gd name="T76" fmla="*/ 448 w 546"/>
                                  <a:gd name="T77" fmla="*/ 81 h 546"/>
                                  <a:gd name="T78" fmla="*/ 436 w 546"/>
                                  <a:gd name="T79" fmla="*/ 55 h 546"/>
                                  <a:gd name="T80" fmla="*/ 448 w 546"/>
                                  <a:gd name="T81" fmla="*/ 81 h 546"/>
                                  <a:gd name="T82" fmla="*/ 218 w 546"/>
                                  <a:gd name="T83" fmla="*/ 522 h 546"/>
                                  <a:gd name="T84" fmla="*/ 218 w 546"/>
                                  <a:gd name="T85" fmla="*/ 135 h 546"/>
                                  <a:gd name="T86" fmla="*/ 320 w 546"/>
                                  <a:gd name="T87" fmla="*/ 209 h 546"/>
                                  <a:gd name="T88" fmla="*/ 60 w 546"/>
                                  <a:gd name="T89" fmla="*/ 328 h 546"/>
                                  <a:gd name="T90" fmla="*/ 375 w 546"/>
                                  <a:gd name="T91" fmla="*/ 328 h 546"/>
                                  <a:gd name="T92" fmla="*/ 363 w 546"/>
                                  <a:gd name="T93" fmla="*/ 200 h 546"/>
                                  <a:gd name="T94" fmla="*/ 290 w 546"/>
                                  <a:gd name="T95" fmla="*/ 328 h 546"/>
                                  <a:gd name="T96" fmla="*/ 145 w 546"/>
                                  <a:gd name="T97" fmla="*/ 328 h 546"/>
                                  <a:gd name="T98" fmla="*/ 259 w 546"/>
                                  <a:gd name="T99" fmla="*/ 269 h 546"/>
                                  <a:gd name="T100" fmla="*/ 218 w 546"/>
                                  <a:gd name="T101" fmla="*/ 292 h 546"/>
                                  <a:gd name="T102" fmla="*/ 218 w 546"/>
                                  <a:gd name="T103" fmla="*/ 365 h 546"/>
                                  <a:gd name="T104" fmla="*/ 250 w 546"/>
                                  <a:gd name="T105" fmla="*/ 313 h 546"/>
                                  <a:gd name="T106" fmla="*/ 290 w 546"/>
                                  <a:gd name="T107" fmla="*/ 328 h 546"/>
                                  <a:gd name="T108" fmla="*/ 218 w 546"/>
                                  <a:gd name="T109" fmla="*/ 232 h 546"/>
                                  <a:gd name="T110" fmla="*/ 218 w 546"/>
                                  <a:gd name="T111" fmla="*/ 425 h 546"/>
                                  <a:gd name="T112" fmla="*/ 294 w 546"/>
                                  <a:gd name="T113" fmla="*/ 269 h 546"/>
                                  <a:gd name="T114" fmla="*/ 351 w 546"/>
                                  <a:gd name="T115" fmla="*/ 328 h 546"/>
                                  <a:gd name="T116" fmla="*/ 85 w 546"/>
                                  <a:gd name="T117" fmla="*/ 328 h 546"/>
                                  <a:gd name="T118" fmla="*/ 303 w 546"/>
                                  <a:gd name="T119" fmla="*/ 22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6" h="546">
                                    <a:moveTo>
                                      <a:pt x="543" y="93"/>
                                    </a:moveTo>
                                    <a:cubicBezTo>
                                      <a:pt x="543" y="93"/>
                                      <a:pt x="543" y="92"/>
                                      <a:pt x="543" y="92"/>
                                    </a:cubicBezTo>
                                    <a:cubicBezTo>
                                      <a:pt x="543" y="91"/>
                                      <a:pt x="544" y="91"/>
                                      <a:pt x="544" y="91"/>
                                    </a:cubicBezTo>
                                    <a:cubicBezTo>
                                      <a:pt x="544" y="90"/>
                                      <a:pt x="544" y="90"/>
                                      <a:pt x="544" y="89"/>
                                    </a:cubicBezTo>
                                    <a:cubicBezTo>
                                      <a:pt x="544" y="89"/>
                                      <a:pt x="544" y="89"/>
                                      <a:pt x="545" y="88"/>
                                    </a:cubicBezTo>
                                    <a:cubicBezTo>
                                      <a:pt x="546" y="86"/>
                                      <a:pt x="546" y="85"/>
                                      <a:pt x="545" y="83"/>
                                    </a:cubicBezTo>
                                    <a:cubicBezTo>
                                      <a:pt x="545" y="83"/>
                                      <a:pt x="545" y="83"/>
                                      <a:pt x="544" y="82"/>
                                    </a:cubicBezTo>
                                    <a:cubicBezTo>
                                      <a:pt x="544" y="81"/>
                                      <a:pt x="544" y="81"/>
                                      <a:pt x="544" y="81"/>
                                    </a:cubicBezTo>
                                    <a:cubicBezTo>
                                      <a:pt x="544" y="80"/>
                                      <a:pt x="543" y="80"/>
                                      <a:pt x="543" y="80"/>
                                    </a:cubicBezTo>
                                    <a:cubicBezTo>
                                      <a:pt x="543" y="79"/>
                                      <a:pt x="543" y="79"/>
                                      <a:pt x="543" y="78"/>
                                    </a:cubicBezTo>
                                    <a:cubicBezTo>
                                      <a:pt x="542" y="77"/>
                                      <a:pt x="541" y="76"/>
                                      <a:pt x="539" y="75"/>
                                    </a:cubicBezTo>
                                    <a:cubicBezTo>
                                      <a:pt x="538" y="74"/>
                                      <a:pt x="538" y="74"/>
                                      <a:pt x="538" y="74"/>
                                    </a:cubicBezTo>
                                    <a:cubicBezTo>
                                      <a:pt x="538" y="74"/>
                                      <a:pt x="538" y="74"/>
                                      <a:pt x="537" y="74"/>
                                    </a:cubicBezTo>
                                    <a:cubicBezTo>
                                      <a:pt x="537" y="74"/>
                                      <a:pt x="537" y="74"/>
                                      <a:pt x="536" y="73"/>
                                    </a:cubicBezTo>
                                    <a:cubicBezTo>
                                      <a:pt x="535" y="73"/>
                                      <a:pt x="535" y="73"/>
                                      <a:pt x="535" y="72"/>
                                    </a:cubicBezTo>
                                    <a:cubicBezTo>
                                      <a:pt x="534" y="72"/>
                                      <a:pt x="533" y="72"/>
                                      <a:pt x="532" y="72"/>
                                    </a:cubicBezTo>
                                    <a:cubicBezTo>
                                      <a:pt x="472" y="72"/>
                                      <a:pt x="472" y="72"/>
                                      <a:pt x="472" y="72"/>
                                    </a:cubicBezTo>
                                    <a:cubicBezTo>
                                      <a:pt x="472" y="14"/>
                                      <a:pt x="472" y="14"/>
                                      <a:pt x="472" y="14"/>
                                    </a:cubicBezTo>
                                    <a:cubicBezTo>
                                      <a:pt x="472" y="13"/>
                                      <a:pt x="472" y="12"/>
                                      <a:pt x="472" y="11"/>
                                    </a:cubicBezTo>
                                    <a:cubicBezTo>
                                      <a:pt x="472" y="11"/>
                                      <a:pt x="472" y="11"/>
                                      <a:pt x="471" y="10"/>
                                    </a:cubicBezTo>
                                    <a:cubicBezTo>
                                      <a:pt x="471" y="9"/>
                                      <a:pt x="471" y="9"/>
                                      <a:pt x="471" y="9"/>
                                    </a:cubicBezTo>
                                    <a:cubicBezTo>
                                      <a:pt x="471" y="8"/>
                                      <a:pt x="470" y="8"/>
                                      <a:pt x="470" y="8"/>
                                    </a:cubicBezTo>
                                    <a:cubicBezTo>
                                      <a:pt x="470" y="7"/>
                                      <a:pt x="469" y="7"/>
                                      <a:pt x="469" y="6"/>
                                    </a:cubicBezTo>
                                    <a:cubicBezTo>
                                      <a:pt x="469" y="5"/>
                                      <a:pt x="468" y="4"/>
                                      <a:pt x="466" y="3"/>
                                    </a:cubicBezTo>
                                    <a:cubicBezTo>
                                      <a:pt x="465" y="2"/>
                                      <a:pt x="465" y="2"/>
                                      <a:pt x="465" y="2"/>
                                    </a:cubicBezTo>
                                    <a:cubicBezTo>
                                      <a:pt x="465" y="2"/>
                                      <a:pt x="465" y="2"/>
                                      <a:pt x="464" y="2"/>
                                    </a:cubicBezTo>
                                    <a:cubicBezTo>
                                      <a:pt x="463" y="2"/>
                                      <a:pt x="463" y="2"/>
                                      <a:pt x="463" y="1"/>
                                    </a:cubicBezTo>
                                    <a:cubicBezTo>
                                      <a:pt x="462" y="1"/>
                                      <a:pt x="462" y="1"/>
                                      <a:pt x="462" y="0"/>
                                    </a:cubicBezTo>
                                    <a:cubicBezTo>
                                      <a:pt x="460" y="2"/>
                                      <a:pt x="459" y="2"/>
                                      <a:pt x="457" y="2"/>
                                    </a:cubicBezTo>
                                    <a:cubicBezTo>
                                      <a:pt x="457" y="2"/>
                                      <a:pt x="457" y="2"/>
                                      <a:pt x="456" y="2"/>
                                    </a:cubicBezTo>
                                    <a:cubicBezTo>
                                      <a:pt x="455" y="2"/>
                                      <a:pt x="455" y="2"/>
                                      <a:pt x="455" y="3"/>
                                    </a:cubicBezTo>
                                    <a:cubicBezTo>
                                      <a:pt x="454" y="3"/>
                                      <a:pt x="454" y="3"/>
                                      <a:pt x="454" y="3"/>
                                    </a:cubicBezTo>
                                    <a:cubicBezTo>
                                      <a:pt x="454" y="3"/>
                                      <a:pt x="453" y="3"/>
                                      <a:pt x="453" y="4"/>
                                    </a:cubicBezTo>
                                    <a:cubicBezTo>
                                      <a:pt x="452" y="5"/>
                                      <a:pt x="452" y="5"/>
                                      <a:pt x="451" y="6"/>
                                    </a:cubicBezTo>
                                    <a:cubicBezTo>
                                      <a:pt x="415" y="42"/>
                                      <a:pt x="415" y="42"/>
                                      <a:pt x="415" y="42"/>
                                    </a:cubicBezTo>
                                    <a:cubicBezTo>
                                      <a:pt x="415" y="42"/>
                                      <a:pt x="415" y="42"/>
                                      <a:pt x="415" y="42"/>
                                    </a:cubicBezTo>
                                    <a:cubicBezTo>
                                      <a:pt x="379" y="78"/>
                                      <a:pt x="379" y="78"/>
                                      <a:pt x="379" y="78"/>
                                    </a:cubicBezTo>
                                    <a:cubicBezTo>
                                      <a:pt x="378" y="79"/>
                                      <a:pt x="377" y="80"/>
                                      <a:pt x="377" y="80"/>
                                    </a:cubicBezTo>
                                    <a:cubicBezTo>
                                      <a:pt x="377" y="80"/>
                                      <a:pt x="376" y="81"/>
                                      <a:pt x="376" y="81"/>
                                    </a:cubicBezTo>
                                    <a:cubicBezTo>
                                      <a:pt x="376" y="82"/>
                                      <a:pt x="376" y="82"/>
                                      <a:pt x="376" y="83"/>
                                    </a:cubicBezTo>
                                    <a:cubicBezTo>
                                      <a:pt x="376" y="83"/>
                                      <a:pt x="376" y="83"/>
                                      <a:pt x="375" y="84"/>
                                    </a:cubicBezTo>
                                    <a:cubicBezTo>
                                      <a:pt x="375" y="84"/>
                                      <a:pt x="375" y="84"/>
                                      <a:pt x="374" y="85"/>
                                    </a:cubicBezTo>
                                    <a:cubicBezTo>
                                      <a:pt x="374" y="86"/>
                                      <a:pt x="374" y="87"/>
                                      <a:pt x="374" y="88"/>
                                    </a:cubicBezTo>
                                    <a:cubicBezTo>
                                      <a:pt x="374" y="155"/>
                                      <a:pt x="374" y="155"/>
                                      <a:pt x="374" y="155"/>
                                    </a:cubicBezTo>
                                    <a:cubicBezTo>
                                      <a:pt x="362" y="167"/>
                                      <a:pt x="362" y="167"/>
                                      <a:pt x="362" y="167"/>
                                    </a:cubicBezTo>
                                    <a:cubicBezTo>
                                      <a:pt x="324" y="132"/>
                                      <a:pt x="273" y="111"/>
                                      <a:pt x="218" y="111"/>
                                    </a:cubicBezTo>
                                    <a:cubicBezTo>
                                      <a:pt x="97" y="111"/>
                                      <a:pt x="0" y="208"/>
                                      <a:pt x="0" y="328"/>
                                    </a:cubicBezTo>
                                    <a:cubicBezTo>
                                      <a:pt x="0" y="449"/>
                                      <a:pt x="97" y="546"/>
                                      <a:pt x="218" y="546"/>
                                    </a:cubicBezTo>
                                    <a:cubicBezTo>
                                      <a:pt x="338" y="546"/>
                                      <a:pt x="436" y="449"/>
                                      <a:pt x="436" y="328"/>
                                    </a:cubicBezTo>
                                    <a:cubicBezTo>
                                      <a:pt x="436" y="273"/>
                                      <a:pt x="414" y="222"/>
                                      <a:pt x="380" y="183"/>
                                    </a:cubicBezTo>
                                    <a:cubicBezTo>
                                      <a:pt x="392" y="171"/>
                                      <a:pt x="392" y="171"/>
                                      <a:pt x="392" y="171"/>
                                    </a:cubicBezTo>
                                    <a:cubicBezTo>
                                      <a:pt x="460" y="171"/>
                                      <a:pt x="460" y="171"/>
                                      <a:pt x="460" y="171"/>
                                    </a:cubicBezTo>
                                    <a:cubicBezTo>
                                      <a:pt x="460" y="171"/>
                                      <a:pt x="462" y="171"/>
                                      <a:pt x="462" y="171"/>
                                    </a:cubicBezTo>
                                    <a:cubicBezTo>
                                      <a:pt x="463" y="171"/>
                                      <a:pt x="463" y="171"/>
                                      <a:pt x="463" y="170"/>
                                    </a:cubicBezTo>
                                    <a:cubicBezTo>
                                      <a:pt x="464" y="170"/>
                                      <a:pt x="464" y="170"/>
                                      <a:pt x="465" y="170"/>
                                    </a:cubicBezTo>
                                    <a:cubicBezTo>
                                      <a:pt x="465" y="170"/>
                                      <a:pt x="465" y="169"/>
                                      <a:pt x="466" y="169"/>
                                    </a:cubicBezTo>
                                    <a:cubicBezTo>
                                      <a:pt x="466" y="169"/>
                                      <a:pt x="466" y="169"/>
                                      <a:pt x="466" y="169"/>
                                    </a:cubicBezTo>
                                    <a:cubicBezTo>
                                      <a:pt x="467" y="168"/>
                                      <a:pt x="468" y="167"/>
                                      <a:pt x="468" y="167"/>
                                    </a:cubicBezTo>
                                    <a:cubicBezTo>
                                      <a:pt x="505" y="130"/>
                                      <a:pt x="505" y="130"/>
                                      <a:pt x="505" y="130"/>
                                    </a:cubicBezTo>
                                    <a:cubicBezTo>
                                      <a:pt x="505" y="130"/>
                                      <a:pt x="505" y="130"/>
                                      <a:pt x="505" y="130"/>
                                    </a:cubicBezTo>
                                    <a:cubicBezTo>
                                      <a:pt x="541" y="94"/>
                                      <a:pt x="541" y="94"/>
                                      <a:pt x="541" y="94"/>
                                    </a:cubicBezTo>
                                    <a:cubicBezTo>
                                      <a:pt x="541" y="94"/>
                                      <a:pt x="542" y="94"/>
                                      <a:pt x="543" y="93"/>
                                    </a:cubicBezTo>
                                    <a:close/>
                                    <a:moveTo>
                                      <a:pt x="491" y="111"/>
                                    </a:moveTo>
                                    <a:cubicBezTo>
                                      <a:pt x="453" y="111"/>
                                      <a:pt x="453" y="111"/>
                                      <a:pt x="453" y="111"/>
                                    </a:cubicBezTo>
                                    <a:cubicBezTo>
                                      <a:pt x="465" y="98"/>
                                      <a:pt x="465" y="98"/>
                                      <a:pt x="465" y="98"/>
                                    </a:cubicBezTo>
                                    <a:cubicBezTo>
                                      <a:pt x="503" y="98"/>
                                      <a:pt x="503" y="98"/>
                                      <a:pt x="503" y="98"/>
                                    </a:cubicBezTo>
                                    <a:lnTo>
                                      <a:pt x="491" y="111"/>
                                    </a:lnTo>
                                    <a:close/>
                                    <a:moveTo>
                                      <a:pt x="455" y="147"/>
                                    </a:moveTo>
                                    <a:cubicBezTo>
                                      <a:pt x="417" y="147"/>
                                      <a:pt x="417" y="147"/>
                                      <a:pt x="417" y="147"/>
                                    </a:cubicBezTo>
                                    <a:cubicBezTo>
                                      <a:pt x="429" y="135"/>
                                      <a:pt x="429" y="135"/>
                                      <a:pt x="429" y="135"/>
                                    </a:cubicBezTo>
                                    <a:cubicBezTo>
                                      <a:pt x="467" y="135"/>
                                      <a:pt x="467" y="135"/>
                                      <a:pt x="467" y="135"/>
                                    </a:cubicBezTo>
                                    <a:lnTo>
                                      <a:pt x="455" y="147"/>
                                    </a:lnTo>
                                    <a:close/>
                                    <a:moveTo>
                                      <a:pt x="399" y="91"/>
                                    </a:moveTo>
                                    <a:cubicBezTo>
                                      <a:pt x="411" y="79"/>
                                      <a:pt x="411" y="79"/>
                                      <a:pt x="411" y="79"/>
                                    </a:cubicBezTo>
                                    <a:cubicBezTo>
                                      <a:pt x="411" y="117"/>
                                      <a:pt x="411" y="117"/>
                                      <a:pt x="411" y="117"/>
                                    </a:cubicBezTo>
                                    <a:cubicBezTo>
                                      <a:pt x="399" y="129"/>
                                      <a:pt x="399" y="129"/>
                                      <a:pt x="399" y="129"/>
                                    </a:cubicBezTo>
                                    <a:lnTo>
                                      <a:pt x="399" y="91"/>
                                    </a:lnTo>
                                    <a:close/>
                                    <a:moveTo>
                                      <a:pt x="448" y="81"/>
                                    </a:moveTo>
                                    <a:cubicBezTo>
                                      <a:pt x="436" y="94"/>
                                      <a:pt x="436" y="94"/>
                                      <a:pt x="436" y="94"/>
                                    </a:cubicBezTo>
                                    <a:cubicBezTo>
                                      <a:pt x="436" y="55"/>
                                      <a:pt x="436" y="55"/>
                                      <a:pt x="436" y="55"/>
                                    </a:cubicBezTo>
                                    <a:cubicBezTo>
                                      <a:pt x="448" y="43"/>
                                      <a:pt x="448" y="43"/>
                                      <a:pt x="448" y="43"/>
                                    </a:cubicBezTo>
                                    <a:lnTo>
                                      <a:pt x="448" y="81"/>
                                    </a:lnTo>
                                    <a:close/>
                                    <a:moveTo>
                                      <a:pt x="411" y="328"/>
                                    </a:moveTo>
                                    <a:cubicBezTo>
                                      <a:pt x="411" y="435"/>
                                      <a:pt x="324" y="522"/>
                                      <a:pt x="218" y="522"/>
                                    </a:cubicBezTo>
                                    <a:cubicBezTo>
                                      <a:pt x="111" y="522"/>
                                      <a:pt x="24" y="435"/>
                                      <a:pt x="24" y="328"/>
                                    </a:cubicBezTo>
                                    <a:cubicBezTo>
                                      <a:pt x="24" y="222"/>
                                      <a:pt x="111" y="135"/>
                                      <a:pt x="218" y="135"/>
                                    </a:cubicBezTo>
                                    <a:cubicBezTo>
                                      <a:pt x="267" y="135"/>
                                      <a:pt x="312" y="153"/>
                                      <a:pt x="346" y="183"/>
                                    </a:cubicBezTo>
                                    <a:cubicBezTo>
                                      <a:pt x="320" y="209"/>
                                      <a:pt x="320" y="209"/>
                                      <a:pt x="320" y="209"/>
                                    </a:cubicBezTo>
                                    <a:cubicBezTo>
                                      <a:pt x="293" y="186"/>
                                      <a:pt x="256" y="171"/>
                                      <a:pt x="218" y="171"/>
                                    </a:cubicBezTo>
                                    <a:cubicBezTo>
                                      <a:pt x="131" y="171"/>
                                      <a:pt x="60" y="242"/>
                                      <a:pt x="60" y="328"/>
                                    </a:cubicBezTo>
                                    <a:cubicBezTo>
                                      <a:pt x="60" y="415"/>
                                      <a:pt x="131" y="486"/>
                                      <a:pt x="218" y="486"/>
                                    </a:cubicBezTo>
                                    <a:cubicBezTo>
                                      <a:pt x="304" y="486"/>
                                      <a:pt x="375" y="415"/>
                                      <a:pt x="375" y="328"/>
                                    </a:cubicBezTo>
                                    <a:cubicBezTo>
                                      <a:pt x="375" y="290"/>
                                      <a:pt x="361" y="253"/>
                                      <a:pt x="337" y="226"/>
                                    </a:cubicBezTo>
                                    <a:cubicBezTo>
                                      <a:pt x="363" y="200"/>
                                      <a:pt x="363" y="200"/>
                                      <a:pt x="363" y="200"/>
                                    </a:cubicBezTo>
                                    <a:cubicBezTo>
                                      <a:pt x="393" y="235"/>
                                      <a:pt x="411" y="279"/>
                                      <a:pt x="411" y="328"/>
                                    </a:cubicBezTo>
                                    <a:close/>
                                    <a:moveTo>
                                      <a:pt x="290" y="328"/>
                                    </a:moveTo>
                                    <a:cubicBezTo>
                                      <a:pt x="290" y="368"/>
                                      <a:pt x="258" y="401"/>
                                      <a:pt x="218" y="401"/>
                                    </a:cubicBezTo>
                                    <a:cubicBezTo>
                                      <a:pt x="178" y="401"/>
                                      <a:pt x="145" y="368"/>
                                      <a:pt x="145" y="328"/>
                                    </a:cubicBezTo>
                                    <a:cubicBezTo>
                                      <a:pt x="145" y="288"/>
                                      <a:pt x="178" y="256"/>
                                      <a:pt x="218" y="256"/>
                                    </a:cubicBezTo>
                                    <a:cubicBezTo>
                                      <a:pt x="233" y="256"/>
                                      <a:pt x="248" y="261"/>
                                      <a:pt x="259" y="269"/>
                                    </a:cubicBezTo>
                                    <a:cubicBezTo>
                                      <a:pt x="233" y="296"/>
                                      <a:pt x="233" y="296"/>
                                      <a:pt x="233" y="296"/>
                                    </a:cubicBezTo>
                                    <a:cubicBezTo>
                                      <a:pt x="229" y="293"/>
                                      <a:pt x="223" y="292"/>
                                      <a:pt x="218" y="292"/>
                                    </a:cubicBezTo>
                                    <a:cubicBezTo>
                                      <a:pt x="198" y="292"/>
                                      <a:pt x="181" y="308"/>
                                      <a:pt x="181" y="328"/>
                                    </a:cubicBezTo>
                                    <a:cubicBezTo>
                                      <a:pt x="181" y="348"/>
                                      <a:pt x="198" y="365"/>
                                      <a:pt x="218" y="365"/>
                                    </a:cubicBezTo>
                                    <a:cubicBezTo>
                                      <a:pt x="238" y="365"/>
                                      <a:pt x="254" y="348"/>
                                      <a:pt x="254" y="328"/>
                                    </a:cubicBezTo>
                                    <a:cubicBezTo>
                                      <a:pt x="254" y="323"/>
                                      <a:pt x="253" y="317"/>
                                      <a:pt x="250" y="313"/>
                                    </a:cubicBezTo>
                                    <a:cubicBezTo>
                                      <a:pt x="277" y="286"/>
                                      <a:pt x="277" y="286"/>
                                      <a:pt x="277" y="286"/>
                                    </a:cubicBezTo>
                                    <a:cubicBezTo>
                                      <a:pt x="286" y="298"/>
                                      <a:pt x="290" y="313"/>
                                      <a:pt x="290" y="328"/>
                                    </a:cubicBezTo>
                                    <a:close/>
                                    <a:moveTo>
                                      <a:pt x="277" y="252"/>
                                    </a:moveTo>
                                    <a:cubicBezTo>
                                      <a:pt x="261" y="239"/>
                                      <a:pt x="240" y="232"/>
                                      <a:pt x="218" y="232"/>
                                    </a:cubicBezTo>
                                    <a:cubicBezTo>
                                      <a:pt x="165" y="232"/>
                                      <a:pt x="121" y="275"/>
                                      <a:pt x="121" y="328"/>
                                    </a:cubicBezTo>
                                    <a:cubicBezTo>
                                      <a:pt x="121" y="382"/>
                                      <a:pt x="165" y="425"/>
                                      <a:pt x="218" y="425"/>
                                    </a:cubicBezTo>
                                    <a:cubicBezTo>
                                      <a:pt x="271" y="425"/>
                                      <a:pt x="315" y="382"/>
                                      <a:pt x="315" y="328"/>
                                    </a:cubicBezTo>
                                    <a:cubicBezTo>
                                      <a:pt x="315" y="306"/>
                                      <a:pt x="307" y="285"/>
                                      <a:pt x="294" y="269"/>
                                    </a:cubicBezTo>
                                    <a:cubicBezTo>
                                      <a:pt x="320" y="243"/>
                                      <a:pt x="320" y="243"/>
                                      <a:pt x="320" y="243"/>
                                    </a:cubicBezTo>
                                    <a:cubicBezTo>
                                      <a:pt x="339" y="266"/>
                                      <a:pt x="351" y="296"/>
                                      <a:pt x="351" y="328"/>
                                    </a:cubicBezTo>
                                    <a:cubicBezTo>
                                      <a:pt x="351" y="401"/>
                                      <a:pt x="291" y="461"/>
                                      <a:pt x="218" y="461"/>
                                    </a:cubicBezTo>
                                    <a:cubicBezTo>
                                      <a:pt x="145" y="461"/>
                                      <a:pt x="85" y="401"/>
                                      <a:pt x="85" y="328"/>
                                    </a:cubicBezTo>
                                    <a:cubicBezTo>
                                      <a:pt x="85" y="255"/>
                                      <a:pt x="145" y="195"/>
                                      <a:pt x="218" y="195"/>
                                    </a:cubicBezTo>
                                    <a:cubicBezTo>
                                      <a:pt x="250" y="195"/>
                                      <a:pt x="280" y="207"/>
                                      <a:pt x="303" y="226"/>
                                    </a:cubicBezTo>
                                    <a:lnTo>
                                      <a:pt x="277" y="252"/>
                                    </a:lnTo>
                                    <a:close/>
                                  </a:path>
                                </a:pathLst>
                              </a:custGeom>
                              <a:solidFill>
                                <a:srgbClr val="00ADDC"/>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D0E597A" id="Freeform 6" o:spid="_x0000_s1026" style="position:absolute;margin-left:4pt;margin-top:1.4pt;width:21.25pt;height:21.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5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" path="m543,93v,,,-1,,-1c543,91,544,91,544,91v,-1,,-1,,-2c544,89,544,89,545,88v1,-2,1,-3,,-5c545,83,545,83,544,82v,-1,,-1,,-1c544,80,543,80,543,80v,-1,,-1,,-2c542,77,541,76,539,75v-1,-1,-1,-1,-1,-1c538,74,538,74,537,74v,,,,-1,-1c535,73,535,73,535,72v-1,,-2,,-3,c472,72,472,72,472,72v,-58,,-58,,-58c472,13,472,12,472,11v,,,,-1,-1c471,9,471,9,471,9v,-1,-1,-1,-1,-1c470,7,469,7,469,6v,-1,-1,-2,-3,-3c465,2,465,2,465,2v,,,,-1,c463,2,463,2,463,1v-1,,-1,,-1,-1c460,2,459,2,457,2v,,,,-1,c455,2,455,2,455,3v-1,,-1,,-1,c454,3,453,3,453,4v-1,1,-1,1,-2,2c415,42,415,42,415,42v,,,,,c379,78,379,78,379,78v-1,1,-2,2,-2,2c377,80,376,81,376,81v,1,,1,,2c376,83,376,83,375,84v,,,,-1,1c374,86,374,87,374,88v,67,,67,,67c362,167,362,167,362,167,324,132,273,111,218,111,97,111,,208,,328,,449,97,546,218,546v120,,218,-97,218,-218c436,273,414,222,380,183v12,-12,12,-12,12,-12c460,171,460,171,460,171v,,2,,2,c463,171,463,171,463,170v1,,1,,2,c465,170,465,169,466,169v,,,,,c467,168,468,167,468,167v37,-37,37,-37,37,-37c505,130,505,130,505,130,541,94,541,94,541,94v,,1,,2,-1xm491,111v-38,,-38,,-38,c465,98,465,98,465,98v38,,38,,38,l491,111xm455,147v-38,,-38,,-38,c429,135,429,135,429,135v38,,38,,38,l455,147xm399,91c411,79,411,79,411,79v,38,,38,,38c399,129,399,129,399,129r,-38xm448,81c436,94,436,94,436,94v,-39,,-39,,-39c448,43,448,43,448,43r,38xm411,328v,107,-87,194,-193,194c111,522,24,435,24,328,24,222,111,135,218,135v49,,94,18,128,48c320,209,320,209,320,209,293,186,256,171,218,171,131,171,60,242,60,328v,87,71,158,158,158c304,486,375,415,375,328v,-38,-14,-75,-38,-102c363,200,363,200,363,200v30,35,48,79,48,128xm290,328v,40,-32,73,-72,73c178,401,145,368,145,328v,-40,33,-72,73,-72c233,256,248,261,259,269v-26,27,-26,27,-26,27c229,293,223,292,218,292v-20,,-37,16,-37,36c181,348,198,365,218,365v20,,36,-17,36,-37c254,323,253,317,250,313v27,-27,27,-27,27,-27c286,298,290,313,290,328xm277,252c261,239,240,232,218,232v-53,,-97,43,-97,96c121,382,165,425,218,425v53,,97,-43,97,-97c315,306,307,285,294,269v26,-26,26,-26,26,-26c339,266,351,296,351,328v,73,-60,133,-133,133c145,461,85,401,85,328v,-73,60,-133,133,-133c250,195,280,207,303,226r-26,26xe" fillcolor="#00addc" stroked="f">
                      <v:path arrowok="t" o:connecttype="custom" o:connectlocs="268516,45495;269011,44011;269505,41044;269011,40055;268516,38571;266044,36593;265055,36099;263077,35604;233407,6923;232912,4945;232418,3956;230440,1484;229451,989;228462,0;225495,989;224505,1484;223022,2967;205220,20769;186429,39560;185934,41044;184945,42033;184945,76648;107802,54890;107802,270000;187912,90495;227473,84560;228956,84066;230440,83571;231429,82582;249725,64286;268516,45989;224011,54890;248736,48462;225000,72692;212143,66758;225000,72692;203242,39066;197308,63791;221538,40055;215604,27198;221538,40055;107802,258132;107802,66758;158242,103352;29670,162198;185440,162198;179505,98901;143407,162198;71703,162198;128077,133022;107802,144396;107802,180495;123626,154780;143407,162198;107802,114725;107802,210165;145385,133022;173571,162198;42033,162198;149835,111758" o:connectangles="0,0,0,0,0,0,0,0,0,0,0,0,0,0,0,0,0,0,0,0,0,0,0,0,0,0,0,0,0,0,0,0,0,0,0,0,0,0,0,0,0,0,0,0,0,0,0,0,0,0,0,0,0,0,0,0,0,0,0,0"/>
                      <o:lock v:ext="edit" verticies="t"/>
                      <w10:wrap type="through" anchory="page"/>
                      <w10:anchorlock/>
                    </v:shape>
                  </w:pict>
                </mc:Fallback>
              </mc:AlternateContent>
            </w:r>
            <w:r>
              <w:rPr>
                <w:rFonts w:eastAsiaTheme="minorEastAsia"/>
              </w:rPr>
              <w:t>Specific objectives</w:t>
            </w:r>
          </w:p>
          <w:p w:rsidR="0060634A" w:rsidRDefault="00F76D44">
            <w:pPr>
              <w:pStyle w:val="PPOTitle3"/>
              <w:spacing w:before="120" w:after="40"/>
              <w:ind w:left="113"/>
              <w:rPr>
                <w:rFonts w:eastAsiaTheme="minorEastAsia"/>
              </w:rPr>
            </w:pPr>
            <w:r>
              <w:rPr>
                <w:rFonts w:eastAsiaTheme="minorEastAsia"/>
              </w:rPr>
              <w:t>CEF Transport</w:t>
            </w:r>
          </w:p>
          <w:p w:rsidR="0060634A" w:rsidRDefault="00F76D44">
            <w:pPr>
              <w:pStyle w:val="PPO1ASpecificobjectivesBOX-BulletLightBlue"/>
              <w:spacing w:after="40"/>
              <w:rPr>
                <w:rFonts w:ascii="EC Square Sans Cond Pro" w:hAnsi="EC Square Sans Cond Pro"/>
                <w:lang w:val="en-GB"/>
              </w:rPr>
            </w:pPr>
            <w:r>
              <w:rPr>
                <w:rFonts w:ascii="EC Square Sans Cond Pro" w:hAnsi="EC Square Sans Cond Pro"/>
                <w:lang w:val="en-GB"/>
              </w:rPr>
              <w:t>Removing bottlenecks, enhancing rail interoperability, bridging missing links and, in particular, improving cross-border sections.</w:t>
            </w:r>
          </w:p>
          <w:p w:rsidR="0060634A" w:rsidRDefault="00F76D44">
            <w:pPr>
              <w:pStyle w:val="PPO1ASpecificobjectivesBOX-BulletLightBlue"/>
              <w:spacing w:after="40"/>
              <w:rPr>
                <w:rFonts w:ascii="EC Square Sans Cond Pro" w:hAnsi="EC Square Sans Cond Pro"/>
                <w:lang w:val="en-GB"/>
              </w:rPr>
            </w:pPr>
            <w:r>
              <w:rPr>
                <w:rFonts w:ascii="EC Square Sans Cond Pro" w:hAnsi="EC Square Sans Cond Pro"/>
                <w:lang w:val="en-GB"/>
              </w:rPr>
              <w:t>Ensuring sustainable and effic</w:t>
            </w:r>
            <w:r>
              <w:rPr>
                <w:rFonts w:ascii="EC Square Sans Cond Pro" w:hAnsi="EC Square Sans Cond Pro"/>
                <w:lang w:val="en-GB"/>
              </w:rPr>
              <w:t>ient transport systems in the long run, with a view to preparing for expected future transport flows, and enabling all modes of transport to be decarbonised through a transition to innovative low-carbon and energy-efficient transport technologies, while op</w:t>
            </w:r>
            <w:r>
              <w:rPr>
                <w:rFonts w:ascii="EC Square Sans Cond Pro" w:hAnsi="EC Square Sans Cond Pro"/>
                <w:lang w:val="en-GB"/>
              </w:rPr>
              <w:t>timising safety.</w:t>
            </w:r>
          </w:p>
          <w:p w:rsidR="0060634A" w:rsidRDefault="00F76D44">
            <w:pPr>
              <w:pStyle w:val="PPO1ASpecificobjectivesBOX-BulletLightBlue"/>
              <w:spacing w:after="40"/>
              <w:rPr>
                <w:rFonts w:ascii="EC Square Sans Cond Pro" w:hAnsi="EC Square Sans Cond Pro"/>
                <w:lang w:val="en-GB"/>
              </w:rPr>
            </w:pPr>
            <w:r>
              <w:rPr>
                <w:rFonts w:ascii="EC Square Sans Cond Pro" w:hAnsi="EC Square Sans Cond Pro"/>
                <w:lang w:val="en-GB"/>
              </w:rPr>
              <w:t>Optimising the integration and interconnection of transport modes and enhancing the interoperability of transport services, while ensuring the accessibility of transport infrastructures.</w:t>
            </w:r>
          </w:p>
          <w:p w:rsidR="0060634A" w:rsidRDefault="00F76D44">
            <w:pPr>
              <w:pStyle w:val="PPOTitle3"/>
              <w:spacing w:before="120" w:after="40"/>
              <w:ind w:left="113"/>
              <w:rPr>
                <w:rFonts w:eastAsiaTheme="minorEastAsia"/>
              </w:rPr>
            </w:pPr>
            <w:r>
              <w:rPr>
                <w:rFonts w:eastAsiaTheme="minorEastAsia"/>
              </w:rPr>
              <w:t>CEF Energy</w:t>
            </w:r>
          </w:p>
          <w:p w:rsidR="0060634A" w:rsidRDefault="00F76D44">
            <w:pPr>
              <w:pStyle w:val="PPO1ASpecificobjectivesBOX-BulletLightBlue"/>
              <w:spacing w:after="40"/>
              <w:rPr>
                <w:rFonts w:ascii="EC Square Sans Cond Pro" w:hAnsi="EC Square Sans Cond Pro"/>
                <w:lang w:val="en-GB"/>
              </w:rPr>
            </w:pPr>
            <w:r>
              <w:rPr>
                <w:rFonts w:ascii="EC Square Sans Cond Pro" w:hAnsi="EC Square Sans Cond Pro"/>
                <w:lang w:val="en-GB"/>
              </w:rPr>
              <w:t xml:space="preserve">Increasing competitiveness by promoting </w:t>
            </w:r>
            <w:r>
              <w:rPr>
                <w:rFonts w:ascii="EC Square Sans Cond Pro" w:hAnsi="EC Square Sans Cond Pro"/>
                <w:lang w:val="en-GB"/>
              </w:rPr>
              <w:t>the further integration of the internal energy market and the interoperability of electricity and gas networks across borders.</w:t>
            </w:r>
          </w:p>
          <w:p w:rsidR="0060634A" w:rsidRDefault="00F76D44">
            <w:pPr>
              <w:pStyle w:val="PPO1ASpecificobjectivesBOX-BulletLightBlue"/>
              <w:spacing w:after="40"/>
              <w:rPr>
                <w:rFonts w:ascii="EC Square Sans Cond Pro" w:hAnsi="EC Square Sans Cond Pro"/>
                <w:lang w:val="en-GB"/>
              </w:rPr>
            </w:pPr>
            <w:r>
              <w:rPr>
                <w:rFonts w:ascii="EC Square Sans Cond Pro" w:hAnsi="EC Square Sans Cond Pro"/>
                <w:lang w:val="en-GB"/>
              </w:rPr>
              <w:t>Enhancing the security of the EU’s energy supply.</w:t>
            </w:r>
          </w:p>
          <w:p w:rsidR="0060634A" w:rsidRDefault="00F76D44">
            <w:pPr>
              <w:pStyle w:val="PPO1ASpecificobjectivesBOX-BulletLightBlue"/>
              <w:spacing w:after="40"/>
              <w:rPr>
                <w:rFonts w:ascii="EC Square Sans Cond Pro" w:hAnsi="EC Square Sans Cond Pro"/>
                <w:lang w:val="en-GB"/>
              </w:rPr>
            </w:pPr>
            <w:r>
              <w:rPr>
                <w:rFonts w:ascii="EC Square Sans Cond Pro" w:hAnsi="EC Square Sans Cond Pro"/>
                <w:lang w:val="en-GB"/>
              </w:rPr>
              <w:t>Contributing to sustainable development and the protection of the environment b</w:t>
            </w:r>
            <w:r>
              <w:rPr>
                <w:rFonts w:ascii="EC Square Sans Cond Pro" w:hAnsi="EC Square Sans Cond Pro"/>
                <w:lang w:val="en-GB"/>
              </w:rPr>
              <w:t>y integrating energy from renewable sources into the transmission network and by developing smart energy networks and carbon dioxide networks.</w:t>
            </w:r>
          </w:p>
          <w:p w:rsidR="0060634A" w:rsidRDefault="00F76D44">
            <w:pPr>
              <w:pStyle w:val="PPOTitle3"/>
              <w:spacing w:before="120" w:after="40"/>
              <w:ind w:left="113"/>
              <w:rPr>
                <w:rFonts w:eastAsiaTheme="minorEastAsia"/>
              </w:rPr>
            </w:pPr>
            <w:r>
              <w:rPr>
                <w:rFonts w:eastAsiaTheme="minorEastAsia"/>
              </w:rPr>
              <w:t>CEF Telecom</w:t>
            </w:r>
          </w:p>
          <w:p w:rsidR="0060634A" w:rsidRDefault="00F76D44">
            <w:pPr>
              <w:pStyle w:val="PPO1ASpecificobjectivesBOX-BulletLightBlue"/>
              <w:spacing w:after="40"/>
              <w:rPr>
                <w:rFonts w:ascii="EC Square Sans Cond Pro" w:hAnsi="EC Square Sans Cond Pro"/>
                <w:lang w:val="en-GB"/>
              </w:rPr>
            </w:pPr>
            <w:r>
              <w:rPr>
                <w:rFonts w:ascii="EC Square Sans Cond Pro" w:hAnsi="EC Square Sans Cond Pro"/>
                <w:lang w:val="en-GB"/>
              </w:rPr>
              <w:t xml:space="preserve">Contributing to the interoperability, connectivity, sustainable deployment, operation and upgrading </w:t>
            </w:r>
            <w:r>
              <w:rPr>
                <w:rFonts w:ascii="EC Square Sans Cond Pro" w:hAnsi="EC Square Sans Cond Pro"/>
                <w:lang w:val="en-GB"/>
              </w:rPr>
              <w:t>of trans-European digital service infrastructures and coordination at the EU level.</w:t>
            </w:r>
          </w:p>
          <w:p w:rsidR="0060634A" w:rsidRDefault="00F76D44">
            <w:pPr>
              <w:pStyle w:val="PPO1ASpecificobjectivesBOX-BulletLightBlue"/>
              <w:spacing w:after="40"/>
              <w:rPr>
                <w:szCs w:val="14"/>
                <w:lang w:val="en-GB"/>
              </w:rPr>
            </w:pPr>
            <w:r>
              <w:rPr>
                <w:rFonts w:ascii="EC Square Sans Cond Pro" w:hAnsi="EC Square Sans Cond Pro"/>
                <w:lang w:val="en-GB"/>
              </w:rPr>
              <w:t>Contributing to the efficient flow of private and public investments to stimulate the deployment and modernisation of broadband networks.</w:t>
            </w:r>
          </w:p>
        </w:tc>
      </w:tr>
    </w:tbl>
    <w:p w:rsidR="0060634A" w:rsidRDefault="0060634A">
      <w:pPr>
        <w:rPr>
          <w:noProof/>
          <w:sz w:val="2"/>
          <w:szCs w:val="2"/>
        </w:rPr>
      </w:pPr>
    </w:p>
    <w:p w:rsidR="0060634A" w:rsidRDefault="0060634A">
      <w:pPr>
        <w:framePr w:w="6721" w:wrap="auto" w:hAnchor="text" w:x="3544"/>
        <w:jc w:val="both"/>
        <w:rPr>
          <w:b/>
          <w:noProof/>
          <w:color w:val="1F95A5"/>
        </w:rPr>
        <w:sectPr w:rsidR="0060634A">
          <w:headerReference w:type="even" r:id="rId477"/>
          <w:headerReference w:type="default" r:id="rId478"/>
          <w:footerReference w:type="even" r:id="rId479"/>
          <w:footerReference w:type="default" r:id="rId480"/>
          <w:headerReference w:type="first" r:id="rId481"/>
          <w:footerReference w:type="first" r:id="rId482"/>
          <w:pgSz w:w="11906" w:h="16838"/>
          <w:pgMar w:top="567" w:right="567" w:bottom="567" w:left="567" w:header="567" w:footer="454" w:gutter="0"/>
          <w:paperSrc w:first="15" w:other="15"/>
          <w:cols w:num="2" w:space="708" w:equalWidth="0">
            <w:col w:w="2269" w:space="708"/>
            <w:col w:w="7795"/>
          </w:cols>
          <w:docGrid w:linePitch="360"/>
        </w:sectPr>
      </w:pPr>
    </w:p>
    <w:p w:rsidR="0060634A" w:rsidRDefault="00F76D44">
      <w:pPr>
        <w:pStyle w:val="PPOTitle3-nospacebefore"/>
        <w:rPr>
          <w:rFonts w:eastAsiaTheme="minorEastAsia"/>
        </w:rPr>
      </w:pPr>
      <w:r>
        <w:rPr>
          <w:rFonts w:eastAsiaTheme="minorEastAsia"/>
        </w:rPr>
        <w:t>Key performance indicators</w:t>
      </w:r>
    </w:p>
    <w:tbl>
      <w:tblPr>
        <w:tblStyle w:val="TableGrid"/>
        <w:tblW w:w="10740" w:type="dxa"/>
        <w:tblInd w:w="108" w:type="dxa"/>
        <w:tblBorders>
          <w:top w:val="none" w:sz="0" w:space="0" w:color="auto"/>
          <w:left w:val="none" w:sz="0" w:space="0" w:color="auto"/>
          <w:bottom w:val="none" w:sz="0" w:space="0" w:color="auto"/>
          <w:right w:val="none" w:sz="0" w:space="0" w:color="auto"/>
          <w:insideH w:val="single" w:sz="4" w:space="0" w:color="D9D9D9"/>
          <w:insideV w:val="none" w:sz="0" w:space="0" w:color="auto"/>
        </w:tblBorders>
        <w:tblCellMar>
          <w:left w:w="0" w:type="dxa"/>
          <w:right w:w="85" w:type="dxa"/>
        </w:tblCellMar>
        <w:tblLook w:val="04A0" w:firstRow="1" w:lastRow="0" w:firstColumn="1" w:lastColumn="0" w:noHBand="0" w:noVBand="1"/>
      </w:tblPr>
      <w:tblGrid>
        <w:gridCol w:w="2987"/>
        <w:gridCol w:w="707"/>
        <w:gridCol w:w="3488"/>
        <w:gridCol w:w="742"/>
        <w:gridCol w:w="2761"/>
        <w:gridCol w:w="55"/>
      </w:tblGrid>
      <w:tr w:rsidR="0060634A">
        <w:trPr>
          <w:gridAfter w:val="1"/>
          <w:wAfter w:w="55" w:type="dxa"/>
          <w:trHeight w:val="333"/>
        </w:trPr>
        <w:tc>
          <w:tcPr>
            <w:tcW w:w="2993" w:type="dxa"/>
            <w:vAlign w:val="center"/>
          </w:tcPr>
          <w:p w:rsidR="0060634A" w:rsidRDefault="0060634A">
            <w:pPr>
              <w:ind w:left="142"/>
              <w:jc w:val="right"/>
              <w:rPr>
                <w:noProof/>
                <w:sz w:val="16"/>
                <w:szCs w:val="16"/>
              </w:rPr>
            </w:pPr>
          </w:p>
        </w:tc>
        <w:tc>
          <w:tcPr>
            <w:tcW w:w="707" w:type="dxa"/>
            <w:vAlign w:val="bottom"/>
          </w:tcPr>
          <w:p w:rsidR="0060634A" w:rsidRDefault="00F76D44">
            <w:pPr>
              <w:jc w:val="center"/>
              <w:rPr>
                <w:b/>
                <w:noProof/>
                <w:color w:val="28296E"/>
                <w:sz w:val="16"/>
                <w:szCs w:val="16"/>
              </w:rPr>
            </w:pPr>
            <w:r>
              <w:rPr>
                <w:b/>
                <w:noProof/>
                <w:color w:val="28296E"/>
                <w:sz w:val="16"/>
                <w:szCs w:val="16"/>
              </w:rPr>
              <w:t>Baseline</w:t>
            </w:r>
          </w:p>
        </w:tc>
        <w:tc>
          <w:tcPr>
            <w:tcW w:w="3478" w:type="dxa"/>
            <w:vAlign w:val="center"/>
          </w:tcPr>
          <w:p w:rsidR="0060634A" w:rsidRDefault="00F76D44">
            <w:pPr>
              <w:ind w:left="142"/>
              <w:jc w:val="center"/>
              <w:rPr>
                <w:b/>
                <w:noProof/>
                <w:color w:val="28296E"/>
                <w:sz w:val="16"/>
                <w:szCs w:val="16"/>
              </w:rPr>
            </w:pPr>
            <w:r>
              <w:rPr>
                <w:b/>
                <w:noProof/>
                <w:color w:val="28296E"/>
                <w:sz w:val="16"/>
                <w:szCs w:val="16"/>
              </w:rPr>
              <w:t xml:space="preserve">PROGRESS TOWARDS THE </w:t>
            </w:r>
            <w:r>
              <w:rPr>
                <w:b/>
                <w:noProof/>
                <w:color w:val="28296E"/>
                <w:sz w:val="16"/>
                <w:szCs w:val="16"/>
              </w:rPr>
              <w:t>TARGET</w:t>
            </w:r>
          </w:p>
        </w:tc>
        <w:tc>
          <w:tcPr>
            <w:tcW w:w="742" w:type="dxa"/>
            <w:vAlign w:val="bottom"/>
          </w:tcPr>
          <w:p w:rsidR="0060634A" w:rsidRDefault="00F76D44">
            <w:pPr>
              <w:jc w:val="center"/>
              <w:rPr>
                <w:b/>
                <w:noProof/>
                <w:color w:val="28296E"/>
                <w:sz w:val="16"/>
                <w:szCs w:val="16"/>
              </w:rPr>
            </w:pPr>
            <w:r>
              <w:rPr>
                <w:b/>
                <w:noProof/>
                <w:color w:val="28296E"/>
                <w:sz w:val="16"/>
                <w:szCs w:val="16"/>
              </w:rPr>
              <w:t>Target</w:t>
            </w:r>
          </w:p>
        </w:tc>
        <w:tc>
          <w:tcPr>
            <w:tcW w:w="2765" w:type="dxa"/>
            <w:vAlign w:val="bottom"/>
          </w:tcPr>
          <w:p w:rsidR="0060634A" w:rsidRDefault="00F76D44">
            <w:pPr>
              <w:jc w:val="center"/>
              <w:rPr>
                <w:b/>
                <w:noProof/>
                <w:color w:val="28296E"/>
                <w:sz w:val="16"/>
                <w:szCs w:val="16"/>
              </w:rPr>
            </w:pPr>
            <w:r>
              <w:rPr>
                <w:b/>
                <w:noProof/>
                <w:color w:val="28296E"/>
                <w:sz w:val="16"/>
                <w:szCs w:val="16"/>
              </w:rPr>
              <w:t>Results</w:t>
            </w:r>
          </w:p>
        </w:tc>
      </w:tr>
      <w:tr w:rsidR="0060634A">
        <w:tblPrEx>
          <w:tblCellMar>
            <w:left w:w="108" w:type="dxa"/>
            <w:right w:w="108" w:type="dxa"/>
          </w:tblCellMar>
        </w:tblPrEx>
        <w:trPr>
          <w:trHeight w:val="344"/>
        </w:trPr>
        <w:tc>
          <w:tcPr>
            <w:tcW w:w="2993" w:type="dxa"/>
            <w:vAlign w:val="center"/>
          </w:tcPr>
          <w:p w:rsidR="0060634A" w:rsidRDefault="00F76D44">
            <w:pPr>
              <w:ind w:left="142"/>
              <w:jc w:val="right"/>
              <w:rPr>
                <w:rFonts w:ascii="EC Square Sans Cond Pro" w:eastAsiaTheme="minorHAnsi" w:hAnsi="EC Square Sans Cond Pro" w:cs="EC Square Sans Cond Pro"/>
                <w:noProof/>
                <w:color w:val="000000"/>
                <w:sz w:val="16"/>
                <w:szCs w:val="16"/>
                <w:lang w:val="en-GB"/>
              </w:rPr>
            </w:pPr>
            <w:r>
              <w:rPr>
                <w:rFonts w:ascii="EC Square Sans Cond Pro" w:hAnsi="EC Square Sans Cond Pro" w:cs="EC Square Sans Cond Pro"/>
                <w:noProof/>
                <w:color w:val="000000"/>
                <w:sz w:val="16"/>
                <w:szCs w:val="16"/>
                <w:lang w:val="en-GB" w:eastAsia="en-GB"/>
              </w:rPr>
              <w:t>CEF transport – volume of private, public or public–private partnership investment in projects of common interest (billion EUR)</w:t>
            </w:r>
          </w:p>
        </w:tc>
        <w:tc>
          <w:tcPr>
            <w:tcW w:w="707" w:type="dxa"/>
            <w:vAlign w:val="center"/>
          </w:tcPr>
          <w:p w:rsidR="0060634A" w:rsidRDefault="0060634A">
            <w:pPr>
              <w:jc w:val="center"/>
              <w:rPr>
                <w:rFonts w:ascii="EC Square Sans Cond Pro" w:hAnsi="EC Square Sans Cond Pro"/>
                <w:noProof/>
                <w:sz w:val="16"/>
                <w:szCs w:val="16"/>
                <w:lang w:val="en-GB" w:eastAsia="en-GB"/>
              </w:rPr>
            </w:pPr>
          </w:p>
        </w:tc>
        <w:tc>
          <w:tcPr>
            <w:tcW w:w="3478" w:type="dxa"/>
            <w:vAlign w:val="center"/>
          </w:tcPr>
          <w:p w:rsidR="0060634A" w:rsidRDefault="00F76D44">
            <w:pPr>
              <w:ind w:left="142"/>
              <w:rPr>
                <w:rFonts w:ascii="EC Square Sans Cond Pro" w:hAnsi="EC Square Sans Cond Pro"/>
                <w:noProof/>
                <w:sz w:val="16"/>
                <w:szCs w:val="16"/>
              </w:rPr>
            </w:pPr>
            <w:r>
              <w:rPr>
                <w:rFonts w:ascii="EC Square Sans Cond Pro" w:hAnsi="EC Square Sans Cond Pro"/>
                <w:noProof/>
                <w:sz w:val="16"/>
                <w:szCs w:val="16"/>
                <w:lang w:eastAsia="fr-BE"/>
              </w:rPr>
              <w:drawing>
                <wp:inline distT="0" distB="0" distL="0" distR="0">
                  <wp:extent cx="1969135" cy="128270"/>
                  <wp:effectExtent l="0" t="0" r="0" b="508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969135" cy="128270"/>
                          </a:xfrm>
                          <a:prstGeom prst="rect">
                            <a:avLst/>
                          </a:prstGeom>
                          <a:noFill/>
                        </pic:spPr>
                      </pic:pic>
                    </a:graphicData>
                  </a:graphic>
                </wp:inline>
              </w:drawing>
            </w:r>
          </w:p>
        </w:tc>
        <w:tc>
          <w:tcPr>
            <w:tcW w:w="742"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49.3 b</w:t>
            </w:r>
          </w:p>
        </w:tc>
        <w:tc>
          <w:tcPr>
            <w:tcW w:w="2820" w:type="dxa"/>
            <w:gridSpan w:val="2"/>
            <w:vAlign w:val="center"/>
          </w:tcPr>
          <w:p w:rsidR="0060634A" w:rsidRDefault="00F76D44">
            <w:pPr>
              <w:ind w:left="142"/>
              <w:rPr>
                <w:rFonts w:ascii="EC Square Sans Cond Pro" w:eastAsiaTheme="minorHAnsi" w:hAnsi="EC Square Sans Cond Pro" w:cs="EC Square Sans Cond Pro"/>
                <w:noProof/>
                <w:color w:val="000000"/>
                <w:sz w:val="16"/>
                <w:szCs w:val="16"/>
                <w:lang w:val="en-GB"/>
              </w:rPr>
            </w:pPr>
            <w:r>
              <w:rPr>
                <w:rFonts w:ascii="EC Square Sans Cond Pro" w:hAnsi="EC Square Sans Cond Pro" w:cs="EC Square Sans Cond Pro"/>
                <w:noProof/>
                <w:color w:val="000000"/>
                <w:sz w:val="16"/>
                <w:szCs w:val="16"/>
                <w:lang w:val="en-GB" w:eastAsia="en-GB"/>
              </w:rPr>
              <w:t>EUR 24.0 billion out of EUR 49.3 billion</w:t>
            </w:r>
          </w:p>
        </w:tc>
      </w:tr>
      <w:tr w:rsidR="0060634A">
        <w:tblPrEx>
          <w:tblCellMar>
            <w:left w:w="108" w:type="dxa"/>
            <w:right w:w="108" w:type="dxa"/>
          </w:tblCellMar>
        </w:tblPrEx>
        <w:trPr>
          <w:trHeight w:val="344"/>
        </w:trPr>
        <w:tc>
          <w:tcPr>
            <w:tcW w:w="2993"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CEF transport – lines in service equipped with the </w:t>
            </w:r>
            <w:r>
              <w:rPr>
                <w:rFonts w:ascii="EC Square Sans Cond Pro" w:hAnsi="EC Square Sans Cond Pro" w:cs="EC Square Sans Cond Pro"/>
                <w:noProof/>
                <w:color w:val="000000"/>
                <w:sz w:val="16"/>
                <w:szCs w:val="16"/>
                <w:lang w:val="en-GB" w:eastAsia="en-GB"/>
              </w:rPr>
              <w:t>European Railway Traffic Management System</w:t>
            </w:r>
          </w:p>
        </w:tc>
        <w:tc>
          <w:tcPr>
            <w:tcW w:w="707" w:type="dxa"/>
            <w:vAlign w:val="center"/>
          </w:tcPr>
          <w:p w:rsidR="0060634A" w:rsidRDefault="0060634A">
            <w:pPr>
              <w:jc w:val="center"/>
              <w:rPr>
                <w:rFonts w:ascii="EC Square Sans Cond Pro" w:hAnsi="EC Square Sans Cond Pro"/>
                <w:noProof/>
                <w:sz w:val="16"/>
                <w:szCs w:val="16"/>
                <w:lang w:val="en-GB" w:eastAsia="en-GB"/>
              </w:rPr>
            </w:pPr>
          </w:p>
        </w:tc>
        <w:tc>
          <w:tcPr>
            <w:tcW w:w="3478" w:type="dxa"/>
            <w:vAlign w:val="center"/>
          </w:tcPr>
          <w:p w:rsidR="0060634A" w:rsidRDefault="00F76D44">
            <w:pPr>
              <w:ind w:left="142"/>
              <w:rPr>
                <w:rFonts w:ascii="EC Square Sans Cond Pro" w:hAnsi="EC Square Sans Cond Pro"/>
                <w:noProof/>
                <w:sz w:val="16"/>
                <w:szCs w:val="16"/>
              </w:rPr>
            </w:pPr>
            <w:r>
              <w:rPr>
                <w:rFonts w:ascii="EC Square Sans Cond Pro" w:hAnsi="EC Square Sans Cond Pro"/>
                <w:noProof/>
                <w:sz w:val="16"/>
                <w:szCs w:val="16"/>
                <w:lang w:eastAsia="fr-BE"/>
              </w:rPr>
              <w:drawing>
                <wp:inline distT="0" distB="0" distL="0" distR="0">
                  <wp:extent cx="1981200" cy="140335"/>
                  <wp:effectExtent l="0" t="0" r="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981200" cy="140335"/>
                          </a:xfrm>
                          <a:prstGeom prst="rect">
                            <a:avLst/>
                          </a:prstGeom>
                          <a:noFill/>
                        </pic:spPr>
                      </pic:pic>
                    </a:graphicData>
                  </a:graphic>
                </wp:inline>
              </w:drawing>
            </w:r>
          </w:p>
        </w:tc>
        <w:tc>
          <w:tcPr>
            <w:tcW w:w="742"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6 537</w:t>
            </w:r>
          </w:p>
        </w:tc>
        <w:tc>
          <w:tcPr>
            <w:tcW w:w="2820" w:type="dxa"/>
            <w:gridSpan w:val="2"/>
            <w:vAlign w:val="center"/>
          </w:tcPr>
          <w:p w:rsidR="0060634A" w:rsidRDefault="00F76D44">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30 km (estimated value: 40) out of 6 537 km</w:t>
            </w:r>
            <w:r>
              <w:rPr>
                <w:rFonts w:ascii="EC Square Sans Cond Pro" w:hAnsi="EC Square Sans Cond Pro" w:cs="EC Square Sans Cond Pro"/>
                <w:noProof/>
                <w:color w:val="000000"/>
                <w:sz w:val="16"/>
                <w:szCs w:val="16"/>
                <w:vertAlign w:val="superscript"/>
                <w:lang w:val="en-GB"/>
              </w:rPr>
              <w:t xml:space="preserve"> </w:t>
            </w:r>
            <w:r>
              <w:rPr>
                <w:rFonts w:ascii="EC Square Sans Cond Pro" w:hAnsi="EC Square Sans Cond Pro" w:cs="EC Square Sans Cond Pro"/>
                <w:noProof/>
                <w:color w:val="000000"/>
                <w:sz w:val="16"/>
                <w:szCs w:val="16"/>
                <w:lang w:val="en-GB"/>
              </w:rPr>
              <w:t>(</w:t>
            </w:r>
            <w:r>
              <w:rPr>
                <w:rFonts w:ascii="EC Square Sans Cond Pro" w:hAnsi="EC Square Sans Cond Pro" w:cs="EC Square Sans Cond Pro"/>
                <w:noProof/>
                <w:color w:val="000000"/>
                <w:sz w:val="16"/>
                <w:szCs w:val="16"/>
                <w:vertAlign w:val="superscript"/>
                <w:lang w:val="en-GB"/>
              </w:rPr>
              <w:t>1</w:t>
            </w:r>
            <w:r>
              <w:rPr>
                <w:rFonts w:ascii="EC Square Sans Cond Pro" w:hAnsi="EC Square Sans Cond Pro" w:cs="EC Square Sans Cond Pro"/>
                <w:noProof/>
                <w:color w:val="000000"/>
                <w:sz w:val="16"/>
                <w:szCs w:val="16"/>
                <w:lang w:val="en-GB"/>
              </w:rPr>
              <w:t>)</w:t>
            </w:r>
          </w:p>
        </w:tc>
      </w:tr>
      <w:tr w:rsidR="0060634A">
        <w:tblPrEx>
          <w:tblCellMar>
            <w:left w:w="108" w:type="dxa"/>
            <w:right w:w="108" w:type="dxa"/>
          </w:tblCellMar>
        </w:tblPrEx>
        <w:trPr>
          <w:trHeight w:val="318"/>
        </w:trPr>
        <w:tc>
          <w:tcPr>
            <w:tcW w:w="2993"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CEF transport – new sections with increased capacity and bottlenecks removed</w:t>
            </w:r>
          </w:p>
        </w:tc>
        <w:tc>
          <w:tcPr>
            <w:tcW w:w="707" w:type="dxa"/>
            <w:vAlign w:val="center"/>
          </w:tcPr>
          <w:p w:rsidR="0060634A" w:rsidRDefault="0060634A">
            <w:pPr>
              <w:jc w:val="center"/>
              <w:rPr>
                <w:rFonts w:ascii="EC Square Sans Cond Pro" w:hAnsi="EC Square Sans Cond Pro"/>
                <w:noProof/>
                <w:sz w:val="16"/>
                <w:szCs w:val="16"/>
                <w:lang w:val="en-GB" w:eastAsia="en-GB"/>
              </w:rPr>
            </w:pPr>
          </w:p>
        </w:tc>
        <w:tc>
          <w:tcPr>
            <w:tcW w:w="3478" w:type="dxa"/>
            <w:vAlign w:val="center"/>
          </w:tcPr>
          <w:p w:rsidR="0060634A" w:rsidRDefault="00F76D44">
            <w:pPr>
              <w:ind w:left="142"/>
              <w:rPr>
                <w:rFonts w:ascii="EC Square Sans Cond Pro" w:hAnsi="EC Square Sans Cond Pro"/>
                <w:noProof/>
                <w:sz w:val="16"/>
                <w:szCs w:val="16"/>
              </w:rPr>
            </w:pPr>
            <w:r>
              <w:rPr>
                <w:rFonts w:ascii="EC Square Sans Cond Pro" w:hAnsi="EC Square Sans Cond Pro"/>
                <w:noProof/>
                <w:sz w:val="16"/>
                <w:szCs w:val="16"/>
                <w:lang w:eastAsia="fr-BE"/>
              </w:rPr>
              <w:drawing>
                <wp:inline distT="0" distB="0" distL="0" distR="0">
                  <wp:extent cx="1981200" cy="140335"/>
                  <wp:effectExtent l="0" t="0" r="0"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981200" cy="140335"/>
                          </a:xfrm>
                          <a:prstGeom prst="rect">
                            <a:avLst/>
                          </a:prstGeom>
                          <a:noFill/>
                        </pic:spPr>
                      </pic:pic>
                    </a:graphicData>
                  </a:graphic>
                </wp:inline>
              </w:drawing>
            </w:r>
          </w:p>
        </w:tc>
        <w:tc>
          <w:tcPr>
            <w:tcW w:w="742"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306</w:t>
            </w:r>
          </w:p>
        </w:tc>
        <w:tc>
          <w:tcPr>
            <w:tcW w:w="2820" w:type="dxa"/>
            <w:gridSpan w:val="2"/>
            <w:vAlign w:val="center"/>
          </w:tcPr>
          <w:p w:rsidR="0060634A" w:rsidRDefault="00F76D44">
            <w:pPr>
              <w:ind w:left="142"/>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16 (estimated value: 58) out of 306 bottlenecks removed</w:t>
            </w:r>
            <w:r>
              <w:rPr>
                <w:rFonts w:ascii="EC Square Sans Cond Pro" w:hAnsi="EC Square Sans Cond Pro" w:cs="EC Square Sans Cond Pro"/>
                <w:noProof/>
                <w:color w:val="000000"/>
                <w:sz w:val="16"/>
                <w:szCs w:val="16"/>
                <w:vertAlign w:val="superscript"/>
                <w:lang w:val="en-GB"/>
              </w:rPr>
              <w:t xml:space="preserve"> </w:t>
            </w:r>
            <w:r>
              <w:rPr>
                <w:rFonts w:ascii="EC Square Sans Cond Pro" w:hAnsi="EC Square Sans Cond Pro" w:cs="EC Square Sans Cond Pro"/>
                <w:noProof/>
                <w:color w:val="000000"/>
                <w:sz w:val="16"/>
                <w:szCs w:val="16"/>
                <w:lang w:val="en-GB"/>
              </w:rPr>
              <w:t>(</w:t>
            </w:r>
            <w:r>
              <w:rPr>
                <w:rFonts w:ascii="EC Square Sans Cond Pro" w:hAnsi="EC Square Sans Cond Pro" w:cs="EC Square Sans Cond Pro"/>
                <w:noProof/>
                <w:color w:val="000000"/>
                <w:sz w:val="16"/>
                <w:szCs w:val="16"/>
                <w:vertAlign w:val="superscript"/>
                <w:lang w:val="en-GB"/>
              </w:rPr>
              <w:t>1</w:t>
            </w:r>
            <w:r>
              <w:rPr>
                <w:rFonts w:ascii="EC Square Sans Cond Pro" w:hAnsi="EC Square Sans Cond Pro" w:cs="EC Square Sans Cond Pro"/>
                <w:noProof/>
                <w:color w:val="000000"/>
                <w:sz w:val="16"/>
                <w:szCs w:val="16"/>
                <w:lang w:val="en-GB"/>
              </w:rPr>
              <w:t>)</w:t>
            </w:r>
          </w:p>
        </w:tc>
      </w:tr>
      <w:tr w:rsidR="0060634A">
        <w:tblPrEx>
          <w:tblCellMar>
            <w:left w:w="108" w:type="dxa"/>
            <w:right w:w="108" w:type="dxa"/>
          </w:tblCellMar>
        </w:tblPrEx>
        <w:trPr>
          <w:trHeight w:val="309"/>
        </w:trPr>
        <w:tc>
          <w:tcPr>
            <w:tcW w:w="2993"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 xml:space="preserve">CEF </w:t>
            </w:r>
            <w:r>
              <w:rPr>
                <w:rFonts w:ascii="EC Square Sans Cond Pro" w:hAnsi="EC Square Sans Cond Pro" w:cs="EC Square Sans Cond Pro"/>
                <w:noProof/>
                <w:color w:val="000000"/>
                <w:sz w:val="16"/>
                <w:szCs w:val="16"/>
                <w:lang w:val="en-GB" w:eastAsia="en-GB"/>
              </w:rPr>
              <w:t>transport – number of supply points for alternative fuels</w:t>
            </w:r>
          </w:p>
        </w:tc>
        <w:tc>
          <w:tcPr>
            <w:tcW w:w="707" w:type="dxa"/>
            <w:vAlign w:val="center"/>
          </w:tcPr>
          <w:p w:rsidR="0060634A" w:rsidRDefault="0060634A">
            <w:pPr>
              <w:jc w:val="center"/>
              <w:rPr>
                <w:rFonts w:ascii="EC Square Sans Cond Pro" w:hAnsi="EC Square Sans Cond Pro"/>
                <w:noProof/>
                <w:sz w:val="16"/>
                <w:szCs w:val="16"/>
                <w:lang w:val="en-GB"/>
              </w:rPr>
            </w:pPr>
          </w:p>
        </w:tc>
        <w:tc>
          <w:tcPr>
            <w:tcW w:w="3478" w:type="dxa"/>
            <w:vAlign w:val="center"/>
          </w:tcPr>
          <w:p w:rsidR="0060634A" w:rsidRDefault="00F76D44">
            <w:pPr>
              <w:ind w:left="142"/>
              <w:rPr>
                <w:rFonts w:ascii="EC Square Sans Cond Pro" w:hAnsi="EC Square Sans Cond Pro"/>
                <w:noProof/>
                <w:sz w:val="16"/>
                <w:szCs w:val="16"/>
              </w:rPr>
            </w:pPr>
            <w:r>
              <w:rPr>
                <w:rFonts w:ascii="EC Square Sans Cond Pro" w:hAnsi="EC Square Sans Cond Pro"/>
                <w:noProof/>
                <w:sz w:val="16"/>
                <w:szCs w:val="16"/>
                <w:lang w:eastAsia="fr-BE"/>
              </w:rPr>
              <w:drawing>
                <wp:inline distT="0" distB="0" distL="0" distR="0">
                  <wp:extent cx="1981200" cy="140335"/>
                  <wp:effectExtent l="0" t="0" r="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981200" cy="140335"/>
                          </a:xfrm>
                          <a:prstGeom prst="rect">
                            <a:avLst/>
                          </a:prstGeom>
                          <a:noFill/>
                        </pic:spPr>
                      </pic:pic>
                    </a:graphicData>
                  </a:graphic>
                </wp:inline>
              </w:drawing>
            </w:r>
          </w:p>
        </w:tc>
        <w:tc>
          <w:tcPr>
            <w:tcW w:w="742"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12 933</w:t>
            </w:r>
          </w:p>
        </w:tc>
        <w:tc>
          <w:tcPr>
            <w:tcW w:w="2820"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379 (estimated value: 1 130) out of 12 933</w:t>
            </w:r>
            <w:r>
              <w:rPr>
                <w:rFonts w:ascii="EC Square Sans Cond Pro" w:hAnsi="EC Square Sans Cond Pro" w:cs="EC Square Sans Cond Pro"/>
                <w:noProof/>
                <w:color w:val="000000"/>
                <w:sz w:val="16"/>
                <w:szCs w:val="16"/>
                <w:vertAlign w:val="superscript"/>
              </w:rPr>
              <w:t xml:space="preserve"> </w:t>
            </w:r>
            <w:r>
              <w:rPr>
                <w:rFonts w:ascii="EC Square Sans Cond Pro" w:hAnsi="EC Square Sans Cond Pro" w:cs="EC Square Sans Cond Pro"/>
                <w:noProof/>
                <w:color w:val="000000"/>
                <w:sz w:val="16"/>
                <w:szCs w:val="16"/>
              </w:rPr>
              <w:t>(</w:t>
            </w:r>
            <w:r>
              <w:rPr>
                <w:rFonts w:ascii="EC Square Sans Cond Pro" w:hAnsi="EC Square Sans Cond Pro" w:cs="EC Square Sans Cond Pro"/>
                <w:noProof/>
                <w:color w:val="000000"/>
                <w:sz w:val="16"/>
                <w:szCs w:val="16"/>
                <w:vertAlign w:val="superscript"/>
              </w:rPr>
              <w:t>1</w:t>
            </w:r>
            <w:r>
              <w:rPr>
                <w:rFonts w:ascii="EC Square Sans Cond Pro" w:hAnsi="EC Square Sans Cond Pro" w:cs="EC Square Sans Cond Pro"/>
                <w:noProof/>
                <w:color w:val="000000"/>
                <w:sz w:val="16"/>
                <w:szCs w:val="16"/>
              </w:rPr>
              <w:t>)</w:t>
            </w:r>
          </w:p>
        </w:tc>
      </w:tr>
      <w:tr w:rsidR="0060634A">
        <w:tblPrEx>
          <w:tblCellMar>
            <w:left w:w="108" w:type="dxa"/>
            <w:right w:w="108" w:type="dxa"/>
          </w:tblCellMar>
        </w:tblPrEx>
        <w:trPr>
          <w:trHeight w:val="327"/>
        </w:trPr>
        <w:tc>
          <w:tcPr>
            <w:tcW w:w="2993" w:type="dxa"/>
            <w:vAlign w:val="center"/>
          </w:tcPr>
          <w:p w:rsidR="0060634A" w:rsidRDefault="00F76D44">
            <w:pPr>
              <w:ind w:left="142"/>
              <w:jc w:val="right"/>
              <w:rPr>
                <w:rFonts w:ascii="EC Square Sans Cond Pro" w:hAnsi="EC Square Sans Cond Pro"/>
                <w:noProof/>
                <w:sz w:val="16"/>
                <w:szCs w:val="16"/>
                <w:lang w:val="en-GB"/>
              </w:rPr>
            </w:pPr>
            <w:r>
              <w:rPr>
                <w:rFonts w:ascii="EC Square Sans Cond Pro" w:hAnsi="EC Square Sans Cond Pro" w:cs="EC Square Sans Cond Pro"/>
                <w:noProof/>
                <w:color w:val="000000"/>
                <w:sz w:val="16"/>
                <w:szCs w:val="16"/>
                <w:lang w:val="en-GB" w:eastAsia="en-GB"/>
              </w:rPr>
              <w:t>CEF transport – improved or new connections between ports through motorways of the sea</w:t>
            </w:r>
          </w:p>
        </w:tc>
        <w:tc>
          <w:tcPr>
            <w:tcW w:w="707" w:type="dxa"/>
            <w:vAlign w:val="center"/>
          </w:tcPr>
          <w:p w:rsidR="0060634A" w:rsidRDefault="0060634A">
            <w:pPr>
              <w:jc w:val="center"/>
              <w:rPr>
                <w:rFonts w:ascii="EC Square Sans Cond Pro" w:hAnsi="EC Square Sans Cond Pro"/>
                <w:noProof/>
                <w:sz w:val="16"/>
                <w:szCs w:val="16"/>
                <w:lang w:val="en-GB" w:eastAsia="en-GB"/>
              </w:rPr>
            </w:pPr>
          </w:p>
        </w:tc>
        <w:tc>
          <w:tcPr>
            <w:tcW w:w="3478" w:type="dxa"/>
            <w:vAlign w:val="center"/>
          </w:tcPr>
          <w:p w:rsidR="0060634A" w:rsidRDefault="00F76D44">
            <w:pPr>
              <w:ind w:left="142"/>
              <w:rPr>
                <w:rFonts w:ascii="EC Square Sans Cond Pro" w:hAnsi="EC Square Sans Cond Pro"/>
                <w:noProof/>
                <w:sz w:val="16"/>
                <w:szCs w:val="16"/>
              </w:rPr>
            </w:pPr>
            <w:r>
              <w:rPr>
                <w:rFonts w:ascii="EC Square Sans Cond Pro" w:hAnsi="EC Square Sans Cond Pro"/>
                <w:noProof/>
                <w:sz w:val="16"/>
                <w:szCs w:val="16"/>
                <w:lang w:eastAsia="fr-BE"/>
              </w:rPr>
              <w:drawing>
                <wp:inline distT="0" distB="0" distL="0" distR="0">
                  <wp:extent cx="1981200" cy="140335"/>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981200" cy="140335"/>
                          </a:xfrm>
                          <a:prstGeom prst="rect">
                            <a:avLst/>
                          </a:prstGeom>
                          <a:noFill/>
                        </pic:spPr>
                      </pic:pic>
                    </a:graphicData>
                  </a:graphic>
                </wp:inline>
              </w:drawing>
            </w:r>
          </w:p>
        </w:tc>
        <w:tc>
          <w:tcPr>
            <w:tcW w:w="742" w:type="dxa"/>
            <w:vAlign w:val="center"/>
          </w:tcPr>
          <w:p w:rsidR="0060634A" w:rsidRDefault="00F76D44">
            <w:pPr>
              <w:jc w:val="center"/>
              <w:rPr>
                <w:rFonts w:ascii="EC Square Sans Cond Pro" w:hAnsi="EC Square Sans Cond Pro"/>
                <w:noProof/>
                <w:sz w:val="16"/>
                <w:szCs w:val="16"/>
              </w:rPr>
            </w:pPr>
            <w:r>
              <w:rPr>
                <w:rFonts w:ascii="EC Square Sans Cond Pro" w:hAnsi="EC Square Sans Cond Pro" w:cs="EC Square Sans Cond Pro"/>
                <w:noProof/>
                <w:color w:val="000000"/>
                <w:sz w:val="16"/>
                <w:szCs w:val="16"/>
              </w:rPr>
              <w:t>29</w:t>
            </w:r>
          </w:p>
        </w:tc>
        <w:tc>
          <w:tcPr>
            <w:tcW w:w="2820" w:type="dxa"/>
            <w:gridSpan w:val="2"/>
            <w:vAlign w:val="center"/>
          </w:tcPr>
          <w:p w:rsidR="0060634A" w:rsidRDefault="00F76D44">
            <w:pPr>
              <w:ind w:left="142"/>
              <w:rPr>
                <w:rFonts w:ascii="EC Square Sans Cond Pro" w:hAnsi="EC Square Sans Cond Pro"/>
                <w:noProof/>
                <w:sz w:val="16"/>
                <w:szCs w:val="16"/>
              </w:rPr>
            </w:pPr>
            <w:r>
              <w:rPr>
                <w:rFonts w:ascii="EC Square Sans Cond Pro" w:hAnsi="EC Square Sans Cond Pro" w:cs="EC Square Sans Cond Pro"/>
                <w:noProof/>
                <w:color w:val="000000"/>
                <w:sz w:val="16"/>
                <w:szCs w:val="16"/>
                <w:lang w:eastAsia="en-GB"/>
              </w:rPr>
              <w:t>11 (estimated value: 17) out of 29</w:t>
            </w:r>
          </w:p>
        </w:tc>
      </w:tr>
      <w:tr w:rsidR="0060634A">
        <w:tblPrEx>
          <w:tblCellMar>
            <w:left w:w="108" w:type="dxa"/>
            <w:right w:w="108" w:type="dxa"/>
          </w:tblCellMar>
        </w:tblPrEx>
        <w:trPr>
          <w:trHeight w:val="327"/>
        </w:trPr>
        <w:tc>
          <w:tcPr>
            <w:tcW w:w="2993" w:type="dxa"/>
            <w:vAlign w:val="center"/>
          </w:tcPr>
          <w:p w:rsidR="0060634A" w:rsidRDefault="00F76D44">
            <w:pPr>
              <w:ind w:left="142"/>
              <w:jc w:val="right"/>
              <w:rPr>
                <w:rFonts w:ascii="EC Square Sans Cond Pro" w:eastAsiaTheme="minorHAnsi" w:hAnsi="EC Square Sans Cond Pro" w:cs="EC Square Sans Cond Pro"/>
                <w:noProof/>
                <w:color w:val="000000"/>
                <w:sz w:val="16"/>
                <w:szCs w:val="16"/>
                <w:lang w:val="en-GB"/>
              </w:rPr>
            </w:pPr>
            <w:r>
              <w:rPr>
                <w:rFonts w:ascii="EC Square Sans Cond Pro" w:hAnsi="EC Square Sans Cond Pro" w:cs="EC Square Sans Cond Pro"/>
                <w:noProof/>
                <w:color w:val="000000"/>
                <w:sz w:val="16"/>
                <w:szCs w:val="16"/>
                <w:lang w:val="en-GB" w:eastAsia="en-GB"/>
              </w:rPr>
              <w:t xml:space="preserve">CEF energy </w:t>
            </w:r>
            <w:r>
              <w:rPr>
                <w:rFonts w:ascii="EC Square Sans Cond Pro" w:hAnsi="EC Square Sans Cond Pro" w:cs="EC Square Sans Cond Pro"/>
                <w:noProof/>
                <w:color w:val="000000"/>
                <w:sz w:val="16"/>
                <w:szCs w:val="16"/>
                <w:lang w:val="en-GB" w:eastAsia="en-GB"/>
              </w:rPr>
              <w:t>– system resilience – number of Member States</w:t>
            </w:r>
          </w:p>
        </w:tc>
        <w:tc>
          <w:tcPr>
            <w:tcW w:w="707" w:type="dxa"/>
            <w:vAlign w:val="center"/>
          </w:tcPr>
          <w:p w:rsidR="0060634A" w:rsidRDefault="00F76D44">
            <w:pPr>
              <w:jc w:val="center"/>
              <w:rPr>
                <w:rFonts w:ascii="EC Square Sans Cond Pro" w:eastAsiaTheme="minorHAnsi" w:hAnsi="EC Square Sans Cond Pro" w:cs="EC Square Sans Cond Pro"/>
                <w:noProof/>
                <w:color w:val="000000"/>
                <w:sz w:val="16"/>
                <w:szCs w:val="16"/>
              </w:rPr>
            </w:pPr>
            <w:r>
              <w:rPr>
                <w:rFonts w:ascii="EC Square Sans Cond Pro" w:hAnsi="EC Square Sans Cond Pro" w:cs="EC Square Sans Cond Pro"/>
                <w:noProof/>
                <w:color w:val="000000"/>
                <w:sz w:val="16"/>
                <w:szCs w:val="16"/>
                <w:lang w:eastAsia="en-GB"/>
              </w:rPr>
              <w:t>3</w:t>
            </w:r>
          </w:p>
        </w:tc>
        <w:tc>
          <w:tcPr>
            <w:tcW w:w="3478" w:type="dxa"/>
            <w:vAlign w:val="center"/>
          </w:tcPr>
          <w:p w:rsidR="0060634A" w:rsidRDefault="00F76D44">
            <w:pPr>
              <w:ind w:left="142"/>
              <w:rPr>
                <w:rFonts w:ascii="EC Square Sans Cond Pro" w:hAnsi="EC Square Sans Cond Pro"/>
                <w:noProof/>
                <w:sz w:val="16"/>
                <w:szCs w:val="16"/>
              </w:rPr>
            </w:pPr>
            <w:r>
              <w:rPr>
                <w:rFonts w:ascii="EC Square Sans Cond Pro" w:hAnsi="EC Square Sans Cond Pro"/>
                <w:noProof/>
                <w:sz w:val="16"/>
                <w:szCs w:val="16"/>
                <w:lang w:eastAsia="fr-BE"/>
              </w:rPr>
              <w:drawing>
                <wp:inline distT="0" distB="0" distL="0" distR="0">
                  <wp:extent cx="1981200" cy="140335"/>
                  <wp:effectExtent l="0" t="0" r="0"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81200" cy="140335"/>
                          </a:xfrm>
                          <a:prstGeom prst="rect">
                            <a:avLst/>
                          </a:prstGeom>
                          <a:noFill/>
                        </pic:spPr>
                      </pic:pic>
                    </a:graphicData>
                  </a:graphic>
                </wp:inline>
              </w:drawing>
            </w:r>
          </w:p>
        </w:tc>
        <w:tc>
          <w:tcPr>
            <w:tcW w:w="742" w:type="dxa"/>
            <w:vAlign w:val="center"/>
          </w:tcPr>
          <w:p w:rsidR="0060634A" w:rsidRDefault="00F76D44">
            <w:pPr>
              <w:jc w:val="center"/>
              <w:rPr>
                <w:rFonts w:ascii="EC Square Sans Cond Pro" w:eastAsiaTheme="minorHAnsi" w:hAnsi="EC Square Sans Cond Pro" w:cs="EC Square Sans Cond Pro"/>
                <w:noProof/>
                <w:color w:val="000000"/>
                <w:sz w:val="16"/>
                <w:szCs w:val="16"/>
              </w:rPr>
            </w:pPr>
            <w:r>
              <w:rPr>
                <w:rFonts w:ascii="EC Square Sans Cond Pro" w:hAnsi="EC Square Sans Cond Pro" w:cs="EC Square Sans Cond Pro"/>
                <w:noProof/>
                <w:color w:val="000000"/>
                <w:sz w:val="16"/>
                <w:szCs w:val="16"/>
              </w:rPr>
              <w:t>22</w:t>
            </w:r>
          </w:p>
        </w:tc>
        <w:tc>
          <w:tcPr>
            <w:tcW w:w="2820" w:type="dxa"/>
            <w:gridSpan w:val="2"/>
            <w:vAlign w:val="center"/>
          </w:tcPr>
          <w:p w:rsidR="0060634A" w:rsidRDefault="00F76D44">
            <w:pPr>
              <w:ind w:left="142"/>
              <w:rPr>
                <w:rFonts w:ascii="EC Square Sans Cond Pro" w:eastAsiaTheme="minorHAnsi" w:hAnsi="EC Square Sans Cond Pro" w:cs="EC Square Sans Cond Pro"/>
                <w:noProof/>
                <w:color w:val="000000"/>
                <w:sz w:val="16"/>
                <w:szCs w:val="16"/>
              </w:rPr>
            </w:pPr>
            <w:r>
              <w:rPr>
                <w:rFonts w:ascii="EC Square Sans Cond Pro" w:hAnsi="EC Square Sans Cond Pro" w:cs="EC Square Sans Cond Pro"/>
                <w:noProof/>
                <w:color w:val="000000"/>
                <w:sz w:val="16"/>
                <w:szCs w:val="16"/>
              </w:rPr>
              <w:t>18 out of 22</w:t>
            </w:r>
          </w:p>
        </w:tc>
      </w:tr>
      <w:tr w:rsidR="0060634A">
        <w:tblPrEx>
          <w:tblCellMar>
            <w:left w:w="108" w:type="dxa"/>
            <w:right w:w="108" w:type="dxa"/>
          </w:tblCellMar>
        </w:tblPrEx>
        <w:trPr>
          <w:trHeight w:val="327"/>
        </w:trPr>
        <w:tc>
          <w:tcPr>
            <w:tcW w:w="2993" w:type="dxa"/>
            <w:vAlign w:val="center"/>
          </w:tcPr>
          <w:p w:rsidR="0060634A" w:rsidRDefault="00F76D44">
            <w:pPr>
              <w:ind w:left="142"/>
              <w:jc w:val="right"/>
              <w:rPr>
                <w:rFonts w:ascii="EC Square Sans Cond Pro" w:eastAsiaTheme="minorHAnsi" w:hAnsi="EC Square Sans Cond Pro" w:cs="EC Square Sans Cond Pro"/>
                <w:noProof/>
                <w:color w:val="000000"/>
                <w:sz w:val="16"/>
                <w:szCs w:val="16"/>
                <w:lang w:val="en-GB"/>
              </w:rPr>
            </w:pPr>
            <w:r>
              <w:rPr>
                <w:rFonts w:ascii="EC Square Sans Cond Pro" w:hAnsi="EC Square Sans Cond Pro" w:cs="EC Square Sans Cond Pro"/>
                <w:noProof/>
                <w:color w:val="000000"/>
                <w:sz w:val="16"/>
                <w:szCs w:val="16"/>
                <w:lang w:val="en-GB" w:eastAsia="en-GB"/>
              </w:rPr>
              <w:t>CEF energy – Member States with diversified gas supply sources</w:t>
            </w:r>
          </w:p>
        </w:tc>
        <w:tc>
          <w:tcPr>
            <w:tcW w:w="707" w:type="dxa"/>
            <w:vAlign w:val="center"/>
          </w:tcPr>
          <w:p w:rsidR="0060634A" w:rsidRDefault="00F76D44">
            <w:pPr>
              <w:jc w:val="center"/>
              <w:rPr>
                <w:rFonts w:ascii="EC Square Sans Cond Pro" w:eastAsiaTheme="minorHAnsi" w:hAnsi="EC Square Sans Cond Pro" w:cs="EC Square Sans Cond Pro"/>
                <w:noProof/>
                <w:color w:val="000000"/>
                <w:sz w:val="16"/>
                <w:szCs w:val="16"/>
              </w:rPr>
            </w:pPr>
            <w:r>
              <w:rPr>
                <w:rFonts w:ascii="EC Square Sans Cond Pro" w:hAnsi="EC Square Sans Cond Pro" w:cs="EC Square Sans Cond Pro"/>
                <w:noProof/>
                <w:color w:val="000000"/>
                <w:sz w:val="16"/>
                <w:szCs w:val="16"/>
                <w:lang w:eastAsia="en-GB"/>
              </w:rPr>
              <w:t>19</w:t>
            </w:r>
          </w:p>
        </w:tc>
        <w:tc>
          <w:tcPr>
            <w:tcW w:w="3478" w:type="dxa"/>
            <w:vAlign w:val="center"/>
          </w:tcPr>
          <w:p w:rsidR="0060634A" w:rsidRDefault="00F76D44">
            <w:pPr>
              <w:ind w:left="142"/>
              <w:rPr>
                <w:rFonts w:ascii="EC Square Sans Cond Pro" w:hAnsi="EC Square Sans Cond Pro"/>
                <w:noProof/>
                <w:sz w:val="16"/>
                <w:szCs w:val="16"/>
              </w:rPr>
            </w:pPr>
            <w:r>
              <w:rPr>
                <w:rFonts w:ascii="EC Square Sans Cond Pro" w:hAnsi="EC Square Sans Cond Pro"/>
                <w:noProof/>
                <w:sz w:val="16"/>
                <w:szCs w:val="16"/>
                <w:lang w:eastAsia="fr-BE"/>
              </w:rPr>
              <w:drawing>
                <wp:inline distT="0" distB="0" distL="0" distR="0">
                  <wp:extent cx="1969135" cy="128270"/>
                  <wp:effectExtent l="0" t="0" r="0" b="508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969135" cy="128270"/>
                          </a:xfrm>
                          <a:prstGeom prst="rect">
                            <a:avLst/>
                          </a:prstGeom>
                          <a:noFill/>
                        </pic:spPr>
                      </pic:pic>
                    </a:graphicData>
                  </a:graphic>
                </wp:inline>
              </w:drawing>
            </w:r>
          </w:p>
        </w:tc>
        <w:tc>
          <w:tcPr>
            <w:tcW w:w="742" w:type="dxa"/>
            <w:vAlign w:val="center"/>
          </w:tcPr>
          <w:p w:rsidR="0060634A" w:rsidRDefault="00F76D44">
            <w:pPr>
              <w:jc w:val="center"/>
              <w:rPr>
                <w:rFonts w:ascii="EC Square Sans Cond Pro" w:eastAsiaTheme="minorHAnsi" w:hAnsi="EC Square Sans Cond Pro" w:cs="EC Square Sans Cond Pro"/>
                <w:noProof/>
                <w:color w:val="000000"/>
                <w:sz w:val="16"/>
                <w:szCs w:val="16"/>
              </w:rPr>
            </w:pPr>
            <w:r>
              <w:rPr>
                <w:rFonts w:ascii="EC Square Sans Cond Pro" w:hAnsi="EC Square Sans Cond Pro" w:cs="EC Square Sans Cond Pro"/>
                <w:noProof/>
                <w:color w:val="000000"/>
                <w:sz w:val="16"/>
                <w:szCs w:val="16"/>
              </w:rPr>
              <w:t>26</w:t>
            </w:r>
          </w:p>
        </w:tc>
        <w:tc>
          <w:tcPr>
            <w:tcW w:w="2820" w:type="dxa"/>
            <w:gridSpan w:val="2"/>
            <w:vAlign w:val="center"/>
          </w:tcPr>
          <w:p w:rsidR="0060634A" w:rsidRDefault="00F76D44">
            <w:pPr>
              <w:ind w:left="142"/>
              <w:rPr>
                <w:rFonts w:ascii="EC Square Sans Cond Pro" w:eastAsiaTheme="minorHAnsi" w:hAnsi="EC Square Sans Cond Pro" w:cs="EC Square Sans Cond Pro"/>
                <w:noProof/>
                <w:color w:val="000000"/>
                <w:sz w:val="16"/>
                <w:szCs w:val="16"/>
              </w:rPr>
            </w:pPr>
            <w:r>
              <w:rPr>
                <w:rFonts w:ascii="EC Square Sans Cond Pro" w:hAnsi="EC Square Sans Cond Pro" w:cs="EC Square Sans Cond Pro"/>
                <w:noProof/>
                <w:color w:val="000000"/>
                <w:sz w:val="16"/>
                <w:szCs w:val="16"/>
              </w:rPr>
              <w:t>26 out of 26</w:t>
            </w:r>
          </w:p>
        </w:tc>
      </w:tr>
      <w:tr w:rsidR="0060634A">
        <w:tblPrEx>
          <w:tblCellMar>
            <w:left w:w="108" w:type="dxa"/>
            <w:right w:w="108" w:type="dxa"/>
          </w:tblCellMar>
        </w:tblPrEx>
        <w:trPr>
          <w:trHeight w:val="327"/>
        </w:trPr>
        <w:tc>
          <w:tcPr>
            <w:tcW w:w="2993" w:type="dxa"/>
            <w:vAlign w:val="center"/>
          </w:tcPr>
          <w:p w:rsidR="0060634A" w:rsidRDefault="00F76D44">
            <w:pPr>
              <w:ind w:left="142"/>
              <w:jc w:val="right"/>
              <w:rPr>
                <w:rFonts w:ascii="EC Square Sans Cond Pro" w:eastAsiaTheme="minorHAnsi" w:hAnsi="EC Square Sans Cond Pro" w:cs="EC Square Sans Cond Pro"/>
                <w:noProof/>
                <w:color w:val="000000"/>
                <w:sz w:val="16"/>
                <w:szCs w:val="16"/>
                <w:lang w:val="en-GB"/>
              </w:rPr>
            </w:pPr>
            <w:r>
              <w:rPr>
                <w:rFonts w:ascii="EC Square Sans Cond Pro" w:hAnsi="EC Square Sans Cond Pro" w:cs="EC Square Sans Cond Pro"/>
                <w:noProof/>
                <w:color w:val="000000"/>
                <w:sz w:val="16"/>
                <w:szCs w:val="16"/>
                <w:lang w:val="en-GB" w:eastAsia="en-GB"/>
              </w:rPr>
              <w:t>CEF telecom – citizens using public services online</w:t>
            </w:r>
          </w:p>
        </w:tc>
        <w:tc>
          <w:tcPr>
            <w:tcW w:w="707" w:type="dxa"/>
            <w:vAlign w:val="center"/>
          </w:tcPr>
          <w:p w:rsidR="0060634A" w:rsidRDefault="00F76D44">
            <w:pPr>
              <w:jc w:val="center"/>
              <w:rPr>
                <w:rFonts w:ascii="EC Square Sans Cond Pro" w:eastAsiaTheme="minorHAnsi" w:hAnsi="EC Square Sans Cond Pro" w:cs="EC Square Sans Cond Pro"/>
                <w:noProof/>
                <w:color w:val="000000"/>
                <w:sz w:val="16"/>
                <w:szCs w:val="16"/>
              </w:rPr>
            </w:pPr>
            <w:r>
              <w:rPr>
                <w:rFonts w:ascii="EC Square Sans Cond Pro" w:hAnsi="EC Square Sans Cond Pro" w:cs="EC Square Sans Cond Pro"/>
                <w:noProof/>
                <w:color w:val="000000"/>
                <w:sz w:val="16"/>
                <w:szCs w:val="16"/>
                <w:lang w:eastAsia="en-GB"/>
              </w:rPr>
              <w:t>57%</w:t>
            </w:r>
          </w:p>
        </w:tc>
        <w:tc>
          <w:tcPr>
            <w:tcW w:w="3478" w:type="dxa"/>
            <w:vAlign w:val="center"/>
          </w:tcPr>
          <w:p w:rsidR="0060634A" w:rsidRDefault="00F76D44">
            <w:pPr>
              <w:ind w:left="142"/>
              <w:rPr>
                <w:rFonts w:ascii="EC Square Sans Cond Pro" w:hAnsi="EC Square Sans Cond Pro"/>
                <w:noProof/>
                <w:sz w:val="16"/>
                <w:szCs w:val="16"/>
              </w:rPr>
            </w:pPr>
            <w:r>
              <w:rPr>
                <w:rFonts w:ascii="EC Square Sans Cond Pro" w:hAnsi="EC Square Sans Cond Pro"/>
                <w:noProof/>
                <w:sz w:val="16"/>
                <w:szCs w:val="16"/>
                <w:lang w:eastAsia="fr-BE"/>
              </w:rPr>
              <w:drawing>
                <wp:inline distT="0" distB="0" distL="0" distR="0">
                  <wp:extent cx="1981200" cy="140335"/>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981200" cy="140335"/>
                          </a:xfrm>
                          <a:prstGeom prst="rect">
                            <a:avLst/>
                          </a:prstGeom>
                          <a:noFill/>
                        </pic:spPr>
                      </pic:pic>
                    </a:graphicData>
                  </a:graphic>
                </wp:inline>
              </w:drawing>
            </w:r>
          </w:p>
        </w:tc>
        <w:tc>
          <w:tcPr>
            <w:tcW w:w="742" w:type="dxa"/>
            <w:vAlign w:val="center"/>
          </w:tcPr>
          <w:p w:rsidR="0060634A" w:rsidRDefault="00F76D44">
            <w:pPr>
              <w:jc w:val="center"/>
              <w:rPr>
                <w:rFonts w:ascii="EC Square Sans Cond Pro" w:eastAsiaTheme="minorHAnsi" w:hAnsi="EC Square Sans Cond Pro" w:cs="EC Square Sans Cond Pro"/>
                <w:noProof/>
                <w:color w:val="000000"/>
                <w:sz w:val="16"/>
                <w:szCs w:val="16"/>
              </w:rPr>
            </w:pPr>
            <w:r>
              <w:rPr>
                <w:rFonts w:ascii="EC Square Sans Cond Pro" w:hAnsi="EC Square Sans Cond Pro" w:cs="EC Square Sans Cond Pro"/>
                <w:noProof/>
                <w:color w:val="000000"/>
                <w:sz w:val="16"/>
                <w:szCs w:val="16"/>
              </w:rPr>
              <w:t>70%</w:t>
            </w:r>
          </w:p>
        </w:tc>
        <w:tc>
          <w:tcPr>
            <w:tcW w:w="2820" w:type="dxa"/>
            <w:gridSpan w:val="2"/>
            <w:vAlign w:val="center"/>
          </w:tcPr>
          <w:p w:rsidR="0060634A" w:rsidRDefault="00F76D44">
            <w:pPr>
              <w:ind w:left="142"/>
              <w:rPr>
                <w:rFonts w:ascii="EC Square Sans Cond Pro" w:eastAsiaTheme="minorHAnsi" w:hAnsi="EC Square Sans Cond Pro" w:cs="EC Square Sans Cond Pro"/>
                <w:noProof/>
                <w:color w:val="000000"/>
                <w:sz w:val="16"/>
                <w:szCs w:val="16"/>
                <w:lang w:val="en-GB"/>
              </w:rPr>
            </w:pPr>
            <w:r>
              <w:rPr>
                <w:rFonts w:ascii="EC Square Sans Cond Pro" w:hAnsi="EC Square Sans Cond Pro" w:cs="EC Square Sans Cond Pro"/>
                <w:noProof/>
                <w:color w:val="000000"/>
                <w:sz w:val="16"/>
                <w:szCs w:val="16"/>
                <w:lang w:val="en-GB"/>
              </w:rPr>
              <w:t xml:space="preserve">67% out of a target of </w:t>
            </w:r>
            <w:r>
              <w:rPr>
                <w:rFonts w:ascii="EC Square Sans Cond Pro" w:hAnsi="EC Square Sans Cond Pro" w:cs="EC Square Sans Cond Pro"/>
                <w:noProof/>
                <w:color w:val="000000"/>
                <w:sz w:val="16"/>
                <w:szCs w:val="16"/>
                <w:lang w:val="en-GB" w:eastAsia="en-GB"/>
              </w:rPr>
              <w:t>70%</w:t>
            </w:r>
          </w:p>
        </w:tc>
      </w:tr>
      <w:tr w:rsidR="0060634A">
        <w:tblPrEx>
          <w:tblCellMar>
            <w:left w:w="108" w:type="dxa"/>
            <w:right w:w="108" w:type="dxa"/>
          </w:tblCellMar>
        </w:tblPrEx>
        <w:trPr>
          <w:trHeight w:val="327"/>
        </w:trPr>
        <w:tc>
          <w:tcPr>
            <w:tcW w:w="2993" w:type="dxa"/>
            <w:vAlign w:val="center"/>
          </w:tcPr>
          <w:p w:rsidR="0060634A" w:rsidRDefault="00F76D44">
            <w:pPr>
              <w:ind w:left="142"/>
              <w:jc w:val="right"/>
              <w:rPr>
                <w:rFonts w:ascii="EC Square Sans Cond Pro" w:eastAsiaTheme="minorHAnsi" w:hAnsi="EC Square Sans Cond Pro" w:cs="EC Square Sans Cond Pro"/>
                <w:noProof/>
                <w:color w:val="000000"/>
                <w:sz w:val="16"/>
                <w:szCs w:val="16"/>
                <w:lang w:val="en-GB"/>
              </w:rPr>
            </w:pPr>
            <w:r>
              <w:rPr>
                <w:rFonts w:ascii="EC Square Sans Cond Pro" w:hAnsi="EC Square Sans Cond Pro" w:cs="EC Square Sans Cond Pro"/>
                <w:noProof/>
                <w:color w:val="000000"/>
                <w:sz w:val="16"/>
                <w:szCs w:val="16"/>
                <w:lang w:val="en-GB" w:eastAsia="en-GB"/>
              </w:rPr>
              <w:t xml:space="preserve">CEF telecom – </w:t>
            </w:r>
            <w:r>
              <w:rPr>
                <w:rFonts w:ascii="EC Square Sans Cond Pro" w:hAnsi="EC Square Sans Cond Pro" w:cs="EC Square Sans Cond Pro"/>
                <w:noProof/>
                <w:color w:val="000000"/>
                <w:sz w:val="16"/>
                <w:szCs w:val="16"/>
                <w:lang w:val="en-GB" w:eastAsia="en-GB"/>
              </w:rPr>
              <w:t>availability of cross-border public services</w:t>
            </w:r>
          </w:p>
        </w:tc>
        <w:tc>
          <w:tcPr>
            <w:tcW w:w="707" w:type="dxa"/>
            <w:vAlign w:val="center"/>
          </w:tcPr>
          <w:p w:rsidR="0060634A" w:rsidRDefault="0060634A">
            <w:pPr>
              <w:jc w:val="center"/>
              <w:rPr>
                <w:rFonts w:ascii="EC Square Sans Cond Pro" w:eastAsiaTheme="minorHAnsi" w:hAnsi="EC Square Sans Cond Pro" w:cs="EC Square Sans Cond Pro"/>
                <w:noProof/>
                <w:color w:val="000000"/>
                <w:sz w:val="16"/>
                <w:szCs w:val="16"/>
                <w:lang w:val="en-GB"/>
              </w:rPr>
            </w:pPr>
          </w:p>
        </w:tc>
        <w:tc>
          <w:tcPr>
            <w:tcW w:w="3478" w:type="dxa"/>
            <w:vAlign w:val="center"/>
          </w:tcPr>
          <w:p w:rsidR="0060634A" w:rsidRDefault="00F76D44">
            <w:pPr>
              <w:ind w:left="142"/>
              <w:rPr>
                <w:rFonts w:ascii="EC Square Sans Cond Pro" w:hAnsi="EC Square Sans Cond Pro"/>
                <w:noProof/>
                <w:sz w:val="16"/>
                <w:szCs w:val="16"/>
              </w:rPr>
            </w:pPr>
            <w:r>
              <w:rPr>
                <w:rFonts w:ascii="EC Square Sans Cond Pro" w:hAnsi="EC Square Sans Cond Pro"/>
                <w:noProof/>
                <w:sz w:val="16"/>
                <w:szCs w:val="16"/>
                <w:lang w:eastAsia="fr-BE"/>
              </w:rPr>
              <w:drawing>
                <wp:inline distT="0" distB="0" distL="0" distR="0">
                  <wp:extent cx="1987550" cy="140335"/>
                  <wp:effectExtent l="0" t="0" r="0"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987550" cy="140335"/>
                          </a:xfrm>
                          <a:prstGeom prst="rect">
                            <a:avLst/>
                          </a:prstGeom>
                          <a:noFill/>
                        </pic:spPr>
                      </pic:pic>
                    </a:graphicData>
                  </a:graphic>
                </wp:inline>
              </w:drawing>
            </w:r>
          </w:p>
        </w:tc>
        <w:tc>
          <w:tcPr>
            <w:tcW w:w="742" w:type="dxa"/>
            <w:vAlign w:val="center"/>
          </w:tcPr>
          <w:p w:rsidR="0060634A" w:rsidRDefault="00F76D44">
            <w:pPr>
              <w:jc w:val="center"/>
              <w:rPr>
                <w:rFonts w:ascii="EC Square Sans Cond Pro" w:eastAsiaTheme="minorHAnsi" w:hAnsi="EC Square Sans Cond Pro" w:cs="EC Square Sans Cond Pro"/>
                <w:noProof/>
                <w:color w:val="000000"/>
                <w:sz w:val="16"/>
                <w:szCs w:val="16"/>
              </w:rPr>
            </w:pPr>
            <w:r>
              <w:rPr>
                <w:rFonts w:ascii="EC Square Sans Cond Pro" w:hAnsi="EC Square Sans Cond Pro" w:cs="EC Square Sans Cond Pro"/>
                <w:noProof/>
                <w:color w:val="000000"/>
                <w:sz w:val="16"/>
                <w:szCs w:val="16"/>
              </w:rPr>
              <w:t>100%</w:t>
            </w:r>
          </w:p>
        </w:tc>
        <w:tc>
          <w:tcPr>
            <w:tcW w:w="2820" w:type="dxa"/>
            <w:gridSpan w:val="2"/>
            <w:vAlign w:val="center"/>
          </w:tcPr>
          <w:p w:rsidR="0060634A" w:rsidRDefault="00F76D44">
            <w:pPr>
              <w:ind w:left="142"/>
              <w:rPr>
                <w:rFonts w:ascii="EC Square Sans Cond Pro" w:eastAsiaTheme="minorHAnsi" w:hAnsi="EC Square Sans Cond Pro" w:cs="EC Square Sans Cond Pro"/>
                <w:noProof/>
                <w:color w:val="000000"/>
                <w:sz w:val="16"/>
                <w:szCs w:val="16"/>
                <w:lang w:val="en-GB"/>
              </w:rPr>
            </w:pPr>
            <w:r>
              <w:rPr>
                <w:rFonts w:ascii="EC Square Sans Cond Pro" w:hAnsi="EC Square Sans Cond Pro" w:cs="EC Square Sans Cond Pro"/>
                <w:noProof/>
                <w:color w:val="000000"/>
                <w:sz w:val="16"/>
                <w:szCs w:val="16"/>
                <w:lang w:val="en-GB" w:eastAsia="en-GB"/>
              </w:rPr>
              <w:t>78% out of a target of 100%</w:t>
            </w:r>
          </w:p>
        </w:tc>
      </w:tr>
      <w:tr w:rsidR="0060634A">
        <w:trPr>
          <w:trHeight w:val="247"/>
        </w:trPr>
        <w:tc>
          <w:tcPr>
            <w:tcW w:w="2993" w:type="dxa"/>
            <w:tcBorders>
              <w:bottom w:val="nil"/>
            </w:tcBorders>
            <w:vAlign w:val="center"/>
          </w:tcPr>
          <w:p w:rsidR="0060634A" w:rsidRDefault="00F76D44">
            <w:pPr>
              <w:ind w:left="142"/>
              <w:jc w:val="right"/>
              <w:rPr>
                <w:noProof/>
                <w:sz w:val="16"/>
                <w:szCs w:val="16"/>
                <w:lang w:val="en-GB"/>
              </w:rPr>
            </w:pPr>
            <w:r>
              <w:rPr>
                <w:noProof/>
                <w:sz w:val="16"/>
                <w:szCs w:val="16"/>
                <w:lang w:val="en-GB"/>
              </w:rPr>
              <w:t xml:space="preserve">    </w:t>
            </w:r>
          </w:p>
        </w:tc>
        <w:tc>
          <w:tcPr>
            <w:tcW w:w="707" w:type="dxa"/>
            <w:tcBorders>
              <w:bottom w:val="nil"/>
            </w:tcBorders>
          </w:tcPr>
          <w:p w:rsidR="0060634A" w:rsidRDefault="0060634A">
            <w:pPr>
              <w:ind w:left="142"/>
              <w:rPr>
                <w:noProof/>
                <w:sz w:val="16"/>
                <w:szCs w:val="16"/>
                <w:lang w:val="en-GB" w:eastAsia="en-GB"/>
              </w:rPr>
            </w:pPr>
          </w:p>
        </w:tc>
        <w:tc>
          <w:tcPr>
            <w:tcW w:w="4220" w:type="dxa"/>
            <w:gridSpan w:val="2"/>
            <w:tcBorders>
              <w:bottom w:val="nil"/>
            </w:tcBorders>
            <w:vAlign w:val="center"/>
          </w:tcPr>
          <w:p w:rsidR="0060634A" w:rsidRDefault="00F76D44">
            <w:pPr>
              <w:spacing w:before="120"/>
              <w:rPr>
                <w:noProof/>
                <w:sz w:val="16"/>
                <w:szCs w:val="16"/>
                <w:lang w:val="en-GB"/>
              </w:rPr>
            </w:pPr>
            <w:r>
              <w:rPr>
                <w:noProof/>
                <w:sz w:val="16"/>
                <w:szCs w:val="16"/>
                <w:lang w:eastAsia="fr-BE"/>
              </w:rPr>
              <mc:AlternateContent>
                <mc:Choice Requires="wps">
                  <w:drawing>
                    <wp:anchor distT="0" distB="0" distL="114300" distR="114300" simplePos="0" relativeHeight="251634688" behindDoc="1" locked="0" layoutInCell="1" allowOverlap="1">
                      <wp:simplePos x="0" y="0"/>
                      <wp:positionH relativeFrom="column">
                        <wp:posOffset>-120015</wp:posOffset>
                      </wp:positionH>
                      <wp:positionV relativeFrom="paragraph">
                        <wp:posOffset>77470</wp:posOffset>
                      </wp:positionV>
                      <wp:extent cx="80645" cy="99060"/>
                      <wp:effectExtent l="0" t="0" r="0" b="0"/>
                      <wp:wrapThrough wrapText="bothSides">
                        <wp:wrapPolygon edited="0">
                          <wp:start x="0" y="0"/>
                          <wp:lineTo x="0" y="16615"/>
                          <wp:lineTo x="15307" y="16615"/>
                          <wp:lineTo x="15307" y="0"/>
                          <wp:lineTo x="0" y="0"/>
                        </wp:wrapPolygon>
                      </wp:wrapThrough>
                      <wp:docPr id="619" name="Rectangle 619"/>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282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22E34" id="Rectangle 619" o:spid="_x0000_s1026" style="position:absolute;margin-left:-9.45pt;margin-top:6.1pt;width:6.35pt;height: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" fillcolor="#28296e" stroked="f" strokeweight="1pt">
                      <w10:wrap type="through"/>
                    </v:rect>
                  </w:pict>
                </mc:Fallback>
              </mc:AlternateContent>
            </w:r>
            <w:r>
              <w:rPr>
                <w:noProof/>
                <w:sz w:val="16"/>
                <w:szCs w:val="16"/>
                <w:lang w:val="en-GB"/>
              </w:rPr>
              <w:t>2019 actual results, as a % of the target</w:t>
            </w:r>
          </w:p>
          <w:p w:rsidR="0060634A" w:rsidRDefault="00F76D44">
            <w:pPr>
              <w:rPr>
                <w:noProof/>
                <w:sz w:val="16"/>
                <w:szCs w:val="16"/>
                <w:lang w:val="en-GB" w:eastAsia="en-GB"/>
              </w:rPr>
            </w:pPr>
            <w:r>
              <w:rPr>
                <w:noProof/>
                <w:sz w:val="16"/>
                <w:szCs w:val="16"/>
                <w:lang w:eastAsia="fr-BE"/>
              </w:rPr>
              <mc:AlternateContent>
                <mc:Choice Requires="wps">
                  <w:drawing>
                    <wp:anchor distT="0" distB="0" distL="114300" distR="114300" simplePos="0" relativeHeight="251638784" behindDoc="1" locked="0" layoutInCell="1" allowOverlap="1">
                      <wp:simplePos x="0" y="0"/>
                      <wp:positionH relativeFrom="column">
                        <wp:posOffset>-196215</wp:posOffset>
                      </wp:positionH>
                      <wp:positionV relativeFrom="paragraph">
                        <wp:posOffset>12065</wp:posOffset>
                      </wp:positionV>
                      <wp:extent cx="80645" cy="99060"/>
                      <wp:effectExtent l="0" t="0" r="0" b="0"/>
                      <wp:wrapSquare wrapText="bothSides"/>
                      <wp:docPr id="620" name="Rectangle 620"/>
                      <wp:cNvGraphicFramePr/>
                      <a:graphic xmlns:a="http://schemas.openxmlformats.org/drawingml/2006/main">
                        <a:graphicData uri="http://schemas.microsoft.com/office/word/2010/wordprocessingShape">
                          <wps:wsp>
                            <wps:cNvSpPr/>
                            <wps:spPr>
                              <a:xfrm>
                                <a:off x="0" y="0"/>
                                <a:ext cx="80645" cy="99060"/>
                              </a:xfrm>
                              <a:prstGeom prst="rect">
                                <a:avLst/>
                              </a:prstGeom>
                              <a:solidFill>
                                <a:srgbClr val="00AD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43F4B" id="Rectangle 620" o:spid="_x0000_s1026" style="position:absolute;margin-left:-15.45pt;margin-top:.95pt;width:6.35pt;height: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" fillcolor="#00addc" stroked="f" strokeweight="1pt">
                      <w10:wrap type="square"/>
                    </v:rect>
                  </w:pict>
                </mc:Fallback>
              </mc:AlternateContent>
            </w:r>
            <w:r>
              <w:rPr>
                <w:noProof/>
                <w:sz w:val="16"/>
                <w:szCs w:val="16"/>
                <w:lang w:val="en-GB"/>
              </w:rPr>
              <w:t>2019 estimated values, as a % of the target</w:t>
            </w:r>
            <w:r>
              <w:rPr>
                <w:rFonts w:cs="Calibri"/>
                <w:noProof/>
                <w:sz w:val="16"/>
                <w:szCs w:val="16"/>
                <w:lang w:val="en-GB"/>
              </w:rPr>
              <w:t> </w:t>
            </w:r>
            <w:r>
              <w:rPr>
                <w:rFonts w:ascii="EC Square Sans Cond Pro" w:eastAsiaTheme="minorHAnsi" w:hAnsi="EC Square Sans Cond Pro" w:cs="EC Square Sans Cond Pro"/>
                <w:noProof/>
                <w:color w:val="000000"/>
                <w:sz w:val="16"/>
                <w:szCs w:val="16"/>
                <w:lang w:val="en-GB"/>
              </w:rPr>
              <w:t>(</w:t>
            </w:r>
            <w:r>
              <w:rPr>
                <w:rFonts w:ascii="EC Square Sans Cond Pro" w:eastAsiaTheme="minorHAnsi" w:hAnsi="EC Square Sans Cond Pro" w:cs="EC Square Sans Cond Pro"/>
                <w:noProof/>
                <w:color w:val="000000"/>
                <w:sz w:val="16"/>
                <w:szCs w:val="16"/>
                <w:vertAlign w:val="superscript"/>
                <w:lang w:val="en-GB"/>
              </w:rPr>
              <w:t>1</w:t>
            </w:r>
            <w:r>
              <w:rPr>
                <w:rFonts w:ascii="EC Square Sans Cond Pro" w:eastAsiaTheme="minorHAnsi" w:hAnsi="EC Square Sans Cond Pro" w:cs="EC Square Sans Cond Pro"/>
                <w:noProof/>
                <w:color w:val="000000"/>
                <w:sz w:val="16"/>
                <w:szCs w:val="16"/>
                <w:lang w:val="en-GB"/>
              </w:rPr>
              <w:t>)</w:t>
            </w:r>
          </w:p>
        </w:tc>
        <w:tc>
          <w:tcPr>
            <w:tcW w:w="2820" w:type="dxa"/>
            <w:gridSpan w:val="2"/>
            <w:tcBorders>
              <w:bottom w:val="nil"/>
            </w:tcBorders>
            <w:vAlign w:val="center"/>
          </w:tcPr>
          <w:p w:rsidR="0060634A" w:rsidRDefault="0060634A">
            <w:pPr>
              <w:ind w:left="142"/>
              <w:rPr>
                <w:noProof/>
                <w:sz w:val="16"/>
                <w:szCs w:val="16"/>
                <w:lang w:val="en-GB"/>
              </w:rPr>
            </w:pPr>
          </w:p>
        </w:tc>
      </w:tr>
      <w:tr w:rsidR="0060634A">
        <w:trPr>
          <w:trHeight w:val="247"/>
        </w:trPr>
        <w:tc>
          <w:tcPr>
            <w:tcW w:w="10740" w:type="dxa"/>
            <w:gridSpan w:val="6"/>
            <w:tcBorders>
              <w:top w:val="nil"/>
              <w:bottom w:val="nil"/>
            </w:tcBorders>
            <w:vAlign w:val="center"/>
          </w:tcPr>
          <w:p w:rsidR="0060634A" w:rsidRDefault="00F76D44">
            <w:pPr>
              <w:ind w:left="142"/>
              <w:jc w:val="both"/>
              <w:rPr>
                <w:noProof/>
                <w:sz w:val="14"/>
                <w:szCs w:val="16"/>
                <w:lang w:val="en-GB"/>
              </w:rPr>
            </w:pPr>
            <w:r>
              <w:rPr>
                <w:rFonts w:ascii="EC Square Sans Cond Pro" w:hAnsi="EC Square Sans Cond Pro" w:cs="EC Square Sans Cond Pro"/>
                <w:noProof/>
                <w:color w:val="000000"/>
                <w:sz w:val="16"/>
                <w:szCs w:val="16"/>
                <w:lang w:val="en-GB"/>
              </w:rPr>
              <w:t>(</w:t>
            </w:r>
            <w:r>
              <w:rPr>
                <w:rFonts w:ascii="EC Square Sans Cond Pro" w:hAnsi="EC Square Sans Cond Pro" w:cs="EC Square Sans Cond Pro"/>
                <w:noProof/>
                <w:color w:val="000000"/>
                <w:sz w:val="16"/>
                <w:szCs w:val="16"/>
                <w:vertAlign w:val="superscript"/>
                <w:lang w:val="en-GB"/>
              </w:rPr>
              <w:t>1</w:t>
            </w:r>
            <w:r>
              <w:rPr>
                <w:rFonts w:ascii="EC Square Sans Cond Pro" w:hAnsi="EC Square Sans Cond Pro" w:cs="EC Square Sans Cond Pro"/>
                <w:noProof/>
                <w:color w:val="000000"/>
                <w:sz w:val="16"/>
                <w:szCs w:val="16"/>
                <w:lang w:val="en-GB"/>
              </w:rPr>
              <w:t>)</w:t>
            </w:r>
            <w:r>
              <w:rPr>
                <w:noProof/>
                <w:sz w:val="14"/>
                <w:szCs w:val="16"/>
                <w:vertAlign w:val="superscript"/>
                <w:lang w:val="en-GB"/>
              </w:rPr>
              <w:t xml:space="preserve"> </w:t>
            </w:r>
            <w:r>
              <w:rPr>
                <w:noProof/>
                <w:sz w:val="14"/>
                <w:szCs w:val="16"/>
                <w:lang w:val="en-GB"/>
              </w:rPr>
              <w:t xml:space="preserve">Estimated values represent project results to be completed by 2019 </w:t>
            </w:r>
            <w:r>
              <w:rPr>
                <w:noProof/>
                <w:sz w:val="14"/>
                <w:szCs w:val="16"/>
                <w:lang w:val="en-GB"/>
              </w:rPr>
              <w:t>based on the contractual delivery dates in the signed grant agreement</w:t>
            </w:r>
            <w:r>
              <w:rPr>
                <w:rFonts w:cs="Calibri"/>
                <w:noProof/>
                <w:sz w:val="14"/>
                <w:szCs w:val="16"/>
                <w:lang w:val="en-GB"/>
              </w:rPr>
              <w:t> </w:t>
            </w:r>
            <w:r>
              <w:rPr>
                <w:noProof/>
                <w:sz w:val="14"/>
                <w:szCs w:val="16"/>
                <w:lang w:val="en-GB"/>
              </w:rPr>
              <w:t>– see explanation below under ‘Performance assessment’.</w:t>
            </w:r>
          </w:p>
        </w:tc>
      </w:tr>
      <w:tr w:rsidR="0060634A">
        <w:trPr>
          <w:trHeight w:val="247"/>
        </w:trPr>
        <w:tc>
          <w:tcPr>
            <w:tcW w:w="10740" w:type="dxa"/>
            <w:gridSpan w:val="6"/>
            <w:tcBorders>
              <w:top w:val="nil"/>
              <w:bottom w:val="nil"/>
            </w:tcBorders>
            <w:vAlign w:val="center"/>
          </w:tcPr>
          <w:p w:rsidR="0060634A" w:rsidRDefault="0060634A">
            <w:pPr>
              <w:ind w:left="142"/>
              <w:jc w:val="both"/>
              <w:rPr>
                <w:rFonts w:ascii="EC Square Sans Cond Pro" w:hAnsi="EC Square Sans Cond Pro" w:cs="EC Square Sans Cond Pro"/>
                <w:noProof/>
                <w:color w:val="000000"/>
                <w:sz w:val="16"/>
                <w:szCs w:val="16"/>
                <w:lang w:val="en-GB"/>
              </w:rPr>
            </w:pPr>
          </w:p>
        </w:tc>
      </w:tr>
    </w:tbl>
    <w:p w:rsidR="0060634A" w:rsidRDefault="00F76D44">
      <w:pPr>
        <w:pStyle w:val="PPOTitle3-nospacebefore"/>
        <w:rPr>
          <w:rFonts w:eastAsiaTheme="minorEastAsia"/>
        </w:rPr>
      </w:pPr>
      <w:r>
        <w:rPr>
          <w:rFonts w:eastAsiaTheme="minorEastAsia"/>
        </w:rPr>
        <w:t>Where are we in the implementation?</w:t>
      </w:r>
    </w:p>
    <w:p w:rsidR="0060634A" w:rsidRDefault="00F76D44">
      <w:pPr>
        <w:pStyle w:val="PPOTitle4-BlackBold9pt"/>
        <w:rPr>
          <w:rFonts w:eastAsiaTheme="minorEastAsia"/>
        </w:rPr>
      </w:pPr>
      <w:r>
        <w:rPr>
          <w:rFonts w:eastAsiaTheme="minorEastAsia"/>
        </w:rPr>
        <w:t>CEF Transport.</w:t>
      </w:r>
    </w:p>
    <w:p w:rsidR="0060634A" w:rsidRDefault="00F76D44">
      <w:pPr>
        <w:pStyle w:val="PPOBlackBULLETS-L1"/>
        <w:rPr>
          <w:noProof/>
        </w:rPr>
      </w:pPr>
      <w:r>
        <w:rPr>
          <w:noProof/>
        </w:rPr>
        <w:t xml:space="preserve">At the end of 2019, 794 projects were selected for co-financing under the </w:t>
      </w:r>
      <w:r>
        <w:rPr>
          <w:noProof/>
        </w:rPr>
        <w:t>CEF Transport calls, and individual grant agreements were signed for a total CEF contribution of EUR</w:t>
      </w:r>
      <w:r>
        <w:rPr>
          <w:rFonts w:ascii="Calibri" w:hAnsi="Calibri" w:cs="Calibri"/>
          <w:noProof/>
        </w:rPr>
        <w:t> </w:t>
      </w:r>
      <w:r>
        <w:rPr>
          <w:noProof/>
        </w:rPr>
        <w:t>21.4</w:t>
      </w:r>
      <w:r>
        <w:rPr>
          <w:rFonts w:ascii="Calibri" w:hAnsi="Calibri" w:cs="Calibri"/>
          <w:noProof/>
        </w:rPr>
        <w:t> </w:t>
      </w:r>
      <w:r>
        <w:rPr>
          <w:noProof/>
        </w:rPr>
        <w:t xml:space="preserve">billion. This amount represents around 95% of the total CEF Transport budget. In 2019, three calls under CEF Transport were launched (CEF Transport </w:t>
      </w:r>
      <w:r>
        <w:rPr>
          <w:noProof/>
        </w:rPr>
        <w:t>annual work programme, multiannual work programme and blending facility) for a total amount of EUR</w:t>
      </w:r>
      <w:r>
        <w:rPr>
          <w:rFonts w:ascii="Calibri" w:hAnsi="Calibri" w:cs="Calibri"/>
          <w:noProof/>
        </w:rPr>
        <w:t> </w:t>
      </w:r>
      <w:r>
        <w:rPr>
          <w:noProof/>
        </w:rPr>
        <w:t>1.7</w:t>
      </w:r>
      <w:r>
        <w:rPr>
          <w:rFonts w:ascii="Calibri" w:hAnsi="Calibri" w:cs="Calibri"/>
          <w:noProof/>
        </w:rPr>
        <w:t> </w:t>
      </w:r>
      <w:r>
        <w:rPr>
          <w:noProof/>
        </w:rPr>
        <w:t>billion.</w:t>
      </w:r>
    </w:p>
    <w:p w:rsidR="0060634A" w:rsidRDefault="00F76D44">
      <w:pPr>
        <w:pStyle w:val="PPOBlackBULLETS-L1"/>
        <w:rPr>
          <w:noProof/>
        </w:rPr>
      </w:pPr>
      <w:r>
        <w:rPr>
          <w:noProof/>
        </w:rPr>
        <w:t>The financial progress of projects aiming at removing bottlenecks, enhancing rail interoperability, bridging missing links and improving cross-b</w:t>
      </w:r>
      <w:r>
        <w:rPr>
          <w:noProof/>
        </w:rPr>
        <w:t>order sections is estimated to have been 47% by the end of 2019. Changes to the initial implementation plans have occurred for some projects, with 188 formal amendments signed for 160 projects. A total of 140 projects have been extended (on average for 18</w:t>
      </w:r>
      <w:r>
        <w:rPr>
          <w:rFonts w:ascii="Calibri" w:hAnsi="Calibri" w:cs="Calibri"/>
          <w:noProof/>
        </w:rPr>
        <w:t> </w:t>
      </w:r>
      <w:r>
        <w:rPr>
          <w:noProof/>
        </w:rPr>
        <w:t>months), and funding was reduced for 71 projects. As a consequence, thanks to the application of the use-it-or-lose-it principle, an overall available amount of EUR</w:t>
      </w:r>
      <w:r>
        <w:rPr>
          <w:rFonts w:ascii="Calibri" w:hAnsi="Calibri" w:cs="Calibri"/>
          <w:noProof/>
        </w:rPr>
        <w:t> </w:t>
      </w:r>
      <w:r>
        <w:rPr>
          <w:noProof/>
        </w:rPr>
        <w:t>2.3</w:t>
      </w:r>
      <w:r>
        <w:rPr>
          <w:rFonts w:ascii="Calibri" w:hAnsi="Calibri" w:cs="Calibri"/>
          <w:noProof/>
        </w:rPr>
        <w:t> </w:t>
      </w:r>
      <w:r>
        <w:rPr>
          <w:noProof/>
        </w:rPr>
        <w:t>billion is being reinjected via new calls for proposals.</w:t>
      </w:r>
    </w:p>
    <w:p w:rsidR="0060634A" w:rsidRDefault="00F76D44">
      <w:pPr>
        <w:pStyle w:val="PPOBlackBULLETS-L1"/>
        <w:rPr>
          <w:noProof/>
        </w:rPr>
      </w:pPr>
      <w:r>
        <w:rPr>
          <w:noProof/>
        </w:rPr>
        <w:t>The financial progress of proj</w:t>
      </w:r>
      <w:r>
        <w:rPr>
          <w:noProof/>
        </w:rPr>
        <w:t>ects aiming at ensuring sustainable and efficient transport systems (including decarbonisation) is estimated to have been 44% by the end of 2019. Changes to the initial implementation plans have occurred for 55 projects. A total of 43 projects have been ex</w:t>
      </w:r>
      <w:r>
        <w:rPr>
          <w:noProof/>
        </w:rPr>
        <w:t>tended (on average for 13</w:t>
      </w:r>
      <w:r>
        <w:rPr>
          <w:rFonts w:ascii="Calibri" w:hAnsi="Calibri" w:cs="Calibri"/>
          <w:noProof/>
        </w:rPr>
        <w:t> </w:t>
      </w:r>
      <w:r>
        <w:rPr>
          <w:noProof/>
        </w:rPr>
        <w:t>months), and funding was reduced for 10 projects. As a consequence, an overall available amount of EUR</w:t>
      </w:r>
      <w:r>
        <w:rPr>
          <w:rFonts w:ascii="Calibri" w:hAnsi="Calibri" w:cs="Calibri"/>
          <w:noProof/>
        </w:rPr>
        <w:t> </w:t>
      </w:r>
      <w:r>
        <w:rPr>
          <w:noProof/>
        </w:rPr>
        <w:t>54</w:t>
      </w:r>
      <w:r>
        <w:rPr>
          <w:rFonts w:ascii="Calibri" w:hAnsi="Calibri" w:cs="Calibri"/>
          <w:noProof/>
        </w:rPr>
        <w:t> </w:t>
      </w:r>
      <w:r>
        <w:rPr>
          <w:noProof/>
        </w:rPr>
        <w:t>million is being reinjected via new calls for proposals.</w:t>
      </w:r>
    </w:p>
    <w:p w:rsidR="0060634A" w:rsidRDefault="00F76D44">
      <w:pPr>
        <w:pStyle w:val="PPOBlackBULLETS-L1"/>
        <w:rPr>
          <w:noProof/>
        </w:rPr>
      </w:pPr>
      <w:r>
        <w:rPr>
          <w:noProof/>
        </w:rPr>
        <w:t>The financial progress of projects aiming at optimising the integra</w:t>
      </w:r>
      <w:r>
        <w:rPr>
          <w:noProof/>
        </w:rPr>
        <w:t>tion and interconnection of transport modes and enhancing the interoperability of transport services, while ensuring the accessibility of transport infrastructures, is estimated to have been 69% by the end of 2019. Changes to the initial implementation pla</w:t>
      </w:r>
      <w:r>
        <w:rPr>
          <w:noProof/>
        </w:rPr>
        <w:t>ns have occurred for a number of projects, with 123 formal amendments signed for 101 projects. A total of 75 projects have been extended (on average for 13</w:t>
      </w:r>
      <w:r>
        <w:rPr>
          <w:rFonts w:ascii="Calibri" w:hAnsi="Calibri" w:cs="Calibri"/>
          <w:noProof/>
        </w:rPr>
        <w:t> </w:t>
      </w:r>
      <w:r>
        <w:rPr>
          <w:noProof/>
        </w:rPr>
        <w:t>months), and funding was reduced for 30 projects. As a consequence, an overall available amount of E</w:t>
      </w:r>
      <w:r>
        <w:rPr>
          <w:noProof/>
        </w:rPr>
        <w:t>UR</w:t>
      </w:r>
      <w:r>
        <w:rPr>
          <w:rFonts w:ascii="Calibri" w:hAnsi="Calibri" w:cs="Calibri"/>
          <w:noProof/>
        </w:rPr>
        <w:t> </w:t>
      </w:r>
      <w:r>
        <w:rPr>
          <w:noProof/>
        </w:rPr>
        <w:t>175</w:t>
      </w:r>
      <w:r>
        <w:rPr>
          <w:rFonts w:ascii="Calibri" w:hAnsi="Calibri" w:cs="Calibri"/>
          <w:noProof/>
        </w:rPr>
        <w:t> </w:t>
      </w:r>
      <w:r>
        <w:rPr>
          <w:noProof/>
        </w:rPr>
        <w:t>million is being reinjected via new calls for proposals.</w:t>
      </w:r>
    </w:p>
    <w:p w:rsidR="0060634A" w:rsidRDefault="00F76D44">
      <w:pPr>
        <w:pStyle w:val="PPOTitle4-BlackBold9pt"/>
        <w:rPr>
          <w:rFonts w:eastAsiaTheme="minorEastAsia"/>
        </w:rPr>
      </w:pPr>
      <w:r>
        <w:rPr>
          <w:rFonts w:eastAsiaTheme="minorEastAsia"/>
        </w:rPr>
        <w:t>CEF Energy.</w:t>
      </w:r>
    </w:p>
    <w:p w:rsidR="0060634A" w:rsidRDefault="00F76D44">
      <w:pPr>
        <w:pStyle w:val="PPOBlackBULLETS-L1"/>
        <w:rPr>
          <w:noProof/>
        </w:rPr>
      </w:pPr>
      <w:r>
        <w:rPr>
          <w:noProof/>
        </w:rPr>
        <w:t>By the end of 2019 nearly 40 projects of common interest had been implemented. In the 2014-2019 period CEF Energy made available a total amount of EUR</w:t>
      </w:r>
      <w:r>
        <w:rPr>
          <w:rFonts w:ascii="Calibri" w:hAnsi="Calibri" w:cs="Calibri"/>
          <w:noProof/>
        </w:rPr>
        <w:t> </w:t>
      </w:r>
      <w:r>
        <w:rPr>
          <w:noProof/>
        </w:rPr>
        <w:t>3.8</w:t>
      </w:r>
      <w:r>
        <w:rPr>
          <w:rFonts w:ascii="Calibri" w:hAnsi="Calibri" w:cs="Calibri"/>
          <w:noProof/>
        </w:rPr>
        <w:t> </w:t>
      </w:r>
      <w:r>
        <w:rPr>
          <w:noProof/>
        </w:rPr>
        <w:t>billion in co-funding all</w:t>
      </w:r>
      <w:r>
        <w:rPr>
          <w:noProof/>
        </w:rPr>
        <w:t>ocated to 139 actions contributing to 95 projects of common interest. At the end of 2019, 76 actions were ongoing amounting to EUR</w:t>
      </w:r>
      <w:r>
        <w:rPr>
          <w:rFonts w:ascii="Calibri" w:hAnsi="Calibri" w:cs="Calibri"/>
          <w:noProof/>
        </w:rPr>
        <w:t> </w:t>
      </w:r>
      <w:r>
        <w:rPr>
          <w:noProof/>
        </w:rPr>
        <w:t>3.57</w:t>
      </w:r>
      <w:r>
        <w:rPr>
          <w:rFonts w:ascii="Calibri" w:hAnsi="Calibri" w:cs="Calibri"/>
          <w:noProof/>
        </w:rPr>
        <w:t> </w:t>
      </w:r>
      <w:r>
        <w:rPr>
          <w:noProof/>
        </w:rPr>
        <w:t>billion in EU support distributed to projects of common interest linking the energy systems across the Member States and</w:t>
      </w:r>
      <w:r>
        <w:rPr>
          <w:noProof/>
        </w:rPr>
        <w:t xml:space="preserve"> helping the EU achieve its energy policy and climate objectives. Nineteen actions contributing to the implementation of projects of common interest. Also in 2019, a total of EUR</w:t>
      </w:r>
      <w:r>
        <w:rPr>
          <w:rFonts w:ascii="Calibri" w:hAnsi="Calibri" w:cs="Calibri"/>
          <w:noProof/>
        </w:rPr>
        <w:t> </w:t>
      </w:r>
      <w:r>
        <w:rPr>
          <w:noProof/>
        </w:rPr>
        <w:t>556</w:t>
      </w:r>
      <w:r>
        <w:rPr>
          <w:rFonts w:ascii="Calibri" w:hAnsi="Calibri" w:cs="Calibri"/>
          <w:noProof/>
        </w:rPr>
        <w:t> </w:t>
      </w:r>
      <w:r>
        <w:rPr>
          <w:noProof/>
        </w:rPr>
        <w:t>million in CEF grants was allocated to eight projects of common interest.</w:t>
      </w:r>
      <w:r>
        <w:rPr>
          <w:noProof/>
        </w:rPr>
        <w:t xml:space="preserve"> Of these grants, six were for projects in the electricity sector and two for projects in the gas sector. Six of the projects related to studies and two to construction works.</w:t>
      </w:r>
    </w:p>
    <w:p w:rsidR="0060634A" w:rsidRDefault="00F76D44">
      <w:pPr>
        <w:pStyle w:val="PPOTitle4-BlackBold9pt"/>
        <w:rPr>
          <w:rFonts w:eastAsiaTheme="minorEastAsia"/>
        </w:rPr>
      </w:pPr>
      <w:r>
        <w:rPr>
          <w:rFonts w:eastAsiaTheme="minorEastAsia"/>
        </w:rPr>
        <w:t>CEF Telecom.</w:t>
      </w:r>
    </w:p>
    <w:p w:rsidR="0060634A" w:rsidRDefault="00F76D44">
      <w:pPr>
        <w:pStyle w:val="PPOBlackBULLETS-L1"/>
        <w:rPr>
          <w:noProof/>
        </w:rPr>
      </w:pPr>
      <w:r>
        <w:rPr>
          <w:noProof/>
        </w:rPr>
        <w:t>With an overall investment of almost EUR</w:t>
      </w:r>
      <w:r>
        <w:rPr>
          <w:rFonts w:ascii="Calibri" w:hAnsi="Calibri" w:cs="Calibri"/>
          <w:noProof/>
        </w:rPr>
        <w:t> </w:t>
      </w:r>
      <w:r>
        <w:rPr>
          <w:noProof/>
        </w:rPr>
        <w:t>200 million in the core se</w:t>
      </w:r>
      <w:r>
        <w:rPr>
          <w:noProof/>
        </w:rPr>
        <w:t xml:space="preserve">rvice platforms, the Commission is enabling the EU-wide interoperability of specific digital services such as eHealth, Public Open Data, eID and Cybersecurity. The uptake of these services with CEF support reached a portfolio of 500 projects in the Member </w:t>
      </w:r>
      <w:r>
        <w:rPr>
          <w:noProof/>
        </w:rPr>
        <w:t>States and participating countries in the European Economic Area by the end of 2019, most of which are still being implemented. With an EU contribution of almost EUR</w:t>
      </w:r>
      <w:r>
        <w:rPr>
          <w:rFonts w:ascii="Calibri" w:hAnsi="Calibri" w:cs="Calibri"/>
          <w:noProof/>
        </w:rPr>
        <w:t> </w:t>
      </w:r>
      <w:r>
        <w:rPr>
          <w:noProof/>
        </w:rPr>
        <w:t>300</w:t>
      </w:r>
      <w:r>
        <w:rPr>
          <w:rFonts w:ascii="Calibri" w:hAnsi="Calibri" w:cs="Calibri"/>
          <w:noProof/>
        </w:rPr>
        <w:t> </w:t>
      </w:r>
      <w:r>
        <w:rPr>
          <w:noProof/>
        </w:rPr>
        <w:t>million in generic services and an overall leveraged amount of more than EUR</w:t>
      </w:r>
      <w:r>
        <w:rPr>
          <w:rFonts w:ascii="Calibri" w:hAnsi="Calibri" w:cs="Calibri"/>
          <w:noProof/>
        </w:rPr>
        <w:t> </w:t>
      </w:r>
      <w:r>
        <w:rPr>
          <w:noProof/>
        </w:rPr>
        <w:t>400</w:t>
      </w:r>
      <w:r>
        <w:rPr>
          <w:rFonts w:ascii="Calibri" w:hAnsi="Calibri" w:cs="Calibri"/>
          <w:noProof/>
        </w:rPr>
        <w:t> </w:t>
      </w:r>
      <w:r>
        <w:rPr>
          <w:noProof/>
        </w:rPr>
        <w:t>milli</w:t>
      </w:r>
      <w:r>
        <w:rPr>
          <w:noProof/>
        </w:rPr>
        <w:t>on, CEF digital services support EU citizens, businesses and public administrations in interconnecting and adapting their systems to become interoperable across borders. As regards the connectivity actions, three calls for proposals were launched under the</w:t>
      </w:r>
      <w:r>
        <w:rPr>
          <w:noProof/>
        </w:rPr>
        <w:t xml:space="preserve"> WiFi4EU initiative to allocate 7</w:t>
      </w:r>
      <w:r>
        <w:rPr>
          <w:rFonts w:ascii="Calibri" w:hAnsi="Calibri" w:cs="Calibri"/>
          <w:noProof/>
        </w:rPr>
        <w:t> </w:t>
      </w:r>
      <w:r>
        <w:rPr>
          <w:noProof/>
        </w:rPr>
        <w:t>980 vouchers to municipalities (EUR</w:t>
      </w:r>
      <w:r>
        <w:rPr>
          <w:rFonts w:ascii="Calibri" w:hAnsi="Calibri" w:cs="Calibri"/>
          <w:noProof/>
        </w:rPr>
        <w:t> </w:t>
      </w:r>
      <w:r>
        <w:rPr>
          <w:noProof/>
        </w:rPr>
        <w:t>120</w:t>
      </w:r>
      <w:r>
        <w:rPr>
          <w:rFonts w:ascii="Calibri" w:hAnsi="Calibri" w:cs="Calibri"/>
          <w:noProof/>
        </w:rPr>
        <w:t> </w:t>
      </w:r>
      <w:r>
        <w:rPr>
          <w:noProof/>
        </w:rPr>
        <w:t>million).</w:t>
      </w:r>
    </w:p>
    <w:p w:rsidR="0060634A" w:rsidRDefault="00F76D44">
      <w:pPr>
        <w:pStyle w:val="PPOTitle4-BlackBold9pt"/>
        <w:rPr>
          <w:rFonts w:eastAsiaTheme="minorEastAsia"/>
        </w:rPr>
      </w:pPr>
      <w:r>
        <w:rPr>
          <w:rFonts w:eastAsiaTheme="minorEastAsia"/>
        </w:rPr>
        <w:t>CEF financial instruments.</w:t>
      </w:r>
    </w:p>
    <w:p w:rsidR="0060634A" w:rsidRDefault="00F76D44">
      <w:pPr>
        <w:pStyle w:val="PPOBlackBULLETS-L1"/>
        <w:rPr>
          <w:noProof/>
        </w:rPr>
      </w:pPr>
      <w:r>
        <w:rPr>
          <w:noProof/>
        </w:rPr>
        <w:t>A total of EUR</w:t>
      </w:r>
      <w:r>
        <w:rPr>
          <w:rFonts w:ascii="Calibri" w:hAnsi="Calibri" w:cs="Calibri"/>
          <w:noProof/>
        </w:rPr>
        <w:t> </w:t>
      </w:r>
      <w:r>
        <w:rPr>
          <w:noProof/>
        </w:rPr>
        <w:t>14.3</w:t>
      </w:r>
      <w:r>
        <w:rPr>
          <w:rFonts w:ascii="Calibri" w:hAnsi="Calibri" w:cs="Calibri"/>
          <w:noProof/>
        </w:rPr>
        <w:t> </w:t>
      </w:r>
      <w:r>
        <w:rPr>
          <w:noProof/>
        </w:rPr>
        <w:t>billion in investment has been raised by the instrument in the transport sector, including EUR</w:t>
      </w:r>
      <w:r>
        <w:rPr>
          <w:rFonts w:ascii="Calibri" w:hAnsi="Calibri" w:cs="Calibri"/>
          <w:noProof/>
        </w:rPr>
        <w:t> </w:t>
      </w:r>
      <w:r>
        <w:rPr>
          <w:noProof/>
        </w:rPr>
        <w:t>5.8</w:t>
      </w:r>
      <w:r>
        <w:rPr>
          <w:rFonts w:ascii="Calibri" w:hAnsi="Calibri" w:cs="Calibri"/>
          <w:noProof/>
        </w:rPr>
        <w:t> </w:t>
      </w:r>
      <w:r>
        <w:rPr>
          <w:noProof/>
        </w:rPr>
        <w:t>billion since 2014. In the</w:t>
      </w:r>
      <w:r>
        <w:rPr>
          <w:noProof/>
        </w:rPr>
        <w:t xml:space="preserve"> energy sector, no projects have yet been selected under the instrument. EUR</w:t>
      </w:r>
      <w:r>
        <w:rPr>
          <w:rFonts w:ascii="Calibri" w:hAnsi="Calibri" w:cs="Calibri"/>
          <w:noProof/>
        </w:rPr>
        <w:t> </w:t>
      </w:r>
      <w:r>
        <w:rPr>
          <w:noProof/>
        </w:rPr>
        <w:t>89</w:t>
      </w:r>
      <w:r>
        <w:rPr>
          <w:rFonts w:ascii="Calibri" w:hAnsi="Calibri" w:cs="Calibri"/>
          <w:noProof/>
        </w:rPr>
        <w:t> </w:t>
      </w:r>
      <w:r>
        <w:rPr>
          <w:noProof/>
        </w:rPr>
        <w:t>million is still available for energy projects currently under appraisal by the European Investment Bank. Suitable projects are still to be selected under the CEF debt instrume</w:t>
      </w:r>
      <w:r>
        <w:rPr>
          <w:noProof/>
        </w:rPr>
        <w:t>nt in the telecom sector. The Connecting Europe broadband fund (CEF equity instrument) was launched in 2018 and has so far raised EUR</w:t>
      </w:r>
      <w:r>
        <w:rPr>
          <w:rFonts w:ascii="Calibri" w:hAnsi="Calibri" w:cs="Calibri"/>
          <w:noProof/>
        </w:rPr>
        <w:t> </w:t>
      </w:r>
      <w:r>
        <w:rPr>
          <w:noProof/>
        </w:rPr>
        <w:t>420</w:t>
      </w:r>
      <w:r>
        <w:rPr>
          <w:rFonts w:ascii="Calibri" w:hAnsi="Calibri" w:cs="Calibri"/>
          <w:noProof/>
        </w:rPr>
        <w:t> </w:t>
      </w:r>
      <w:r>
        <w:rPr>
          <w:noProof/>
        </w:rPr>
        <w:t>million. The three first projects were selected in 2019.</w:t>
      </w:r>
    </w:p>
    <w:p w:rsidR="0060634A" w:rsidRDefault="0060634A">
      <w:pPr>
        <w:rPr>
          <w:noProof/>
        </w:rPr>
      </w:pPr>
    </w:p>
    <w:p w:rsidR="0060634A" w:rsidRDefault="0060634A">
      <w:pPr>
        <w:pStyle w:val="PPOTitle3-nospacebefore"/>
        <w:rPr>
          <w:rFonts w:eastAsiaTheme="minorEastAsia"/>
        </w:rPr>
      </w:pPr>
    </w:p>
    <w:p w:rsidR="0060634A" w:rsidRDefault="00F76D44">
      <w:pPr>
        <w:pStyle w:val="PPOTitle3-nospacebefore"/>
        <w:rPr>
          <w:rFonts w:eastAsiaTheme="minorEastAsia"/>
        </w:rPr>
      </w:pPr>
      <w:r>
        <w:rPr>
          <w:rFonts w:eastAsiaTheme="minorEastAsia"/>
        </w:rPr>
        <w:t>Performance assessment</w:t>
      </w:r>
    </w:p>
    <w:p w:rsidR="0060634A" w:rsidRDefault="00F76D44">
      <w:pPr>
        <w:pStyle w:val="PPOBlackBULLETS-L1"/>
        <w:rPr>
          <w:noProof/>
        </w:rPr>
      </w:pPr>
      <w:r>
        <w:rPr>
          <w:noProof/>
        </w:rPr>
        <w:t xml:space="preserve">CEF Transport and CEF Energy are </w:t>
      </w:r>
      <w:r>
        <w:rPr>
          <w:noProof/>
        </w:rPr>
        <w:t>characterised by long implementation times for grants for construction works related to large and technically complex infrastructure projects. In addition, delays may occur for various reasons, including securing sufficient co-funding (national or other so</w:t>
      </w:r>
      <w:r>
        <w:rPr>
          <w:noProof/>
        </w:rPr>
        <w:t>urces); public procurement issues, such as complaints and appeals during tender procedures; and legal and environmental issues, for instance permitting, spatial planning, other authorisations and land acquisition. In this context, the majority of CEF proje</w:t>
      </w:r>
      <w:r>
        <w:rPr>
          <w:noProof/>
        </w:rPr>
        <w:t>cts will be completed between 2021 and 2023 and their results (outputs) will be displayed beyond the end of the current programming period.</w:t>
      </w:r>
    </w:p>
    <w:p w:rsidR="0060634A" w:rsidRDefault="00F76D44">
      <w:pPr>
        <w:pStyle w:val="PPOBlackBULLETS-L1"/>
        <w:rPr>
          <w:noProof/>
        </w:rPr>
      </w:pPr>
      <w:r>
        <w:rPr>
          <w:noProof/>
        </w:rPr>
        <w:t>As regards the assessment of results, CEF actions are considered closed, and are therefore reported on, only once th</w:t>
      </w:r>
      <w:r>
        <w:rPr>
          <w:noProof/>
        </w:rPr>
        <w:t xml:space="preserve">e final report from the beneficiary has been received and assessed, the outputs verified and the final payment processed. Consequently, during the action-implementation period, the results achieved are not measured. The average period between the end date </w:t>
      </w:r>
      <w:r>
        <w:rPr>
          <w:noProof/>
        </w:rPr>
        <w:t>of the project and its closure is around 15</w:t>
      </w:r>
      <w:r>
        <w:rPr>
          <w:rFonts w:ascii="Calibri" w:hAnsi="Calibri" w:cs="Calibri"/>
          <w:noProof/>
        </w:rPr>
        <w:t> </w:t>
      </w:r>
      <w:r>
        <w:rPr>
          <w:noProof/>
        </w:rPr>
        <w:t>months, as project promoters have 12</w:t>
      </w:r>
      <w:r>
        <w:rPr>
          <w:rFonts w:ascii="Calibri" w:hAnsi="Calibri" w:cs="Calibri"/>
          <w:noProof/>
        </w:rPr>
        <w:t> </w:t>
      </w:r>
      <w:r>
        <w:rPr>
          <w:noProof/>
        </w:rPr>
        <w:t>months to prepare and submit the final report. The final payment must occur in principle within 90</w:t>
      </w:r>
      <w:r>
        <w:rPr>
          <w:rFonts w:ascii="Calibri" w:hAnsi="Calibri" w:cs="Calibri"/>
          <w:noProof/>
        </w:rPr>
        <w:t> </w:t>
      </w:r>
      <w:r>
        <w:rPr>
          <w:noProof/>
        </w:rPr>
        <w:t>days of the receipt of the payment request. The estimated values in the ‘Key</w:t>
      </w:r>
      <w:r>
        <w:rPr>
          <w:noProof/>
        </w:rPr>
        <w:t xml:space="preserve"> performance indicators’ table reflect this gap between the end date of the project and the date of final payment.</w:t>
      </w:r>
    </w:p>
    <w:p w:rsidR="0060634A" w:rsidRDefault="00F76D44">
      <w:pPr>
        <w:pStyle w:val="PPOBlackBULLETS-L1"/>
        <w:rPr>
          <w:noProof/>
        </w:rPr>
      </w:pPr>
      <w:r>
        <w:rPr>
          <w:noProof/>
        </w:rPr>
        <w:t>The targets presented in the ‘Key performance indicators’ graph are based on contracts signed: they represent the aggregation of contractuall</w:t>
      </w:r>
      <w:r>
        <w:rPr>
          <w:noProof/>
        </w:rPr>
        <w:t>y agreed targets for each project, rather than the overarching goals defined at the beginning of the programme. Accordingly, these targets are reviewed every year to integrate newly signed projects and changes occurred to ongoing projects as assessed by th</w:t>
      </w:r>
      <w:r>
        <w:rPr>
          <w:noProof/>
        </w:rPr>
        <w:t>e Innovation and Networks Executive Agency.</w:t>
      </w:r>
    </w:p>
    <w:p w:rsidR="0060634A" w:rsidRDefault="00F76D44">
      <w:pPr>
        <w:pStyle w:val="PPOBlackBULLETS-L1"/>
        <w:rPr>
          <w:noProof/>
        </w:rPr>
      </w:pPr>
      <w:r>
        <w:rPr>
          <w:noProof/>
        </w:rPr>
        <w:t>In this context, through the Innovation and Networks Executive Agency, the Commission closely monitors the progress on the ground. In particular, the agency assesses reports, performs on-site visits and follows u</w:t>
      </w:r>
      <w:r>
        <w:rPr>
          <w:noProof/>
        </w:rPr>
        <w:t xml:space="preserve">p with CEF beneficiaries on the possible delays experienced. It provides a thorough assessment and identifies actions for which amendments are needed (the use-it-or-lose-it principle, as explained in the ‘Where are we in the implementation?’ section). </w:t>
      </w:r>
    </w:p>
    <w:p w:rsidR="0060634A" w:rsidRDefault="00F76D44">
      <w:pPr>
        <w:pStyle w:val="PPOBlackBULLETS-L1"/>
        <w:rPr>
          <w:noProof/>
        </w:rPr>
      </w:pPr>
      <w:r>
        <w:rPr>
          <w:noProof/>
        </w:rPr>
        <w:t>The</w:t>
      </w:r>
      <w:r>
        <w:rPr>
          <w:noProof/>
        </w:rPr>
        <w:t xml:space="preserve"> implementation of CEF Transport shows that CEF actions contribute to the overall EU policy goals supporting the completion of a high-performance and sustainable trans-European transport network with the aim of accomplishing the internal market, stimulatin</w:t>
      </w:r>
      <w:r>
        <w:rPr>
          <w:noProof/>
        </w:rPr>
        <w:t>g job creation and allowing the seamless mobility of passengers and freight around the EU. The CEF Transport strand strongly contributes to the overall objectives of the trans-European transport network policy, co-funding projects along the core and compre</w:t>
      </w:r>
      <w:r>
        <w:rPr>
          <w:noProof/>
        </w:rPr>
        <w:t>hensive transport networks through important investments tackling key missing links and bottlenecks and with a specific focus on the nine core network corridors. Within this framework, the programme concentrates its efforts on projects aiming at ensuring a</w:t>
      </w:r>
      <w:r>
        <w:rPr>
          <w:noProof/>
        </w:rPr>
        <w:t xml:space="preserve"> decarbonised and digitalised transport sector in the EU.</w:t>
      </w:r>
    </w:p>
    <w:p w:rsidR="0060634A" w:rsidRDefault="00F76D44">
      <w:pPr>
        <w:pStyle w:val="PPOBlackBULLETS-L1"/>
        <w:rPr>
          <w:noProof/>
        </w:rPr>
      </w:pPr>
      <w:r>
        <w:rPr>
          <w:noProof/>
        </w:rPr>
        <w:t>Moreover, important progress has been made in identifying new financing opportunities for transport infrastructure projects. Thanks to the new provisions of the financial regulation, as revised in 2</w:t>
      </w:r>
      <w:r>
        <w:rPr>
          <w:noProof/>
        </w:rPr>
        <w:t>018, and the good results achieved by the 2017 CEF Transport blending call in the course of 2019, the Commission launched the CEF Transport blending facility. The facility represented a new opportunity to boost the participation of private-sector investors</w:t>
      </w:r>
      <w:r>
        <w:rPr>
          <w:noProof/>
        </w:rPr>
        <w:t xml:space="preserve"> and financial institutions in projects contributing to the environmental sustainability and efficiency of the transport sector in the EU. The facility remains open for applications over a longer period of time than classical calls for proposals, which all</w:t>
      </w:r>
      <w:r>
        <w:rPr>
          <w:noProof/>
        </w:rPr>
        <w:t>ows for better predictability and mature projects. This increases the possibility of attracting co-financing from financial institutions and ensuring that projects are implemented within the planned time frame and budget. Since its launch in mid November 2</w:t>
      </w:r>
      <w:r>
        <w:rPr>
          <w:noProof/>
        </w:rPr>
        <w:t>019, nine public financial institutions have already joined the facility, nearly half of which are from cohesion countries or specialise in those countries. This gives the facility broader geographic coverage, allowing more projects to be signed.</w:t>
      </w:r>
    </w:p>
    <w:p w:rsidR="0060634A" w:rsidRDefault="00F76D44">
      <w:pPr>
        <w:pStyle w:val="PPOBlackBULLETS-L1"/>
        <w:rPr>
          <w:noProof/>
        </w:rPr>
      </w:pPr>
      <w:r>
        <w:rPr>
          <w:noProof/>
        </w:rPr>
        <w:t>It should</w:t>
      </w:r>
      <w:r>
        <w:rPr>
          <w:noProof/>
        </w:rPr>
        <w:t xml:space="preserve"> also be noted that in order to reach critical mass in the intended investment, finance bigger projects and exploit the economies of scale, the financial instruments under CEF Transport were transferred to the European Fund for Strategic Investments as fro</w:t>
      </w:r>
      <w:r>
        <w:rPr>
          <w:noProof/>
        </w:rPr>
        <w:t>m 2015.</w:t>
      </w:r>
    </w:p>
    <w:p w:rsidR="0060634A" w:rsidRDefault="00F76D44">
      <w:pPr>
        <w:pStyle w:val="PPOBlackBULLETS-L1"/>
        <w:rPr>
          <w:noProof/>
        </w:rPr>
      </w:pPr>
      <w:r>
        <w:rPr>
          <w:noProof/>
        </w:rPr>
        <w:t>CEF Energy financially supports the realisation of projects of common interest that have a significant impact on energy markets and market integration (covering at least two Member States) and contribute to the EU’s energy security. CEF Energy prov</w:t>
      </w:r>
      <w:r>
        <w:rPr>
          <w:noProof/>
        </w:rPr>
        <w:t>ides financial assistance to a number of energy infrastructure projects that aim at diversifying sources</w:t>
      </w:r>
      <w:r>
        <w:rPr>
          <w:rFonts w:ascii="Calibri" w:hAnsi="Calibri" w:cs="Calibri"/>
          <w:noProof/>
        </w:rPr>
        <w:t> </w:t>
      </w:r>
      <w:r>
        <w:rPr>
          <w:noProof/>
        </w:rPr>
        <w:t>– increasing competition in energy markets by offering alternatives to consumers</w:t>
      </w:r>
      <w:r>
        <w:rPr>
          <w:rFonts w:ascii="Calibri" w:hAnsi="Calibri" w:cs="Calibri"/>
          <w:noProof/>
        </w:rPr>
        <w:t> </w:t>
      </w:r>
      <w:r>
        <w:rPr>
          <w:noProof/>
        </w:rPr>
        <w:t xml:space="preserve">– and that are critical to delivering the European Green Deal and the </w:t>
      </w:r>
      <w:r>
        <w:rPr>
          <w:noProof/>
        </w:rPr>
        <w:t xml:space="preserve">climate-neutrality objective. It is a strong catalyst for bringing together project promoters, national regulatory authorities and government representatives to ensure that cross-border infrastructure projects can be realised. Its grant component promotes </w:t>
      </w:r>
      <w:r>
        <w:rPr>
          <w:noProof/>
        </w:rPr>
        <w:t>cooperation between Member States to develop and implement energy interconnection projects that otherwise would not happen. This is especially the case for cross-border projects located in Member States with smaller population sizes or in a more remote loc</w:t>
      </w:r>
      <w:r>
        <w:rPr>
          <w:noProof/>
        </w:rPr>
        <w:t>ations, where energy tariffs would need to be increased substantially to cover the investment needs. The Celtic Electricity Interconnector between Ireland and France is one of the examples of a project that could not have been funded in a purely national c</w:t>
      </w:r>
      <w:r>
        <w:rPr>
          <w:noProof/>
        </w:rPr>
        <w:t>ontext and that enables the integration of additional renewable electricity.</w:t>
      </w:r>
    </w:p>
    <w:p w:rsidR="0060634A" w:rsidRDefault="00F76D44">
      <w:pPr>
        <w:pStyle w:val="PPOBlackBULLETS-L1"/>
        <w:rPr>
          <w:noProof/>
        </w:rPr>
      </w:pPr>
      <w:r>
        <w:rPr>
          <w:noProof/>
        </w:rPr>
        <w:t>CEF Telecom supports the deployment of cross-border interoperable digital service infrastructures. In this context, CEF Telecom is proving its added value by supporting Member Sta</w:t>
      </w:r>
      <w:r>
        <w:rPr>
          <w:noProof/>
        </w:rPr>
        <w:t>tes, and in particular public administrations, to become interoperable in various areas such as health, justice, social security information, e</w:t>
      </w:r>
      <w:r>
        <w:rPr>
          <w:noProof/>
        </w:rPr>
        <w:noBreakHyphen/>
        <w:t>government, disinformation, digital skills and cybersecurity. The investment is two-sided: (1) ‘core service pla</w:t>
      </w:r>
      <w:r>
        <w:rPr>
          <w:noProof/>
        </w:rPr>
        <w:t>tforms’ are the central hubs that provide, for each digital service, trans-European interconnections (e.g. the Business Register Interconnection System), access (e.g. Cybersecurity) and interoperability (e.g. eID); (2) by means of grants, ‘generic services</w:t>
      </w:r>
      <w:r>
        <w:rPr>
          <w:noProof/>
        </w:rPr>
        <w:t xml:space="preserve">’ refer to the Member States’ projects themselves, linking the nationally developed solutions to the core service platform. Together, they ensure the availability of interoperable solutions and contribute to reaching a sufficient number of participants in </w:t>
      </w:r>
      <w:r>
        <w:rPr>
          <w:noProof/>
        </w:rPr>
        <w:t>the Member States to ensure their actual use (‘critical mass’). The benefits of this approach are already being felt on the ground: the Member States are experiencing the added value of co-investing in interoperability solutions thanks to the EU’s support,</w:t>
      </w:r>
      <w:r>
        <w:rPr>
          <w:noProof/>
        </w:rPr>
        <w:t xml:space="preserve"> and are starting to further invest in their deployment even without a CEF grant. The programme addresses a clear gap by enabling cross-border interoperability, and as such it is an enabler of the digital single market. That is why it is proposed that the </w:t>
      </w:r>
      <w:r>
        <w:rPr>
          <w:noProof/>
        </w:rPr>
        <w:t>sustainability of some of these solutions is retained in the next multiannual financial framework, as part of the new Digital Europe Programme. Also, as part of the WiFi4EU initiative, CEF Telecom supports the installation of free networks in 7 980 local c</w:t>
      </w:r>
      <w:r>
        <w:rPr>
          <w:noProof/>
        </w:rPr>
        <w:t>ommunities in the EU to ensure free Wi-Fi connectivity. This local connectivity approach, focused on providing access rather than building bandwidth, has demonstrated itself to be a good complement to fibre technology, which is usually financed by European</w:t>
      </w:r>
      <w:r>
        <w:rPr>
          <w:noProof/>
        </w:rPr>
        <w:t xml:space="preserve"> Structural Funds or financial instruments. It has also enabled the creation of about 30</w:t>
      </w:r>
      <w:r>
        <w:rPr>
          <w:rFonts w:ascii="Calibri" w:hAnsi="Calibri" w:cs="Calibri"/>
          <w:noProof/>
        </w:rPr>
        <w:t> </w:t>
      </w:r>
      <w:r>
        <w:rPr>
          <w:noProof/>
        </w:rPr>
        <w:t xml:space="preserve">000 European networks of local communities dedicated to connectivity issues, on which other connectivity projects, based for instance on 5G, will build on in the next </w:t>
      </w:r>
      <w:r>
        <w:rPr>
          <w:noProof/>
        </w:rPr>
        <w:t>programming period.</w:t>
      </w:r>
    </w:p>
    <w:p w:rsidR="0060634A" w:rsidRDefault="00F76D44">
      <w:pPr>
        <w:pStyle w:val="PPOBlackBULLETS-L1"/>
        <w:rPr>
          <w:noProof/>
        </w:rPr>
      </w:pPr>
      <w:r>
        <w:rPr>
          <w:noProof/>
        </w:rPr>
        <w:t>It has also enabled the creation of a European network of local communities dedicated to connectivity issues, on which other connectivity projects, based for instance on 5G, will build in the next programming period.</w:t>
      </w:r>
    </w:p>
    <w:p w:rsidR="0060634A" w:rsidRDefault="00F76D44">
      <w:pPr>
        <w:pStyle w:val="PPOBlackBULLETS-L1"/>
        <w:rPr>
          <w:noProof/>
        </w:rPr>
      </w:pPr>
      <w:r>
        <w:rPr>
          <w:noProof/>
        </w:rPr>
        <w:t>Throughout the curr</w:t>
      </w:r>
      <w:r>
        <w:rPr>
          <w:noProof/>
        </w:rPr>
        <w:t>ent programming period, the Commission has continued to work on the improvement of the programme’s performance. In particular, following the midterm evaluation of the CEF and in line with the recommendations of the European Court of Auditors’ reports, some</w:t>
      </w:r>
      <w:r>
        <w:rPr>
          <w:noProof/>
        </w:rPr>
        <w:t xml:space="preserve"> areas for improvement were identified. Notably, due to differences in the sectoral legal frameworks, the programme faced limitations in achieving cross-sectoral synergies. In addition, as a follow-up to the finding that the programme would benefit from mo</w:t>
      </w:r>
      <w:r>
        <w:rPr>
          <w:noProof/>
        </w:rPr>
        <w:t>re transparency and predictability, the draft CEF 2021-2027 legal basis includes the possibility to adopt joint work programmes covering specific priorities from several sectors, and the removal of obstacles that have hampered synergies in the current peri</w:t>
      </w:r>
      <w:r>
        <w:rPr>
          <w:noProof/>
        </w:rPr>
        <w:t xml:space="preserve">od. It would also be possible to include in sector-specific funding synergetic elements pertaining to another sector. Moreover, with a view to increasing transparency and predictability, limiting the procedures and ensuring overall consistency, the common </w:t>
      </w:r>
      <w:r>
        <w:rPr>
          <w:noProof/>
        </w:rPr>
        <w:t>understanding reached on the draft CEF regulation in March 2019 also contains the requirement to adopt multiannual work programmes that include the timetable of the calls for proposals for the first 3</w:t>
      </w:r>
      <w:r>
        <w:rPr>
          <w:rFonts w:ascii="Calibri" w:hAnsi="Calibri" w:cs="Calibri"/>
          <w:noProof/>
        </w:rPr>
        <w:t> </w:t>
      </w:r>
      <w:r>
        <w:rPr>
          <w:noProof/>
        </w:rPr>
        <w:t>years of the programme, their topics and their indicati</w:t>
      </w:r>
      <w:r>
        <w:rPr>
          <w:noProof/>
        </w:rPr>
        <w:t>ve budget, along with a prospective framework covering the entire programming period.</w:t>
      </w:r>
    </w:p>
    <w:p w:rsidR="0060634A" w:rsidRDefault="00F76D44">
      <w:pPr>
        <w:pStyle w:val="PPOTitle3-pagebreakbefore"/>
        <w:rPr>
          <w:rFonts w:eastAsiaTheme="minorEastAsia"/>
        </w:rPr>
      </w:pPr>
      <w:r>
        <w:rPr>
          <w:rFonts w:eastAsiaTheme="minorEastAsia"/>
        </w:rPr>
        <w:t>Concrete examples of achievements</w:t>
      </w:r>
    </w:p>
    <w:p w:rsidR="0060634A" w:rsidRDefault="00F76D44">
      <w:pPr>
        <w:pStyle w:val="PPOBlackBULLETS-L1"/>
        <w:rPr>
          <w:noProof/>
        </w:rPr>
      </w:pPr>
      <w:r>
        <w:rPr>
          <w:b/>
          <w:noProof/>
        </w:rPr>
        <w:t>Railway.</w:t>
      </w:r>
      <w:r>
        <w:rPr>
          <w:noProof/>
        </w:rPr>
        <w:t xml:space="preserve"> The ‘Knappenrode–Horka–German/Polish border section: upgrade, electrification and European Train Control System planning’ CEF a</w:t>
      </w:r>
      <w:r>
        <w:rPr>
          <w:noProof/>
        </w:rPr>
        <w:t>ction contributed to the double-track upgrade and the electrification of the railway line between Knappenrode and the German/Polish border, along the core trans-European transport network. The upgrade and electrification improved the rail freight transport</w:t>
      </w:r>
      <w:r>
        <w:rPr>
          <w:noProof/>
        </w:rPr>
        <w:t xml:space="preserve"> connection between the German/Polish border and central Germany (Magdeburg), and further to Bremen/Bremerhaven and other destinations. It also contributed to reducing CO</w:t>
      </w:r>
      <w:r>
        <w:rPr>
          <w:noProof/>
          <w:vertAlign w:val="subscript"/>
        </w:rPr>
        <w:t>2</w:t>
      </w:r>
      <w:r>
        <w:rPr>
          <w:noProof/>
        </w:rPr>
        <w:t xml:space="preserve"> emissions.</w:t>
      </w:r>
    </w:p>
    <w:p w:rsidR="0060634A" w:rsidRDefault="00F76D44">
      <w:pPr>
        <w:pStyle w:val="PPOBlackBULLETS-L1"/>
        <w:rPr>
          <w:noProof/>
        </w:rPr>
      </w:pPr>
      <w:r>
        <w:rPr>
          <w:b/>
          <w:noProof/>
        </w:rPr>
        <w:t>Inland Waterways.</w:t>
      </w:r>
      <w:r>
        <w:rPr>
          <w:noProof/>
        </w:rPr>
        <w:t xml:space="preserve"> The ‘Enhancing the efficiency of Hungarian river inform</w:t>
      </w:r>
      <w:r>
        <w:rPr>
          <w:noProof/>
        </w:rPr>
        <w:t>ation services operations’ CEF action contributed to the enhancement of the river information services system in order to support efficient and safe inland navigation on the Danube. The works carried out through the action enhanced traffic management servi</w:t>
      </w:r>
      <w:r>
        <w:rPr>
          <w:noProof/>
        </w:rPr>
        <w:t>ces, modernised on-shore river information services and improved the quality of fairway information services data.</w:t>
      </w:r>
    </w:p>
    <w:p w:rsidR="0060634A" w:rsidRDefault="00F76D44">
      <w:pPr>
        <w:pStyle w:val="PPOBlackBULLETS-L1"/>
        <w:rPr>
          <w:noProof/>
        </w:rPr>
      </w:pPr>
      <w:r>
        <w:rPr>
          <w:b/>
          <w:noProof/>
        </w:rPr>
        <w:t>Maritime.</w:t>
      </w:r>
      <w:r>
        <w:rPr>
          <w:noProof/>
        </w:rPr>
        <w:t xml:space="preserve"> The ‘Zero emission ferries</w:t>
      </w:r>
      <w:r>
        <w:rPr>
          <w:rFonts w:ascii="Calibri" w:hAnsi="Calibri" w:cs="Calibri"/>
          <w:noProof/>
        </w:rPr>
        <w:t> </w:t>
      </w:r>
      <w:r>
        <w:rPr>
          <w:noProof/>
        </w:rPr>
        <w:t>– a green link across the Oresund’ CEF action covered the introduction of new and innovative concepts an</w:t>
      </w:r>
      <w:r>
        <w:rPr>
          <w:noProof/>
        </w:rPr>
        <w:t>d technology by converting two existing complex passenger ships</w:t>
      </w:r>
      <w:r>
        <w:rPr>
          <w:rFonts w:ascii="Calibri" w:hAnsi="Calibri" w:cs="Calibri"/>
          <w:noProof/>
        </w:rPr>
        <w:t> </w:t>
      </w:r>
      <w:r>
        <w:rPr>
          <w:noProof/>
        </w:rPr>
        <w:t>– originally fuelled by heavy oil</w:t>
      </w:r>
      <w:r>
        <w:rPr>
          <w:rFonts w:ascii="Calibri" w:hAnsi="Calibri" w:cs="Calibri"/>
          <w:noProof/>
        </w:rPr>
        <w:t> </w:t>
      </w:r>
      <w:r>
        <w:rPr>
          <w:noProof/>
        </w:rPr>
        <w:t>– to plug-in all-electric-powered operations that exclusively use batteries. The action has brought a more environmentally friendly solution to a very busy ma</w:t>
      </w:r>
      <w:r>
        <w:rPr>
          <w:noProof/>
        </w:rPr>
        <w:t xml:space="preserve">ritime link, connecting the comprehensive trans-European transport network ports of Helsingör (Denmark) and Helsingborg (Sweden). Moreover, the power-provision and charging installations required in the ports/ferry terminals were put in place. The project </w:t>
      </w:r>
      <w:r>
        <w:rPr>
          <w:noProof/>
        </w:rPr>
        <w:t>supported the development of clean motorways of the sea by testing and deploying new technological solutions in real operational conditions.</w:t>
      </w:r>
    </w:p>
    <w:p w:rsidR="0060634A" w:rsidRDefault="00F76D44">
      <w:pPr>
        <w:pStyle w:val="PPOBlackBULLETS-L1"/>
        <w:rPr>
          <w:noProof/>
        </w:rPr>
      </w:pPr>
      <w:r>
        <w:rPr>
          <w:b/>
          <w:noProof/>
        </w:rPr>
        <w:t>Road.</w:t>
      </w:r>
      <w:r>
        <w:rPr>
          <w:noProof/>
        </w:rPr>
        <w:t xml:space="preserve"> The ‘Alternative fuels in Slovakia and Poland’ CEF action was implemented in the two Member States along the </w:t>
      </w:r>
      <w:r>
        <w:rPr>
          <w:noProof/>
        </w:rPr>
        <w:t>North Sea–Baltic, Baltic–Adriatic, Orient/East-Med and Rhine–Danube core network corridors. It concerned a study with an integrated pilot scheme for the deployment of 10 multi-standard fast-charging stations for electric vehicles in Slovakia and 75 in Pola</w:t>
      </w:r>
      <w:r>
        <w:rPr>
          <w:noProof/>
        </w:rPr>
        <w:t>nd, three of them including battery storage to cover peak demand. Overall, the action contributed to decarbonisation and to the rolling-out of alternative fuels in the EU.</w:t>
      </w:r>
    </w:p>
    <w:p w:rsidR="0060634A" w:rsidRDefault="00F76D44">
      <w:pPr>
        <w:pStyle w:val="PPOBlackBULLETS-L1"/>
        <w:rPr>
          <w:noProof/>
        </w:rPr>
      </w:pPr>
      <w:r>
        <w:rPr>
          <w:b/>
          <w:noProof/>
        </w:rPr>
        <w:t xml:space="preserve">Energy. </w:t>
      </w:r>
      <w:r>
        <w:rPr>
          <w:noProof/>
        </w:rPr>
        <w:t>In the energy sector, several projects of common interest supported by CEF g</w:t>
      </w:r>
      <w:r>
        <w:rPr>
          <w:noProof/>
        </w:rPr>
        <w:t>rants for works and studies were completed in 2019: the ‘Twinning of Scotland onshore system between Cluden and Brighouse Bay; the Balticonnector, aiming to interconnect the natural-gas-transmission networks between Estonia and Finland; the Internal electr</w:t>
      </w:r>
      <w:r>
        <w:rPr>
          <w:noProof/>
        </w:rPr>
        <w:t>icity line in Latvia, part of the increase in the electricity capacity of the Latvia–Sweden cluster; the construction of an electricity interconnector between France and the United Kingdom; and the Trans-Anatolian Pipeline in Turkey, which will connect Tur</w:t>
      </w:r>
      <w:r>
        <w:rPr>
          <w:noProof/>
        </w:rPr>
        <w:t xml:space="preserve">key to the EU in 2020 via the Trans Adriatic Pipeline. Significant progress in construction works has also been made, notably regarding the internal electricity lines in Bulgaria and Romania; the Poland–Slovakia gas interconnector, the completion of which </w:t>
      </w:r>
      <w:r>
        <w:rPr>
          <w:noProof/>
        </w:rPr>
        <w:t>will be a significant step towards enhancing the resilience and diversification of the EU’s gas supply; and the Trans Europa Naturgas Pipeline and its innovative deodorisation facility, removing odorants in gas which enters the pipeline and allowing the im</w:t>
      </w:r>
      <w:r>
        <w:rPr>
          <w:noProof/>
        </w:rPr>
        <w:t>port of gas from France via Switzerland into Germany.</w:t>
      </w:r>
    </w:p>
    <w:p w:rsidR="0060634A" w:rsidRDefault="00F76D44">
      <w:pPr>
        <w:pStyle w:val="PPOBlackBULLETS-L1"/>
        <w:rPr>
          <w:noProof/>
        </w:rPr>
      </w:pPr>
      <w:r>
        <w:rPr>
          <w:b/>
          <w:noProof/>
        </w:rPr>
        <w:t>Cybersecurity.</w:t>
      </w:r>
      <w:r>
        <w:rPr>
          <w:noProof/>
        </w:rPr>
        <w:t xml:space="preserve"> The cybersecurity digital service infrastructure contributes to EU preparedness to deal with cyberthreats by increasing the cybersecurity capabilities of key cybersecurity players. In thi</w:t>
      </w:r>
      <w:r>
        <w:rPr>
          <w:noProof/>
        </w:rPr>
        <w:t>s context, 57 cybersecurity projects are being deployed in 22 Member States. The CyberExchange project, for example, brings together 10 Member States and strengthens their know-how, capabilities and cross-border cooperation.</w:t>
      </w:r>
    </w:p>
    <w:p w:rsidR="0060634A" w:rsidRDefault="00F76D44">
      <w:pPr>
        <w:pStyle w:val="PPOBlackBULLETS-L1"/>
        <w:rPr>
          <w:noProof/>
        </w:rPr>
      </w:pPr>
      <w:r>
        <w:rPr>
          <w:b/>
          <w:noProof/>
        </w:rPr>
        <w:t>Health.</w:t>
      </w:r>
      <w:r>
        <w:rPr>
          <w:noProof/>
        </w:rPr>
        <w:t xml:space="preserve"> The eHealth digital ser</w:t>
      </w:r>
      <w:r>
        <w:rPr>
          <w:noProof/>
        </w:rPr>
        <w:t>vice infrastructure facilitates continuity of care and patient safety for citizens seeking cross-border healthcare, allowing health data to be exchanged across national borders. The cross-border ‘ePrescriptions/eDispensations’ service allows patients, whil</w:t>
      </w:r>
      <w:r>
        <w:rPr>
          <w:noProof/>
        </w:rPr>
        <w:t>e abroad, to receive the equivalent medication they would receive in their home country. The ‘patient summary’ services provide health professionals with access to the verified key health data of a patient needing unplanned cross-border healthcare.</w:t>
      </w:r>
    </w:p>
    <w:p w:rsidR="0060634A" w:rsidRDefault="00F76D44">
      <w:pPr>
        <w:pStyle w:val="PPOBlackBULLETS-L1"/>
        <w:rPr>
          <w:noProof/>
        </w:rPr>
      </w:pPr>
      <w:r>
        <w:rPr>
          <w:b/>
          <w:noProof/>
        </w:rPr>
        <w:t>WiFi4EU</w:t>
      </w:r>
      <w:r>
        <w:rPr>
          <w:b/>
          <w:noProof/>
        </w:rPr>
        <w:t>.</w:t>
      </w:r>
      <w:r>
        <w:rPr>
          <w:noProof/>
        </w:rPr>
        <w:t xml:space="preserve"> Some 8</w:t>
      </w:r>
      <w:r>
        <w:rPr>
          <w:rFonts w:ascii="Calibri" w:hAnsi="Calibri" w:cs="Calibri"/>
          <w:noProof/>
        </w:rPr>
        <w:t> </w:t>
      </w:r>
      <w:r>
        <w:rPr>
          <w:noProof/>
        </w:rPr>
        <w:t>000 municipalities started installing WiFi4EU networks in 2019. Wifi4EU encourages and supports local public authorities to offer free Wi-Fi connectivity by awarding each of them a voucher worth EUR</w:t>
      </w:r>
      <w:r>
        <w:rPr>
          <w:rFonts w:ascii="Calibri" w:hAnsi="Calibri" w:cs="Calibri"/>
          <w:noProof/>
        </w:rPr>
        <w:t> </w:t>
      </w:r>
      <w:r>
        <w:rPr>
          <w:noProof/>
        </w:rPr>
        <w:t>15</w:t>
      </w:r>
      <w:r>
        <w:rPr>
          <w:rFonts w:ascii="Calibri" w:hAnsi="Calibri" w:cs="Calibri"/>
          <w:noProof/>
        </w:rPr>
        <w:t> </w:t>
      </w:r>
      <w:r>
        <w:rPr>
          <w:noProof/>
        </w:rPr>
        <w:t>000 to install Wi-Fi networks. A third of all</w:t>
      </w:r>
      <w:r>
        <w:rPr>
          <w:noProof/>
        </w:rPr>
        <w:t xml:space="preserve"> municipalities in the EU (26</w:t>
      </w:r>
      <w:r>
        <w:rPr>
          <w:rFonts w:ascii="Calibri" w:hAnsi="Calibri" w:cs="Calibri"/>
          <w:noProof/>
        </w:rPr>
        <w:t> </w:t>
      </w:r>
      <w:r>
        <w:rPr>
          <w:noProof/>
        </w:rPr>
        <w:t>500 registrations) participated to the first three Wifi4EU calls.</w:t>
      </w:r>
    </w:p>
    <w:p w:rsidR="0060634A" w:rsidRDefault="0060634A">
      <w:pPr>
        <w:rPr>
          <w:noProof/>
        </w:rPr>
      </w:pPr>
    </w:p>
    <w:sectPr w:rsidR="0060634A">
      <w:headerReference w:type="even" r:id="rId492"/>
      <w:headerReference w:type="default" r:id="rId493"/>
      <w:footerReference w:type="even" r:id="rId494"/>
      <w:footerReference w:type="default" r:id="rId495"/>
      <w:headerReference w:type="first" r:id="rId496"/>
      <w:footerReference w:type="first" r:id="rId497"/>
      <w:pgSz w:w="11906" w:h="16838" w:code="9"/>
      <w:pgMar w:top="567" w:right="567" w:bottom="567" w:left="567" w:header="567" w:footer="454"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634A" w:rsidRDefault="00F76D44">
      <w:pPr>
        <w:spacing w:after="0" w:line="240" w:lineRule="auto"/>
      </w:pPr>
      <w:r>
        <w:separator/>
      </w:r>
    </w:p>
  </w:endnote>
  <w:endnote w:type="continuationSeparator" w:id="0">
    <w:p w:rsidR="0060634A" w:rsidRDefault="00F76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 Square Sans Pro">
    <w:panose1 w:val="020B0506040000020004"/>
    <w:charset w:val="00"/>
    <w:family w:val="swiss"/>
    <w:pitch w:val="variable"/>
    <w:sig w:usb0="A00002BF" w:usb1="5000E0FB" w:usb2="00000000" w:usb3="00000000" w:csb0="0000019F" w:csb1="00000000"/>
  </w:font>
  <w:font w:name="EC Square Sans Cond Pro">
    <w:panose1 w:val="020B0506040000020004"/>
    <w:charset w:val="00"/>
    <w:family w:val="swiss"/>
    <w:pitch w:val="variable"/>
    <w:sig w:usb0="A00002BF" w:usb1="500000DB" w:usb2="00000000" w:usb3="00000000" w:csb0="0000019F" w:csb1="00000000"/>
  </w:font>
  <w:font w:name="EC Square Sans Cond Pro Medium">
    <w:panose1 w:val="020B0606000000020004"/>
    <w:charset w:val="00"/>
    <w:family w:val="swiss"/>
    <w:pitch w:val="variable"/>
    <w:sig w:usb0="A00002BF" w:usb1="500000D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EC Square Sans Pro Light">
    <w:panose1 w:val="020B0506000000020004"/>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D44" w:rsidRPr="00F76D44" w:rsidRDefault="00F76D44" w:rsidP="00F76D4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AMPRFooter-Left"/>
    </w:pPr>
    <w:sdt>
      <w:sdtPr>
        <w:id w:val="-528498315"/>
        <w:docPartObj>
          <w:docPartGallery w:val="Page Numbers (Bottom of Page)"/>
          <w:docPartUnique/>
        </w:docPartObj>
      </w:sdtPr>
      <w:sdtEndPr/>
      <w:sdtContent>
        <w:r>
          <w:fldChar w:fldCharType="begin"/>
        </w:r>
        <w:r>
          <w:instrText xml:space="preserve"> PAGE   \* MERGEFORMAT </w:instrText>
        </w:r>
        <w:r>
          <w:fldChar w:fldCharType="separate"/>
        </w:r>
        <w:r>
          <w:t>80</w:t>
        </w:r>
        <w:r>
          <w:fldChar w:fldCharType="end"/>
        </w:r>
      </w:sdtContent>
    </w:sdt>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1659270194"/>
        <w:docPartObj>
          <w:docPartGallery w:val="Page Numbers (Bottom of Page)"/>
          <w:docPartUnique/>
        </w:docPartObj>
      </w:sdtPr>
      <w:sdtEndPr/>
      <w:sdtContent>
        <w:r>
          <w:fldChar w:fldCharType="begin"/>
        </w:r>
        <w:r>
          <w:instrText xml:space="preserve"> PAGE   \* MERGEFORMAT </w:instrText>
        </w:r>
        <w:r>
          <w:fldChar w:fldCharType="separate"/>
        </w:r>
        <w:r>
          <w:t>90</w:t>
        </w:r>
        <w:r>
          <w:fldChar w:fldCharType="end"/>
        </w:r>
      </w:sdtContent>
    </w:sdt>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113</w:t>
    </w:r>
    <w: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1247497140"/>
        <w:docPartObj>
          <w:docPartGallery w:val="Page Numbers (Bottom of Page)"/>
          <w:docPartUnique/>
        </w:docPartObj>
      </w:sdtPr>
      <w:sdtEndPr/>
      <w:sdtContent>
        <w:r>
          <w:fldChar w:fldCharType="begin"/>
        </w:r>
        <w:r>
          <w:instrText xml:space="preserve"> PAGE   \* MERGEFORMAT </w:instrText>
        </w:r>
        <w:r>
          <w:fldChar w:fldCharType="separate"/>
        </w:r>
        <w:r>
          <w:t>90</w:t>
        </w:r>
        <w:r>
          <w:fldChar w:fldCharType="end"/>
        </w:r>
      </w:sdtContent>
    </w:sdt>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114</w:t>
    </w:r>
    <w: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104965401"/>
        <w:docPartObj>
          <w:docPartGallery w:val="Page Numbers (Bottom of Page)"/>
          <w:docPartUnique/>
        </w:docPartObj>
      </w:sdtPr>
      <w:sdtEndPr/>
      <w:sdtContent>
        <w:r>
          <w:fldChar w:fldCharType="begin"/>
        </w:r>
        <w:r>
          <w:instrText xml:space="preserve"> PAGE   \* MERGEFORMAT </w:instrText>
        </w:r>
        <w:r>
          <w:fldChar w:fldCharType="separate"/>
        </w:r>
        <w:r>
          <w:t>90</w:t>
        </w:r>
        <w:r>
          <w:fldChar w:fldCharType="end"/>
        </w:r>
      </w:sdtContent>
    </w:sdt>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115</w:t>
    </w:r>
    <w: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2061353566"/>
        <w:docPartObj>
          <w:docPartGallery w:val="Page Numbers (Bottom of Page)"/>
          <w:docPartUnique/>
        </w:docPartObj>
      </w:sdtPr>
      <w:sdtEndPr/>
      <w:sdtContent>
        <w:r>
          <w:fldChar w:fldCharType="begin"/>
        </w:r>
        <w:r>
          <w:instrText xml:space="preserve"> PAGE   \* MERGEFORMAT </w:instrText>
        </w:r>
        <w:r>
          <w:fldChar w:fldCharType="separate"/>
        </w:r>
        <w:r>
          <w:t>90</w:t>
        </w:r>
        <w: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AMPRFooter-Right"/>
    </w:pPr>
    <w:r>
      <w:fldChar w:fldCharType="begin"/>
    </w:r>
    <w:r>
      <w:instrText xml:space="preserve"> PAGE   \* MERGEFORMAT </w:instrText>
    </w:r>
    <w:r>
      <w:fldChar w:fldCharType="separate"/>
    </w:r>
    <w:r>
      <w:t>77</w:t>
    </w:r>
    <w: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116</w:t>
    </w:r>
    <w: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222361740"/>
        <w:docPartObj>
          <w:docPartGallery w:val="Page Numbers (Bottom of Page)"/>
          <w:docPartUnique/>
        </w:docPartObj>
      </w:sdtPr>
      <w:sdtEndPr/>
      <w:sdtContent>
        <w:r>
          <w:fldChar w:fldCharType="begin"/>
        </w:r>
        <w:r>
          <w:instrText xml:space="preserve"> PAGE   \* MERGEFORM</w:instrText>
        </w:r>
        <w:r>
          <w:instrText xml:space="preserve">AT </w:instrText>
        </w:r>
        <w:r>
          <w:fldChar w:fldCharType="separate"/>
        </w:r>
        <w:r>
          <w:t>90</w:t>
        </w:r>
        <w:r>
          <w:fldChar w:fldCharType="end"/>
        </w:r>
      </w:sdtContent>
    </w:sdt>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117</w:t>
    </w:r>
    <w: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31696692"/>
        <w:docPartObj>
          <w:docPartGallery w:val="Page Numbers (Bottom of Page)"/>
          <w:docPartUnique/>
        </w:docPartObj>
      </w:sdtPr>
      <w:sdtEndPr/>
      <w:sdtContent>
        <w:r>
          <w:fldChar w:fldCharType="begin"/>
        </w:r>
        <w:r>
          <w:instrText xml:space="preserve"> PAGE   \* MERGEFORMAT </w:instrText>
        </w:r>
        <w:r>
          <w:fldChar w:fldCharType="separate"/>
        </w:r>
        <w:r>
          <w:t>90</w:t>
        </w:r>
        <w:r>
          <w:fldChar w:fldCharType="end"/>
        </w:r>
      </w:sdtContent>
    </w:sdt>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118</w:t>
    </w:r>
    <w: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PPOFooter-Left"/>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121</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AMPRFooter-Left"/>
    </w:pPr>
    <w:sdt>
      <w:sdtPr>
        <w:id w:val="-1327903176"/>
        <w:docPartObj>
          <w:docPartGallery w:val="Page Numbers (Bottom of Page)"/>
          <w:docPartUnique/>
        </w:docPartObj>
      </w:sdtPr>
      <w:sdtEndPr/>
      <w:sdtContent>
        <w:r>
          <w:fldChar w:fldCharType="begin"/>
        </w:r>
        <w:r>
          <w:instrText xml:space="preserve"> PAGE   \* MERGEFORMAT </w:instrText>
        </w:r>
        <w:r>
          <w:fldChar w:fldCharType="separate"/>
        </w:r>
        <w:r>
          <w:t>80</w:t>
        </w:r>
        <w: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81</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445278221"/>
        <w:docPartObj>
          <w:docPartGallery w:val="Page Numbers (Bottom of Page)"/>
          <w:docPartUnique/>
        </w:docPartObj>
      </w:sdtPr>
      <w:sdtEndPr/>
      <w:sdtContent>
        <w:r>
          <w:fldChar w:fldCharType="begin"/>
        </w:r>
        <w:r>
          <w:instrText xml:space="preserve"> PAGE   \* MERGEFORMAT </w:instrText>
        </w:r>
        <w:r>
          <w:fldChar w:fldCharType="separate"/>
        </w:r>
        <w:r>
          <w:t>90</w:t>
        </w:r>
        <w: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82</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824324210"/>
        <w:docPartObj>
          <w:docPartGallery w:val="Page Numbers (Bottom of Page)"/>
          <w:docPartUnique/>
        </w:docPartObj>
      </w:sdtPr>
      <w:sdtEndPr/>
      <w:sdtContent>
        <w:r>
          <w:fldChar w:fldCharType="begin"/>
        </w:r>
        <w:r>
          <w:instrText xml:space="preserve"> PAGE   \* MERGEFORMAT </w:instrText>
        </w:r>
        <w:r>
          <w:fldChar w:fldCharType="separate"/>
        </w:r>
        <w:r>
          <w:t>90</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D44" w:rsidRPr="00F76D44" w:rsidRDefault="00F76D44" w:rsidP="00F76D44">
    <w:pPr>
      <w:pStyle w:val="FooterCoverPage"/>
      <w:rPr>
        <w:rFonts w:ascii="Arial" w:hAnsi="Arial" w:cs="Arial"/>
        <w:b/>
        <w:sz w:val="48"/>
      </w:rPr>
    </w:pPr>
    <w:r w:rsidRPr="00F76D44">
      <w:rPr>
        <w:rFonts w:ascii="Arial" w:hAnsi="Arial" w:cs="Arial"/>
        <w:b/>
        <w:sz w:val="48"/>
      </w:rPr>
      <w:t>EN</w:t>
    </w:r>
    <w:r w:rsidRPr="00F76D44">
      <w:rPr>
        <w:rFonts w:ascii="Arial" w:hAnsi="Arial" w:cs="Arial"/>
        <w:b/>
        <w:sz w:val="48"/>
      </w:rPr>
      <w:tab/>
    </w:r>
    <w:r w:rsidRPr="00F76D44">
      <w:rPr>
        <w:rFonts w:ascii="Arial" w:hAnsi="Arial" w:cs="Arial"/>
        <w:b/>
        <w:sz w:val="48"/>
      </w:rPr>
      <w:tab/>
    </w:r>
    <w:r w:rsidRPr="00F76D44">
      <w:tab/>
    </w:r>
    <w:r w:rsidRPr="00F76D44">
      <w:rPr>
        <w:rFonts w:ascii="Arial" w:hAnsi="Arial" w:cs="Arial"/>
        <w:b/>
        <w:sz w:val="48"/>
      </w:rPr>
      <w: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84</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994147089"/>
        <w:docPartObj>
          <w:docPartGallery w:val="Page Numbers (Bottom of Page)"/>
          <w:docPartUnique/>
        </w:docPartObj>
      </w:sdtPr>
      <w:sdtEndPr/>
      <w:sdtContent>
        <w:r>
          <w:fldChar w:fldCharType="begin"/>
        </w:r>
        <w:r>
          <w:instrText xml:space="preserve"> PAGE   \* MERGEFORMAT </w:instrText>
        </w:r>
        <w:r>
          <w:fldChar w:fldCharType="separate"/>
        </w:r>
        <w:r>
          <w:t>90</w:t>
        </w:r>
        <w:r>
          <w:fldChar w:fldCharType="end"/>
        </w:r>
      </w:sdtContent>
    </w:sdt>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85</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304004160"/>
        <w:docPartObj>
          <w:docPartGallery w:val="Page Numbers (Bottom of Page)"/>
          <w:docPartUnique/>
        </w:docPartObj>
      </w:sdtPr>
      <w:sdtEndPr/>
      <w:sdtContent>
        <w:r>
          <w:fldChar w:fldCharType="begin"/>
        </w:r>
        <w:r>
          <w:instrText xml:space="preserve"> PAGE   \* MERGEFORMAT </w:instrText>
        </w:r>
        <w:r>
          <w:fldChar w:fldCharType="separate"/>
        </w:r>
        <w:r>
          <w:t>90</w:t>
        </w:r>
        <w:r>
          <w:fldChar w:fldCharType="end"/>
        </w:r>
      </w:sdtContent>
    </w:sdt>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86</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1323229073"/>
        <w:docPartObj>
          <w:docPartGallery w:val="Page Numbers (Bottom of Page)"/>
          <w:docPartUnique/>
        </w:docPartObj>
      </w:sdtPr>
      <w:sdtEndPr/>
      <w:sdtContent>
        <w:r>
          <w:fldChar w:fldCharType="begin"/>
        </w:r>
        <w:r>
          <w:instrText xml:space="preserve"> PAGE   \* MERGEFORMAT </w:instrText>
        </w:r>
        <w:r>
          <w:fldChar w:fldCharType="separate"/>
        </w:r>
        <w:r>
          <w:t>90</w:t>
        </w:r>
        <w:r>
          <w:fldChar w:fldCharType="end"/>
        </w:r>
      </w:sdtContent>
    </w:sdt>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87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D44" w:rsidRPr="00F76D44" w:rsidRDefault="00F76D44" w:rsidP="00F76D44">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1136614455"/>
        <w:docPartObj>
          <w:docPartGallery w:val="Page Numbers (Bottom of Page)"/>
          <w:docPartUnique/>
        </w:docPartObj>
      </w:sdtPr>
      <w:sdtEndPr/>
      <w:sdtContent>
        <w:r>
          <w:fldChar w:fldCharType="begin"/>
        </w:r>
        <w:r>
          <w:instrText xml:space="preserve"> PAGE   \* MERGEFORMAT </w:instrText>
        </w:r>
        <w:r>
          <w:fldChar w:fldCharType="separate"/>
        </w:r>
        <w:r>
          <w:t>90</w:t>
        </w:r>
        <w:r>
          <w:fldChar w:fldCharType="end"/>
        </w:r>
      </w:sdtContent>
    </w:sdt>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88</w:t>
    </w:r>
    <w: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1292284894"/>
        <w:docPartObj>
          <w:docPartGallery w:val="Page Numbers (Bottom of Page)"/>
          <w:docPartUnique/>
        </w:docPartObj>
      </w:sdtPr>
      <w:sdtEndPr/>
      <w:sdtContent>
        <w:r>
          <w:fldChar w:fldCharType="begin"/>
        </w:r>
        <w:r>
          <w:instrText xml:space="preserve"> PAGE   \* MERGEFORMAT </w:instrText>
        </w:r>
        <w:r>
          <w:fldChar w:fldCharType="separate"/>
        </w:r>
        <w:r>
          <w:t>90</w:t>
        </w:r>
        <w:r>
          <w:fldChar w:fldCharType="end"/>
        </w:r>
      </w:sdtContent>
    </w:sdt>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89</w:t>
    </w:r>
    <w: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1640021639"/>
        <w:docPartObj>
          <w:docPartGallery w:val="Page Numbers (Bottom of Page)"/>
          <w:docPartUnique/>
        </w:docPartObj>
      </w:sdtPr>
      <w:sdtEndPr/>
      <w:sdtContent>
        <w:r>
          <w:fldChar w:fldCharType="begin"/>
        </w:r>
        <w:r>
          <w:instrText xml:space="preserve"> PAGE   \* MERGEFORMAT </w:instrText>
        </w:r>
        <w:r>
          <w:fldChar w:fldCharType="separate"/>
        </w:r>
        <w:r>
          <w:t>90</w:t>
        </w:r>
        <w:r>
          <w:fldChar w:fldCharType="end"/>
        </w:r>
      </w:sdtContent>
    </w:sdt>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90</w:t>
    </w:r>
    <w: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sdt>
      <w:sdtPr>
        <w:id w:val="-1838140995"/>
        <w:docPartObj>
          <w:docPartGallery w:val="Page Numbers (Bottom of Page)"/>
          <w:docPartUnique/>
        </w:docPartObj>
      </w:sdtPr>
      <w:sdtEndPr/>
      <w:sdtContent>
        <w:r>
          <w:fldChar w:fldCharType="begin"/>
        </w:r>
        <w:r>
          <w:instrText xml:space="preserve"> PAGE   \* MERGEFORMAT </w:instrText>
        </w:r>
        <w:r>
          <w:fldChar w:fldCharType="separate"/>
        </w:r>
        <w:r>
          <w:t>4</w:t>
        </w:r>
        <w:r>
          <w:fldChar w:fldCharType="end"/>
        </w:r>
      </w:sdtContent>
    </w:sdt>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1361861002"/>
        <w:docPartObj>
          <w:docPartGallery w:val="Page Numbers (Bottom of Page)"/>
          <w:docPartUnique/>
        </w:docPartObj>
      </w:sdtPr>
      <w:sdtEndPr/>
      <w:sdtContent>
        <w:r>
          <w:fldChar w:fldCharType="begin"/>
        </w:r>
        <w:r>
          <w:instrText xml:space="preserve"> PAGE   \* MERGEFORMAT </w:instrText>
        </w:r>
        <w:r>
          <w:fldChar w:fldCharType="separate"/>
        </w:r>
        <w:r>
          <w:t>90</w:t>
        </w:r>
        <w:r>
          <w:fldChar w:fldCharType="end"/>
        </w:r>
      </w:sdtContent>
    </w:sdt>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91</w:t>
    </w:r>
    <w: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1663466152"/>
        <w:docPartObj>
          <w:docPartGallery w:val="Page Numbers (Bottom of Page)"/>
          <w:docPartUnique/>
        </w:docPartObj>
      </w:sdtPr>
      <w:sdtEndPr/>
      <w:sdtContent>
        <w:r>
          <w:fldChar w:fldCharType="begin"/>
        </w:r>
        <w:r>
          <w:instrText xml:space="preserve"> PAGE   \* MERGEFORMAT </w:instrText>
        </w:r>
        <w:r>
          <w:fldChar w:fldCharType="separate"/>
        </w:r>
        <w:r>
          <w:t>90</w:t>
        </w:r>
        <w:r>
          <w:fldChar w:fldCharType="end"/>
        </w:r>
      </w:sdtContent>
    </w:sdt>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92</w:t>
    </w:r>
    <w: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2024313951"/>
        <w:docPartObj>
          <w:docPartGallery w:val="Page Numbers (Bottom of Page)"/>
          <w:docPartUnique/>
        </w:docPartObj>
      </w:sdtPr>
      <w:sdtEndPr/>
      <w:sdtContent>
        <w:r>
          <w:fldChar w:fldCharType="begin"/>
        </w:r>
        <w:r>
          <w:instrText xml:space="preserve"> PAGE   \* MERGEFORMAT </w:instrText>
        </w:r>
        <w:r>
          <w:fldChar w:fldCharType="separate"/>
        </w:r>
        <w:r>
          <w:t>90</w:t>
        </w:r>
        <w:r>
          <w:fldChar w:fldCharType="end"/>
        </w:r>
      </w:sdtContent>
    </w:sdt>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93</w:t>
    </w:r>
    <w: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1418444522"/>
        <w:docPartObj>
          <w:docPartGallery w:val="Page Numbers (Bottom of Page)"/>
          <w:docPartUnique/>
        </w:docPartObj>
      </w:sdtPr>
      <w:sdtEndPr/>
      <w:sdtContent>
        <w:r>
          <w:fldChar w:fldCharType="begin"/>
        </w:r>
        <w:r>
          <w:instrText xml:space="preserve"> PAGE   \* MERGEFORMAT </w:instrText>
        </w:r>
        <w:r>
          <w:fldChar w:fldCharType="separate"/>
        </w:r>
        <w:r>
          <w:t>90</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sdt>
      <w:sdtPr>
        <w:id w:val="-1281569944"/>
        <w:docPartObj>
          <w:docPartGallery w:val="Page Numbers (Bottom of Page)"/>
          <w:docPartUnique/>
        </w:docPartObj>
      </w:sdtPr>
      <w:sdtEndPr/>
      <w:sdtContent>
        <w:r>
          <w:fldChar w:fldCharType="begin"/>
        </w:r>
        <w:r>
          <w:instrText xml:space="preserve"> PAGE   \* MERGEFORMAT </w:instrText>
        </w:r>
        <w:r>
          <w:fldChar w:fldCharType="separate"/>
        </w:r>
        <w:r>
          <w:t>10</w:t>
        </w:r>
        <w:r>
          <w:fldChar w:fldCharType="end"/>
        </w:r>
      </w:sdtContent>
    </w:sdt>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94</w:t>
    </w:r>
    <w: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1184737755"/>
        <w:docPartObj>
          <w:docPartGallery w:val="Page Numbers (Bottom of Page)"/>
          <w:docPartUnique/>
        </w:docPartObj>
      </w:sdtPr>
      <w:sdtEndPr/>
      <w:sdtContent>
        <w:r>
          <w:fldChar w:fldCharType="begin"/>
        </w:r>
        <w:r>
          <w:instrText xml:space="preserve"> PAGE   \* MERGEFORMAT </w:instrText>
        </w:r>
        <w:r>
          <w:fldChar w:fldCharType="separate"/>
        </w:r>
        <w:r>
          <w:t>90</w:t>
        </w:r>
        <w:r>
          <w:fldChar w:fldCharType="end"/>
        </w:r>
      </w:sdtContent>
    </w:sdt>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96</w:t>
    </w:r>
    <w: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1962155242"/>
        <w:docPartObj>
          <w:docPartGallery w:val="Page Numbers (Bottom of Page)"/>
          <w:docPartUnique/>
        </w:docPartObj>
      </w:sdtPr>
      <w:sdtEndPr/>
      <w:sdtContent>
        <w:r>
          <w:fldChar w:fldCharType="begin"/>
        </w:r>
        <w:r>
          <w:instrText xml:space="preserve"> PAGE   \* MERGEFORMAT </w:instrText>
        </w:r>
        <w:r>
          <w:fldChar w:fldCharType="separate"/>
        </w:r>
        <w:r>
          <w:t>90</w:t>
        </w:r>
        <w:r>
          <w:fldChar w:fldCharType="end"/>
        </w:r>
      </w:sdtContent>
    </w:sdt>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PPOFooter-Right"/>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1146617513"/>
        <w:docPartObj>
          <w:docPartGallery w:val="Page Numbers (Bottom of Page)"/>
          <w:docPartUnique/>
        </w:docPartObj>
      </w:sdtPr>
      <w:sdtEndPr/>
      <w:sdtContent>
        <w:r>
          <w:fldChar w:fldCharType="begin"/>
        </w:r>
        <w:r>
          <w:instrText xml:space="preserve"> PAGE   \* MERGEFORMAT </w:instrText>
        </w:r>
        <w:r>
          <w:fldChar w:fldCharType="separate"/>
        </w:r>
        <w:r>
          <w:t>90</w:t>
        </w:r>
        <w:r>
          <w:fldChar w:fldCharType="end"/>
        </w:r>
      </w:sdtContent>
    </w:sdt>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PPOFooter-Righ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542824889"/>
        <w:docPartObj>
          <w:docPartGallery w:val="Page Numbers (Bottom of Page)"/>
          <w:docPartUnique/>
        </w:docPartObj>
      </w:sdtPr>
      <w:sdtEndPr/>
      <w:sdtContent>
        <w:r>
          <w:fldChar w:fldCharType="begin"/>
        </w:r>
        <w:r>
          <w:instrText xml:space="preserve"> PAGE   \* MERGEFORMAT </w:instrText>
        </w:r>
        <w:r>
          <w:fldChar w:fldCharType="separate"/>
        </w:r>
        <w:r>
          <w:t>90</w:t>
        </w:r>
        <w:r>
          <w:fldChar w:fldCharType="end"/>
        </w:r>
      </w:sdtContent>
    </w:sdt>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99</w:t>
    </w:r>
    <w: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1053201075"/>
        <w:docPartObj>
          <w:docPartGallery w:val="Page Numbers (Bottom of Page)"/>
          <w:docPartUnique/>
        </w:docPartObj>
      </w:sdtPr>
      <w:sdtEndPr/>
      <w:sdtContent>
        <w:r>
          <w:fldChar w:fldCharType="begin"/>
        </w:r>
        <w:r>
          <w:instrText xml:space="preserve"> PAGE   \* MERGEFORMAT </w:instrText>
        </w:r>
        <w:r>
          <w:fldChar w:fldCharType="separate"/>
        </w:r>
        <w:r>
          <w:t>90</w:t>
        </w:r>
        <w:r>
          <w:fldChar w:fldCharType="end"/>
        </w:r>
      </w:sdtContent>
    </w:sdt>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101</w:t>
    </w:r>
    <w: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1885214108"/>
        <w:docPartObj>
          <w:docPartGallery w:val="Page Numbers (Bottom of Page)"/>
          <w:docPartUnique/>
        </w:docPartObj>
      </w:sdtPr>
      <w:sdtEndPr/>
      <w:sdtContent>
        <w:r>
          <w:fldChar w:fldCharType="begin"/>
        </w:r>
        <w:r>
          <w:instrText xml:space="preserve"> PAGE   \* MERGEFORMAT </w:instrText>
        </w:r>
        <w:r>
          <w:fldChar w:fldCharType="separate"/>
        </w:r>
        <w:r>
          <w:t>90</w:t>
        </w:r>
        <w:r>
          <w:fldChar w:fldCharType="end"/>
        </w:r>
      </w:sdtContent>
    </w:sdt>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102</w:t>
    </w:r>
    <w: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sdt>
      <w:sdtPr>
        <w:id w:val="-1791193993"/>
        <w:docPartObj>
          <w:docPartGallery w:val="Page Numbers (Bottom of Page)"/>
          <w:docPartUnique/>
        </w:docPartObj>
      </w:sdtPr>
      <w:sdtEndPr/>
      <w:sdtContent>
        <w:r>
          <w:fldChar w:fldCharType="begin"/>
        </w:r>
        <w:r>
          <w:instrText xml:space="preserve"> PAGE   \* MERGEFORMAT </w:instrText>
        </w:r>
        <w:r>
          <w:fldChar w:fldCharType="separate"/>
        </w:r>
        <w:r>
          <w:t>4</w:t>
        </w:r>
        <w:r>
          <w:fldChar w:fldCharType="end"/>
        </w:r>
      </w:sdtContent>
    </w:sdt>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1345622006"/>
        <w:docPartObj>
          <w:docPartGallery w:val="Page Numbers (Bottom of Page)"/>
          <w:docPartUnique/>
        </w:docPartObj>
      </w:sdtPr>
      <w:sdtEndPr/>
      <w:sdtContent>
        <w:r>
          <w:fldChar w:fldCharType="begin"/>
        </w:r>
        <w:r>
          <w:instrText xml:space="preserve"> PAGE   \* MERGEFORMAT </w:instrText>
        </w:r>
        <w:r>
          <w:fldChar w:fldCharType="separate"/>
        </w:r>
        <w:r>
          <w:t>90</w:t>
        </w:r>
        <w:r>
          <w:fldChar w:fldCharType="end"/>
        </w:r>
      </w:sdtContent>
    </w:sdt>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103</w:t>
    </w:r>
    <w: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37473758"/>
        <w:docPartObj>
          <w:docPartGallery w:val="Page Numbers (Bottom of Page)"/>
          <w:docPartUnique/>
        </w:docPartObj>
      </w:sdtPr>
      <w:sdtEndPr/>
      <w:sdtContent>
        <w:r>
          <w:fldChar w:fldCharType="begin"/>
        </w:r>
        <w:r>
          <w:instrText xml:space="preserve"> PAGE   \* MERGEFORMAT </w:instrText>
        </w:r>
        <w:r>
          <w:fldChar w:fldCharType="separate"/>
        </w:r>
        <w:r>
          <w:t>90</w:t>
        </w:r>
        <w:r>
          <w:fldChar w:fldCharType="end"/>
        </w:r>
      </w:sdtContent>
    </w:sdt>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104</w:t>
    </w:r>
    <w: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603655629"/>
        <w:docPartObj>
          <w:docPartGallery w:val="Page Numbers (Bottom of Page)"/>
          <w:docPartUnique/>
        </w:docPartObj>
      </w:sdtPr>
      <w:sdtEndPr/>
      <w:sdtContent>
        <w:r>
          <w:fldChar w:fldCharType="begin"/>
        </w:r>
        <w:r>
          <w:instrText xml:space="preserve"> PAGE   \* MERGEFORMAT </w:instrText>
        </w:r>
        <w:r>
          <w:fldChar w:fldCharType="separate"/>
        </w:r>
        <w:r>
          <w:t>90</w:t>
        </w:r>
        <w:r>
          <w:fldChar w:fldCharType="end"/>
        </w:r>
      </w:sdtContent>
    </w:sdt>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105</w:t>
    </w:r>
    <w: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999188856"/>
        <w:docPartObj>
          <w:docPartGallery w:val="Page Numbers (Bottom of Page)"/>
          <w:docPartUnique/>
        </w:docPartObj>
      </w:sdtPr>
      <w:sdtEndPr/>
      <w:sdtContent>
        <w:r>
          <w:fldChar w:fldCharType="begin"/>
        </w:r>
        <w:r>
          <w:instrText xml:space="preserve"> PAGE   \* MERGEFORMAT </w:instrText>
        </w:r>
        <w:r>
          <w:fldChar w:fldCharType="separate"/>
        </w:r>
        <w:r>
          <w:t>90</w:t>
        </w:r>
        <w: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r>
      <w:fldChar w:fldCharType="begin"/>
    </w:r>
    <w:r>
      <w:instrText xml:space="preserve"> PAGE   \* MERGEFORMAT </w:instrText>
    </w:r>
    <w:r>
      <w:fldChar w:fldCharType="separate"/>
    </w:r>
    <w:r>
      <w:t>2</w:t>
    </w:r>
    <w: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106</w:t>
    </w:r>
    <w: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2097092545"/>
        <w:docPartObj>
          <w:docPartGallery w:val="Page Numbers (Bottom of Page)"/>
          <w:docPartUnique/>
        </w:docPartObj>
      </w:sdtPr>
      <w:sdtEndPr/>
      <w:sdtContent>
        <w:r>
          <w:fldChar w:fldCharType="begin"/>
        </w:r>
        <w:r>
          <w:instrText xml:space="preserve"> PAGE   \* </w:instrText>
        </w:r>
        <w:r>
          <w:instrText xml:space="preserve">MERGEFORMAT </w:instrText>
        </w:r>
        <w:r>
          <w:fldChar w:fldCharType="separate"/>
        </w:r>
        <w:r>
          <w:t>90</w:t>
        </w:r>
        <w:r>
          <w:fldChar w:fldCharType="end"/>
        </w:r>
      </w:sdtContent>
    </w:sdt>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107</w:t>
    </w:r>
    <w: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1858732071"/>
        <w:docPartObj>
          <w:docPartGallery w:val="Page Numbers (Bottom of Page)"/>
          <w:docPartUnique/>
        </w:docPartObj>
      </w:sdtPr>
      <w:sdtEndPr/>
      <w:sdtContent>
        <w:r>
          <w:fldChar w:fldCharType="begin"/>
        </w:r>
        <w:r>
          <w:instrText xml:space="preserve"> PAGE   \* MERGEFORMAT </w:instrText>
        </w:r>
        <w:r>
          <w:fldChar w:fldCharType="separate"/>
        </w:r>
        <w:r>
          <w:t>90</w:t>
        </w:r>
        <w:r>
          <w:fldChar w:fldCharType="end"/>
        </w:r>
      </w:sdtContent>
    </w:sdt>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108</w:t>
    </w:r>
    <w: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2091498524"/>
        <w:docPartObj>
          <w:docPartGallery w:val="Page Numbers (Bottom of Page)"/>
          <w:docPartUnique/>
        </w:docPartObj>
      </w:sdtPr>
      <w:sdtEndPr/>
      <w:sdtContent>
        <w:r>
          <w:fldChar w:fldCharType="begin"/>
        </w:r>
        <w:r>
          <w:instrText xml:space="preserve"> PAGE   \* MERGEFORMAT </w:instrText>
        </w:r>
        <w:r>
          <w:fldChar w:fldCharType="separate"/>
        </w:r>
        <w:r>
          <w:t>90</w:t>
        </w:r>
        <w:r>
          <w:fldChar w:fldCharType="end"/>
        </w:r>
      </w:sdtContent>
    </w:sdt>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109</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564799484"/>
        <w:docPartObj>
          <w:docPartGallery w:val="Page Numbers (Bottom of Page)"/>
          <w:docPartUnique/>
        </w:docPartObj>
      </w:sdtPr>
      <w:sdtEndPr/>
      <w:sdtContent>
        <w:r>
          <w:fldChar w:fldCharType="begin"/>
        </w:r>
        <w:r>
          <w:instrText xml:space="preserve"> PAGE   \* MERGEFORMAT </w:instrText>
        </w:r>
        <w:r>
          <w:fldChar w:fldCharType="separate"/>
        </w:r>
        <w:r>
          <w:t>90</w:t>
        </w:r>
        <w:r>
          <w:fldChar w:fldCharType="end"/>
        </w:r>
      </w:sdtContent>
    </w:sdt>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110</w:t>
    </w:r>
    <w: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783309771"/>
        <w:docPartObj>
          <w:docPartGallery w:val="Page Numbers (Bottom of Page)"/>
          <w:docPartUnique/>
        </w:docPartObj>
      </w:sdtPr>
      <w:sdtEndPr/>
      <w:sdtContent>
        <w:r>
          <w:fldChar w:fldCharType="begin"/>
        </w:r>
        <w:r>
          <w:instrText xml:space="preserve"> PAGE   \* MERGEFORMAT </w:instrText>
        </w:r>
        <w:r>
          <w:fldChar w:fldCharType="separate"/>
        </w:r>
        <w:r>
          <w:t>90</w:t>
        </w:r>
        <w:r>
          <w:fldChar w:fldCharType="end"/>
        </w:r>
      </w:sdtContent>
    </w:sdt>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111</w:t>
    </w:r>
    <w: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Left"/>
    </w:pPr>
    <w:sdt>
      <w:sdtPr>
        <w:id w:val="11501132"/>
        <w:docPartObj>
          <w:docPartGallery w:val="Page Numbers (Bottom of Page)"/>
          <w:docPartUnique/>
        </w:docPartObj>
      </w:sdtPr>
      <w:sdtEndPr/>
      <w:sdtContent>
        <w:r>
          <w:fldChar w:fldCharType="begin"/>
        </w:r>
        <w:r>
          <w:instrText xml:space="preserve"> PAGE   \* MERGEFORMAT </w:instrText>
        </w:r>
        <w:r>
          <w:fldChar w:fldCharType="separate"/>
        </w:r>
        <w:r>
          <w:t>90</w:t>
        </w:r>
        <w:r>
          <w:fldChar w:fldCharType="end"/>
        </w:r>
      </w:sdtContent>
    </w:sdt>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Footer-Right"/>
    </w:pPr>
    <w:r>
      <w:fldChar w:fldCharType="begin"/>
    </w:r>
    <w:r>
      <w:instrText xml:space="preserve"> PAGE   \* MERGEFORMAT </w:instrText>
    </w:r>
    <w:r>
      <w:fldChar w:fldCharType="separate"/>
    </w:r>
    <w:r>
      <w:t>112</w:t>
    </w:r>
    <w: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634A" w:rsidRDefault="00F76D44">
      <w:pPr>
        <w:spacing w:after="0" w:line="240" w:lineRule="auto"/>
      </w:pPr>
      <w:r>
        <w:separator/>
      </w:r>
    </w:p>
  </w:footnote>
  <w:footnote w:type="continuationSeparator" w:id="0">
    <w:p w:rsidR="0060634A" w:rsidRDefault="00F76D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D44" w:rsidRPr="00F76D44" w:rsidRDefault="00F76D44" w:rsidP="00F76D4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AMPRHeader-Left"/>
    </w:pPr>
    <w:r>
      <w:t>Annual Management and Performance Report for the EU Budget – Financial year 2019</w:t>
    </w:r>
    <w:r>
      <w:rPr>
        <w:lang w:val="fr-BE" w:eastAsia="fr-BE"/>
      </w:rPr>
      <mc:AlternateContent>
        <mc:Choice Requires="wps">
          <w:drawing>
            <wp:anchor distT="0" distB="0" distL="114300" distR="114300" simplePos="0" relativeHeight="251570176" behindDoc="0" locked="0" layoutInCell="1" allowOverlap="1">
              <wp:simplePos x="0" y="0"/>
              <wp:positionH relativeFrom="page">
                <wp:align>left</wp:align>
              </wp:positionH>
              <wp:positionV relativeFrom="page">
                <wp:align>top</wp:align>
              </wp:positionV>
              <wp:extent cx="7621200" cy="212400"/>
              <wp:effectExtent l="0" t="0" r="0" b="0"/>
              <wp:wrapNone/>
              <wp:docPr id="264" name="Rectangle 26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D305F" id="Rectangle 264" o:spid="_x0000_s1026" style="position:absolute;margin-left:0;margin-top:0;width:600.1pt;height:16.7pt;z-index:2515701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BUG/4I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754496" behindDoc="0" locked="0" layoutInCell="1" allowOverlap="1">
              <wp:simplePos x="0" y="0"/>
              <wp:positionH relativeFrom="page">
                <wp:align>left</wp:align>
              </wp:positionH>
              <wp:positionV relativeFrom="page">
                <wp:align>top</wp:align>
              </wp:positionV>
              <wp:extent cx="7621200" cy="212400"/>
              <wp:effectExtent l="0" t="0" r="0" b="0"/>
              <wp:wrapNone/>
              <wp:docPr id="1827" name="Rectangle 182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3A3E8" id="Rectangle 1827" o:spid="_x0000_s1026" style="position:absolute;margin-left:0;margin-top:0;width:600.1pt;height:16.7pt;z-index:2517544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v0hL6J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752448" behindDoc="1" locked="0" layoutInCell="1" allowOverlap="1">
              <wp:simplePos x="0" y="0"/>
              <wp:positionH relativeFrom="page">
                <wp:align>left</wp:align>
              </wp:positionH>
              <wp:positionV relativeFrom="page">
                <wp:align>top</wp:align>
              </wp:positionV>
              <wp:extent cx="7621200" cy="212400"/>
              <wp:effectExtent l="0" t="0" r="0" b="0"/>
              <wp:wrapNone/>
              <wp:docPr id="465" name="Rectangle 46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040DF" id="Rectangle 465" o:spid="_x0000_s1026" style="position:absolute;margin-left:0;margin-top:0;width:600.1pt;height:16.7pt;z-index:-2515640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LnrnFqOAgAAjA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5347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66" name="Rectangle 46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71E89" id="Rectangle 466" o:spid="_x0000_s1026" style="position:absolute;margin-left:-3.7pt;margin-top:-116.05pt;width:8.85pt;height:37.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YP+Gc5cCAACIBQAADgAAAAAAAAAAAAAAAAAuAgAAZHJzL2Uyb0Rv&#10;Yy54bWxQSwECLQAUAAYACAAAACEAmVzIut8AAAALAQAADwAAAAAAAAAAAAAAAADxBAAAZHJzL2Rv&#10;d25yZXYueG1sUEsFBgAAAAAEAAQA8wAAAP0F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7514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79" name="Rectangle 47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BA8AF" id="Rectangle 479" o:spid="_x0000_s1026" style="position:absolute;margin-left:-3.7pt;margin-top:-116.05pt;width:8.85pt;height:3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94c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lh94c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7504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24" name="Rectangle 182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58C6A" id="Rectangle 1824" o:spid="_x0000_s1026" style="position:absolute;margin-left:-3.7pt;margin-top:-116.05pt;width:8.85pt;height:3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3O8mgIAAIo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0XNzvJ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4937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26" name="Rectangle 182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ED7F3" id="Rectangle 1826" o:spid="_x0000_s1026" style="position:absolute;margin-left:-3.7pt;margin-top:-116.05pt;width:8.85pt;height:3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vCnPAmQIAAIoFAAAOAAAAAAAAAAAAAAAAAC4CAABkcnMvZTJv&#10;RG9jLnhtbFBLAQItABQABgAIAAAAIQCZXMi63wAAAAsBAAAPAAAAAAAAAAAAAAAAAPMEAABkcnMv&#10;ZG93bnJldi54bWxQSwUGAAAAAAQABADzAAAA/wUAAAAA&#10;" fillcolor="#3fb296" stroked="f" strokeweight="1pt"/>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Annual Management and Performance Report for the EU Budget – Fin</w:t>
    </w:r>
    <w:r>
      <w:t>ancial year 2019</w:t>
    </w:r>
    <w:r>
      <w:rPr>
        <w:lang w:val="fr-BE" w:eastAsia="fr-BE"/>
      </w:rPr>
      <mc:AlternateContent>
        <mc:Choice Requires="wps">
          <w:drawing>
            <wp:anchor distT="0" distB="0" distL="114300" distR="114300" simplePos="0" relativeHeight="251755520" behindDoc="0" locked="0" layoutInCell="1" allowOverlap="1">
              <wp:simplePos x="0" y="0"/>
              <wp:positionH relativeFrom="page">
                <wp:align>left</wp:align>
              </wp:positionH>
              <wp:positionV relativeFrom="page">
                <wp:align>top</wp:align>
              </wp:positionV>
              <wp:extent cx="7621200" cy="212400"/>
              <wp:effectExtent l="0" t="0" r="0" b="0"/>
              <wp:wrapNone/>
              <wp:docPr id="1830" name="Rectangle 1830"/>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570A8" id="Rectangle 1830" o:spid="_x0000_s1026" style="position:absolute;margin-left:0;margin-top:0;width:600.1pt;height:16.7pt;z-index:25175552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8JQkAIAAI4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IavCUJ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572224" behindDoc="1" locked="0" layoutInCell="1" allowOverlap="1">
              <wp:simplePos x="0" y="0"/>
              <wp:positionH relativeFrom="page">
                <wp:align>left</wp:align>
              </wp:positionH>
              <wp:positionV relativeFrom="page">
                <wp:align>top</wp:align>
              </wp:positionV>
              <wp:extent cx="7621200" cy="212400"/>
              <wp:effectExtent l="0" t="0" r="0" b="0"/>
              <wp:wrapNone/>
              <wp:docPr id="1853" name="Rectangle 185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2A269" id="Rectangle 1853" o:spid="_x0000_s1026" style="position:absolute;margin-left:0;margin-top:0;width:600.1pt;height:16.7pt;z-index:-2517442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e+QFc5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7324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54" name="Rectangle 185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130DC" id="Rectangle 1854" o:spid="_x0000_s1026" style="position:absolute;margin-left:-3.7pt;margin-top:-116.05pt;width:8.85pt;height:37.1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f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vh/P35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6608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55" name="Rectangle 185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7945E" id="Rectangle 1855" o:spid="_x0000_s1026" style="position:absolute;margin-left:-3.7pt;margin-top:-116.05pt;width:8.85pt;height:37.1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8/h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YSPP4Z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56198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81" name="Rectangle 48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5413E" id="Rectangle 481" o:spid="_x0000_s1026" style="position:absolute;margin-left:-3.7pt;margin-top:-116.05pt;width:8.85pt;height:37.1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5a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UoL5a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5891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500" name="Rectangle 50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822EF" id="Rectangle 500" o:spid="_x0000_s1026" style="position:absolute;margin-left:-3.7pt;margin-top:-116.05pt;width:8.85pt;height:37.1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" fillcolor="#3fb296" stroked="f" strokeweight="1pt"/>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761664" behindDoc="0" locked="0" layoutInCell="1" allowOverlap="1">
              <wp:simplePos x="0" y="0"/>
              <wp:positionH relativeFrom="page">
                <wp:align>left</wp:align>
              </wp:positionH>
              <wp:positionV relativeFrom="page">
                <wp:align>top</wp:align>
              </wp:positionV>
              <wp:extent cx="7621200" cy="212400"/>
              <wp:effectExtent l="0" t="0" r="0" b="0"/>
              <wp:wrapNone/>
              <wp:docPr id="1836" name="Rectangle 1836"/>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3B5A8" id="Rectangle 1836" o:spid="_x0000_s1026" style="position:absolute;margin-left:0;margin-top:0;width:600.1pt;height:16.7pt;z-index:2517616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PGKkAIAAI4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w1Txip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759616" behindDoc="1" locked="0" layoutInCell="1" allowOverlap="1">
              <wp:simplePos x="0" y="0"/>
              <wp:positionH relativeFrom="page">
                <wp:align>left</wp:align>
              </wp:positionH>
              <wp:positionV relativeFrom="page">
                <wp:align>top</wp:align>
              </wp:positionV>
              <wp:extent cx="7621200" cy="212400"/>
              <wp:effectExtent l="0" t="0" r="0" b="0"/>
              <wp:wrapNone/>
              <wp:docPr id="1831" name="Rectangle 183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AA8A1" id="Rectangle 1831" o:spid="_x0000_s1026" style="position:absolute;margin-left:0;margin-top:0;width:600.1pt;height:16.7pt;z-index:-2515568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sQPlwp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6064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32" name="Rectangle 183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4197A" id="Rectangle 1832" o:spid="_x0000_s1026" style="position:absolute;margin-left:-3.7pt;margin-top:-116.05pt;width:8.85pt;height:37.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EumgIAAIo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ajYhLp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75859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33" name="Rectangle 183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0C0E9" id="Rectangle 1833" o:spid="_x0000_s1026" style="position:absolute;margin-left:-3.7pt;margin-top:-116.05pt;width:8.85pt;height:37.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tQohEJ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75756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34" name="Rectangle 183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3380C" id="Rectangle 1834" o:spid="_x0000_s1026" style="position:absolute;margin-left:-3.7pt;margin-top:-116.05pt;width:8.85pt;height:37.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Gq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qLwhqp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5654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35" name="Rectangle 183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6DE78" id="Rectangle 1835" o:spid="_x0000_s1026" style="position:absolute;margin-left:-3.7pt;margin-top:-116.05pt;width:8.85pt;height:37.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CGU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d4AhlJ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Annual Management and Performance Report for the EU Budget – Financial yea</w:t>
    </w:r>
    <w:r>
      <w:t>r 2019</w:t>
    </w:r>
    <w:r>
      <w:rPr>
        <w:lang w:val="fr-BE" w:eastAsia="fr-BE"/>
      </w:rPr>
      <mc:AlternateContent>
        <mc:Choice Requires="wps">
          <w:drawing>
            <wp:anchor distT="0" distB="0" distL="114300" distR="114300" simplePos="0" relativeHeight="251762688" behindDoc="0" locked="0" layoutInCell="1" allowOverlap="1">
              <wp:simplePos x="0" y="0"/>
              <wp:positionH relativeFrom="page">
                <wp:align>left</wp:align>
              </wp:positionH>
              <wp:positionV relativeFrom="page">
                <wp:align>top</wp:align>
              </wp:positionV>
              <wp:extent cx="7621200" cy="212400"/>
              <wp:effectExtent l="0" t="0" r="0" b="0"/>
              <wp:wrapNone/>
              <wp:docPr id="1837" name="Rectangle 183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1877D" id="Rectangle 1837" o:spid="_x0000_s1026" style="position:absolute;margin-left:0;margin-top:0;width:600.1pt;height:16.7pt;z-index:2517626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YYkAIAAI4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U/zWGJ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AMPRHeader-Right"/>
    </w:pPr>
    <w:r>
      <w:rPr>
        <w:lang w:val="fr-BE" w:eastAsia="fr-BE"/>
      </w:rPr>
      <mc:AlternateContent>
        <mc:Choice Requires="wps">
          <w:drawing>
            <wp:anchor distT="0" distB="0" distL="114300" distR="114300" simplePos="0" relativeHeight="251567104" behindDoc="0" locked="0" layoutInCell="1" allowOverlap="1">
              <wp:simplePos x="0" y="0"/>
              <wp:positionH relativeFrom="page">
                <wp:align>left</wp:align>
              </wp:positionH>
              <wp:positionV relativeFrom="page">
                <wp:align>top</wp:align>
              </wp:positionV>
              <wp:extent cx="7621200" cy="212400"/>
              <wp:effectExtent l="0" t="0" r="0" b="0"/>
              <wp:wrapNone/>
              <wp:docPr id="208" name="Rectangle 20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038BF" id="Rectangle 208" o:spid="_x0000_s1026" style="position:absolute;margin-left:0;margin-top:0;width:600.1pt;height:16.7pt;z-index:2515671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P6VZtKOAgAAjA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6812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19" name="Rectangle 21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D5511" id="Rectangle 219" o:spid="_x0000_s1026" style="position:absolute;margin-left:-3.7pt;margin-top:-116.05pt;width:8.85pt;height:37.1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v92aVmQIAAIg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 performance overview</w:t>
    </w:r>
    <w:r>
      <w:rPr>
        <w:color w:val="5B9BD5" w:themeColor="accent1"/>
        <w:lang w:eastAsia="en-GB"/>
      </w:rPr>
      <w:t xml:space="preserve"> </w:t>
    </w:r>
    <w:r>
      <w:rPr>
        <w:color w:val="5B9BD5" w:themeColor="accent1"/>
        <w:lang w:val="fr-BE" w:eastAsia="fr-BE"/>
      </w:rPr>
      <mc:AlternateContent>
        <mc:Choice Requires="wps">
          <w:drawing>
            <wp:anchor distT="0" distB="0" distL="114300" distR="114300" simplePos="0" relativeHeight="25156505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20" name="Rectangle 22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E7974" id="Rectangle 220" o:spid="_x0000_s1026" style="position:absolute;margin-left:-3.7pt;margin-top:-116.05pt;width:8.85pt;height:37.1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U2nJz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557888" behindDoc="1" locked="0" layoutInCell="1" allowOverlap="1">
              <wp:simplePos x="0" y="0"/>
              <wp:positionH relativeFrom="page">
                <wp:align>left</wp:align>
              </wp:positionH>
              <wp:positionV relativeFrom="page">
                <wp:align>top</wp:align>
              </wp:positionV>
              <wp:extent cx="7621200" cy="212400"/>
              <wp:effectExtent l="0" t="0" r="0" b="0"/>
              <wp:wrapNone/>
              <wp:docPr id="504" name="Rectangle 50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39E7C" id="Rectangle 504" o:spid="_x0000_s1026" style="position:absolute;margin-left:0;margin-top:0;width:600.1pt;height:16.7pt;z-index:-2517585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AWI1fL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5993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88" name="Rectangle 188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66B6B" id="Rectangle 1888" o:spid="_x0000_s1026" style="position:absolute;margin-left:-3.7pt;margin-top:-116.05pt;width:8.85pt;height:37.1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LoUw8Z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5686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89" name="Rectangle 188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FA40D" id="Rectangle 1889" o:spid="_x0000_s1026" style="position:absolute;margin-left:-3.7pt;margin-top:-116.05pt;width:8.85pt;height:37.1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8bkwz5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5548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90" name="Rectangle 189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E0C10" id="Rectangle 1890" o:spid="_x0000_s1026" style="position:absolute;margin-left:-3.7pt;margin-top:-116.05pt;width:8.85pt;height:37.1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LM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7qoSzJ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5379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91" name="Rectangle 189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3E95B" id="Rectangle 1891" o:spid="_x0000_s1026" style="position:absolute;margin-left:-3.7pt;margin-top:-116.05pt;width:8.85pt;height:37.1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Ly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MZYS8p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768832" behindDoc="0" locked="0" layoutInCell="1" allowOverlap="1">
              <wp:simplePos x="0" y="0"/>
              <wp:positionH relativeFrom="page">
                <wp:align>left</wp:align>
              </wp:positionH>
              <wp:positionV relativeFrom="page">
                <wp:align>top</wp:align>
              </wp:positionV>
              <wp:extent cx="7621200" cy="212400"/>
              <wp:effectExtent l="0" t="0" r="0" b="0"/>
              <wp:wrapNone/>
              <wp:docPr id="506" name="Rectangle 506"/>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CF34F" id="Rectangle 506" o:spid="_x0000_s1026" style="position:absolute;margin-left:0;margin-top:0;width:600.1pt;height:16.7pt;z-index:2517688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APt63d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766784" behindDoc="1" locked="0" layoutInCell="1" allowOverlap="1">
              <wp:simplePos x="0" y="0"/>
              <wp:positionH relativeFrom="page">
                <wp:align>left</wp:align>
              </wp:positionH>
              <wp:positionV relativeFrom="page">
                <wp:align>top</wp:align>
              </wp:positionV>
              <wp:extent cx="7621200" cy="212400"/>
              <wp:effectExtent l="0" t="0" r="0" b="0"/>
              <wp:wrapNone/>
              <wp:docPr id="1838" name="Rectangle 183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269B5" id="Rectangle 1838" o:spid="_x0000_s1026" style="position:absolute;margin-left:0;margin-top:0;width:600.1pt;height:16.7pt;z-index:-2515496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Cf62RqOAgAAjg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6780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40" name="Rectangle 184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FEE77" id="Rectangle 1840" o:spid="_x0000_s1026" style="position:absolute;margin-left:-3.7pt;margin-top:-116.05pt;width:8.85pt;height:37.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uyOdMZ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76576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41" name="Rectangle 184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5156F" id="Rectangle 1841" o:spid="_x0000_s1026" style="position:absolute;margin-left:-3.7pt;margin-top:-116.05pt;width:8.85pt;height:37.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0P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ZB+dD5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76473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83" name="Rectangle 48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10781" id="Rectangle 483" o:spid="_x0000_s1026" style="position:absolute;margin-left:-3.7pt;margin-top:-116.05pt;width:8.85pt;height:37.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Tg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QusTg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6371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84" name="Rectangle 48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DC621" id="Rectangle 484" o:spid="_x0000_s1026" style="position:absolute;margin-left:-3.7pt;margin-top:-116.05pt;width:8.85pt;height:3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o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ngao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Annual Management and Performanc</w:t>
    </w:r>
    <w:r>
      <w:t>e Report for the EU Budget – Financial year 2019</w:t>
    </w:r>
    <w:r>
      <w:rPr>
        <w:lang w:val="fr-BE" w:eastAsia="fr-BE"/>
      </w:rPr>
      <mc:AlternateContent>
        <mc:Choice Requires="wps">
          <w:drawing>
            <wp:anchor distT="0" distB="0" distL="114300" distR="114300" simplePos="0" relativeHeight="251769856" behindDoc="0" locked="0" layoutInCell="1" allowOverlap="1">
              <wp:simplePos x="0" y="0"/>
              <wp:positionH relativeFrom="page">
                <wp:align>left</wp:align>
              </wp:positionH>
              <wp:positionV relativeFrom="page">
                <wp:align>top</wp:align>
              </wp:positionV>
              <wp:extent cx="7621200" cy="212400"/>
              <wp:effectExtent l="0" t="0" r="0" b="0"/>
              <wp:wrapNone/>
              <wp:docPr id="507" name="Rectangle 50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9A722" id="Rectangle 507" o:spid="_x0000_s1026" style="position:absolute;margin-left:0;margin-top:0;width:600.1pt;height:16.7pt;z-index:2517698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Ajfmg7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569152" behindDoc="1" locked="0" layoutInCell="1" allowOverlap="1">
              <wp:simplePos x="0" y="0"/>
              <wp:positionH relativeFrom="page">
                <wp:align>left</wp:align>
              </wp:positionH>
              <wp:positionV relativeFrom="page">
                <wp:align>top</wp:align>
              </wp:positionV>
              <wp:extent cx="7621200" cy="212400"/>
              <wp:effectExtent l="0" t="0" r="0" b="0"/>
              <wp:wrapNone/>
              <wp:docPr id="1902" name="Rectangle 190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5EEEA" id="Rectangle 1902" o:spid="_x0000_s1026" style="position:absolute;margin-left:0;margin-top:0;width:600.1pt;height:16.7pt;z-index:-2517473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DSFGfM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712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03" name="Rectangle 190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67699" id="Rectangle 1903" o:spid="_x0000_s1026" style="position:absolute;margin-left:-3.7pt;margin-top:-116.05pt;width:8.85pt;height:37.1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kD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acAZA5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6403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04" name="Rectangle 190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A141D" id="Rectangle 1904" o:spid="_x0000_s1026" style="position:absolute;margin-left:-3.7pt;margin-top:-116.05pt;width:8.85pt;height:37.1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hm5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dHYZuZ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56300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05" name="Rectangle 190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D3367" id="Rectangle 1905" o:spid="_x0000_s1026" style="position:absolute;margin-left:-3.7pt;margin-top:-116.05pt;width:8.85pt;height:37.1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rShmHmQIAAIo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6096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06" name="Rectangle 190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C6CE4" id="Rectangle 1906" o:spid="_x0000_s1026" style="position:absolute;margin-left:-3.7pt;margin-top:-116.05pt;width:8.85pt;height:37.1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nF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yg8ZxZ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773952" behindDoc="1" locked="0" layoutInCell="1" allowOverlap="1">
              <wp:simplePos x="0" y="0"/>
              <wp:positionH relativeFrom="page">
                <wp:align>left</wp:align>
              </wp:positionH>
              <wp:positionV relativeFrom="page">
                <wp:align>top</wp:align>
              </wp:positionV>
              <wp:extent cx="7621200" cy="212400"/>
              <wp:effectExtent l="0" t="0" r="0" b="0"/>
              <wp:wrapNone/>
              <wp:docPr id="1897" name="Rectangle 189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4D189" id="Rectangle 1897" o:spid="_x0000_s1026" style="position:absolute;margin-left:0;margin-top:0;width:600.1pt;height:16.7pt;z-index:-2515425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ri21y5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7497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98" name="Rectangle 189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8319F" id="Rectangle 1898" o:spid="_x0000_s1026" style="position:absolute;margin-left:-3.7pt;margin-top:-116.05pt;width:8.85pt;height:37.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V0pi55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77292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99" name="Rectangle 189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78B81" id="Rectangle 1899" o:spid="_x0000_s1026" style="position:absolute;margin-left:-3.7pt;margin-top:-116.05pt;width:8.85pt;height:37.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LZ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iHZi2Z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7719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00" name="Rectangle 190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530F7" id="Rectangle 1900" o:spid="_x0000_s1026" style="position:absolute;margin-left:-3.7pt;margin-top:-116.05pt;width:8.85pt;height:37.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lB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CIUZQZ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7088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01" name="Rectangle 190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D90FA" id="Rectangle 1901" o:spid="_x0000_s1026" style="position:absolute;margin-left:-3.7pt;margin-top:-116.05pt;width:8.85pt;height:37.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l/mQ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XuRl/mQIAAIoFAAAOAAAAAAAAAAAAAAAAAC4CAABkcnMvZTJv&#10;RG9jLnhtbFBLAQItABQABgAIAAAAIQCZXMi63wAAAAsBAAAPAAAAAAAAAAAAAAAAAPMEAABkcnMv&#10;ZG93bnJldi54bWxQSwUGAAAAAAQABADzAAAA/wUAAAAA&#10;" fillcolor="#3fb296" stroked="f" strokeweight="1p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Runningheader-leftside"/>
      <w:rPr>
        <w:rFonts w:eastAsiaTheme="minorEastAsia"/>
      </w:rPr>
    </w:pPr>
    <w:r>
      <w:rPr>
        <w:rFonts w:eastAsiaTheme="minorEastAsia"/>
        <w:lang w:val="fr-BE"/>
      </w:rPr>
      <mc:AlternateContent>
        <mc:Choice Requires="wps">
          <w:drawing>
            <wp:anchor distT="0" distB="0" distL="114300" distR="114300" simplePos="0" relativeHeight="25159577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9" name="Rectangle 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89F09" id="Rectangle 9" o:spid="_x0000_s1026" style="position:absolute;margin-left:-3.7pt;margin-top:-116.05pt;width:8.85pt;height:37.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eQXlwIAAIQ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PZXkF5cCAACEBQAADgAAAAAAAAAAAAAAAAAuAgAAZHJzL2Uyb0Rv&#10;Yy54bWxQSwECLQAUAAYACAAAACEAmVzIut8AAAALAQAADwAAAAAAAAAAAAAAAADxBAAAZHJzL2Rv&#10;d25yZXYueG1sUEsFBgAAAAAEAAQA8wAAAP0FAAAAAA==&#10;" fillcolor="#3fb296" stroked="f" strokeweight="1pt"/>
          </w:pict>
        </mc:Fallback>
      </mc:AlternateContent>
    </w:r>
    <w:r>
      <w:rPr>
        <w:rFonts w:eastAsiaTheme="minorEastAsia"/>
      </w:rPr>
      <w:t>2019 Annual Management and Performance Report</w:t>
    </w:r>
    <w:r>
      <w:rPr>
        <w:rFonts w:eastAsiaTheme="minorEastAsia"/>
        <w:lang w:val="fr-BE"/>
      </w:rPr>
      <mc:AlternateContent>
        <mc:Choice Requires="wps">
          <w:drawing>
            <wp:anchor distT="0" distB="0" distL="0" distR="0" simplePos="0" relativeHeight="251594752" behindDoc="0" locked="1" layoutInCell="1" allowOverlap="1">
              <wp:simplePos x="0" y="0"/>
              <wp:positionH relativeFrom="page">
                <wp:posOffset>0</wp:posOffset>
              </wp:positionH>
              <wp:positionV relativeFrom="page">
                <wp:posOffset>-205105</wp:posOffset>
              </wp:positionV>
              <wp:extent cx="15109190" cy="309245"/>
              <wp:effectExtent l="0" t="0" r="0" b="0"/>
              <wp:wrapTopAndBottom/>
              <wp:docPr id="10" name="Rectangle 10"/>
              <wp:cNvGraphicFramePr/>
              <a:graphic xmlns:a="http://schemas.openxmlformats.org/drawingml/2006/main">
                <a:graphicData uri="http://schemas.microsoft.com/office/word/2010/wordprocessingShape">
                  <wps:wsp>
                    <wps:cNvSpPr/>
                    <wps:spPr>
                      <a:xfrm>
                        <a:off x="0" y="0"/>
                        <a:ext cx="15109190" cy="309245"/>
                      </a:xfrm>
                      <a:prstGeom prst="rect">
                        <a:avLst/>
                      </a:prstGeom>
                      <a:solidFill>
                        <a:srgbClr val="28296E"/>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DAF93" id="Rectangle 10" o:spid="_x0000_s1026" style="position:absolute;margin-left:0;margin-top:-16.15pt;width:1189.7pt;height:24.35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" fillcolor="#28296e" stroked="f">
              <v:textbox inset="0,0,0,0"/>
              <w10:wrap type="topAndBottom" anchorx="page" anchory="page"/>
              <w10:anchorlock/>
            </v:rect>
          </w:pict>
        </mc:Fallback>
      </mc:AlternateContent>
    </w:r>
    <w:r>
      <w:rPr>
        <w:rFonts w:eastAsiaTheme="minorEastAsia"/>
      </w:rPr>
      <w:t xml:space="preserve"> – Annex I</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599872" behindDoc="1" locked="0" layoutInCell="1" allowOverlap="1">
              <wp:simplePos x="0" y="0"/>
              <wp:positionH relativeFrom="page">
                <wp:align>left</wp:align>
              </wp:positionH>
              <wp:positionV relativeFrom="page">
                <wp:align>top</wp:align>
              </wp:positionV>
              <wp:extent cx="7621200" cy="212400"/>
              <wp:effectExtent l="0" t="0" r="0" b="0"/>
              <wp:wrapNone/>
              <wp:docPr id="211" name="Rectangle 21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D8DF7" id="Rectangle 211" o:spid="_x0000_s1026" style="position:absolute;margin-left:0;margin-top:0;width:600.1pt;height:16.7pt;z-index:-25171660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cpXdd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0089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12" name="Rectangle 21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E6DCD" id="Rectangle 212" o:spid="_x0000_s1026" style="position:absolute;margin-left:-3.7pt;margin-top:-116.05pt;width:8.85pt;height:37.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r2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agVr2mQIAAIg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9884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13" name="Rectangle 21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E1598" id="Rectangle 213" o:spid="_x0000_s1026" style="position:absolute;margin-left:-3.7pt;margin-top:-116.05pt;width:8.85pt;height:37.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Ger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4jGer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5978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9" name="Rectangle 20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AB2D9" id="Rectangle 209" o:spid="_x0000_s1026" style="position:absolute;margin-left:-3.7pt;margin-top:-116.05pt;width:8.85pt;height:37.1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Wyoc2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968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10" name="Rectangle 21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EE8D1" id="Rectangle 210" o:spid="_x0000_s1026" style="position:absolute;margin-left:-3.7pt;margin-top:-116.05pt;width:8.85pt;height:37.1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BM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emyBM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550720" behindDoc="1" locked="0" layoutInCell="1" allowOverlap="1">
              <wp:simplePos x="0" y="0"/>
              <wp:positionH relativeFrom="page">
                <wp:align>left</wp:align>
              </wp:positionH>
              <wp:positionV relativeFrom="page">
                <wp:align>top</wp:align>
              </wp:positionV>
              <wp:extent cx="7621200" cy="212400"/>
              <wp:effectExtent l="0" t="0" r="0" b="0"/>
              <wp:wrapNone/>
              <wp:docPr id="270" name="Rectangle 270"/>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23A86" id="Rectangle 270" o:spid="_x0000_s1026" style="position:absolute;margin-left:0;margin-top:0;width:600.1pt;height:16.7pt;z-index:-25176576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EyaNReOAgAAjA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644928" behindDoc="1" locked="0" layoutInCell="1" allowOverlap="1">
              <wp:simplePos x="0" y="0"/>
              <wp:positionH relativeFrom="page">
                <wp:align>left</wp:align>
              </wp:positionH>
              <wp:positionV relativeFrom="page">
                <wp:align>top</wp:align>
              </wp:positionV>
              <wp:extent cx="7621200" cy="212400"/>
              <wp:effectExtent l="0" t="0" r="0" b="0"/>
              <wp:wrapNone/>
              <wp:docPr id="1810" name="Rectangle 1810"/>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FF8B8" id="Rectangle 1810" o:spid="_x0000_s1026" style="position:absolute;margin-left:0;margin-top:0;width:600.1pt;height:16.7pt;z-index:-2516715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4xIhq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4595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11" name="Rectangle 181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F262F" id="Rectangle 1811" o:spid="_x0000_s1026" style="position:absolute;margin-left:-3.7pt;margin-top:-116.05pt;width:8.85pt;height:37.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YRA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e2EQJ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439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15" name="Rectangle 181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10E48" id="Rectangle 1815" o:spid="_x0000_s1026" style="position:absolute;margin-left:-3.7pt;margin-top:-116.05pt;width:8.85pt;height:37.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S4mQ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FHoS4mQIAAIo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64288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16" name="Rectangle 181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4193E" id="Rectangle 1816" o:spid="_x0000_s1026" style="position:absolute;margin-left:-3.7pt;margin-top:-116.05pt;width:8.85pt;height:37.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4T6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5FuE+p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4185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17" name="Rectangle 181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AD482" id="Rectangle 1817" o:spid="_x0000_s1026" style="position:absolute;margin-left:-3.7pt;margin-top:-116.05pt;width:8.85pt;height:37.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4TE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O2eExJ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646976" behindDoc="1" locked="0" layoutInCell="1" allowOverlap="1">
              <wp:simplePos x="0" y="0"/>
              <wp:positionH relativeFrom="page">
                <wp:align>left</wp:align>
              </wp:positionH>
              <wp:positionV relativeFrom="page">
                <wp:align>top</wp:align>
              </wp:positionV>
              <wp:extent cx="7621200" cy="212400"/>
              <wp:effectExtent l="0" t="0" r="0" b="0"/>
              <wp:wrapNone/>
              <wp:docPr id="1818" name="Rectangle 181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A0F66" id="Rectangle 1818" o:spid="_x0000_s1026" style="position:absolute;margin-left:0;margin-top:0;width:600.1pt;height:16.7pt;z-index:-2516695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" fillcolor="#4472c4 [3208]" stroked="f" strokeweight="1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D44" w:rsidRPr="00F76D44" w:rsidRDefault="00F76D44" w:rsidP="00F76D44">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604992" behindDoc="1" locked="0" layoutInCell="1" allowOverlap="1">
              <wp:simplePos x="0" y="0"/>
              <wp:positionH relativeFrom="page">
                <wp:align>left</wp:align>
              </wp:positionH>
              <wp:positionV relativeFrom="page">
                <wp:align>top</wp:align>
              </wp:positionV>
              <wp:extent cx="7621200" cy="212400"/>
              <wp:effectExtent l="0" t="0" r="0" b="0"/>
              <wp:wrapNone/>
              <wp:docPr id="271" name="Rectangle 27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1C46C" id="Rectangle 271" o:spid="_x0000_s1026" style="position:absolute;margin-left:0;margin-top:0;width:600.1pt;height:16.7pt;z-index:-2517114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BgU/Dx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060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73" name="Rectangle 27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3E919" id="Rectangle 273" o:spid="_x0000_s1026" style="position:absolute;margin-left:-3.7pt;margin-top:-116.05pt;width:8.85pt;height:37.1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GwPw9WYAgAAiAUAAA4AAAAAAAAAAAAAAAAALgIAAGRycy9lMm9E&#10;b2MueG1sUEsBAi0AFAAGAAgAAAAhAJlcyLrfAAAACwEAAA8AAAAAAAAAAAAAAAAA8gQAAGRycy9k&#10;b3ducmV2LnhtbFBLBQYAAAAABAAEAPMAAAD+BQ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0396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95" name="Rectangle 29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953E5" id="Rectangle 295" o:spid="_x0000_s1026" style="position:absolute;margin-left:-3.7pt;margin-top:-116.05pt;width:8.85pt;height:37.1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6Xcah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60294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99" name="Rectangle 29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CB1C3" id="Rectangle 299" o:spid="_x0000_s1026" style="position:absolute;margin-left:-3.7pt;margin-top:-116.05pt;width:8.85pt;height:37.1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gDziK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0192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00" name="Rectangle 30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55B36" id="Rectangle 300" o:spid="_x0000_s1026" style="position:absolute;margin-left:-3.7pt;margin-top:-116.05pt;width:8.85pt;height:37.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vG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CjrvG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653120" behindDoc="1" locked="0" layoutInCell="1" allowOverlap="1">
              <wp:simplePos x="0" y="0"/>
              <wp:positionH relativeFrom="page">
                <wp:align>left</wp:align>
              </wp:positionH>
              <wp:positionV relativeFrom="page">
                <wp:align>top</wp:align>
              </wp:positionV>
              <wp:extent cx="7621200" cy="212400"/>
              <wp:effectExtent l="0" t="0" r="0" b="0"/>
              <wp:wrapNone/>
              <wp:docPr id="32" name="Rectangle 3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C5159" id="Rectangle 32" o:spid="_x0000_s1026" style="position:absolute;margin-left:0;margin-top:0;width:600.1pt;height:16.7pt;z-index:-25166336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zWjgIAAIo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JuC/NaOAgAAig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651072" behindDoc="1" locked="0" layoutInCell="1" allowOverlap="1">
              <wp:simplePos x="0" y="0"/>
              <wp:positionH relativeFrom="page">
                <wp:align>left</wp:align>
              </wp:positionH>
              <wp:positionV relativeFrom="page">
                <wp:align>top</wp:align>
              </wp:positionV>
              <wp:extent cx="7621200" cy="212400"/>
              <wp:effectExtent l="0" t="0" r="0" b="0"/>
              <wp:wrapNone/>
              <wp:docPr id="1819" name="Rectangle 1819"/>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7E208" id="Rectangle 1819" o:spid="_x0000_s1026" style="position:absolute;margin-left:0;margin-top:0;width:600.1pt;height:16.7pt;z-index:-25166540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AuPbSy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5209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20" name="Rectangle 182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83D95" id="Rectangle 1820" o:spid="_x0000_s1026" style="position:absolute;margin-left:-3.7pt;margin-top:-116.05pt;width:8.85pt;height:37.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rYBzRJ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5004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21" name="Rectangle 182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386AB" id="Rectangle 1821" o:spid="_x0000_s1026" style="position:absolute;margin-left:-3.7pt;margin-top:-116.05pt;width:8.85pt;height:37.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N6mgIAAIo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crxzep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6490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22" name="Rectangle 182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344A5" id="Rectangle 1822" o:spid="_x0000_s1026" style="position:absolute;margin-left:-3.7pt;margin-top:-116.05pt;width:8.85pt;height:3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4mgIAAIo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E/lzOJ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480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23" name="Rectangle 182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B8CD2" id="Rectangle 1823" o:spid="_x0000_s1026" style="position:absolute;margin-left:-3.7pt;margin-top:-116.05pt;width:8.85pt;height:37.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MGmgIAAIo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zMVzBp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654144" behindDoc="1" locked="0" layoutInCell="1" allowOverlap="1">
              <wp:simplePos x="0" y="0"/>
              <wp:positionH relativeFrom="page">
                <wp:align>left</wp:align>
              </wp:positionH>
              <wp:positionV relativeFrom="page">
                <wp:align>top</wp:align>
              </wp:positionV>
              <wp:extent cx="7621200" cy="212400"/>
              <wp:effectExtent l="0" t="0" r="0" b="0"/>
              <wp:wrapNone/>
              <wp:docPr id="33" name="Rectangle 3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07F05" id="Rectangle 33" o:spid="_x0000_s1026" style="position:absolute;margin-left:0;margin-top:0;width:600.1pt;height:16.7pt;z-index:-2516623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DRtimOOAgAAig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610112" behindDoc="1" locked="0" layoutInCell="1" allowOverlap="1">
              <wp:simplePos x="0" y="0"/>
              <wp:positionH relativeFrom="page">
                <wp:align>left</wp:align>
              </wp:positionH>
              <wp:positionV relativeFrom="page">
                <wp:align>top</wp:align>
              </wp:positionV>
              <wp:extent cx="7621200" cy="212400"/>
              <wp:effectExtent l="0" t="0" r="0" b="0"/>
              <wp:wrapNone/>
              <wp:docPr id="318" name="Rectangle 31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4191D" id="Rectangle 318" o:spid="_x0000_s1026" style="position:absolute;margin-left:0;margin-top:0;width:600.1pt;height:16.7pt;z-index:-2517063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9E7jwIAAIw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ry9E7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1113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20" name="Rectangle 32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37E81" id="Rectangle 320" o:spid="_x0000_s1026" style="position:absolute;margin-left:-3.7pt;margin-top:-116.05pt;width:8.85pt;height:37.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x8ghamQIAAIg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0908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21" name="Rectangle 32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267BC" id="Rectangle 321" o:spid="_x0000_s1026" style="position:absolute;margin-left:-3.7pt;margin-top:-116.05pt;width:8.85pt;height:37.1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H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T/zUH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60806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22" name="Rectangle 32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09B0C" id="Rectangle 322" o:spid="_x0000_s1026" style="position:absolute;margin-left:-3.7pt;margin-top:-116.05pt;width:8.85pt;height:37.1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HLg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16HLg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0704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23" name="Rectangle 32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735B3" id="Rectangle 323" o:spid="_x0000_s1026" style="position:absolute;margin-left:-3.7pt;margin-top:-116.05pt;width:8.85pt;height:37.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X5U+9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664384" behindDoc="1" locked="0" layoutInCell="1" allowOverlap="1">
              <wp:simplePos x="0" y="0"/>
              <wp:positionH relativeFrom="page">
                <wp:align>left</wp:align>
              </wp:positionH>
              <wp:positionV relativeFrom="page">
                <wp:align>top</wp:align>
              </wp:positionV>
              <wp:extent cx="7621200" cy="212400"/>
              <wp:effectExtent l="0" t="0" r="0" b="0"/>
              <wp:wrapNone/>
              <wp:docPr id="50" name="Rectangle 50"/>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632B2" id="Rectangle 50" o:spid="_x0000_s1026" style="position:absolute;margin-left:0;margin-top:0;width:600.1pt;height:16.7pt;z-index:-2516520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" fillcolor="#4472c4 [3208]" stroked="f" strokeweight="1pt">
              <w10:wrap anchorx="page" anchory="page"/>
            </v:rect>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661312" behindDoc="1" locked="0" layoutInCell="1" allowOverlap="1">
              <wp:simplePos x="0" y="0"/>
              <wp:positionH relativeFrom="page">
                <wp:align>left</wp:align>
              </wp:positionH>
              <wp:positionV relativeFrom="page">
                <wp:align>top</wp:align>
              </wp:positionV>
              <wp:extent cx="7621200" cy="212400"/>
              <wp:effectExtent l="0" t="0" r="0" b="0"/>
              <wp:wrapNone/>
              <wp:docPr id="34" name="Rectangle 3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CF651" id="Rectangle 34" o:spid="_x0000_s1026" style="position:absolute;margin-left:0;margin-top:0;width:600.1pt;height:16.7pt;z-index:-2516551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yjfjgIAAIo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PvvKN+OAgAAig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6336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5" name="Rectangle 3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99224" id="Rectangle 35" o:spid="_x0000_s1026" style="position:absolute;margin-left:-3.7pt;margin-top:-116.05pt;width:8.85pt;height:3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74dodmQIAAIY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6028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6" name="Rectangle 3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CD90C" id="Rectangle 36" o:spid="_x0000_s1026" style="position:absolute;margin-left:-3.7pt;margin-top:-116.05pt;width:8.85pt;height:3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" fillcolor="#3fb296" stroked="f" strokeweight="1pt"/>
          </w:pict>
        </mc:Fallback>
      </mc:AlternateContent>
    </w:r>
    <w:r>
      <w:rPr>
        <w:lang w:val="fr-BE" w:eastAsia="fr-BE"/>
      </w:rPr>
      <mc:AlternateContent>
        <mc:Choice Requires="wps">
          <w:drawing>
            <wp:anchor distT="0" distB="0" distL="114300" distR="114300" simplePos="0" relativeHeight="2516572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7" name="Rectangle 3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2F25F" id="Rectangle 37" o:spid="_x0000_s1026" style="position:absolute;margin-left:-3.7pt;margin-top:-116.05pt;width:8.85pt;height:3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rR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AUzGtGYAgAAhgUAAA4AAAAAAAAAAAAAAAAALgIAAGRycy9lMm9E&#10;b2MueG1sUEsBAi0AFAAGAAgAAAAhAJlcyLrfAAAACwEAAA8AAAAAAAAAAAAAAAAA8gQAAGRycy9k&#10;b3ducmV2LnhtbFBLBQYAAAAABAAEAPMAAAD+BQ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5516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8" name="Rectangle 4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B77D5" id="Rectangle 48" o:spid="_x0000_s1026" style="position:absolute;margin-left:-3.7pt;margin-top:-116.05pt;width:8.85pt;height:3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yT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NxALJOYAgAAhgUAAA4AAAAAAAAAAAAAAAAALgIAAGRycy9lMm9E&#10;b2MueG1sUEsBAi0AFAAGAAgAAAAhAJlcyLrfAAAACwEAAA8AAAAAAAAAAAAAAAAA8gQAAGRycy9k&#10;b3ducmV2LnhtbFBLBQYAAAAABAAEAPMAAAD+BQAAAAA=&#10;" fillcolor="#3fb296"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D44" w:rsidRPr="00F76D44" w:rsidRDefault="00F76D44" w:rsidP="00F76D44">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665408" behindDoc="1" locked="0" layoutInCell="1" allowOverlap="1">
              <wp:simplePos x="0" y="0"/>
              <wp:positionH relativeFrom="page">
                <wp:align>left</wp:align>
              </wp:positionH>
              <wp:positionV relativeFrom="page">
                <wp:align>top</wp:align>
              </wp:positionV>
              <wp:extent cx="7621200" cy="212400"/>
              <wp:effectExtent l="0" t="0" r="0" b="0"/>
              <wp:wrapNone/>
              <wp:docPr id="51" name="Rectangle 5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B8F87" id="Rectangle 51" o:spid="_x0000_s1026" style="position:absolute;margin-left:0;margin-top:0;width:600.1pt;height:16.7pt;z-index:-25165107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B4BrZ+OAgAAig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615232" behindDoc="1" locked="0" layoutInCell="1" allowOverlap="1">
              <wp:simplePos x="0" y="0"/>
              <wp:positionH relativeFrom="page">
                <wp:align>left</wp:align>
              </wp:positionH>
              <wp:positionV relativeFrom="page">
                <wp:align>top</wp:align>
              </wp:positionV>
              <wp:extent cx="7621200" cy="212400"/>
              <wp:effectExtent l="0" t="0" r="0" b="0"/>
              <wp:wrapNone/>
              <wp:docPr id="324" name="Rectangle 32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45898" id="Rectangle 324" o:spid="_x0000_s1026" style="position:absolute;margin-left:0;margin-top:0;width:600.1pt;height:16.7pt;z-index:-2517012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0bjwIAAIw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DSI0b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1625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26" name="Rectangle 32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EF58B" id="Rectangle 326" o:spid="_x0000_s1026" style="position:absolute;margin-left:-3.7pt;margin-top:-116.05pt;width:8.85pt;height:37.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PNv3T5cCAACIBQAADgAAAAAAAAAAAAAAAAAuAgAAZHJzL2Uyb0Rv&#10;Yy54bWxQSwECLQAUAAYACAAAACEAmVzIut8AAAALAQAADwAAAAAAAAAAAAAAAADxBAAAZHJzL2Rv&#10;d25yZXYueG1sUEsFBgAAAAAEAAQA8wAAAP0F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1420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27" name="Rectangle 32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73195" id="Rectangle 327" o:spid="_x0000_s1026" style="position:absolute;margin-left:-3.7pt;margin-top:-116.05pt;width:8.85pt;height:37.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F7WyhKYAgAAiAUAAA4AAAAAAAAAAAAAAAAALgIAAGRycy9lMm9E&#10;b2MueG1sUEsBAi0AFAAGAAgAAAAhAJlcyLrfAAAACwEAAA8AAAAAAAAAAAAAAAAA8gQAAGRycy9k&#10;b3ducmV2LnhtbFBLBQYAAAAABAAEAPMAAAD+BQAAAAA=&#10;" fillcolor="#3fb296" stroked="f" strokeweight="1pt"/>
          </w:pict>
        </mc:Fallback>
      </mc:AlternateContent>
    </w:r>
    <w:r>
      <w:rPr>
        <w:lang w:val="fr-BE" w:eastAsia="fr-BE"/>
      </w:rPr>
      <mc:AlternateContent>
        <mc:Choice Requires="wps">
          <w:drawing>
            <wp:anchor distT="0" distB="0" distL="114300" distR="114300" simplePos="0" relativeHeight="25161318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29" name="Rectangle 32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2C7D0" id="Rectangle 329" o:spid="_x0000_s1026" style="position:absolute;margin-left:-3.7pt;margin-top:-116.05pt;width:8.85pt;height:37.1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Ank6D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1216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30" name="Rectangle 33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BCCC6" id="Rectangle 330" o:spid="_x0000_s1026" style="position:absolute;margin-left:-3.7pt;margin-top:-116.05pt;width:8.85pt;height:37.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Iz+n5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 xml:space="preserve">Annual Management and </w:t>
    </w:r>
    <w:r>
      <w:t>Performance Report for the EU Budget – Financial year 2019</w:t>
    </w:r>
    <w:r>
      <w:rPr>
        <w:lang w:val="fr-BE" w:eastAsia="fr-BE"/>
      </w:rPr>
      <mc:AlternateContent>
        <mc:Choice Requires="wps">
          <w:drawing>
            <wp:anchor distT="0" distB="0" distL="114300" distR="114300" simplePos="0" relativeHeight="251671552" behindDoc="1" locked="0" layoutInCell="1" allowOverlap="1">
              <wp:simplePos x="0" y="0"/>
              <wp:positionH relativeFrom="page">
                <wp:align>left</wp:align>
              </wp:positionH>
              <wp:positionV relativeFrom="page">
                <wp:align>top</wp:align>
              </wp:positionV>
              <wp:extent cx="7621200" cy="212400"/>
              <wp:effectExtent l="0" t="0" r="0" b="0"/>
              <wp:wrapNone/>
              <wp:docPr id="1537" name="Rectangle 153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974C0" id="Rectangle 1537" o:spid="_x0000_s1026" style="position:absolute;margin-left:0;margin-top:0;width:600.1pt;height:16.7pt;z-index:-2516449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FIYPM5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669504" behindDoc="1" locked="0" layoutInCell="1" allowOverlap="1">
              <wp:simplePos x="0" y="0"/>
              <wp:positionH relativeFrom="page">
                <wp:align>left</wp:align>
              </wp:positionH>
              <wp:positionV relativeFrom="page">
                <wp:align>top</wp:align>
              </wp:positionV>
              <wp:extent cx="7621200" cy="212400"/>
              <wp:effectExtent l="0" t="0" r="0" b="0"/>
              <wp:wrapNone/>
              <wp:docPr id="52" name="Rectangle 5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353C9" id="Rectangle 52" o:spid="_x0000_s1026" style="position:absolute;margin-left:0;margin-top:0;width:600.1pt;height:16.7pt;z-index:-2516469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K43R5uOAgAAig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7052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53" name="Rectangle 5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46F9B" id="Rectangle 53" o:spid="_x0000_s1026" style="position:absolute;margin-left:-3.7pt;margin-top:-116.05pt;width:8.85pt;height:3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LF8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OOwsXyYAgAAhgUAAA4AAAAAAAAAAAAAAAAALgIAAGRycy9lMm9E&#10;b2MueG1sUEsBAi0AFAAGAAgAAAAhAJlcyLrfAAAACwEAAA8AAAAAAAAAAAAAAAAA8gQAAGRycy9k&#10;b3ducmV2LnhtbFBLBQYAAAAABAAEAPMAAAD+BQ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6848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55" name="Rectangle 5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74083" id="Rectangle 55" o:spid="_x0000_s1026" style="position:absolute;margin-left:-3.7pt;margin-top:-116.05pt;width:8.85pt;height:3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Hymg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oMGB8poCAACG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66745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56" name="Rectangle 5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BDAAA" id="Rectangle 56" o:spid="_x0000_s1026" style="position:absolute;margin-left:-3.7pt;margin-top:-116.05pt;width:8.85pt;height:3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6643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536" name="Rectangle 153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FD656" id="Rectangle 1536" o:spid="_x0000_s1026" style="position:absolute;margin-left:-3.7pt;margin-top:-116.05pt;width:8.85pt;height:3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93N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5O/dzZ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672576" behindDoc="1" locked="0" layoutInCell="1" allowOverlap="1">
              <wp:simplePos x="0" y="0"/>
              <wp:positionH relativeFrom="page">
                <wp:align>left</wp:align>
              </wp:positionH>
              <wp:positionV relativeFrom="page">
                <wp:align>top</wp:align>
              </wp:positionV>
              <wp:extent cx="7621200" cy="212400"/>
              <wp:effectExtent l="0" t="0" r="0" b="0"/>
              <wp:wrapNone/>
              <wp:docPr id="1538" name="Rectangle 153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8FE94" id="Rectangle 1538" o:spid="_x0000_s1026" style="position:absolute;margin-left:0;margin-top:0;width:600.1pt;height:16.7pt;z-index:-2516439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GCAADGOAgAAjg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620352" behindDoc="1" locked="0" layoutInCell="1" allowOverlap="1">
              <wp:simplePos x="0" y="0"/>
              <wp:positionH relativeFrom="page">
                <wp:align>left</wp:align>
              </wp:positionH>
              <wp:positionV relativeFrom="page">
                <wp:align>top</wp:align>
              </wp:positionV>
              <wp:extent cx="7621200" cy="212400"/>
              <wp:effectExtent l="0" t="0" r="0" b="0"/>
              <wp:wrapNone/>
              <wp:docPr id="331" name="Rectangle 33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33808" id="Rectangle 331" o:spid="_x0000_s1026" style="position:absolute;margin-left:0;margin-top:0;width:600.1pt;height:16.7pt;z-index:-2516961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twCD4pACAACM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2137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32" name="Rectangle 33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17D4B" id="Rectangle 332" o:spid="_x0000_s1026" style="position:absolute;margin-left:-3.7pt;margin-top:-116.05pt;width:8.85pt;height:37.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M1ZNDmQIAAIg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1932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43" name="Rectangle 34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EA9A0" id="Rectangle 343" o:spid="_x0000_s1026" style="position:absolute;margin-left:-3.7pt;margin-top:-116.05pt;width:8.85pt;height:37.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DZuvD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6183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67" name="Rectangle 36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F08AC" id="Rectangle 367" o:spid="_x0000_s1026" style="position:absolute;margin-left:-3.7pt;margin-top:-116.05pt;width:8.85pt;height:37.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3w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5Kd3w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1728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77" name="Rectangle 37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8ABBE" id="Rectangle 377" o:spid="_x0000_s1026" style="position:absolute;margin-left:-3.7pt;margin-top:-116.05pt;width:8.85pt;height:37.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AFDxT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r>
      <w:rPr>
        <w:noProof/>
        <w:lang w:val="fr-BE" w:eastAsia="fr-BE"/>
      </w:rPr>
      <mc:AlternateContent>
        <mc:Choice Requires="wps">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621200" cy="212400"/>
              <wp:effectExtent l="0" t="0" r="0" b="0"/>
              <wp:wrapNone/>
              <wp:docPr id="18" name="Rectangle 1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196F5" id="Rectangle 18" o:spid="_x0000_s1026" style="position:absolute;margin-left:0;margin-top:0;width:600.1pt;height:16.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" fillcolor="#4472c4 [3208]" stroked="f" strokeweight="1pt">
              <w10:wrap anchorx="page" anchory="page"/>
            </v:rect>
          </w:pict>
        </mc:Fallback>
      </mc:AlternateContent>
    </w:r>
    <w:r>
      <w:rPr>
        <w:noProof/>
        <w:lang w:val="fr-BE" w:eastAsia="fr-BE"/>
      </w:rPr>
      <mc:AlternateContent>
        <mc:Choice Requires="wps">
          <w:drawing>
            <wp:anchor distT="0" distB="0" distL="114300" distR="114300" simplePos="0" relativeHeight="25165824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 name="Rectangle 2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0A61E" id="Rectangle 20" o:spid="_x0000_s1026" style="position:absolute;margin-left:-3.7pt;margin-top:-116.05pt;width:8.85pt;height:3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P0nlvmYAgAAhgUAAA4AAAAAAAAAAAAAAAAALgIAAGRycy9lMm9E&#10;b2MueG1sUEsBAi0AFAAGAAgAAAAhAJlcyLrfAAAACwEAAA8AAAAAAAAAAAAAAAAA8gQAAGRycy9k&#10;b3ducmV2LnhtbFBLBQYAAAAABAAEAPMAAAD+BQAAAAA=&#10;" fillcolor="#3fb296" stroked="f" strokeweight="1pt"/>
          </w:pict>
        </mc:Fallback>
      </mc:AlternateContent>
    </w:r>
    <w:r>
      <w:t xml:space="preserve">ANNEXES </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678720" behindDoc="1" locked="0" layoutInCell="1" allowOverlap="1">
              <wp:simplePos x="0" y="0"/>
              <wp:positionH relativeFrom="page">
                <wp:align>left</wp:align>
              </wp:positionH>
              <wp:positionV relativeFrom="page">
                <wp:align>top</wp:align>
              </wp:positionV>
              <wp:extent cx="7621200" cy="212400"/>
              <wp:effectExtent l="0" t="0" r="0" b="0"/>
              <wp:wrapNone/>
              <wp:docPr id="1544" name="Rectangle 154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1705C" id="Rectangle 1544" o:spid="_x0000_s1026" style="position:absolute;margin-left:0;margin-top:0;width:600.1pt;height:16.7pt;z-index:-25163776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on1V4J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676672" behindDoc="1" locked="0" layoutInCell="1" allowOverlap="1">
              <wp:simplePos x="0" y="0"/>
              <wp:positionH relativeFrom="page">
                <wp:align>left</wp:align>
              </wp:positionH>
              <wp:positionV relativeFrom="page">
                <wp:align>top</wp:align>
              </wp:positionV>
              <wp:extent cx="7621200" cy="212400"/>
              <wp:effectExtent l="0" t="0" r="0" b="0"/>
              <wp:wrapNone/>
              <wp:docPr id="1539" name="Rectangle 1539"/>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49029" id="Rectangle 1539" o:spid="_x0000_s1026" style="position:absolute;margin-left:0;margin-top:0;width:600.1pt;height:16.7pt;z-index:-25163980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8Cgno5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7769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540" name="Rectangle 154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125EA" id="Rectangle 1540" o:spid="_x0000_s1026" style="position:absolute;margin-left:-3.7pt;margin-top:-116.05pt;width:8.85pt;height:3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JCWEqmQIAAIo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7564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541" name="Rectangle 154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019D0" id="Rectangle 1541" o:spid="_x0000_s1026" style="position:absolute;margin-left:-3.7pt;margin-top:-116.05pt;width:8.85pt;height:3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EU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ljVhFJ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6746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542" name="Rectangle 154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EE262" id="Rectangle 1542" o:spid="_x0000_s1026" style="position:absolute;margin-left:-3.7pt;margin-top:-116.05pt;width:8.85pt;height:3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GFWmgIAAIo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93BhVp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736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543" name="Rectangle 154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F57C1" id="Rectangle 1543" o:spid="_x0000_s1026" style="position:absolute;margin-left:-3.7pt;margin-top:-116.05pt;width:8.85pt;height:3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Fo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KExhaJ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679744" behindDoc="1" locked="0" layoutInCell="1" allowOverlap="1">
              <wp:simplePos x="0" y="0"/>
              <wp:positionH relativeFrom="page">
                <wp:align>left</wp:align>
              </wp:positionH>
              <wp:positionV relativeFrom="page">
                <wp:align>top</wp:align>
              </wp:positionV>
              <wp:extent cx="7621200" cy="212400"/>
              <wp:effectExtent l="0" t="0" r="0" b="0"/>
              <wp:wrapNone/>
              <wp:docPr id="1545" name="Rectangle 154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9A05C" id="Rectangle 1545" o:spid="_x0000_s1026" style="position:absolute;margin-left:0;margin-top:0;width:600.1pt;height:16.7pt;z-index:-2516367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MtVycp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625472" behindDoc="1" locked="0" layoutInCell="1" allowOverlap="1">
              <wp:simplePos x="0" y="0"/>
              <wp:positionH relativeFrom="page">
                <wp:align>left</wp:align>
              </wp:positionH>
              <wp:positionV relativeFrom="page">
                <wp:align>top</wp:align>
              </wp:positionV>
              <wp:extent cx="7621200" cy="212400"/>
              <wp:effectExtent l="0" t="0" r="0" b="0"/>
              <wp:wrapNone/>
              <wp:docPr id="378" name="Rectangle 37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7FCD4" id="Rectangle 378" o:spid="_x0000_s1026" style="position:absolute;margin-left:0;margin-top:0;width:600.1pt;height:16.7pt;z-index:-25169100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aXjwIAAIw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BXPVaX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2649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90" name="Rectangle 39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CE652" id="Rectangle 390" o:spid="_x0000_s1026" style="position:absolute;margin-left:-3.7pt;margin-top:-116.05pt;width:8.85pt;height:37.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wR6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0SwR6mQIAAIg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2444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13" name="Rectangle 41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BA071" id="Rectangle 413" o:spid="_x0000_s1026" style="position:absolute;margin-left:-3.7pt;margin-top:-116.05pt;width:8.85pt;height:37.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3tc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mf3tc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6234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760" name="Rectangle 176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376C0" id="Rectangle 1760" o:spid="_x0000_s1026" style="position:absolute;margin-left:-3.7pt;margin-top:-116.05pt;width:8.85pt;height:37.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tV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FaFbVZ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224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761" name="Rectangle 176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7AD97" id="Rectangle 1761" o:spid="_x0000_s1026" style="position:absolute;margin-left:-3.7pt;margin-top:-116.05pt;width:8.85pt;height:37.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Vtr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yp1ba5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685888" behindDoc="1" locked="0" layoutInCell="1" allowOverlap="1">
              <wp:simplePos x="0" y="0"/>
              <wp:positionH relativeFrom="page">
                <wp:align>left</wp:align>
              </wp:positionH>
              <wp:positionV relativeFrom="page">
                <wp:align>top</wp:align>
              </wp:positionV>
              <wp:extent cx="7621200" cy="212400"/>
              <wp:effectExtent l="0" t="0" r="0" b="0"/>
              <wp:wrapNone/>
              <wp:docPr id="1551" name="Rectangle 155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5BDA0" id="Rectangle 1551" o:spid="_x0000_s1026" style="position:absolute;margin-left:0;margin-top:0;width:600.1pt;height:16.7pt;z-index:-2516305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BdyeKn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683840" behindDoc="1" locked="0" layoutInCell="1" allowOverlap="1">
              <wp:simplePos x="0" y="0"/>
              <wp:positionH relativeFrom="page">
                <wp:align>left</wp:align>
              </wp:positionH>
              <wp:positionV relativeFrom="page">
                <wp:align>top</wp:align>
              </wp:positionV>
              <wp:extent cx="7621200" cy="212400"/>
              <wp:effectExtent l="0" t="0" r="0" b="0"/>
              <wp:wrapNone/>
              <wp:docPr id="1546" name="Rectangle 1546"/>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83B46" id="Rectangle 1546" o:spid="_x0000_s1026" style="position:absolute;margin-left:0;margin-top:0;width:600.1pt;height:16.7pt;z-index:-2516326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wyprH5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8486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547" name="Rectangle 154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F82E1" id="Rectangle 1547" o:spid="_x0000_s1026" style="position:absolute;margin-left:-3.7pt;margin-top:-116.05pt;width:8.85pt;height:3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2GQ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VL9hkJ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828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548" name="Rectangle 154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6C359" id="Rectangle 1548" o:spid="_x0000_s1026" style="position:absolute;margin-left:-3.7pt;margin-top:-116.05pt;width:8.85pt;height:3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8OkRAZ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68179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549" name="Rectangle 154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B1EDA" id="Rectangle 1549" o:spid="_x0000_s1026" style="position:absolute;margin-left:-3.7pt;margin-top:-116.05pt;width:8.85pt;height:3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RE/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L9URP5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8076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550" name="Rectangle 155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390F4" id="Rectangle 1550" o:spid="_x0000_s1026" style="position:absolute;margin-left:-3.7pt;margin-top:-116.05pt;width:8.85pt;height:3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M8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MMYzPJ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Annual Management and Performance Report for the EU Budget – Financial yea</w:t>
    </w:r>
    <w:r>
      <w:t>r 2019</w:t>
    </w:r>
    <w:r>
      <w:rPr>
        <w:lang w:val="fr-BE" w:eastAsia="fr-BE"/>
      </w:rPr>
      <mc:AlternateContent>
        <mc:Choice Requires="wps">
          <w:drawing>
            <wp:anchor distT="0" distB="0" distL="114300" distR="114300" simplePos="0" relativeHeight="251686912" behindDoc="1" locked="0" layoutInCell="1" allowOverlap="1">
              <wp:simplePos x="0" y="0"/>
              <wp:positionH relativeFrom="page">
                <wp:align>left</wp:align>
              </wp:positionH>
              <wp:positionV relativeFrom="page">
                <wp:align>top</wp:align>
              </wp:positionV>
              <wp:extent cx="7621200" cy="212400"/>
              <wp:effectExtent l="0" t="0" r="0" b="0"/>
              <wp:wrapNone/>
              <wp:docPr id="1552" name="Rectangle 155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E5657" id="Rectangle 1552" o:spid="_x0000_s1026" style="position:absolute;margin-left:0;margin-top:0;width:600.1pt;height:16.7pt;z-index:-2516295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rDb7yp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r>
      <w:rPr>
        <w:noProof/>
        <w:lang w:val="fr-BE" w:eastAsia="fr-BE"/>
      </w:rPr>
      <mc:AlternateContent>
        <mc:Choice Requires="wps">
          <w:drawing>
            <wp:anchor distT="0" distB="0" distL="114300" distR="114300" simplePos="0" relativeHeight="251656192" behindDoc="0" locked="0" layoutInCell="1" allowOverlap="1">
              <wp:simplePos x="0" y="0"/>
              <wp:positionH relativeFrom="page">
                <wp:posOffset>0</wp:posOffset>
              </wp:positionH>
              <wp:positionV relativeFrom="page">
                <wp:posOffset>0</wp:posOffset>
              </wp:positionV>
              <wp:extent cx="7621200" cy="212400"/>
              <wp:effectExtent l="0" t="0" r="0" b="0"/>
              <wp:wrapNone/>
              <wp:docPr id="15" name="Rectangle 1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6C6AC" id="Rectangle 15" o:spid="_x0000_s1026" style="position:absolute;margin-left:0;margin-top:0;width:600.1pt;height:1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" fillcolor="#4472c4 [3208]" stroked="f" strokeweight="1pt">
              <w10:wrap anchorx="page" anchory="page"/>
            </v:rect>
          </w:pict>
        </mc:Fallback>
      </mc:AlternateContent>
    </w:r>
    <w:r>
      <w:rPr>
        <w:noProof/>
        <w:lang w:val="fr-BE" w:eastAsia="fr-BE"/>
      </w:rPr>
      <mc:AlternateContent>
        <mc:Choice Requires="wps">
          <w:drawing>
            <wp:anchor distT="0" distB="0" distL="114300" distR="114300" simplePos="0" relativeHeight="25163776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7" name="Rectangle 1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1EE20" id="Rectangle 17" o:spid="_x0000_s1026" style="position:absolute;margin-left:-3.7pt;margin-top:-116.05pt;width:8.85pt;height:37.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OL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Mws04uYAgAAhgUAAA4AAAAAAAAAAAAAAAAALgIAAGRycy9lMm9E&#10;b2MueG1sUEsBAi0AFAAGAAgAAAAhAJlcyLrfAAAACwEAAA8AAAAAAAAAAAAAAAAA8gQAAGRycy9k&#10;b3ducmV2LnhtbFBLBQYAAAAABAAEAPMAAAD+BQAAAAA=&#10;" fillcolor="#3fb296" stroked="f" strokeweight="1pt"/>
          </w:pict>
        </mc:Fallback>
      </mc:AlternateContent>
    </w:r>
    <w:r>
      <w:t xml:space="preserve">ANNEXES </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630592" behindDoc="1" locked="0" layoutInCell="1" allowOverlap="1">
              <wp:simplePos x="0" y="0"/>
              <wp:positionH relativeFrom="page">
                <wp:align>left</wp:align>
              </wp:positionH>
              <wp:positionV relativeFrom="page">
                <wp:align>top</wp:align>
              </wp:positionV>
              <wp:extent cx="7621200" cy="212400"/>
              <wp:effectExtent l="0" t="0" r="0" b="0"/>
              <wp:wrapNone/>
              <wp:docPr id="1762" name="Rectangle 176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A683D" id="Rectangle 1762" o:spid="_x0000_s1026" style="position:absolute;margin-left:0;margin-top:0;width:600.1pt;height:16.7pt;z-index:-2516858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FaMxYmOAgAAjg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316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763" name="Rectangle 176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9B5A7" id="Rectangle 1763" o:spid="_x0000_s1026" style="position:absolute;margin-left:-3.7pt;margin-top:-116.05pt;width:8.85pt;height:37.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FsX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dORbF5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2956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764" name="Rectangle 176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B251F" id="Rectangle 1764" o:spid="_x0000_s1026" style="position:absolute;margin-left:-3.7pt;margin-top:-116.05pt;width:8.85pt;height:37.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ut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aVJbrZ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62854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765" name="Rectangle 176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15769" id="Rectangle 1765" o:spid="_x0000_s1026" style="position:absolute;margin-left:-3.7pt;margin-top:-116.05pt;width:8.85pt;height:37.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uT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tm5bk5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2752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766" name="Rectangle 176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93F22" id="Rectangle 1766" o:spid="_x0000_s1026" style="position:absolute;margin-left:-3.7pt;margin-top:-116.05pt;width:8.85pt;height:37.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1ytb0Z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693056" behindDoc="1" locked="0" layoutInCell="1" allowOverlap="1">
              <wp:simplePos x="0" y="0"/>
              <wp:positionH relativeFrom="page">
                <wp:align>left</wp:align>
              </wp:positionH>
              <wp:positionV relativeFrom="page">
                <wp:align>top</wp:align>
              </wp:positionV>
              <wp:extent cx="7621200" cy="212400"/>
              <wp:effectExtent l="0" t="0" r="0" b="0"/>
              <wp:wrapNone/>
              <wp:docPr id="1560" name="Rectangle 1560"/>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E04D6" id="Rectangle 1560" o:spid="_x0000_s1026" style="position:absolute;margin-left:0;margin-top:0;width:600.1pt;height:16.7pt;z-index:-2516234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4uhL/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691008" behindDoc="1" locked="0" layoutInCell="1" allowOverlap="1">
              <wp:simplePos x="0" y="0"/>
              <wp:positionH relativeFrom="page">
                <wp:align>left</wp:align>
              </wp:positionH>
              <wp:positionV relativeFrom="page">
                <wp:align>top</wp:align>
              </wp:positionV>
              <wp:extent cx="7621200" cy="212400"/>
              <wp:effectExtent l="0" t="0" r="0" b="0"/>
              <wp:wrapNone/>
              <wp:docPr id="1555" name="Rectangle 155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A14BF" id="Rectangle 1555" o:spid="_x0000_s1026" style="position:absolute;margin-left:0;margin-top:0;width:600.1pt;height:16.7pt;z-index:-25162547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3mHvgp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9203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556" name="Rectangle 155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F2CEF" id="Rectangle 1556" o:spid="_x0000_s1026" style="position:absolute;margin-left:-3.7pt;margin-top:-116.05pt;width:8.85pt;height:3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O4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8kwzuJ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8998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557" name="Rectangle 155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01152" id="Rectangle 1557" o:spid="_x0000_s1026" style="position:absolute;margin-left:-3.7pt;margin-top:-116.05pt;width:8.85pt;height:3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OG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LXAzhp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68896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558" name="Rectangle 155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103AC" id="Rectangle 1558" o:spid="_x0000_s1026" style="position:absolute;margin-left:-3.7pt;margin-top:-116.05pt;width:8.85pt;height:3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iSZDF5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8793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559" name="Rectangle 155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7D91F" id="Rectangle 1559" o:spid="_x0000_s1026" style="position:absolute;margin-left:-3.7pt;margin-top:-116.05pt;width:8.85pt;height:3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Mp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VhpDKZ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Annual M</w:t>
    </w:r>
    <w:r>
      <w:t>anagement and Performance Report for the EU Budget – Financial year 2019</w:t>
    </w:r>
    <w:r>
      <w:rPr>
        <w:lang w:val="fr-BE" w:eastAsia="fr-BE"/>
      </w:rPr>
      <mc:AlternateContent>
        <mc:Choice Requires="wps">
          <w:drawing>
            <wp:anchor distT="0" distB="0" distL="114300" distR="114300" simplePos="0" relativeHeight="251638784" behindDoc="0" locked="0" layoutInCell="1" allowOverlap="1">
              <wp:simplePos x="0" y="0"/>
              <wp:positionH relativeFrom="page">
                <wp:align>left</wp:align>
              </wp:positionH>
              <wp:positionV relativeFrom="page">
                <wp:align>top</wp:align>
              </wp:positionV>
              <wp:extent cx="7621200" cy="212400"/>
              <wp:effectExtent l="0" t="0" r="0" b="0"/>
              <wp:wrapNone/>
              <wp:docPr id="1013" name="Rectangle 101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66BC8" id="Rectangle 1013" o:spid="_x0000_s1026" style="position:absolute;margin-left:0;margin-top:0;width:600.1pt;height:16.7pt;z-index:2516387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trenTZ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635712" behindDoc="1" locked="0" layoutInCell="1" allowOverlap="1">
              <wp:simplePos x="0" y="0"/>
              <wp:positionH relativeFrom="page">
                <wp:align>left</wp:align>
              </wp:positionH>
              <wp:positionV relativeFrom="page">
                <wp:align>top</wp:align>
              </wp:positionV>
              <wp:extent cx="7621200" cy="212400"/>
              <wp:effectExtent l="0" t="0" r="0" b="0"/>
              <wp:wrapNone/>
              <wp:docPr id="1772" name="Rectangle 177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7E325" id="Rectangle 1772" o:spid="_x0000_s1026" style="position:absolute;margin-left:0;margin-top:0;width:600.1pt;height:16.7pt;z-index:-2516807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ujhYeZ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3673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773" name="Rectangle 177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6A95A" id="Rectangle 1773" o:spid="_x0000_s1026" style="position:absolute;margin-left:-3.7pt;margin-top:-116.05pt;width:8.85pt;height:37.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DSsJAZ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3468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774" name="Rectangle 177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B20D8" id="Rectangle 1774" o:spid="_x0000_s1026" style="position:absolute;margin-left:-3.7pt;margin-top:-116.05pt;width:8.85pt;height:37.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EJ0Ju5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63366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775" name="Rectangle 177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BA9E0" id="Rectangle 1775" o:spid="_x0000_s1026" style="position:absolute;margin-left:-3.7pt;margin-top:-116.05pt;width:8.85pt;height:37.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z6EJhZ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3264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776" name="Rectangle 177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195A4" id="Rectangle 1776" o:spid="_x0000_s1026" style="position:absolute;margin-left:-3.7pt;margin-top:-116.05pt;width:8.85pt;height:37.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ruQJx5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Annual Management and Performance Report for the EU Budget – Fi</w:t>
    </w:r>
    <w:r>
      <w:t>nancial year 2019</w:t>
    </w:r>
    <w:r>
      <w:rPr>
        <w:lang w:val="fr-BE" w:eastAsia="fr-BE"/>
      </w:rPr>
      <mc:AlternateContent>
        <mc:Choice Requires="wps">
          <w:drawing>
            <wp:anchor distT="0" distB="0" distL="114300" distR="114300" simplePos="0" relativeHeight="251699200" behindDoc="0" locked="0" layoutInCell="1" allowOverlap="1">
              <wp:simplePos x="0" y="0"/>
              <wp:positionH relativeFrom="page">
                <wp:align>left</wp:align>
              </wp:positionH>
              <wp:positionV relativeFrom="page">
                <wp:align>top</wp:align>
              </wp:positionV>
              <wp:extent cx="7621200" cy="212400"/>
              <wp:effectExtent l="0" t="0" r="0" b="0"/>
              <wp:wrapNone/>
              <wp:docPr id="198" name="Rectangle 19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23214" id="Rectangle 198" o:spid="_x0000_s1026" style="position:absolute;margin-left:0;margin-top:0;width:600.1pt;height:16.7pt;z-index:2516992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AVsNx2OAgAAjA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697152" behindDoc="1" locked="0" layoutInCell="1" allowOverlap="1">
              <wp:simplePos x="0" y="0"/>
              <wp:positionH relativeFrom="page">
                <wp:align>left</wp:align>
              </wp:positionH>
              <wp:positionV relativeFrom="page">
                <wp:align>top</wp:align>
              </wp:positionV>
              <wp:extent cx="7621200" cy="212400"/>
              <wp:effectExtent l="0" t="0" r="0" b="0"/>
              <wp:wrapNone/>
              <wp:docPr id="192" name="Rectangle 19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7AAE0" id="Rectangle 192" o:spid="_x0000_s1026" style="position:absolute;margin-left:0;margin-top:0;width:600.1pt;height:16.7pt;z-index:-2516193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HioJ1COAgAAjA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9817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3" name="Rectangle 19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A0603" id="Rectangle 193" o:spid="_x0000_s1026" style="position:absolute;margin-left:-3.7pt;margin-top:-116.05pt;width:8.85pt;height:3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fP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YDbfPmQIAAIg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69612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4" name="Rectangle 19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F71D0" id="Rectangle 194" o:spid="_x0000_s1026" style="position:absolute;margin-left:-3.7pt;margin-top:-116.05pt;width:8.85pt;height:3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XWH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3KXWH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6951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5" name="Rectangle 19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01BF6" id="Rectangle 195" o:spid="_x0000_s1026" style="position:absolute;margin-left:-3.7pt;margin-top:-116.05pt;width:8.85pt;height:3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VJEja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69408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7" name="Rectangle 19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4C3D5" id="Rectangle 197" o:spid="_x0000_s1026" style="position:absolute;margin-left:-3.7pt;margin-top:-116.05pt;width:8.85pt;height:3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jJg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RPjJg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Header"/>
    </w:pPr>
    <w:r>
      <w:rPr>
        <w:noProof/>
        <w:lang w:val="fr-BE" w:eastAsia="fr-BE"/>
      </w:rPr>
      <w:drawing>
        <wp:anchor distT="0" distB="0" distL="114300" distR="114300" simplePos="0" relativeHeight="251662336" behindDoc="0" locked="0" layoutInCell="1" allowOverlap="1">
          <wp:simplePos x="0" y="0"/>
          <wp:positionH relativeFrom="page">
            <wp:align>left</wp:align>
          </wp:positionH>
          <wp:positionV relativeFrom="page">
            <wp:align>top</wp:align>
          </wp:positionV>
          <wp:extent cx="7560000" cy="10692000"/>
          <wp:effectExtent l="0" t="0" r="3175"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OP Separator page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705344" behindDoc="0" locked="0" layoutInCell="1" allowOverlap="1">
              <wp:simplePos x="0" y="0"/>
              <wp:positionH relativeFrom="page">
                <wp:align>left</wp:align>
              </wp:positionH>
              <wp:positionV relativeFrom="page">
                <wp:align>top</wp:align>
              </wp:positionV>
              <wp:extent cx="7621200" cy="212400"/>
              <wp:effectExtent l="0" t="0" r="0" b="0"/>
              <wp:wrapNone/>
              <wp:docPr id="222" name="Rectangle 22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841E2" id="Rectangle 222" o:spid="_x0000_s1026" style="position:absolute;margin-left:0;margin-top:0;width:600.1pt;height:16.7pt;z-index:2517053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NcDC/uOAgAAjA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703296" behindDoc="1" locked="0" layoutInCell="1" allowOverlap="1">
              <wp:simplePos x="0" y="0"/>
              <wp:positionH relativeFrom="page">
                <wp:align>left</wp:align>
              </wp:positionH>
              <wp:positionV relativeFrom="page">
                <wp:align>top</wp:align>
              </wp:positionV>
              <wp:extent cx="7621200" cy="212400"/>
              <wp:effectExtent l="0" t="0" r="0" b="0"/>
              <wp:wrapNone/>
              <wp:docPr id="205" name="Rectangle 20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A43AD" id="Rectangle 205" o:spid="_x0000_s1026" style="position:absolute;margin-left:0;margin-top:0;width:600.1pt;height:16.7pt;z-index:-2516131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0432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6" name="Rectangle 20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FC604" id="Rectangle 206" o:spid="_x0000_s1026" style="position:absolute;margin-left:-3.7pt;margin-top:-116.05pt;width:8.85pt;height:3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Ko8++pcCAACIBQAADgAAAAAAAAAAAAAAAAAuAgAAZHJzL2Uyb0Rv&#10;Yy54bWxQSwECLQAUAAYACAAAACEAmVzIut8AAAALAQAADwAAAAAAAAAAAAAAAADxBAAAZHJzL2Rv&#10;d25yZXYueG1sUEsFBgAAAAAEAAQA8wAAAP0FAAAAAA==&#10;" fillcolor="#3fb296" stroked="f" strokeweight="1pt"/>
          </w:pict>
        </mc:Fallback>
      </mc:AlternateContent>
    </w:r>
    <w:r>
      <w:t xml:space="preserve"> Annex 1: Program</w:t>
    </w:r>
    <w:r>
      <w:t>me performance overview</w:t>
    </w:r>
    <w:r>
      <w:rPr>
        <w:color w:val="5B9BD5" w:themeColor="accent1"/>
        <w:lang w:val="fr-BE" w:eastAsia="fr-BE"/>
      </w:rPr>
      <mc:AlternateContent>
        <mc:Choice Requires="wps">
          <w:drawing>
            <wp:anchor distT="0" distB="0" distL="114300" distR="114300" simplePos="0" relativeHeight="25170227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7" name="Rectangle 20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58AE9" id="Rectangle 207" o:spid="_x0000_s1026" style="position:absolute;margin-left:-3.7pt;margin-top:-116.05pt;width:8.85pt;height:3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OnmQIAAIg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IggOn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70124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14" name="Rectangle 21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C6D1B" id="Rectangle 214" o:spid="_x0000_s1026" style="position:absolute;margin-left:-3.7pt;margin-top:-116.05pt;width:8.85pt;height:3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Xj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XqKXj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002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15" name="Rectangle 21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89703" id="Rectangle 215" o:spid="_x0000_s1026" style="position:absolute;margin-left:-3.7pt;margin-top:-116.05pt;width:8.85pt;height:3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9aWYvpoCAACIBQAADgAAAAAAAAAAAAAAAAAuAgAAZHJzL2Uy&#10;b0RvYy54bWxQSwECLQAUAAYACAAAACEAmVzIut8AAAALAQAADwAAAAAAAAAAAAAAAAD0BAAAZHJz&#10;L2Rvd25yZXYueG1sUEsFBgAAAAAEAAQA8wAAAAAGAAAAAA==&#10;" fillcolor="#3fb296" stroked="f" strokeweight="1pt"/>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711488" behindDoc="0" locked="0" layoutInCell="1" allowOverlap="1">
              <wp:simplePos x="0" y="0"/>
              <wp:positionH relativeFrom="page">
                <wp:align>left</wp:align>
              </wp:positionH>
              <wp:positionV relativeFrom="page">
                <wp:align>top</wp:align>
              </wp:positionV>
              <wp:extent cx="7621200" cy="212400"/>
              <wp:effectExtent l="0" t="0" r="0" b="0"/>
              <wp:wrapNone/>
              <wp:docPr id="253" name="Rectangle 25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9AF4C" id="Rectangle 253" o:spid="_x0000_s1026" style="position:absolute;margin-left:0;margin-top:0;width:600.1pt;height:16.7pt;z-index:2517114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AtlXeD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709440" behindDoc="1" locked="0" layoutInCell="1" allowOverlap="1">
              <wp:simplePos x="0" y="0"/>
              <wp:positionH relativeFrom="page">
                <wp:align>left</wp:align>
              </wp:positionH>
              <wp:positionV relativeFrom="page">
                <wp:align>top</wp:align>
              </wp:positionV>
              <wp:extent cx="7621200" cy="212400"/>
              <wp:effectExtent l="0" t="0" r="0" b="0"/>
              <wp:wrapNone/>
              <wp:docPr id="248" name="Rectangle 24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61192" id="Rectangle 248" o:spid="_x0000_s1026" style="position:absolute;margin-left:0;margin-top:0;width:600.1pt;height:16.7pt;z-index:-2516070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BWMZwa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1046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49" name="Rectangle 24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52874" id="Rectangle 249" o:spid="_x0000_s1026" style="position:absolute;margin-left:-3.7pt;margin-top:-116.05pt;width:8.85pt;height:3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xNZDUmQIAAIg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7084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50" name="Rectangle 25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644F0" id="Rectangle 250" o:spid="_x0000_s1026" style="position:absolute;margin-left:-3.7pt;margin-top:-116.05pt;width:8.85pt;height:3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Deu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5ZDeu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70739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51" name="Rectangle 25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C97F3" id="Rectangle 251" o:spid="_x0000_s1026" style="position:absolute;margin-left:-3.7pt;margin-top:-116.05pt;width:8.85pt;height:3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rz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baQrz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0636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52" name="Rectangle 25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E41C8" id="Rectangle 252" o:spid="_x0000_s1026" style="position:absolute;margin-left:-3.7pt;margin-top:-116.05pt;width:8.85pt;height:3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0U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9fk0U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712512" behindDoc="0" locked="0" layoutInCell="1" allowOverlap="1">
              <wp:simplePos x="0" y="0"/>
              <wp:positionH relativeFrom="page">
                <wp:align>left</wp:align>
              </wp:positionH>
              <wp:positionV relativeFrom="page">
                <wp:align>top</wp:align>
              </wp:positionV>
              <wp:extent cx="7621200" cy="212400"/>
              <wp:effectExtent l="0" t="0" r="0" b="0"/>
              <wp:wrapNone/>
              <wp:docPr id="254" name="Rectangle 25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5F7A1" id="Rectangle 254" o:spid="_x0000_s1026" style="position:absolute;margin-left:0;margin-top:0;width:600.1pt;height:16.7pt;z-index:2517125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Aq4L1e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586560" behindDoc="1" locked="0" layoutInCell="1" allowOverlap="1">
              <wp:simplePos x="0" y="0"/>
              <wp:positionH relativeFrom="page">
                <wp:align>left</wp:align>
              </wp:positionH>
              <wp:positionV relativeFrom="page">
                <wp:align>top</wp:align>
              </wp:positionV>
              <wp:extent cx="7621200" cy="212400"/>
              <wp:effectExtent l="0" t="0" r="0" b="0"/>
              <wp:wrapNone/>
              <wp:docPr id="1777" name="Rectangle 177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21636" id="Rectangle 1777" o:spid="_x0000_s1026" style="position:absolute;margin-left:0;margin-top:0;width:600.1pt;height:16.7pt;z-index:-25172992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qThyzp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8758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778" name="Rectangle 177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3DDB1" id="Rectangle 1778" o:spid="_x0000_s1026" style="position:absolute;margin-left:-3.7pt;margin-top:-116.05pt;width:8.85pt;height:37.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1Y55aJ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8553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779" name="Rectangle 177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2A814" id="Rectangle 1779" o:spid="_x0000_s1026" style="position:absolute;margin-left:-3.7pt;margin-top:-116.05pt;width:8.85pt;height:37.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CrJ5Vp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58348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780" name="Rectangle 178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2CEE8" id="Rectangle 1780" o:spid="_x0000_s1026" style="position:absolute;margin-left:-3.7pt;margin-top:-116.05pt;width:8.85pt;height:37.1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OS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y3kjkp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8246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781" name="Rectangle 178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8F12F" id="Rectangle 1781" o:spid="_x0000_s1026" style="position:absolute;margin-left:-3.7pt;margin-top:-116.05pt;width:8.85pt;height:37.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Os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FEUjrJ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r>
      <w:rPr>
        <w:noProof/>
        <w:lang w:val="fr-BE" w:eastAsia="fr-BE"/>
      </w:rPr>
      <mc:AlternateContent>
        <mc:Choice Requires="wps">
          <w:drawing>
            <wp:anchor distT="0" distB="0" distL="114300" distR="114300" simplePos="0" relativeHeight="251640832" behindDoc="0" locked="0" layoutInCell="1" allowOverlap="1">
              <wp:simplePos x="0" y="0"/>
              <wp:positionH relativeFrom="page">
                <wp:posOffset>0</wp:posOffset>
              </wp:positionH>
              <wp:positionV relativeFrom="page">
                <wp:posOffset>0</wp:posOffset>
              </wp:positionV>
              <wp:extent cx="7621200" cy="212400"/>
              <wp:effectExtent l="0" t="0" r="0" b="0"/>
              <wp:wrapNone/>
              <wp:docPr id="1808" name="Rectangle 180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8F584" id="Rectangle 1808" o:spid="_x0000_s1026" style="position:absolute;margin-left:0;margin-top:0;width:600.1pt;height:16.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" fillcolor="#4472c4 [3208]" stroked="f" strokeweight="1pt">
              <w10:wrap anchorx="page" anchory="page"/>
            </v:rect>
          </w:pict>
        </mc:Fallback>
      </mc:AlternateContent>
    </w:r>
    <w:r>
      <w:rPr>
        <w:noProof/>
        <w:lang w:val="fr-BE" w:eastAsia="fr-BE"/>
      </w:rPr>
      <mc:AlternateContent>
        <mc:Choice Requires="wps">
          <w:drawing>
            <wp:anchor distT="0" distB="0" distL="114300" distR="114300" simplePos="0" relativeHeight="25163980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09" name="Rectangle 180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ECEEA" id="Rectangle 1809" o:spid="_x0000_s1026" style="position:absolute;margin-left:-3.7pt;margin-top:-116.05pt;width:8.85pt;height:37.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qZ9mQ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5wqZ9mQIAAIoFAAAOAAAAAAAAAAAAAAAAAC4CAABkcnMvZTJv&#10;RG9jLnhtbFBLAQItABQABgAIAAAAIQCZXMi63wAAAAsBAAAPAAAAAAAAAAAAAAAAAPMEAABkcnMv&#10;ZG93bnJldi54bWxQSwUGAAAAAAQABADzAAAA/wUAAAAA&#10;" fillcolor="#3fb296" stroked="f" strokeweight="1pt"/>
          </w:pict>
        </mc:Fallback>
      </mc:AlternateContent>
    </w:r>
    <w:r>
      <w:t xml:space="preserve">ANNEXES </w: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718656" behindDoc="0" locked="0" layoutInCell="1" allowOverlap="1">
              <wp:simplePos x="0" y="0"/>
              <wp:positionH relativeFrom="page">
                <wp:align>left</wp:align>
              </wp:positionH>
              <wp:positionV relativeFrom="page">
                <wp:align>top</wp:align>
              </wp:positionV>
              <wp:extent cx="7621200" cy="212400"/>
              <wp:effectExtent l="0" t="0" r="0" b="0"/>
              <wp:wrapNone/>
              <wp:docPr id="328" name="Rectangle 32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82CEA" id="Rectangle 328" o:spid="_x0000_s1026" style="position:absolute;margin-left:0;margin-top:0;width:600.1pt;height:16.7pt;z-index:2517186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JtjwIAAIw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DVMJJt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716608" behindDoc="1" locked="0" layoutInCell="1" allowOverlap="1">
              <wp:simplePos x="0" y="0"/>
              <wp:positionH relativeFrom="page">
                <wp:align>left</wp:align>
              </wp:positionH>
              <wp:positionV relativeFrom="page">
                <wp:align>top</wp:align>
              </wp:positionV>
              <wp:extent cx="7621200" cy="212400"/>
              <wp:effectExtent l="0" t="0" r="0" b="0"/>
              <wp:wrapNone/>
              <wp:docPr id="255" name="Rectangle 25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3F557" id="Rectangle 255" o:spid="_x0000_s1026" style="position:absolute;margin-left:0;margin-top:0;width:600.1pt;height:16.7pt;z-index:-25159987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AYpeLiOAgAAjA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1763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66" name="Rectangle 26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D0F66" id="Rectangle 266" o:spid="_x0000_s1026" style="position:absolute;margin-left:-3.7pt;margin-top:-116.05pt;width:8.85pt;height:3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vgyahJcCAACIBQAADgAAAAAAAAAAAAAAAAAuAgAAZHJzL2Uyb0Rv&#10;Yy54bWxQSwECLQAUAAYACAAAACEAmVzIut8AAAALAQAADwAAAAAAAAAAAAAAAADxBAAAZHJzL2Rv&#10;d25yZXYueG1sUEsFBgAAAAAEAAQA8wAAAP0F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71558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67" name="Rectangle 26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ACD98" id="Rectangle 267" o:spid="_x0000_s1026" style="position:absolute;margin-left:-3.7pt;margin-top:-116.05pt;width:8.85pt;height:3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fZmQIAAIg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cAafZ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71456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02" name="Rectangle 30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21881" id="Rectangle 302" o:spid="_x0000_s1026" style="position:absolute;margin-left:-3.7pt;margin-top:-116.05pt;width:8.85pt;height:3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F8mQIAAIg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GlMF8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1353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25" name="Rectangle 32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40D40" id="Rectangle 325" o:spid="_x0000_s1026" style="position:absolute;margin-left:-3.7pt;margin-top:-116.05pt;width:8.85pt;height:3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msywqJoCAACIBQAADgAAAAAAAAAAAAAAAAAuAgAAZHJzL2Uy&#10;b0RvYy54bWxQSwECLQAUAAYACAAAACEAmVzIut8AAAALAQAADwAAAAAAAAAAAAAAAAD0BAAAZHJz&#10;L2Rvd25yZXYueG1sUEsFBgAAAAAEAAQA8wAAAAAGAAAAAA==&#10;" fillcolor="#3fb296" stroked="f" strokeweight="1pt"/>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719680" behindDoc="0" locked="0" layoutInCell="1" allowOverlap="1">
              <wp:simplePos x="0" y="0"/>
              <wp:positionH relativeFrom="page">
                <wp:align>left</wp:align>
              </wp:positionH>
              <wp:positionV relativeFrom="page">
                <wp:align>top</wp:align>
              </wp:positionV>
              <wp:extent cx="7621200" cy="212400"/>
              <wp:effectExtent l="0" t="0" r="0" b="0"/>
              <wp:wrapNone/>
              <wp:docPr id="345" name="Rectangle 34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53C21" id="Rectangle 345" o:spid="_x0000_s1026" style="position:absolute;margin-left:0;margin-top:0;width:600.1pt;height:16.7pt;z-index:2517196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FN3z1GOAgAAjA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592704" behindDoc="1" locked="0" layoutInCell="1" allowOverlap="1">
              <wp:simplePos x="0" y="0"/>
              <wp:positionH relativeFrom="page">
                <wp:align>left</wp:align>
              </wp:positionH>
              <wp:positionV relativeFrom="page">
                <wp:align>top</wp:align>
              </wp:positionV>
              <wp:extent cx="7621200" cy="212400"/>
              <wp:effectExtent l="0" t="0" r="0" b="0"/>
              <wp:wrapNone/>
              <wp:docPr id="1784" name="Rectangle 178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33594" id="Rectangle 1784" o:spid="_x0000_s1026" style="position:absolute;margin-left:0;margin-top:0;width:600.1pt;height:16.7pt;z-index:-2517237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e30B9J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9372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20" name="Rectangle 42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52E7C" id="Rectangle 420" o:spid="_x0000_s1026" style="position:absolute;margin-left:-3.7pt;margin-top:-116.05pt;width:8.85pt;height:37.1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KKW6EmQIAAIg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9168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21" name="Rectangle 42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B9495" id="Rectangle 421" o:spid="_x0000_s1026" style="position:absolute;margin-left:-3.7pt;margin-top:-116.05pt;width:8.85pt;height:37.1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PZ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oJFPZ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58963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22" name="Rectangle 42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92A7A" id="Rectangle 422" o:spid="_x0000_s1026" style="position:absolute;margin-left:-3.7pt;margin-top:-116.05pt;width:8.85pt;height:37.1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Q+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OMxQ+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8860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23" name="Rectangle 42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5D8D7" id="Rectangle 423" o:spid="_x0000_s1026" style="position:absolute;margin-left:-3.7pt;margin-top:-116.05pt;width:8.85pt;height:37.1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lj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sPilj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 xml:space="preserve">Annual Management and Performance Report for </w:t>
    </w:r>
    <w:r>
      <w:t>the EU Budget – Financial year 2019</w:t>
    </w:r>
    <w:r>
      <w:rPr>
        <w:lang w:val="fr-BE" w:eastAsia="fr-BE"/>
      </w:rPr>
      <mc:AlternateContent>
        <mc:Choice Requires="wps">
          <w:drawing>
            <wp:anchor distT="0" distB="0" distL="114300" distR="114300" simplePos="0" relativeHeight="251725824" behindDoc="0" locked="0" layoutInCell="1" allowOverlap="1">
              <wp:simplePos x="0" y="0"/>
              <wp:positionH relativeFrom="page">
                <wp:align>left</wp:align>
              </wp:positionH>
              <wp:positionV relativeFrom="page">
                <wp:align>top</wp:align>
              </wp:positionV>
              <wp:extent cx="7621200" cy="212400"/>
              <wp:effectExtent l="0" t="0" r="0" b="0"/>
              <wp:wrapNone/>
              <wp:docPr id="355" name="Rectangle 35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7573B" id="Rectangle 355" o:spid="_x0000_s1026" style="position:absolute;margin-left:0;margin-top:0;width:600.1pt;height:16.7pt;z-index:2517258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Hne8WOOAgAAjA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723776" behindDoc="1" locked="0" layoutInCell="1" allowOverlap="1">
              <wp:simplePos x="0" y="0"/>
              <wp:positionH relativeFrom="page">
                <wp:align>left</wp:align>
              </wp:positionH>
              <wp:positionV relativeFrom="page">
                <wp:align>top</wp:align>
              </wp:positionV>
              <wp:extent cx="7621200" cy="212400"/>
              <wp:effectExtent l="0" t="0" r="0" b="0"/>
              <wp:wrapNone/>
              <wp:docPr id="346" name="Rectangle 346"/>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B79F1" id="Rectangle 346" o:spid="_x0000_s1026" style="position:absolute;margin-left:0;margin-top:0;width:600.1pt;height:16.7pt;z-index:-2515927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ChjwIAAIw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BmKvCh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248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48" name="Rectangle 34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B027A" id="Rectangle 348" o:spid="_x0000_s1026" style="position:absolute;margin-left:-3.7pt;margin-top:-116.05pt;width:8.85pt;height:3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Neg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2ENegmQIAAIg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72275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49" name="Rectangle 34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8F6DC" id="Rectangle 349" o:spid="_x0000_s1026" style="position:absolute;margin-left:-3.7pt;margin-top:-116.05pt;width:8.85pt;height:3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r9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UHer9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72172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53" name="Rectangle 35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E955C" id="Rectangle 353" o:spid="_x0000_s1026" style="position:absolute;margin-left:-3.7pt;margin-top:-116.05pt;width:8.85pt;height:3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6Wwpg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207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54" name="Rectangle 35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7FE7E" id="Rectangle 354" o:spid="_x0000_s1026" style="position:absolute;margin-left:-3.7pt;margin-top:-116.05pt;width:8.85pt;height:37.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8go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Vf8go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726848" behindDoc="0" locked="0" layoutInCell="1" allowOverlap="1">
              <wp:simplePos x="0" y="0"/>
              <wp:positionH relativeFrom="page">
                <wp:align>left</wp:align>
              </wp:positionH>
              <wp:positionV relativeFrom="page">
                <wp:align>top</wp:align>
              </wp:positionV>
              <wp:extent cx="7621200" cy="212400"/>
              <wp:effectExtent l="0" t="0" r="0" b="0"/>
              <wp:wrapNone/>
              <wp:docPr id="356" name="Rectangle 356"/>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531F7" id="Rectangle 356" o:spid="_x0000_s1026" style="position:absolute;margin-left:0;margin-top:0;width:600.1pt;height:16.7pt;z-index:2517268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BMg86T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spacing w:before="240" w:after="120"/>
      <w:jc w:val="right"/>
      <w:rPr>
        <w:color w:val="4472C4" w:themeColor="accent5"/>
      </w:rPr>
    </w:pPr>
    <w:r>
      <w:rPr>
        <w:noProof/>
        <w:color w:val="4472C4" w:themeColor="accent5"/>
        <w:lang w:val="fr-BE" w:eastAsia="fr-BE"/>
      </w:rPr>
      <mc:AlternateContent>
        <mc:Choice Requires="wps">
          <w:drawing>
            <wp:anchor distT="0" distB="0" distL="114300" distR="114300" simplePos="0" relativeHeight="251549696" behindDoc="0" locked="0" layoutInCell="1" allowOverlap="1">
              <wp:simplePos x="0" y="0"/>
              <wp:positionH relativeFrom="page">
                <wp:align>left</wp:align>
              </wp:positionH>
              <wp:positionV relativeFrom="page">
                <wp:align>top</wp:align>
              </wp:positionV>
              <wp:extent cx="7621200" cy="212400"/>
              <wp:effectExtent l="0" t="0" r="0" b="0"/>
              <wp:wrapNone/>
              <wp:docPr id="30" name="Rectangle 30"/>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497C6" id="Rectangle 30" o:spid="_x0000_s1026" style="position:absolute;margin-left:0;margin-top:0;width:600.1pt;height:16.7pt;z-index:2515496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2BnjgIAAIo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IRbYGeOAgAAig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noProof/>
        <w:color w:val="4472C4" w:themeColor="accent5"/>
        <w:lang w:val="fr-BE" w:eastAsia="fr-BE"/>
      </w:rPr>
      <mc:AlternateContent>
        <mc:Choice Requires="wps">
          <w:drawing>
            <wp:anchor distT="0" distB="0" distL="114300" distR="114300" simplePos="0" relativeHeight="25155276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88" name="Rectangle 28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E2090" id="Rectangle 288" o:spid="_x0000_s1026" style="position:absolute;margin-left:-3.7pt;margin-top:-116.05pt;width:8.85pt;height:37.1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R0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7P+R0mQIAAIgFAAAOAAAAAAAAAAAAAAAAAC4CAABkcnMvZTJv&#10;RG9jLnhtbFBLAQItABQABgAIAAAAIQCZXMi63wAAAAsBAAAPAAAAAAAAAAAAAAAAAPMEAABkcnMv&#10;ZG93bnJldi54bWxQSwUGAAAAAAQABADzAAAA/wUAAAAA&#10;" fillcolor="#3fb296" stroked="f" strokeweight="1pt"/>
          </w:pict>
        </mc:Fallback>
      </mc:AlternateContent>
    </w:r>
    <w:r>
      <w:rPr>
        <w:color w:val="4472C4" w:themeColor="accent5"/>
      </w:rPr>
      <w:t xml:space="preserve">2019 Annual </w:t>
    </w:r>
    <w:r>
      <w:rPr>
        <w:color w:val="4472C4" w:themeColor="accent5"/>
      </w:rPr>
      <w:t>Management and Performance Report</w:t>
    </w:r>
    <w:r>
      <w:rPr>
        <w:noProof/>
        <w:color w:val="5B9BD5" w:themeColor="accent1"/>
        <w:lang w:val="fr-BE" w:eastAsia="fr-BE"/>
      </w:rPr>
      <mc:AlternateContent>
        <mc:Choice Requires="wps">
          <w:drawing>
            <wp:anchor distT="0" distB="0" distL="114300" distR="114300" simplePos="0" relativeHeight="25154764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59" name="Rectangle 5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4D6D3" id="Rectangle 59" o:spid="_x0000_s1026" style="position:absolute;margin-left:-3.7pt;margin-top:-116.05pt;width:8.85pt;height:37.1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A1mAIAAIY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GclkDWYAgAAhgUAAA4AAAAAAAAAAAAAAAAALgIAAGRycy9lMm9E&#10;b2MueG1sUEsBAi0AFAAGAAgAAAAhAJlcyLrfAAAACwEAAA8AAAAAAAAAAAAAAAAA8gQAAGRycy9k&#10;b3ducmV2LnhtbFBLBQYAAAAABAAEAPMAAAD+BQAAAAA=&#10;" fillcolor="#3fb296" stroked="f" strokeweight="1pt"/>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577344" behindDoc="1" locked="0" layoutInCell="1" allowOverlap="1">
              <wp:simplePos x="0" y="0"/>
              <wp:positionH relativeFrom="page">
                <wp:align>left</wp:align>
              </wp:positionH>
              <wp:positionV relativeFrom="page">
                <wp:align>top</wp:align>
              </wp:positionV>
              <wp:extent cx="7621200" cy="212400"/>
              <wp:effectExtent l="0" t="0" r="0" b="0"/>
              <wp:wrapNone/>
              <wp:docPr id="424" name="Rectangle 42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6069D" id="Rectangle 424" o:spid="_x0000_s1026" style="position:absolute;margin-left:0;margin-top:0;width:600.1pt;height:16.7pt;z-index:-2517391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A9hqN0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7836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25" name="Rectangle 42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F2680" id="Rectangle 425" o:spid="_x0000_s1026" style="position:absolute;margin-left:-3.7pt;margin-top:-116.05pt;width:8.85pt;height:37.1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4RfWdpoCAACI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7632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34" name="Rectangle 43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14D17" id="Rectangle 434" o:spid="_x0000_s1026" style="position:absolute;margin-left:-3.7pt;margin-top:-116.05pt;width:8.85pt;height:37.1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qI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6JwqI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57529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798" name="Rectangle 179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56757" id="Rectangle 1798" o:spid="_x0000_s1026" style="position:absolute;margin-left:-3.7pt;margin-top:-116.05pt;width:8.85pt;height:37.1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C1YBr5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7427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01" name="Rectangle 180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0457F" id="Rectangle 1801" o:spid="_x0000_s1026" style="position:absolute;margin-left:-3.7pt;margin-top:-116.05pt;width:8.85pt;height:37.1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ZWmQ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AItZWmQIAAIoFAAAOAAAAAAAAAAAAAAAAAC4CAABkcnMvZTJv&#10;RG9jLnhtbFBLAQItABQABgAIAAAAIQCZXMi63wAAAAsBAAAPAAAAAAAAAAAAAAAAAPMEAABkcnMv&#10;ZG93bnJldi54bWxQSwUGAAAAAAQABADzAAAA/wUAAAAA&#10;" fillcolor="#3fb296" stroked="f" strokeweight="1pt"/>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732992" behindDoc="0" locked="0" layoutInCell="1" allowOverlap="1">
              <wp:simplePos x="0" y="0"/>
              <wp:positionH relativeFrom="page">
                <wp:align>left</wp:align>
              </wp:positionH>
              <wp:positionV relativeFrom="page">
                <wp:align>top</wp:align>
              </wp:positionV>
              <wp:extent cx="7621200" cy="212400"/>
              <wp:effectExtent l="0" t="0" r="0" b="0"/>
              <wp:wrapNone/>
              <wp:docPr id="392" name="Rectangle 39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C8AC7" id="Rectangle 392" o:spid="_x0000_s1026" style="position:absolute;margin-left:0;margin-top:0;width:600.1pt;height:16.7pt;z-index:2517329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DHQEU8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730944" behindDoc="1" locked="0" layoutInCell="1" allowOverlap="1">
              <wp:simplePos x="0" y="0"/>
              <wp:positionH relativeFrom="page">
                <wp:align>left</wp:align>
              </wp:positionH>
              <wp:positionV relativeFrom="page">
                <wp:align>top</wp:align>
              </wp:positionV>
              <wp:extent cx="7621200" cy="212400"/>
              <wp:effectExtent l="0" t="0" r="0" b="0"/>
              <wp:wrapNone/>
              <wp:docPr id="369" name="Rectangle 369"/>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AB6BC" id="Rectangle 369" o:spid="_x0000_s1026" style="position:absolute;margin-left:0;margin-top:0;width:600.1pt;height:16.7pt;z-index:-2515855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BRXa1D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3196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70" name="Rectangle 37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BA463" id="Rectangle 370" o:spid="_x0000_s1026" style="position:absolute;margin-left:-3.7pt;margin-top:-116.05pt;width:8.85pt;height:37.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4b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vMP4bmQIAAIg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72992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72" name="Rectangle 37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C1CF9" id="Rectangle 372" o:spid="_x0000_s1026" style="position:absolute;margin-left:-3.7pt;margin-top:-116.05pt;width:8.85pt;height:37.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KsqhKGYAgAAiAUAAA4AAAAAAAAAAAAAAAAALgIAAGRycy9lMm9E&#10;b2MueG1sUEsBAi0AFAAGAAgAAAAhAJlcyLrfAAAACwEAAA8AAAAAAAAAAAAAAAAA8gQAAGRycy9k&#10;b3ducmV2LnhtbFBLBQYAAAAABAAEAPMAAAD+BQAAAAA=&#10;" fillcolor="#3fb296" stroked="f" strokeweight="1pt"/>
          </w:pict>
        </mc:Fallback>
      </mc:AlternateContent>
    </w:r>
    <w:r>
      <w:rPr>
        <w:lang w:val="fr-BE" w:eastAsia="fr-BE"/>
      </w:rPr>
      <mc:AlternateContent>
        <mc:Choice Requires="wps">
          <w:drawing>
            <wp:anchor distT="0" distB="0" distL="114300" distR="114300" simplePos="0" relativeHeight="25172889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73" name="Rectangle 37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02125" id="Rectangle 373" o:spid="_x0000_s1026" style="position:absolute;margin-left:-3.7pt;margin-top:-116.05pt;width:8.85pt;height:3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JJ7n8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2787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79" name="Rectangle 37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0E4F5" id="Rectangle 379" o:spid="_x0000_s1026" style="position:absolute;margin-left:-3.7pt;margin-top:-116.05pt;width:8.85pt;height:3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jC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eXLjC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 xml:space="preserve">Annual </w:t>
    </w:r>
    <w:r>
      <w:t>Management and Performance Report for the EU Budget – Financial year 2019</w:t>
    </w:r>
    <w:r>
      <w:rPr>
        <w:lang w:val="fr-BE" w:eastAsia="fr-BE"/>
      </w:rPr>
      <mc:AlternateContent>
        <mc:Choice Requires="wps">
          <w:drawing>
            <wp:anchor distT="0" distB="0" distL="114300" distR="114300" simplePos="0" relativeHeight="251734016" behindDoc="0" locked="0" layoutInCell="1" allowOverlap="1">
              <wp:simplePos x="0" y="0"/>
              <wp:positionH relativeFrom="page">
                <wp:align>left</wp:align>
              </wp:positionH>
              <wp:positionV relativeFrom="page">
                <wp:align>top</wp:align>
              </wp:positionV>
              <wp:extent cx="7621200" cy="212400"/>
              <wp:effectExtent l="0" t="0" r="0" b="0"/>
              <wp:wrapNone/>
              <wp:docPr id="393" name="Rectangle 39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179AB" id="Rectangle 393" o:spid="_x0000_s1026" style="position:absolute;margin-left:0;margin-top:0;width:600.1pt;height:16.7pt;z-index:2517340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DriYDa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584512" behindDoc="1" locked="0" layoutInCell="1" allowOverlap="1">
              <wp:simplePos x="0" y="0"/>
              <wp:positionH relativeFrom="page">
                <wp:align>left</wp:align>
              </wp:positionH>
              <wp:positionV relativeFrom="page">
                <wp:align>top</wp:align>
              </wp:positionV>
              <wp:extent cx="7621200" cy="212400"/>
              <wp:effectExtent l="0" t="0" r="0" b="0"/>
              <wp:wrapNone/>
              <wp:docPr id="1802" name="Rectangle 180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D8DD3" id="Rectangle 1802" o:spid="_x0000_s1026" style="position:absolute;margin-left:0;margin-top:0;width:600.1pt;height:16.7pt;z-index:-2517319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A1Jytl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9065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06" name="Rectangle 180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118B3" id="Rectangle 1806" o:spid="_x0000_s1026" style="position:absolute;margin-left:-3.7pt;margin-top:-116.05pt;width:8.85pt;height:37.1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bsmQ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dlNbsmQIAAIo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8144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51" name="Rectangle 45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0082F" id="Rectangle 451" o:spid="_x0000_s1026" style="position:absolute;margin-left:-3.7pt;margin-top:-116.05pt;width:8.85pt;height:37.1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YE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FmhYE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5804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55" name="Rectangle 45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D0ECF" id="Rectangle 455" o:spid="_x0000_s1026" style="position:absolute;margin-left:-3.7pt;margin-top:-116.05pt;width:8.85pt;height:37.1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Ormw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7939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77" name="Rectangle 47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5C720" id="Rectangle 477" o:spid="_x0000_s1026" style="position:absolute;margin-left:-3.7pt;margin-top:-116.05pt;width:8.85pt;height:37.1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7z1qN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740160" behindDoc="0" locked="0" layoutInCell="1" allowOverlap="1">
              <wp:simplePos x="0" y="0"/>
              <wp:positionH relativeFrom="page">
                <wp:align>left</wp:align>
              </wp:positionH>
              <wp:positionV relativeFrom="page">
                <wp:align>top</wp:align>
              </wp:positionV>
              <wp:extent cx="7621200" cy="212400"/>
              <wp:effectExtent l="0" t="0" r="0" b="0"/>
              <wp:wrapNone/>
              <wp:docPr id="1789" name="Rectangle 1789"/>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54480" id="Rectangle 1789" o:spid="_x0000_s1026" style="position:absolute;margin-left:0;margin-top:0;width:600.1pt;height:16.7pt;z-index:25174016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biwwCZ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738112" behindDoc="1" locked="0" layoutInCell="1" allowOverlap="1">
              <wp:simplePos x="0" y="0"/>
              <wp:positionH relativeFrom="page">
                <wp:align>left</wp:align>
              </wp:positionH>
              <wp:positionV relativeFrom="page">
                <wp:align>top</wp:align>
              </wp:positionV>
              <wp:extent cx="7621200" cy="212400"/>
              <wp:effectExtent l="0" t="0" r="0" b="0"/>
              <wp:wrapNone/>
              <wp:docPr id="395" name="Rectangle 39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CA494" id="Rectangle 395" o:spid="_x0000_s1026" style="position:absolute;margin-left:0;margin-top:0;width:600.1pt;height:16.7pt;z-index:-2515783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MA1j+GOAgAAjA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3913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96" name="Rectangle 39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E2D3C" id="Rectangle 396" o:spid="_x0000_s1026" style="position:absolute;margin-left:-3.7pt;margin-top:-116.05pt;width:8.85pt;height:37.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73708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02" name="Rectangle 40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8ABBC" id="Rectangle 402" o:spid="_x0000_s1026" style="position:absolute;margin-left:-3.7pt;margin-top:-116.05pt;width:8.85pt;height:37.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6eimQIAAIg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9T6ei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73606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15" name="Rectangle 41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0BB9A" id="Rectangle 415" o:spid="_x0000_s1026" style="position:absolute;margin-left:-3.7pt;margin-top:-116.05pt;width:8.85pt;height:37.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K1aESZoCAACI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3504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788" name="Rectangle 178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3EF93" id="Rectangle 1788" o:spid="_x0000_s1026" style="position:absolute;margin-left:-3.7pt;margin-top:-116.05pt;width:8.85pt;height:37.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cplTuZ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Annual Management and Performance Report for the EU Budget – Financial year 2019</w:t>
    </w:r>
    <w:r>
      <w:rPr>
        <w:lang w:val="fr-BE" w:eastAsia="fr-BE"/>
      </w:rPr>
      <mc:AlternateContent>
        <mc:Choice Requires="wps">
          <w:drawing>
            <wp:anchor distT="0" distB="0" distL="114300" distR="114300" simplePos="0" relativeHeight="251741184" behindDoc="0" locked="0" layoutInCell="1" allowOverlap="1">
              <wp:simplePos x="0" y="0"/>
              <wp:positionH relativeFrom="page">
                <wp:align>left</wp:align>
              </wp:positionH>
              <wp:positionV relativeFrom="page">
                <wp:align>top</wp:align>
              </wp:positionV>
              <wp:extent cx="7621200" cy="212400"/>
              <wp:effectExtent l="0" t="0" r="0" b="0"/>
              <wp:wrapNone/>
              <wp:docPr id="1790" name="Rectangle 1790"/>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2CABB" id="Rectangle 1790" o:spid="_x0000_s1026" style="position:absolute;margin-left:0;margin-top:0;width:600.1pt;height:16.7pt;z-index:2517411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AUYZEh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543552" behindDoc="1" locked="0" layoutInCell="1" allowOverlap="1">
              <wp:simplePos x="0" y="0"/>
              <wp:positionH relativeFrom="page">
                <wp:align>left</wp:align>
              </wp:positionH>
              <wp:positionV relativeFrom="page">
                <wp:align>top</wp:align>
              </wp:positionV>
              <wp:extent cx="7621200" cy="212400"/>
              <wp:effectExtent l="0" t="0" r="0" b="0"/>
              <wp:wrapNone/>
              <wp:docPr id="1825" name="Rectangle 182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98897" id="Rectangle 1825" o:spid="_x0000_s1026" style="position:absolute;margin-left:0;margin-top:0;width:600.1pt;height:16.7pt;z-index:-2517729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4457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28" name="Rectangle 182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45AD2" id="Rectangle 1828" o:spid="_x0000_s1026" style="position:absolute;margin-left:-3.7pt;margin-top:-116.05pt;width:8.85pt;height:37.1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FGADb5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4252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29" name="Rectangle 182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B2A10" id="Rectangle 1829" o:spid="_x0000_s1026" style="position:absolute;margin-left:-3.7pt;margin-top:-116.05pt;width:8.85pt;height:37.1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y1wDUZ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5415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46" name="Rectangle 184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83BA1" id="Rectangle 1846" o:spid="_x0000_s1026" style="position:absolute;margin-left:-3.7pt;margin-top:-116.05pt;width:8.85pt;height:37.1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Z21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eamdtZ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4048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47" name="Rectangle 184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EBF71" id="Rectangle 1847" o:spid="_x0000_s1026" style="position:absolute;margin-left:-3.7pt;margin-top:-116.05pt;width:8.85pt;height:37.1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2L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ppWdi5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 xml:space="preserve">Annual Management and Performance Report for the EU Budget – Financial year </w:t>
    </w:r>
    <w:r>
      <w:t>2019</w:t>
    </w:r>
    <w:r>
      <w:rPr>
        <w:lang w:val="fr-BE" w:eastAsia="fr-BE"/>
      </w:rPr>
      <mc:AlternateContent>
        <mc:Choice Requires="wps">
          <w:drawing>
            <wp:anchor distT="0" distB="0" distL="114300" distR="114300" simplePos="0" relativeHeight="251747328" behindDoc="0" locked="0" layoutInCell="1" allowOverlap="1">
              <wp:simplePos x="0" y="0"/>
              <wp:positionH relativeFrom="page">
                <wp:align>left</wp:align>
              </wp:positionH>
              <wp:positionV relativeFrom="page">
                <wp:align>top</wp:align>
              </wp:positionV>
              <wp:extent cx="7621200" cy="212400"/>
              <wp:effectExtent l="0" t="0" r="0" b="0"/>
              <wp:wrapNone/>
              <wp:docPr id="457" name="Rectangle 45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C5353" id="Rectangle 457" o:spid="_x0000_s1026" style="position:absolute;margin-left:0;margin-top:0;width:600.1pt;height:16.7pt;z-index:2517473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N6EJRqOAgAAjA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745280" behindDoc="1" locked="0" layoutInCell="1" allowOverlap="1">
              <wp:simplePos x="0" y="0"/>
              <wp:positionH relativeFrom="page">
                <wp:align>left</wp:align>
              </wp:positionH>
              <wp:positionV relativeFrom="page">
                <wp:align>top</wp:align>
              </wp:positionV>
              <wp:extent cx="7621200" cy="212400"/>
              <wp:effectExtent l="0" t="0" r="0" b="0"/>
              <wp:wrapNone/>
              <wp:docPr id="1791" name="Rectangle 179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D57DF" id="Rectangle 1791" o:spid="_x0000_s1026" style="position:absolute;margin-left:0;margin-top:0;width:600.1pt;height:16.7pt;z-index:-2515712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EybazjwIAAI4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7463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18" name="Rectangle 41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472AD" id="Rectangle 418" o:spid="_x0000_s1026" style="position:absolute;margin-left:-3.7pt;margin-top:-116.05pt;width:8.85pt;height:3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c/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TCUc/mQIAAIgFAAAOAAAAAAAAAAAAAAAAAC4CAABkcnMvZTJv&#10;RG9jLnhtbFBLAQItABQABgAIAAAAIQCZXMi63wAAAAsBAAAPAAAAAAAAAAAAAAAAAPMEAABkcnMv&#10;ZG93bnJldi54bWxQSwUGAAAAAAQABADzAAAA/wU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74425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19" name="Rectangle 41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29DD5" id="Rectangle 419" o:spid="_x0000_s1026" style="position:absolute;margin-left:-3.7pt;margin-top:-116.05pt;width:8.85pt;height:37.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pimQIAAIg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xBHpi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74323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53" name="Rectangle 45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C5E50" id="Rectangle 453" o:spid="_x0000_s1026" style="position:absolute;margin-left:-3.7pt;margin-top:-116.05pt;width:8.85pt;height:37.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y+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BgGy+mQIAAIgFAAAOAAAAAAAAAAAAAAAAAC4CAABkcnMvZTJv&#10;RG9jLnhtbFBLAQItABQABgAIAAAAIQCZXMi63wAAAAsBAAAPAAAAAAAAAAAAAAAAAPMEAABkcnMv&#10;ZG93bnJldi54bWxQSwUGAAAAAAQABADzAAAA/wU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74220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54" name="Rectangle 45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F361E" id="Rectangle 454" o:spid="_x0000_s1026" style="position:absolute;margin-left:-3.7pt;margin-top:-116.05pt;width:8.85pt;height:37.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72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upK72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Left"/>
    </w:pPr>
    <w:r>
      <w:t xml:space="preserve">Annual </w:t>
    </w:r>
    <w:r>
      <w:t>Management and Performance Report for the EU Budget – Financial year 2019</w:t>
    </w:r>
    <w:r>
      <w:rPr>
        <w:lang w:val="fr-BE" w:eastAsia="fr-BE"/>
      </w:rPr>
      <mc:AlternateContent>
        <mc:Choice Requires="wps">
          <w:drawing>
            <wp:anchor distT="0" distB="0" distL="114300" distR="114300" simplePos="0" relativeHeight="251748352" behindDoc="0" locked="0" layoutInCell="1" allowOverlap="1">
              <wp:simplePos x="0" y="0"/>
              <wp:positionH relativeFrom="page">
                <wp:align>left</wp:align>
              </wp:positionH>
              <wp:positionV relativeFrom="page">
                <wp:align>top</wp:align>
              </wp:positionV>
              <wp:extent cx="7621200" cy="212400"/>
              <wp:effectExtent l="0" t="0" r="0" b="0"/>
              <wp:wrapNone/>
              <wp:docPr id="458" name="Rectangle 45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17701" id="Rectangle 458" o:spid="_x0000_s1026" style="position:absolute;margin-left:0;margin-top:0;width:600.1pt;height:16.7pt;z-index:2517483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9oQWc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F76D44">
    <w:pPr>
      <w:pStyle w:val="PPOHeader-Right"/>
    </w:pPr>
    <w:r>
      <w:rPr>
        <w:lang w:val="fr-BE" w:eastAsia="fr-BE"/>
      </w:rPr>
      <mc:AlternateContent>
        <mc:Choice Requires="wps">
          <w:drawing>
            <wp:anchor distT="0" distB="0" distL="114300" distR="114300" simplePos="0" relativeHeight="251551744" behindDoc="1" locked="0" layoutInCell="1" allowOverlap="1">
              <wp:simplePos x="0" y="0"/>
              <wp:positionH relativeFrom="page">
                <wp:align>left</wp:align>
              </wp:positionH>
              <wp:positionV relativeFrom="page">
                <wp:align>top</wp:align>
              </wp:positionV>
              <wp:extent cx="7621200" cy="212400"/>
              <wp:effectExtent l="0" t="0" r="0" b="0"/>
              <wp:wrapNone/>
              <wp:docPr id="1848" name="Rectangle 184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A1C2C" id="Rectangle 1848" o:spid="_x0000_s1026" style="position:absolute;margin-left:0;margin-top:0;width:600.1pt;height:16.7pt;z-index:-2517647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55584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49" name="Rectangle 184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045E4" id="Rectangle 1849" o:spid="_x0000_s1026" style="position:absolute;margin-left:-3.7pt;margin-top:-116.05pt;width:8.85pt;height:37.1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kmgIAAIo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3f/tJJoCAACKBQAADgAAAAAAAAAAAAAAAAAuAgAAZHJzL2Uy&#10;b0RvYy54bWxQSwECLQAUAAYACAAAACEAmVzIut8AAAALAQAADwAAAAAAAAAAAAAAAAD0BAAAZHJz&#10;L2Rvd25yZXYueG1sUEsFBgAAAAAEAAQA8wAAAAAGAAAAAA==&#10;" fillcolor="#3fb296" stroked="f" strokeweight="1pt"/>
          </w:pict>
        </mc:Fallback>
      </mc:AlternateContent>
    </w:r>
    <w:r>
      <w:t xml:space="preserve"> Annex 1: Programme performance overview</w:t>
    </w:r>
    <w:r>
      <w:rPr>
        <w:color w:val="5B9BD5" w:themeColor="accent1"/>
        <w:lang w:val="fr-BE" w:eastAsia="fr-BE"/>
      </w:rPr>
      <mc:AlternateContent>
        <mc:Choice Requires="wps">
          <w:drawing>
            <wp:anchor distT="0" distB="0" distL="114300" distR="114300" simplePos="0" relativeHeight="25154867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50" name="Rectangle 185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C75A9" id="Rectangle 1850" o:spid="_x0000_s1026" style="position:absolute;margin-left:-3.7pt;margin-top:-116.05pt;width:8.85pt;height:37.1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M8n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wuzPJ5oCAACKBQAADgAAAAAAAAAAAAAAAAAuAgAAZHJzL2Uy&#10;b0RvYy54bWxQSwECLQAUAAYACAAAACEAmVzIut8AAAALAQAADwAAAAAAAAAAAAAAAAD0BAAAZHJz&#10;L2Rvd25yZXYueG1sUEsFBgAAAAAEAAQA8wAAAAAGAAAAAA==&#10;" fillcolor="#3fb296" stroked="f" strokeweight="1pt"/>
          </w:pict>
        </mc:Fallback>
      </mc:AlternateContent>
    </w:r>
    <w:r>
      <w:rPr>
        <w:lang w:val="fr-BE" w:eastAsia="fr-BE"/>
      </w:rPr>
      <mc:AlternateContent>
        <mc:Choice Requires="wps">
          <w:drawing>
            <wp:anchor distT="0" distB="0" distL="114300" distR="114300" simplePos="0" relativeHeight="2515466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51" name="Rectangle 185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9C077" id="Rectangle 1851" o:spid="_x0000_s1026" style="position:absolute;margin-left:-3.7pt;margin-top:-116.05pt;width:8.85pt;height:37.1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M8ZmgIAAIo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HdDPGZoCAACKBQAADgAAAAAAAAAAAAAAAAAuAgAAZHJzL2Uy&#10;b0RvYy54bWxQSwECLQAUAAYACAAAACEAmVzIut8AAAALAQAADwAAAAAAAAAAAAAAAAD0BAAAZHJz&#10;L2Rvd25yZXYueG1sUEsFBgAAAAAEAAQA8wAAAAAGAAAAAA==&#10;" fillcolor="#3fb296" stroked="f" strokeweight="1pt"/>
          </w:pict>
        </mc:Fallback>
      </mc:AlternateContent>
    </w:r>
    <w:r>
      <w:rPr>
        <w:color w:val="5B9BD5" w:themeColor="accent1"/>
        <w:lang w:val="fr-BE" w:eastAsia="fr-BE"/>
      </w:rPr>
      <mc:AlternateContent>
        <mc:Choice Requires="wps">
          <w:drawing>
            <wp:anchor distT="0" distB="0" distL="114300" distR="114300" simplePos="0" relativeHeight="2515456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852" name="Rectangle 185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1CE71" id="Rectangle 1852" o:spid="_x0000_s1026" style="position:absolute;margin-left:-3.7pt;margin-top:-116.05pt;width:8.85pt;height:37.1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c9bmgIAAIo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fJXPW5oCAACKBQAADgAAAAAAAAAAAAAAAAAuAgAAZHJzL2Uy&#10;b0RvYy54bWxQSwECLQAUAAYACAAAACEAmVzIut8AAAALAQAADwAAAAAAAAAAAAAAAAD0BAAAZHJz&#10;L2Rvd25yZXYueG1sUEsFBgAAAAAEAAQA8wAAAAAGAAAAAA==&#10;" fillcolor="#3fb296" stroked="f" strokeweight="1pt"/>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34A" w:rsidRDefault="006063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9DA011E"/>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B8B6D3F8"/>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A000ED"/>
    <w:multiLevelType w:val="hybridMultilevel"/>
    <w:tmpl w:val="5A1C541A"/>
    <w:lvl w:ilvl="0" w:tplc="28EA234C">
      <w:start w:val="1"/>
      <w:numFmt w:val="bullet"/>
      <w:lvlText w:val=""/>
      <w:lvlJc w:val="left"/>
      <w:pPr>
        <w:ind w:left="1080" w:hanging="360"/>
      </w:pPr>
      <w:rPr>
        <w:rFonts w:ascii="Symbol" w:hAnsi="Symbol" w:hint="default"/>
        <w:color w:val="92D05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4612230"/>
    <w:multiLevelType w:val="multilevel"/>
    <w:tmpl w:val="5ECE5D4A"/>
    <w:styleLink w:val="AMPRLISTBlue"/>
    <w:lvl w:ilvl="0">
      <w:start w:val="1"/>
      <w:numFmt w:val="bullet"/>
      <w:pStyle w:val="AMPRListBlue-L1"/>
      <w:lvlText w:val=""/>
      <w:lvlJc w:val="left"/>
      <w:pPr>
        <w:ind w:left="717" w:hanging="360"/>
      </w:pPr>
      <w:rPr>
        <w:rFonts w:ascii="Symbol" w:hAnsi="Symbol" w:cs="Times New Roman" w:hint="default"/>
        <w:color w:val="4472C4" w:themeColor="accent5"/>
      </w:rPr>
    </w:lvl>
    <w:lvl w:ilvl="1">
      <w:start w:val="1"/>
      <w:numFmt w:val="bullet"/>
      <w:pStyle w:val="AMPRListBlue-L2"/>
      <w:lvlText w:val="—"/>
      <w:lvlJc w:val="left"/>
      <w:pPr>
        <w:tabs>
          <w:tab w:val="num" w:pos="1077"/>
        </w:tabs>
        <w:ind w:left="1434" w:hanging="357"/>
      </w:pPr>
      <w:rPr>
        <w:rFonts w:ascii="EC Square Sans Pro" w:hAnsi="EC Square Sans Pro" w:cs="EC Square Sans Pro" w:hint="default"/>
        <w:color w:val="005D95"/>
      </w:rPr>
    </w:lvl>
    <w:lvl w:ilvl="2">
      <w:start w:val="1"/>
      <w:numFmt w:val="bullet"/>
      <w:lvlText w:val=""/>
      <w:lvlJc w:val="left"/>
      <w:pPr>
        <w:ind w:left="2154" w:hanging="357"/>
      </w:pPr>
      <w:rPr>
        <w:rFonts w:ascii="Wingdings" w:hAnsi="Wingdings" w:cs="Wingdings" w:hint="default"/>
        <w:color w:val="005D95"/>
      </w:rPr>
    </w:lvl>
    <w:lvl w:ilvl="3">
      <w:start w:val="1"/>
      <w:numFmt w:val="bullet"/>
      <w:lvlText w:val=""/>
      <w:lvlJc w:val="left"/>
      <w:pPr>
        <w:ind w:left="2874" w:hanging="357"/>
      </w:pPr>
      <w:rPr>
        <w:rFonts w:ascii="Symbol" w:hAnsi="Symbol" w:cs="Symbol" w:hint="default"/>
        <w:color w:val="005D95"/>
      </w:rPr>
    </w:lvl>
    <w:lvl w:ilvl="4">
      <w:start w:val="1"/>
      <w:numFmt w:val="bullet"/>
      <w:lvlText w:val="o"/>
      <w:lvlJc w:val="left"/>
      <w:pPr>
        <w:ind w:left="3594" w:hanging="357"/>
      </w:pPr>
      <w:rPr>
        <w:rFonts w:ascii="Courier New" w:hAnsi="Courier New" w:cs="Courier New" w:hint="default"/>
        <w:color w:val="005D95"/>
      </w:rPr>
    </w:lvl>
    <w:lvl w:ilvl="5">
      <w:start w:val="1"/>
      <w:numFmt w:val="bullet"/>
      <w:lvlText w:val=""/>
      <w:lvlJc w:val="left"/>
      <w:pPr>
        <w:ind w:left="4314" w:hanging="357"/>
      </w:pPr>
      <w:rPr>
        <w:rFonts w:ascii="Wingdings" w:hAnsi="Wingdings" w:cs="Wingdings" w:hint="default"/>
        <w:color w:val="005D95"/>
      </w:rPr>
    </w:lvl>
    <w:lvl w:ilvl="6">
      <w:start w:val="1"/>
      <w:numFmt w:val="bullet"/>
      <w:lvlText w:val=""/>
      <w:lvlJc w:val="left"/>
      <w:pPr>
        <w:ind w:left="5034" w:hanging="357"/>
      </w:pPr>
      <w:rPr>
        <w:rFonts w:ascii="Symbol" w:hAnsi="Symbol" w:cs="Symbol" w:hint="default"/>
        <w:color w:val="005D95"/>
      </w:rPr>
    </w:lvl>
    <w:lvl w:ilvl="7">
      <w:start w:val="1"/>
      <w:numFmt w:val="bullet"/>
      <w:lvlText w:val="o"/>
      <w:lvlJc w:val="left"/>
      <w:pPr>
        <w:ind w:left="5754" w:hanging="357"/>
      </w:pPr>
      <w:rPr>
        <w:rFonts w:ascii="Courier New" w:hAnsi="Courier New" w:cs="Courier New" w:hint="default"/>
        <w:color w:val="005D95"/>
      </w:rPr>
    </w:lvl>
    <w:lvl w:ilvl="8">
      <w:start w:val="1"/>
      <w:numFmt w:val="bullet"/>
      <w:lvlText w:val=""/>
      <w:lvlJc w:val="left"/>
      <w:pPr>
        <w:ind w:left="6474" w:hanging="357"/>
      </w:pPr>
      <w:rPr>
        <w:rFonts w:ascii="Wingdings" w:hAnsi="Wingdings" w:cs="Wingdings" w:hint="default"/>
        <w:color w:val="005D95"/>
      </w:rPr>
    </w:lvl>
  </w:abstractNum>
  <w:abstractNum w:abstractNumId="4" w15:restartNumberingAfterBreak="0">
    <w:nsid w:val="048F1B23"/>
    <w:multiLevelType w:val="hybridMultilevel"/>
    <w:tmpl w:val="2146ECBA"/>
    <w:lvl w:ilvl="0" w:tplc="3BDE0ABE">
      <w:start w:val="1"/>
      <w:numFmt w:val="bullet"/>
      <w:pStyle w:val="Bullet"/>
      <w:lvlText w:val=""/>
      <w:lvlJc w:val="left"/>
      <w:pPr>
        <w:ind w:left="502"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AE24A6"/>
    <w:multiLevelType w:val="multilevel"/>
    <w:tmpl w:val="9AA422D2"/>
    <w:styleLink w:val="PPO2SpecificObjectivesBulletsLIST"/>
    <w:lvl w:ilvl="0">
      <w:start w:val="1"/>
      <w:numFmt w:val="bullet"/>
      <w:pStyle w:val="PPO2SpecificobjectivesBOX-BulletSpringGreen"/>
      <w:lvlText w:val=""/>
      <w:lvlJc w:val="left"/>
      <w:pPr>
        <w:ind w:left="340" w:hanging="227"/>
      </w:pPr>
      <w:rPr>
        <w:rFonts w:ascii="Symbol" w:hAnsi="Symbol" w:cs="Times New Roman" w:hint="default"/>
        <w:color w:val="9ACA3C"/>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6" w15:restartNumberingAfterBreak="0">
    <w:nsid w:val="0B770DE6"/>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B847335"/>
    <w:multiLevelType w:val="multilevel"/>
    <w:tmpl w:val="B04AB4DE"/>
    <w:numStyleLink w:val="AMPRLIST-SEC2-Headings"/>
  </w:abstractNum>
  <w:abstractNum w:abstractNumId="8" w15:restartNumberingAfterBreak="0">
    <w:nsid w:val="0E370B15"/>
    <w:multiLevelType w:val="hybridMultilevel"/>
    <w:tmpl w:val="26CCEE2E"/>
    <w:lvl w:ilvl="0" w:tplc="1ED2C158">
      <w:start w:val="1"/>
      <w:numFmt w:val="bullet"/>
      <w:pStyle w:val="BulletsblueNew"/>
      <w:lvlText w:val=""/>
      <w:lvlJc w:val="left"/>
      <w:pPr>
        <w:ind w:left="1080" w:hanging="360"/>
      </w:pPr>
      <w:rPr>
        <w:rFonts w:ascii="Symbol" w:hAnsi="Symbol" w:hint="default"/>
        <w:color w:val="00ADD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1F9397F"/>
    <w:multiLevelType w:val="multilevel"/>
    <w:tmpl w:val="B96E5C80"/>
    <w:numStyleLink w:val="PPOLISTBlackBULLETS"/>
  </w:abstractNum>
  <w:abstractNum w:abstractNumId="10" w15:restartNumberingAfterBreak="0">
    <w:nsid w:val="165C7CE9"/>
    <w:multiLevelType w:val="multilevel"/>
    <w:tmpl w:val="191E1D4E"/>
    <w:styleLink w:val="PPO4SpecificObjectivesBulletsLIST"/>
    <w:lvl w:ilvl="0">
      <w:start w:val="1"/>
      <w:numFmt w:val="bullet"/>
      <w:pStyle w:val="PPO4SpecificobjectivesBOX-BulletLightBrown"/>
      <w:lvlText w:val=""/>
      <w:lvlJc w:val="left"/>
      <w:pPr>
        <w:ind w:left="340" w:hanging="227"/>
      </w:pPr>
      <w:rPr>
        <w:rFonts w:ascii="Symbol" w:hAnsi="Symbol" w:cs="Times New Roman" w:hint="default"/>
        <w:color w:val="F68A42"/>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11" w15:restartNumberingAfterBreak="0">
    <w:nsid w:val="16602544"/>
    <w:multiLevelType w:val="multilevel"/>
    <w:tmpl w:val="3586C530"/>
    <w:styleLink w:val="PPO1BSpecificObjectivesBulletsLIST"/>
    <w:lvl w:ilvl="0">
      <w:start w:val="1"/>
      <w:numFmt w:val="bullet"/>
      <w:pStyle w:val="PPO1BSpecificobjectivesBOX-BulletTurquoise"/>
      <w:lvlText w:val=""/>
      <w:lvlJc w:val="left"/>
      <w:pPr>
        <w:ind w:left="340" w:hanging="227"/>
      </w:pPr>
      <w:rPr>
        <w:rFonts w:ascii="Symbol" w:hAnsi="Symbol" w:cs="Times New Roman" w:hint="default"/>
        <w:color w:val="18BAA8"/>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12" w15:restartNumberingAfterBreak="0">
    <w:nsid w:val="1EE87120"/>
    <w:multiLevelType w:val="multilevel"/>
    <w:tmpl w:val="F4A887E6"/>
    <w:styleLink w:val="AMPRANNEXESLISTColumnSpecifications"/>
    <w:lvl w:ilvl="0">
      <w:start w:val="1"/>
      <w:numFmt w:val="lowerLetter"/>
      <w:pStyle w:val="AMPRAnnexesList-Columnspecifications-L1"/>
      <w:lvlText w:val="(%1)"/>
      <w:lvlJc w:val="left"/>
      <w:pPr>
        <w:ind w:left="357" w:hanging="357"/>
      </w:pPr>
      <w:rPr>
        <w:rFonts w:hint="default"/>
      </w:rPr>
    </w:lvl>
    <w:lvl w:ilvl="1">
      <w:start w:val="1"/>
      <w:numFmt w:val="bullet"/>
      <w:pStyle w:val="AMPRAnnexesList-Columnspecifications-L2"/>
      <w:lvlText w:val=""/>
      <w:lvlJc w:val="left"/>
      <w:pPr>
        <w:ind w:left="714" w:hanging="357"/>
      </w:pPr>
      <w:rPr>
        <w:rFonts w:ascii="Symbol" w:hAnsi="Symbol" w:cs="Symbol" w:hint="default"/>
        <w:color w:val="F26A47"/>
      </w:rPr>
    </w:lvl>
    <w:lvl w:ilvl="2">
      <w:start w:val="1"/>
      <w:numFmt w:val="lowerRoman"/>
      <w:lvlText w:val="%3."/>
      <w:lvlJc w:val="righ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13" w15:restartNumberingAfterBreak="0">
    <w:nsid w:val="1FCA407E"/>
    <w:multiLevelType w:val="multilevel"/>
    <w:tmpl w:val="E7621932"/>
    <w:styleLink w:val="AMPRLISTOrange"/>
    <w:lvl w:ilvl="0">
      <w:start w:val="1"/>
      <w:numFmt w:val="bullet"/>
      <w:pStyle w:val="AMPRListOrange-L1"/>
      <w:lvlText w:val=""/>
      <w:lvlJc w:val="left"/>
      <w:pPr>
        <w:ind w:left="714" w:hanging="357"/>
      </w:pPr>
      <w:rPr>
        <w:rFonts w:ascii="Symbol" w:hAnsi="Symbol" w:cs="Times New Roman" w:hint="default"/>
        <w:color w:val="F26A47"/>
      </w:rPr>
    </w:lvl>
    <w:lvl w:ilvl="1">
      <w:start w:val="1"/>
      <w:numFmt w:val="bullet"/>
      <w:pStyle w:val="AMPRListOrange-L2"/>
      <w:lvlText w:val="—"/>
      <w:lvlJc w:val="left"/>
      <w:pPr>
        <w:tabs>
          <w:tab w:val="num" w:pos="1077"/>
        </w:tabs>
        <w:ind w:left="1434" w:hanging="357"/>
      </w:pPr>
      <w:rPr>
        <w:rFonts w:ascii="EC Square Sans Pro" w:hAnsi="EC Square Sans Pro" w:cs="Courier New" w:hint="default"/>
        <w:color w:val="F26A47"/>
      </w:rPr>
    </w:lvl>
    <w:lvl w:ilvl="2">
      <w:start w:val="1"/>
      <w:numFmt w:val="bullet"/>
      <w:lvlText w:val=""/>
      <w:lvlJc w:val="left"/>
      <w:pPr>
        <w:ind w:left="2154" w:hanging="357"/>
      </w:pPr>
      <w:rPr>
        <w:rFonts w:ascii="Wingdings" w:hAnsi="Wingdings" w:cs="Times New Roman" w:hint="default"/>
        <w:color w:val="F26A47"/>
      </w:rPr>
    </w:lvl>
    <w:lvl w:ilvl="3">
      <w:start w:val="1"/>
      <w:numFmt w:val="bullet"/>
      <w:lvlText w:val=""/>
      <w:lvlJc w:val="left"/>
      <w:pPr>
        <w:ind w:left="2874" w:hanging="357"/>
      </w:pPr>
      <w:rPr>
        <w:rFonts w:ascii="Symbol" w:hAnsi="Symbol" w:cs="Times New Roman" w:hint="default"/>
        <w:color w:val="F26A47"/>
      </w:rPr>
    </w:lvl>
    <w:lvl w:ilvl="4">
      <w:start w:val="1"/>
      <w:numFmt w:val="bullet"/>
      <w:lvlText w:val="o"/>
      <w:lvlJc w:val="left"/>
      <w:pPr>
        <w:ind w:left="3594" w:hanging="357"/>
      </w:pPr>
      <w:rPr>
        <w:rFonts w:ascii="Courier New" w:hAnsi="Courier New" w:cs="Courier New" w:hint="default"/>
        <w:color w:val="F26A47"/>
      </w:rPr>
    </w:lvl>
    <w:lvl w:ilvl="5">
      <w:start w:val="1"/>
      <w:numFmt w:val="bullet"/>
      <w:lvlText w:val=""/>
      <w:lvlJc w:val="left"/>
      <w:pPr>
        <w:ind w:left="4314" w:hanging="357"/>
      </w:pPr>
      <w:rPr>
        <w:rFonts w:ascii="Wingdings" w:hAnsi="Wingdings" w:cs="Times New Roman" w:hint="default"/>
        <w:color w:val="F26A47"/>
      </w:rPr>
    </w:lvl>
    <w:lvl w:ilvl="6">
      <w:start w:val="1"/>
      <w:numFmt w:val="bullet"/>
      <w:lvlText w:val=""/>
      <w:lvlJc w:val="left"/>
      <w:pPr>
        <w:ind w:left="5034" w:hanging="357"/>
      </w:pPr>
      <w:rPr>
        <w:rFonts w:ascii="Symbol" w:hAnsi="Symbol" w:cs="Symbol" w:hint="default"/>
        <w:color w:val="F26A47"/>
      </w:rPr>
    </w:lvl>
    <w:lvl w:ilvl="7">
      <w:start w:val="1"/>
      <w:numFmt w:val="bullet"/>
      <w:lvlText w:val="o"/>
      <w:lvlJc w:val="left"/>
      <w:pPr>
        <w:ind w:left="5754" w:hanging="357"/>
      </w:pPr>
      <w:rPr>
        <w:rFonts w:ascii="Courier New" w:hAnsi="Courier New" w:cs="Courier New" w:hint="default"/>
        <w:color w:val="F26A47"/>
      </w:rPr>
    </w:lvl>
    <w:lvl w:ilvl="8">
      <w:start w:val="1"/>
      <w:numFmt w:val="bullet"/>
      <w:lvlText w:val=""/>
      <w:lvlJc w:val="left"/>
      <w:pPr>
        <w:ind w:left="6474" w:hanging="357"/>
      </w:pPr>
      <w:rPr>
        <w:rFonts w:ascii="Wingdings" w:hAnsi="Wingdings" w:cs="Wingdings" w:hint="default"/>
        <w:color w:val="F26A47"/>
      </w:rPr>
    </w:lvl>
  </w:abstractNum>
  <w:abstractNum w:abstractNumId="14" w15:restartNumberingAfterBreak="0">
    <w:nsid w:val="2397091A"/>
    <w:multiLevelType w:val="multilevel"/>
    <w:tmpl w:val="B04AB4DE"/>
    <w:styleLink w:val="AMPRLIST-SEC2-Headings"/>
    <w:lvl w:ilvl="0">
      <w:start w:val="1"/>
      <w:numFmt w:val="decimal"/>
      <w:pStyle w:val="AMPRSec2TITLE2-numbered"/>
      <w:lvlText w:val="2.%1."/>
      <w:lvlJc w:val="left"/>
      <w:pPr>
        <w:ind w:left="1276" w:hanging="1276"/>
      </w:pPr>
      <w:rPr>
        <w:rFonts w:hint="default"/>
      </w:rPr>
    </w:lvl>
    <w:lvl w:ilvl="1">
      <w:start w:val="1"/>
      <w:numFmt w:val="decimal"/>
      <w:pStyle w:val="AMPRSec2TITLE3-numbered"/>
      <w:lvlText w:val="2.%1.%2."/>
      <w:lvlJc w:val="left"/>
      <w:pPr>
        <w:ind w:left="1276" w:hanging="1276"/>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23E11927"/>
    <w:multiLevelType w:val="multilevel"/>
    <w:tmpl w:val="AEC40D6E"/>
    <w:styleLink w:val="PPO1ASpecificObjectivesBulletsLIST"/>
    <w:lvl w:ilvl="0">
      <w:start w:val="1"/>
      <w:numFmt w:val="bullet"/>
      <w:pStyle w:val="PPO1ASpecificobjectivesBOX-BulletLightBlue"/>
      <w:lvlText w:val=""/>
      <w:lvlJc w:val="left"/>
      <w:pPr>
        <w:ind w:left="340" w:hanging="227"/>
      </w:pPr>
      <w:rPr>
        <w:rFonts w:ascii="Symbol" w:hAnsi="Symbol" w:cs="Times New Roman" w:hint="default"/>
        <w:color w:val="00ADDC"/>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16" w15:restartNumberingAfterBreak="0">
    <w:nsid w:val="2580631B"/>
    <w:multiLevelType w:val="multilevel"/>
    <w:tmpl w:val="6F14F578"/>
    <w:styleLink w:val="PPOLISTBlackNumbersinbrackets"/>
    <w:lvl w:ilvl="0">
      <w:start w:val="1"/>
      <w:numFmt w:val="decimal"/>
      <w:pStyle w:val="PPOBlackNumberinBracketsLIST-L1"/>
      <w:lvlText w:val="(%1)"/>
      <w:lvlJc w:val="left"/>
      <w:pPr>
        <w:tabs>
          <w:tab w:val="num" w:pos="720"/>
        </w:tabs>
        <w:ind w:left="1077" w:hanging="357"/>
      </w:pPr>
      <w:rPr>
        <w:rFonts w:hint="default"/>
      </w:rPr>
    </w:lvl>
    <w:lvl w:ilvl="1">
      <w:start w:val="1"/>
      <w:numFmt w:val="lowerLetter"/>
      <w:lvlText w:val="%2)"/>
      <w:lvlJc w:val="left"/>
      <w:pPr>
        <w:tabs>
          <w:tab w:val="num" w:pos="1083"/>
        </w:tabs>
        <w:ind w:left="1440" w:hanging="357"/>
      </w:pPr>
      <w:rPr>
        <w:rFonts w:hint="default"/>
      </w:rPr>
    </w:lvl>
    <w:lvl w:ilvl="2">
      <w:start w:val="1"/>
      <w:numFmt w:val="lowerRoman"/>
      <w:lvlText w:val="%3)"/>
      <w:lvlJc w:val="left"/>
      <w:pPr>
        <w:tabs>
          <w:tab w:val="num" w:pos="1446"/>
        </w:tabs>
        <w:ind w:left="1803" w:hanging="357"/>
      </w:pPr>
      <w:rPr>
        <w:rFonts w:hint="default"/>
      </w:rPr>
    </w:lvl>
    <w:lvl w:ilvl="3">
      <w:start w:val="1"/>
      <w:numFmt w:val="decimal"/>
      <w:lvlText w:val="(%4)"/>
      <w:lvlJc w:val="left"/>
      <w:pPr>
        <w:tabs>
          <w:tab w:val="num" w:pos="1809"/>
        </w:tabs>
        <w:ind w:left="2166" w:hanging="357"/>
      </w:pPr>
      <w:rPr>
        <w:rFonts w:hint="default"/>
      </w:rPr>
    </w:lvl>
    <w:lvl w:ilvl="4">
      <w:start w:val="1"/>
      <w:numFmt w:val="lowerLetter"/>
      <w:lvlText w:val="(%5)"/>
      <w:lvlJc w:val="left"/>
      <w:pPr>
        <w:tabs>
          <w:tab w:val="num" w:pos="2172"/>
        </w:tabs>
        <w:ind w:left="2529" w:hanging="357"/>
      </w:pPr>
      <w:rPr>
        <w:rFonts w:hint="default"/>
      </w:rPr>
    </w:lvl>
    <w:lvl w:ilvl="5">
      <w:start w:val="1"/>
      <w:numFmt w:val="lowerRoman"/>
      <w:lvlText w:val="(%6)"/>
      <w:lvlJc w:val="left"/>
      <w:pPr>
        <w:tabs>
          <w:tab w:val="num" w:pos="2535"/>
        </w:tabs>
        <w:ind w:left="2892" w:hanging="357"/>
      </w:pPr>
      <w:rPr>
        <w:rFonts w:hint="default"/>
      </w:rPr>
    </w:lvl>
    <w:lvl w:ilvl="6">
      <w:start w:val="1"/>
      <w:numFmt w:val="decimal"/>
      <w:lvlText w:val="%7."/>
      <w:lvlJc w:val="left"/>
      <w:pPr>
        <w:tabs>
          <w:tab w:val="num" w:pos="2898"/>
        </w:tabs>
        <w:ind w:left="3255" w:hanging="357"/>
      </w:pPr>
      <w:rPr>
        <w:rFonts w:hint="default"/>
      </w:rPr>
    </w:lvl>
    <w:lvl w:ilvl="7">
      <w:start w:val="1"/>
      <w:numFmt w:val="lowerLetter"/>
      <w:lvlText w:val="%8."/>
      <w:lvlJc w:val="left"/>
      <w:pPr>
        <w:tabs>
          <w:tab w:val="num" w:pos="3261"/>
        </w:tabs>
        <w:ind w:left="3618" w:hanging="357"/>
      </w:pPr>
      <w:rPr>
        <w:rFonts w:hint="default"/>
      </w:rPr>
    </w:lvl>
    <w:lvl w:ilvl="8">
      <w:start w:val="1"/>
      <w:numFmt w:val="lowerRoman"/>
      <w:lvlText w:val="%9."/>
      <w:lvlJc w:val="left"/>
      <w:pPr>
        <w:tabs>
          <w:tab w:val="num" w:pos="3624"/>
        </w:tabs>
        <w:ind w:left="3981" w:hanging="357"/>
      </w:pPr>
      <w:rPr>
        <w:rFonts w:hint="default"/>
      </w:rPr>
    </w:lvl>
  </w:abstractNum>
  <w:abstractNum w:abstractNumId="17" w15:restartNumberingAfterBreak="0">
    <w:nsid w:val="2E855663"/>
    <w:multiLevelType w:val="hybridMultilevel"/>
    <w:tmpl w:val="86E0AE50"/>
    <w:lvl w:ilvl="0" w:tplc="080C0001">
      <w:start w:val="1"/>
      <w:numFmt w:val="bullet"/>
      <w:pStyle w:val="AMPRtableBOXA-bgWHITElnORANGE-BLUE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8" w15:restartNumberingAfterBreak="0">
    <w:nsid w:val="2FBF6536"/>
    <w:multiLevelType w:val="multilevel"/>
    <w:tmpl w:val="AEC40D6E"/>
    <w:numStyleLink w:val="PPO1ASpecificObjectivesBulletsLIST"/>
  </w:abstractNum>
  <w:abstractNum w:abstractNumId="19" w15:restartNumberingAfterBreak="0">
    <w:nsid w:val="304450D8"/>
    <w:multiLevelType w:val="multilevel"/>
    <w:tmpl w:val="346EE1F8"/>
    <w:styleLink w:val="PPO3SpecificObjectivesBulletsLIST"/>
    <w:lvl w:ilvl="0">
      <w:start w:val="1"/>
      <w:numFmt w:val="bullet"/>
      <w:pStyle w:val="PPO3SpecificobjectivesBOX-BulletPurple"/>
      <w:lvlText w:val=""/>
      <w:lvlJc w:val="left"/>
      <w:pPr>
        <w:ind w:left="340" w:hanging="227"/>
      </w:pPr>
      <w:rPr>
        <w:rFonts w:ascii="Symbol" w:hAnsi="Symbol" w:cs="Times New Roman" w:hint="default"/>
        <w:color w:val="585EA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20" w15:restartNumberingAfterBreak="0">
    <w:nsid w:val="334346B6"/>
    <w:multiLevelType w:val="multilevel"/>
    <w:tmpl w:val="AEC40D6E"/>
    <w:styleLink w:val="PPOA1SpecificObjectivesBulletsLIST"/>
    <w:lvl w:ilvl="0">
      <w:start w:val="1"/>
      <w:numFmt w:val="bullet"/>
      <w:lvlText w:val=""/>
      <w:lvlJc w:val="left"/>
      <w:pPr>
        <w:ind w:left="340" w:hanging="227"/>
      </w:pPr>
      <w:rPr>
        <w:rFonts w:ascii="Symbol" w:hAnsi="Symbol" w:cs="Times New Roman" w:hint="default"/>
        <w:color w:val="00ADDC"/>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21" w15:restartNumberingAfterBreak="0">
    <w:nsid w:val="339803C9"/>
    <w:multiLevelType w:val="multilevel"/>
    <w:tmpl w:val="B96E5C80"/>
    <w:styleLink w:val="PPOLISTBlackBULLETS"/>
    <w:lvl w:ilvl="0">
      <w:start w:val="1"/>
      <w:numFmt w:val="bullet"/>
      <w:pStyle w:val="PPOBlackBULLETS-L1"/>
      <w:lvlText w:val=""/>
      <w:lvlJc w:val="left"/>
      <w:pPr>
        <w:ind w:left="499" w:hanging="357"/>
      </w:pPr>
      <w:rPr>
        <w:rFonts w:ascii="Symbol" w:hAnsi="Symbol" w:cs="Times New Roman" w:hint="default"/>
      </w:rPr>
    </w:lvl>
    <w:lvl w:ilvl="1">
      <w:start w:val="1"/>
      <w:numFmt w:val="bullet"/>
      <w:pStyle w:val="PPOBlackBULLETS-L2"/>
      <w:lvlText w:val="o"/>
      <w:lvlJc w:val="left"/>
      <w:pPr>
        <w:ind w:left="1077" w:hanging="357"/>
      </w:pPr>
      <w:rPr>
        <w:rFonts w:ascii="Courier New" w:hAnsi="Courier New" w:cs="Courier New" w:hint="default"/>
      </w:rPr>
    </w:lvl>
    <w:lvl w:ilvl="2">
      <w:start w:val="1"/>
      <w:numFmt w:val="bullet"/>
      <w:lvlText w:val=""/>
      <w:lvlJc w:val="left"/>
      <w:pPr>
        <w:ind w:left="1656" w:hanging="358"/>
      </w:pPr>
      <w:rPr>
        <w:rFonts w:ascii="Wingdings" w:hAnsi="Wingdings" w:cs="Times New Roman" w:hint="default"/>
      </w:rPr>
    </w:lvl>
    <w:lvl w:ilvl="3">
      <w:start w:val="1"/>
      <w:numFmt w:val="bullet"/>
      <w:lvlText w:val=""/>
      <w:lvlJc w:val="left"/>
      <w:pPr>
        <w:ind w:left="2234" w:hanging="357"/>
      </w:pPr>
      <w:rPr>
        <w:rFonts w:ascii="Symbol" w:hAnsi="Symbol" w:cs="Times New Roman" w:hint="default"/>
      </w:rPr>
    </w:lvl>
    <w:lvl w:ilvl="4">
      <w:start w:val="1"/>
      <w:numFmt w:val="bullet"/>
      <w:lvlText w:val="o"/>
      <w:lvlJc w:val="left"/>
      <w:pPr>
        <w:ind w:left="2812" w:hanging="357"/>
      </w:pPr>
      <w:rPr>
        <w:rFonts w:ascii="Courier New" w:hAnsi="Courier New" w:cs="Courier New" w:hint="default"/>
      </w:rPr>
    </w:lvl>
    <w:lvl w:ilvl="5">
      <w:start w:val="1"/>
      <w:numFmt w:val="bullet"/>
      <w:lvlText w:val=""/>
      <w:lvlJc w:val="left"/>
      <w:pPr>
        <w:ind w:left="3391" w:hanging="358"/>
      </w:pPr>
      <w:rPr>
        <w:rFonts w:ascii="Wingdings" w:hAnsi="Wingdings" w:cs="Times New Roman" w:hint="default"/>
      </w:rPr>
    </w:lvl>
    <w:lvl w:ilvl="6">
      <w:start w:val="1"/>
      <w:numFmt w:val="bullet"/>
      <w:lvlText w:val=""/>
      <w:lvlJc w:val="left"/>
      <w:pPr>
        <w:ind w:left="5182" w:hanging="360"/>
      </w:pPr>
      <w:rPr>
        <w:rFonts w:ascii="Symbol" w:hAnsi="Symbol" w:cs="Times New Roman"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Times New Roman" w:hint="default"/>
      </w:rPr>
    </w:lvl>
  </w:abstractNum>
  <w:abstractNum w:abstractNumId="22" w15:restartNumberingAfterBreak="0">
    <w:nsid w:val="33B86435"/>
    <w:multiLevelType w:val="multilevel"/>
    <w:tmpl w:val="E714809C"/>
    <w:styleLink w:val="AMPRLISTa"/>
    <w:lvl w:ilvl="0">
      <w:start w:val="1"/>
      <w:numFmt w:val="lowerLetter"/>
      <w:pStyle w:val="AMPRLista-L1"/>
      <w:lvlText w:val="(%1)"/>
      <w:lvlJc w:val="left"/>
      <w:pPr>
        <w:ind w:left="714" w:hanging="357"/>
      </w:pPr>
      <w:rPr>
        <w:rFonts w:hint="default"/>
      </w:rPr>
    </w:lvl>
    <w:lvl w:ilvl="1">
      <w:start w:val="1"/>
      <w:numFmt w:val="bullet"/>
      <w:lvlText w:val=""/>
      <w:lvlJc w:val="left"/>
      <w:pPr>
        <w:ind w:left="1071" w:hanging="357"/>
      </w:pPr>
      <w:rPr>
        <w:rFonts w:ascii="Symbol" w:hAnsi="Symbol" w:cs="Symbol" w:hint="default"/>
        <w:color w:val="4472C4" w:themeColor="accent5"/>
      </w:rPr>
    </w:lvl>
    <w:lvl w:ilvl="2">
      <w:start w:val="1"/>
      <w:numFmt w:val="bullet"/>
      <w:lvlText w:val="o"/>
      <w:lvlJc w:val="left"/>
      <w:pPr>
        <w:ind w:left="1428" w:hanging="357"/>
      </w:pPr>
      <w:rPr>
        <w:rFonts w:ascii="Courier New" w:hAnsi="Courier New" w:cs="Courier New" w:hint="default"/>
        <w:color w:val="4472C4" w:themeColor="accent5"/>
      </w:rPr>
    </w:lvl>
    <w:lvl w:ilvl="3">
      <w:start w:val="1"/>
      <w:numFmt w:val="decimal"/>
      <w:lvlText w:val="%4."/>
      <w:lvlJc w:val="left"/>
      <w:pPr>
        <w:ind w:left="1785" w:hanging="357"/>
      </w:pPr>
      <w:rPr>
        <w:rFonts w:hint="default"/>
      </w:rPr>
    </w:lvl>
    <w:lvl w:ilvl="4">
      <w:start w:val="1"/>
      <w:numFmt w:val="lowerLetter"/>
      <w:lvlText w:val="%5."/>
      <w:lvlJc w:val="left"/>
      <w:pPr>
        <w:ind w:left="2142" w:hanging="357"/>
      </w:pPr>
      <w:rPr>
        <w:rFonts w:hint="default"/>
      </w:rPr>
    </w:lvl>
    <w:lvl w:ilvl="5">
      <w:start w:val="1"/>
      <w:numFmt w:val="lowerRoman"/>
      <w:lvlText w:val="%6."/>
      <w:lvlJc w:val="right"/>
      <w:pPr>
        <w:ind w:left="2499" w:hanging="357"/>
      </w:pPr>
      <w:rPr>
        <w:rFonts w:hint="default"/>
      </w:rPr>
    </w:lvl>
    <w:lvl w:ilvl="6">
      <w:start w:val="1"/>
      <w:numFmt w:val="decimal"/>
      <w:lvlText w:val="%7."/>
      <w:lvlJc w:val="left"/>
      <w:pPr>
        <w:ind w:left="2856" w:hanging="357"/>
      </w:pPr>
      <w:rPr>
        <w:rFonts w:hint="default"/>
      </w:rPr>
    </w:lvl>
    <w:lvl w:ilvl="7">
      <w:start w:val="1"/>
      <w:numFmt w:val="lowerLetter"/>
      <w:lvlText w:val="%8."/>
      <w:lvlJc w:val="left"/>
      <w:pPr>
        <w:ind w:left="3213" w:hanging="357"/>
      </w:pPr>
      <w:rPr>
        <w:rFonts w:hint="default"/>
      </w:rPr>
    </w:lvl>
    <w:lvl w:ilvl="8">
      <w:start w:val="1"/>
      <w:numFmt w:val="lowerRoman"/>
      <w:lvlText w:val="%9."/>
      <w:lvlJc w:val="right"/>
      <w:pPr>
        <w:ind w:left="3570" w:hanging="357"/>
      </w:pPr>
      <w:rPr>
        <w:rFonts w:hint="default"/>
      </w:rPr>
    </w:lvl>
  </w:abstractNum>
  <w:abstractNum w:abstractNumId="23" w15:restartNumberingAfterBreak="0">
    <w:nsid w:val="375D2D73"/>
    <w:multiLevelType w:val="multilevel"/>
    <w:tmpl w:val="FBAC837C"/>
    <w:styleLink w:val="AMPRLIST-Annexes-Headings"/>
    <w:lvl w:ilvl="0">
      <w:start w:val="1"/>
      <w:numFmt w:val="decimal"/>
      <w:pStyle w:val="AMPRAnnexesTITLE3-Numbered"/>
      <w:lvlText w:val="%1."/>
      <w:lvlJc w:val="left"/>
      <w:pPr>
        <w:ind w:left="663" w:hanging="663"/>
      </w:pPr>
      <w:rPr>
        <w:rFonts w:hint="default"/>
      </w:rPr>
    </w:lvl>
    <w:lvl w:ilvl="1">
      <w:start w:val="1"/>
      <w:numFmt w:val="decimal"/>
      <w:pStyle w:val="AMPRAnnexesTITLE4-Numbered"/>
      <w:lvlText w:val="%1.%2."/>
      <w:lvlJc w:val="left"/>
      <w:pPr>
        <w:tabs>
          <w:tab w:val="num" w:pos="1400"/>
        </w:tabs>
        <w:ind w:left="1400" w:hanging="737"/>
      </w:pPr>
      <w:rPr>
        <w:rFonts w:hint="default"/>
        <w:color w:val="F68A42"/>
      </w:rPr>
    </w:lvl>
    <w:lvl w:ilvl="2">
      <w:start w:val="1"/>
      <w:numFmt w:val="lowerRoman"/>
      <w:lvlText w:val="%3."/>
      <w:lvlJc w:val="right"/>
      <w:pPr>
        <w:ind w:left="1989" w:hanging="663"/>
      </w:pPr>
      <w:rPr>
        <w:rFonts w:hint="default"/>
      </w:rPr>
    </w:lvl>
    <w:lvl w:ilvl="3">
      <w:start w:val="1"/>
      <w:numFmt w:val="decimal"/>
      <w:lvlText w:val="%4."/>
      <w:lvlJc w:val="left"/>
      <w:pPr>
        <w:ind w:left="2652" w:hanging="663"/>
      </w:pPr>
      <w:rPr>
        <w:rFonts w:hint="default"/>
      </w:rPr>
    </w:lvl>
    <w:lvl w:ilvl="4">
      <w:start w:val="1"/>
      <w:numFmt w:val="lowerLetter"/>
      <w:lvlText w:val="%5."/>
      <w:lvlJc w:val="left"/>
      <w:pPr>
        <w:ind w:left="3315" w:hanging="663"/>
      </w:pPr>
      <w:rPr>
        <w:rFonts w:hint="default"/>
      </w:rPr>
    </w:lvl>
    <w:lvl w:ilvl="5">
      <w:start w:val="1"/>
      <w:numFmt w:val="lowerRoman"/>
      <w:lvlText w:val="%6."/>
      <w:lvlJc w:val="right"/>
      <w:pPr>
        <w:ind w:left="3978" w:hanging="663"/>
      </w:pPr>
      <w:rPr>
        <w:rFonts w:hint="default"/>
      </w:rPr>
    </w:lvl>
    <w:lvl w:ilvl="6">
      <w:start w:val="1"/>
      <w:numFmt w:val="decimal"/>
      <w:lvlText w:val="%7."/>
      <w:lvlJc w:val="left"/>
      <w:pPr>
        <w:ind w:left="4641" w:hanging="663"/>
      </w:pPr>
      <w:rPr>
        <w:rFonts w:hint="default"/>
      </w:rPr>
    </w:lvl>
    <w:lvl w:ilvl="7">
      <w:start w:val="1"/>
      <w:numFmt w:val="lowerLetter"/>
      <w:lvlText w:val="%8."/>
      <w:lvlJc w:val="left"/>
      <w:pPr>
        <w:ind w:left="5304" w:hanging="663"/>
      </w:pPr>
      <w:rPr>
        <w:rFonts w:hint="default"/>
      </w:rPr>
    </w:lvl>
    <w:lvl w:ilvl="8">
      <w:start w:val="1"/>
      <w:numFmt w:val="lowerRoman"/>
      <w:lvlText w:val="%9."/>
      <w:lvlJc w:val="right"/>
      <w:pPr>
        <w:ind w:left="5967" w:hanging="663"/>
      </w:pPr>
      <w:rPr>
        <w:rFonts w:hint="default"/>
      </w:rPr>
    </w:lvl>
  </w:abstractNum>
  <w:abstractNum w:abstractNumId="24" w15:restartNumberingAfterBreak="0">
    <w:nsid w:val="3B752CBA"/>
    <w:multiLevelType w:val="multilevel"/>
    <w:tmpl w:val="6F14F578"/>
    <w:numStyleLink w:val="PPOLISTBlackNumbersinbrackets"/>
  </w:abstractNum>
  <w:abstractNum w:abstractNumId="25" w15:restartNumberingAfterBreak="0">
    <w:nsid w:val="43F97BA5"/>
    <w:multiLevelType w:val="multilevel"/>
    <w:tmpl w:val="346EE1F8"/>
    <w:lvl w:ilvl="0">
      <w:start w:val="1"/>
      <w:numFmt w:val="bullet"/>
      <w:lvlText w:val=""/>
      <w:lvlJc w:val="left"/>
      <w:pPr>
        <w:ind w:left="340" w:hanging="227"/>
      </w:pPr>
      <w:rPr>
        <w:rFonts w:ascii="Symbol" w:hAnsi="Symbol" w:cs="Times New Roman" w:hint="default"/>
        <w:color w:val="585EA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26" w15:restartNumberingAfterBreak="0">
    <w:nsid w:val="4A044EB8"/>
    <w:multiLevelType w:val="hybridMultilevel"/>
    <w:tmpl w:val="E5686B62"/>
    <w:lvl w:ilvl="0" w:tplc="A588C6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C2A2EEC"/>
    <w:multiLevelType w:val="multilevel"/>
    <w:tmpl w:val="A92810AE"/>
    <w:styleLink w:val="PPOSISpecificObjectivesBulletsLIST"/>
    <w:lvl w:ilvl="0">
      <w:start w:val="1"/>
      <w:numFmt w:val="bullet"/>
      <w:pStyle w:val="PPOSISpecificobjectivesBOX-BulletElectricBlue"/>
      <w:lvlText w:val=""/>
      <w:lvlJc w:val="left"/>
      <w:pPr>
        <w:ind w:left="340" w:hanging="227"/>
      </w:pPr>
      <w:rPr>
        <w:rFonts w:ascii="Symbol" w:hAnsi="Symbol" w:cs="Times New Roman" w:hint="default"/>
        <w:color w:val="4BACC6"/>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28" w15:restartNumberingAfterBreak="0">
    <w:nsid w:val="4FE662BD"/>
    <w:multiLevelType w:val="hybridMultilevel"/>
    <w:tmpl w:val="297244D6"/>
    <w:lvl w:ilvl="0" w:tplc="086A07B2">
      <w:start w:val="1"/>
      <w:numFmt w:val="decimal"/>
      <w:pStyle w:val="BulletsspecificObj"/>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7F451B"/>
    <w:multiLevelType w:val="multilevel"/>
    <w:tmpl w:val="191E1D4E"/>
    <w:lvl w:ilvl="0">
      <w:start w:val="1"/>
      <w:numFmt w:val="bullet"/>
      <w:lvlText w:val=""/>
      <w:lvlJc w:val="left"/>
      <w:pPr>
        <w:ind w:left="340" w:hanging="227"/>
      </w:pPr>
      <w:rPr>
        <w:rFonts w:ascii="Symbol" w:hAnsi="Symbol" w:cs="Times New Roman" w:hint="default"/>
        <w:color w:val="F68A42"/>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30" w15:restartNumberingAfterBreak="0">
    <w:nsid w:val="59F27181"/>
    <w:multiLevelType w:val="hybridMultilevel"/>
    <w:tmpl w:val="88FA716E"/>
    <w:lvl w:ilvl="0" w:tplc="13446754">
      <w:numFmt w:val="bullet"/>
      <w:lvlText w:val="-"/>
      <w:lvlJc w:val="left"/>
      <w:pPr>
        <w:ind w:left="1080" w:hanging="360"/>
      </w:pPr>
      <w:rPr>
        <w:rFonts w:ascii="EC Square Sans Cond Pro" w:eastAsia="EC Square Sans Cond Pro Medium" w:hAnsi="EC Square Sans Cond Pro" w:cs="EC Square Sans Cond Pro Medium"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2EA78CB"/>
    <w:multiLevelType w:val="multilevel"/>
    <w:tmpl w:val="FBAC837C"/>
    <w:numStyleLink w:val="AMPRLIST-Annexes-Headings"/>
  </w:abstractNum>
  <w:abstractNum w:abstractNumId="32" w15:restartNumberingAfterBreak="0">
    <w:nsid w:val="65997927"/>
    <w:multiLevelType w:val="multilevel"/>
    <w:tmpl w:val="54D288BE"/>
    <w:styleLink w:val="AMPRLIST-SEC1-Headings"/>
    <w:lvl w:ilvl="0">
      <w:start w:val="1"/>
      <w:numFmt w:val="decimal"/>
      <w:pStyle w:val="AMPRSec1TITLE2-numbered"/>
      <w:lvlText w:val="1.%1."/>
      <w:lvlJc w:val="left"/>
      <w:pPr>
        <w:ind w:left="1276" w:hanging="1276"/>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6D1C07F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16C0CD0"/>
    <w:multiLevelType w:val="multilevel"/>
    <w:tmpl w:val="9AA422D2"/>
    <w:lvl w:ilvl="0">
      <w:start w:val="1"/>
      <w:numFmt w:val="bullet"/>
      <w:lvlText w:val=""/>
      <w:lvlJc w:val="left"/>
      <w:pPr>
        <w:ind w:left="340" w:hanging="227"/>
      </w:pPr>
      <w:rPr>
        <w:rFonts w:ascii="Symbol" w:hAnsi="Symbol" w:cs="Times New Roman" w:hint="default"/>
        <w:color w:val="9ACA3C"/>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35" w15:restartNumberingAfterBreak="0">
    <w:nsid w:val="740C3296"/>
    <w:multiLevelType w:val="hybridMultilevel"/>
    <w:tmpl w:val="9F4CBD1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6" w15:restartNumberingAfterBreak="0">
    <w:nsid w:val="76394AF3"/>
    <w:multiLevelType w:val="hybridMultilevel"/>
    <w:tmpl w:val="773CB2E2"/>
    <w:lvl w:ilvl="0" w:tplc="F6247552">
      <w:start w:val="1"/>
      <w:numFmt w:val="bullet"/>
      <w:pStyle w:val="BulletsOrange"/>
      <w:lvlText w:val=""/>
      <w:lvlJc w:val="left"/>
      <w:pPr>
        <w:ind w:left="720" w:hanging="360"/>
      </w:pPr>
      <w:rPr>
        <w:rFonts w:ascii="Symbol" w:hAnsi="Symbol" w:hint="default"/>
        <w:color w:val="ED7D31"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96243D"/>
    <w:multiLevelType w:val="multilevel"/>
    <w:tmpl w:val="3586C530"/>
    <w:lvl w:ilvl="0">
      <w:start w:val="1"/>
      <w:numFmt w:val="bullet"/>
      <w:pStyle w:val="Heading1"/>
      <w:lvlText w:val=""/>
      <w:lvlJc w:val="left"/>
      <w:pPr>
        <w:ind w:left="340" w:hanging="227"/>
      </w:pPr>
      <w:rPr>
        <w:rFonts w:ascii="Symbol" w:hAnsi="Symbol" w:cs="Times New Roman" w:hint="default"/>
        <w:color w:val="18BAA8"/>
      </w:rPr>
    </w:lvl>
    <w:lvl w:ilvl="1">
      <w:start w:val="1"/>
      <w:numFmt w:val="bullet"/>
      <w:pStyle w:val="Heading2"/>
      <w:lvlText w:val="o"/>
      <w:lvlJc w:val="left"/>
      <w:pPr>
        <w:ind w:left="567" w:hanging="227"/>
      </w:pPr>
      <w:rPr>
        <w:rFonts w:ascii="Courier New" w:hAnsi="Courier New" w:cs="Courier New" w:hint="default"/>
      </w:rPr>
    </w:lvl>
    <w:lvl w:ilvl="2">
      <w:start w:val="1"/>
      <w:numFmt w:val="bullet"/>
      <w:pStyle w:val="Heading3"/>
      <w:lvlText w:val=""/>
      <w:lvlJc w:val="left"/>
      <w:pPr>
        <w:ind w:left="794" w:hanging="227"/>
      </w:pPr>
      <w:rPr>
        <w:rFonts w:ascii="Wingdings" w:hAnsi="Wingdings" w:cs="Times New Roman" w:hint="default"/>
      </w:rPr>
    </w:lvl>
    <w:lvl w:ilvl="3">
      <w:start w:val="1"/>
      <w:numFmt w:val="bullet"/>
      <w:pStyle w:val="Heading4"/>
      <w:lvlText w:val=""/>
      <w:lvlJc w:val="left"/>
      <w:pPr>
        <w:ind w:left="1021" w:hanging="227"/>
      </w:pPr>
      <w:rPr>
        <w:rFonts w:ascii="Symbol" w:hAnsi="Symbol" w:cs="Times New Roman" w:hint="default"/>
      </w:rPr>
    </w:lvl>
    <w:lvl w:ilvl="4">
      <w:start w:val="1"/>
      <w:numFmt w:val="bullet"/>
      <w:pStyle w:val="Heading5"/>
      <w:lvlText w:val="o"/>
      <w:lvlJc w:val="left"/>
      <w:pPr>
        <w:ind w:left="1248" w:hanging="227"/>
      </w:pPr>
      <w:rPr>
        <w:rFonts w:ascii="Courier New" w:hAnsi="Courier New" w:cs="Courier New" w:hint="default"/>
      </w:rPr>
    </w:lvl>
    <w:lvl w:ilvl="5">
      <w:start w:val="1"/>
      <w:numFmt w:val="bullet"/>
      <w:pStyle w:val="Heading6"/>
      <w:lvlText w:val=""/>
      <w:lvlJc w:val="left"/>
      <w:pPr>
        <w:ind w:left="1475" w:hanging="227"/>
      </w:pPr>
      <w:rPr>
        <w:rFonts w:ascii="Wingdings" w:hAnsi="Wingdings" w:cs="Times New Roman" w:hint="default"/>
      </w:rPr>
    </w:lvl>
    <w:lvl w:ilvl="6">
      <w:start w:val="1"/>
      <w:numFmt w:val="bullet"/>
      <w:pStyle w:val="Heading7"/>
      <w:lvlText w:val=""/>
      <w:lvlJc w:val="left"/>
      <w:pPr>
        <w:ind w:left="1702" w:hanging="227"/>
      </w:pPr>
      <w:rPr>
        <w:rFonts w:ascii="Symbol" w:hAnsi="Symbol" w:cs="Times New Roman" w:hint="default"/>
      </w:rPr>
    </w:lvl>
    <w:lvl w:ilvl="7">
      <w:start w:val="1"/>
      <w:numFmt w:val="bullet"/>
      <w:pStyle w:val="Heading8"/>
      <w:lvlText w:val="o"/>
      <w:lvlJc w:val="left"/>
      <w:pPr>
        <w:ind w:left="1929" w:hanging="227"/>
      </w:pPr>
      <w:rPr>
        <w:rFonts w:ascii="Courier New" w:hAnsi="Courier New" w:cs="Courier New" w:hint="default"/>
      </w:rPr>
    </w:lvl>
    <w:lvl w:ilvl="8">
      <w:start w:val="1"/>
      <w:numFmt w:val="bullet"/>
      <w:pStyle w:val="Heading9"/>
      <w:lvlText w:val=""/>
      <w:lvlJc w:val="left"/>
      <w:pPr>
        <w:ind w:left="2156" w:hanging="227"/>
      </w:pPr>
      <w:rPr>
        <w:rFonts w:ascii="Wingdings" w:hAnsi="Wingdings" w:cs="Times New Roman" w:hint="default"/>
      </w:rPr>
    </w:lvl>
  </w:abstractNum>
  <w:abstractNum w:abstractNumId="38" w15:restartNumberingAfterBreak="0">
    <w:nsid w:val="7C8540EB"/>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7F6A4EF7"/>
    <w:multiLevelType w:val="hybridMultilevel"/>
    <w:tmpl w:val="1F5085E2"/>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8"/>
  </w:num>
  <w:num w:numId="4">
    <w:abstractNumId w:val="36"/>
  </w:num>
  <w:num w:numId="5">
    <w:abstractNumId w:val="4"/>
  </w:num>
  <w:num w:numId="6">
    <w:abstractNumId w:val="8"/>
  </w:num>
  <w:num w:numId="7">
    <w:abstractNumId w:val="21"/>
  </w:num>
  <w:num w:numId="8">
    <w:abstractNumId w:val="9"/>
  </w:num>
  <w:num w:numId="9">
    <w:abstractNumId w:val="15"/>
  </w:num>
  <w:num w:numId="10">
    <w:abstractNumId w:val="20"/>
  </w:num>
  <w:num w:numId="11">
    <w:abstractNumId w:val="19"/>
  </w:num>
  <w:num w:numId="12">
    <w:abstractNumId w:val="11"/>
  </w:num>
  <w:num w:numId="13">
    <w:abstractNumId w:val="37"/>
  </w:num>
  <w:num w:numId="14">
    <w:abstractNumId w:val="5"/>
  </w:num>
  <w:num w:numId="15">
    <w:abstractNumId w:val="34"/>
  </w:num>
  <w:num w:numId="16">
    <w:abstractNumId w:val="2"/>
  </w:num>
  <w:num w:numId="17">
    <w:abstractNumId w:val="16"/>
  </w:num>
  <w:num w:numId="18">
    <w:abstractNumId w:val="25"/>
  </w:num>
  <w:num w:numId="19">
    <w:abstractNumId w:val="24"/>
  </w:num>
  <w:num w:numId="20">
    <w:abstractNumId w:val="10"/>
  </w:num>
  <w:num w:numId="21">
    <w:abstractNumId w:val="29"/>
  </w:num>
  <w:num w:numId="22">
    <w:abstractNumId w:val="39"/>
  </w:num>
  <w:num w:numId="23">
    <w:abstractNumId w:val="27"/>
  </w:num>
  <w:num w:numId="24">
    <w:abstractNumId w:val="30"/>
  </w:num>
  <w:num w:numId="25">
    <w:abstractNumId w:val="35"/>
  </w:num>
  <w:num w:numId="26">
    <w:abstractNumId w:val="12"/>
  </w:num>
  <w:num w:numId="27">
    <w:abstractNumId w:val="23"/>
  </w:num>
  <w:num w:numId="28">
    <w:abstractNumId w:val="32"/>
  </w:num>
  <w:num w:numId="29">
    <w:abstractNumId w:val="14"/>
  </w:num>
  <w:num w:numId="30">
    <w:abstractNumId w:val="22"/>
  </w:num>
  <w:num w:numId="31">
    <w:abstractNumId w:val="3"/>
  </w:num>
  <w:num w:numId="32">
    <w:abstractNumId w:val="13"/>
  </w:num>
  <w:num w:numId="33">
    <w:abstractNumId w:val="17"/>
  </w:num>
  <w:num w:numId="34">
    <w:abstractNumId w:val="31"/>
  </w:num>
  <w:num w:numId="35">
    <w:abstractNumId w:val="7"/>
  </w:num>
  <w:num w:numId="36">
    <w:abstractNumId w:val="18"/>
  </w:num>
  <w:num w:numId="37">
    <w:abstractNumId w:val="6"/>
  </w:num>
  <w:num w:numId="38">
    <w:abstractNumId w:val="33"/>
  </w:num>
  <w:num w:numId="39">
    <w:abstractNumId w:val="38"/>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hideGrammaticalErrors/>
  <w:revisionView w:markup="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to the "/>
    <w:docVar w:name="LW_ANNEX_NBR_FIRST" w:val="1"/>
    <w:docVar w:name="LW_ANNEX_NBR_LAST" w:val="1"/>
    <w:docVar w:name="LW_ANNEX_UNIQUE" w:val="0"/>
    <w:docVar w:name="LW_CORRIGENDUM" w:val="&lt;UNUSED&gt;"/>
    <w:docVar w:name="LW_COVERPAGE_EXISTS" w:val="True"/>
    <w:docVar w:name="LW_COVERPAGE_GUID" w:val="85A4A750-7878-41A4-A000-1ED2FF0B174F"/>
    <w:docVar w:name="LW_COVERPAGE_TYPE" w:val="1"/>
    <w:docVar w:name="LW_CROSSREFERENCE" w:val="&lt;UNUSED&gt;"/>
    <w:docVar w:name="LW_DocType" w:val="NORMAL"/>
    <w:docVar w:name="LW_EMISSION" w:val="24.6.2020"/>
    <w:docVar w:name="LW_EMISSION_ISODATE" w:val="2020-06-24"/>
    <w:docVar w:name="LW_EMISSION_LOCATION" w:val="BRX"/>
    <w:docVar w:name="LW_EMISSION_PREFIX" w:val="Brussels, "/>
    <w:docVar w:name="LW_EMISSION_SUFFIX" w:val=" "/>
    <w:docVar w:name="LW_ID_DOCTYPE_NONLW" w:val="CP-039"/>
    <w:docVar w:name="LW_LANGUE" w:val="EN"/>
    <w:docVar w:name="LW_LEVEL_OF_SENSITIVITY" w:val="Standard treatment"/>
    <w:docVar w:name="LW_NOM.INST" w:val="EUROPEAN COMMISSION"/>
    <w:docVar w:name="LW_NOM.INST_JOINTDOC" w:val="&lt;EMPTY&gt;"/>
    <w:docVar w:name="LW_OBJETACTEPRINCIPAL.CP" w:val="2019 Annual Management and Performance Report for the EU Budget_x000d__x000d__x000d__x000d__x000d__x000b_"/>
    <w:docVar w:name="LW_PART_NBR" w:val="1"/>
    <w:docVar w:name="LW_PART_NBR_TOTAL" w:val="3"/>
    <w:docVar w:name="LW_REF.INST.NEW" w:val="COM"/>
    <w:docVar w:name="LW_REF.INST.NEW_ADOPTED" w:val="final"/>
    <w:docVar w:name="LW_REF.INST.NEW_TEXT" w:val="(2020) 26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ANNEX_x000b_"/>
    <w:docVar w:name="LW_TYPEACTEPRINCIPAL.CP" w:val="REPORT FROM THE COMMISSION_x000b_TO THE EUROPEAN PARLIAMENT, THE COUNCIL AND THE COURT OF AUDITORS_x000b_"/>
  </w:docVars>
  <w:rsids>
    <w:rsidRoot w:val="0060634A"/>
    <w:rsid w:val="0060634A"/>
    <w:rsid w:val="00F76D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A0EBD75-11EA-4C9A-8B9C-D5217D534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3"/>
      </w:numPr>
      <w:spacing w:before="240" w:after="0"/>
      <w:ind w:left="0" w:firstLine="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pPr>
      <w:keepNext/>
      <w:keepLines/>
      <w:numPr>
        <w:ilvl w:val="1"/>
        <w:numId w:val="13"/>
      </w:numPr>
      <w:spacing w:before="40" w:after="0"/>
      <w:ind w:left="0" w:firstLine="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numPr>
        <w:ilvl w:val="2"/>
        <w:numId w:val="13"/>
      </w:numPr>
      <w:spacing w:before="40" w:after="0"/>
      <w:ind w:left="720" w:hanging="432"/>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pPr>
      <w:keepNext/>
      <w:keepLines/>
      <w:numPr>
        <w:ilvl w:val="3"/>
        <w:numId w:val="13"/>
      </w:numPr>
      <w:spacing w:before="40" w:after="0"/>
      <w:ind w:left="864" w:hanging="144"/>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pPr>
      <w:keepNext/>
      <w:keepLines/>
      <w:numPr>
        <w:ilvl w:val="4"/>
        <w:numId w:val="13"/>
      </w:numPr>
      <w:spacing w:before="40" w:after="0"/>
      <w:ind w:left="1008" w:hanging="432"/>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pPr>
      <w:keepNext/>
      <w:keepLines/>
      <w:numPr>
        <w:ilvl w:val="5"/>
        <w:numId w:val="13"/>
      </w:numPr>
      <w:spacing w:before="40" w:after="0"/>
      <w:ind w:left="1152" w:hanging="432"/>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pPr>
      <w:keepNext/>
      <w:keepLines/>
      <w:numPr>
        <w:ilvl w:val="6"/>
        <w:numId w:val="13"/>
      </w:numPr>
      <w:spacing w:before="40" w:after="0"/>
      <w:ind w:left="1296" w:hanging="288"/>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pPr>
      <w:keepNext/>
      <w:keepLines/>
      <w:numPr>
        <w:ilvl w:val="7"/>
        <w:numId w:val="13"/>
      </w:numPr>
      <w:spacing w:before="40" w:after="0"/>
      <w:ind w:left="1440" w:hanging="432"/>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numPr>
        <w:ilvl w:val="8"/>
        <w:numId w:val="13"/>
      </w:numPr>
      <w:spacing w:before="40" w:after="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pPr>
      <w:spacing w:after="0" w:line="240" w:lineRule="auto"/>
      <w:ind w:left="720"/>
      <w:contextualSpacing/>
    </w:pPr>
    <w:rPr>
      <w:rFonts w:ascii="EC Square Sans Pro" w:hAnsi="EC Square Sans Pro" w:cs="Times New Roman"/>
      <w:noProof/>
      <w:sz w:val="20"/>
    </w:rPr>
  </w:style>
  <w:style w:type="paragraph" w:customStyle="1" w:styleId="Subhead3">
    <w:name w:val="Subhead 3"/>
    <w:basedOn w:val="Subhead2"/>
    <w:semiHidden/>
    <w:pPr>
      <w:spacing w:before="240"/>
      <w:ind w:left="340"/>
    </w:pPr>
    <w:rPr>
      <w:color w:val="FFC000" w:themeColor="accent4"/>
    </w:rPr>
  </w:style>
  <w:style w:type="paragraph" w:customStyle="1" w:styleId="Forewordbodytext">
    <w:name w:val="Foreword body text"/>
    <w:basedOn w:val="Normal"/>
    <w:link w:val="ForewordbodytextChar"/>
    <w:semiHidden/>
    <w:pPr>
      <w:spacing w:after="0" w:line="240" w:lineRule="auto"/>
      <w:jc w:val="both"/>
    </w:pPr>
    <w:rPr>
      <w:rFonts w:ascii="EC Square Sans Pro" w:hAnsi="EC Square Sans Pro" w:cs="Times New Roman"/>
      <w:noProof/>
      <w:sz w:val="18"/>
      <w:lang w:eastAsia="fr-BE"/>
    </w:rPr>
  </w:style>
  <w:style w:type="character" w:customStyle="1" w:styleId="ForewordbodytextChar">
    <w:name w:val="Foreword body text Char"/>
    <w:basedOn w:val="DefaultParagraphFont"/>
    <w:link w:val="Forewordbodytext"/>
    <w:semiHidden/>
    <w:rPr>
      <w:rFonts w:ascii="EC Square Sans Pro" w:hAnsi="EC Square Sans Pro" w:cs="Times New Roman"/>
      <w:noProof/>
      <w:sz w:val="18"/>
      <w:lang w:eastAsia="fr-BE"/>
    </w:rPr>
  </w:style>
  <w:style w:type="table" w:styleId="TableGrid">
    <w:name w:val="Table Grid"/>
    <w:aliases w:val="Document Table,CV1,Standard table format,Simple table"/>
    <w:basedOn w:val="TableNormal"/>
    <w:uiPriority w:val="39"/>
    <w:pPr>
      <w:spacing w:after="0" w:line="240"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Char,Footnote symbol,Footnote reference number,Footnote,Times 10 Point,Exposant 3 Point,Ref,de nota al pie,note TESI,SUPERS,EN Footnote Reference,EN Footnote text,-E Fußnotenzeichen, BVI fnr,Footnote number,BVI f,BVI fnr,fr,o"/>
    <w:basedOn w:val="DefaultParagraphFont"/>
    <w:link w:val="footnote"/>
    <w:uiPriority w:val="99"/>
    <w:semiHidden/>
    <w:unhideWhenUsed/>
    <w:qFormat/>
    <w:rPr>
      <w:rFonts w:ascii="EC Square Sans Pro" w:hAnsi="EC Square Sans Pro"/>
      <w:noProof/>
      <w:sz w:val="16"/>
      <w:szCs w:val="20"/>
    </w:rPr>
  </w:style>
  <w:style w:type="paragraph" w:customStyle="1" w:styleId="footnote">
    <w:name w:val="footnote"/>
    <w:basedOn w:val="Normal"/>
    <w:next w:val="Normal"/>
    <w:link w:val="FootnoteReference"/>
    <w:uiPriority w:val="99"/>
    <w:semiHidden/>
    <w:pPr>
      <w:spacing w:after="0" w:line="240" w:lineRule="auto"/>
      <w:ind w:left="357" w:hanging="357"/>
      <w:jc w:val="both"/>
    </w:pPr>
    <w:rPr>
      <w:rFonts w:ascii="EC Square Sans Pro" w:hAnsi="EC Square Sans Pro"/>
      <w:noProof/>
      <w:sz w:val="16"/>
      <w:szCs w:val="20"/>
    </w:rPr>
  </w:style>
  <w:style w:type="paragraph" w:styleId="BalloonText">
    <w:name w:val="Balloon Text"/>
    <w:basedOn w:val="Normal"/>
    <w:link w:val="BalloonTextChar"/>
    <w:uiPriority w:val="99"/>
    <w:semiHidden/>
    <w:unhideWhenUsed/>
    <w:pPr>
      <w:spacing w:after="0" w:line="240" w:lineRule="auto"/>
    </w:pPr>
    <w:rPr>
      <w:rFonts w:ascii="EC Square Sans Pro" w:hAnsi="EC Square Sans Pro" w:cs="Segoe UI"/>
      <w:noProof/>
      <w:sz w:val="18"/>
      <w:szCs w:val="18"/>
    </w:rPr>
  </w:style>
  <w:style w:type="character" w:customStyle="1" w:styleId="BalloonTextChar">
    <w:name w:val="Balloon Text Char"/>
    <w:basedOn w:val="DefaultParagraphFont"/>
    <w:link w:val="BalloonText"/>
    <w:uiPriority w:val="99"/>
    <w:semiHidden/>
    <w:rPr>
      <w:rFonts w:ascii="EC Square Sans Pro" w:hAnsi="EC Square Sans Pro" w:cs="Segoe UI"/>
      <w:noProof/>
      <w:sz w:val="18"/>
      <w:szCs w:val="18"/>
    </w:rPr>
  </w:style>
  <w:style w:type="paragraph" w:styleId="CommentText">
    <w:name w:val="annotation text"/>
    <w:basedOn w:val="Normal"/>
    <w:link w:val="CommentTextChar"/>
    <w:semiHidden/>
    <w:unhideWhenUsed/>
    <w:qFormat/>
    <w:pPr>
      <w:spacing w:line="240" w:lineRule="auto"/>
    </w:pPr>
    <w:rPr>
      <w:sz w:val="20"/>
      <w:szCs w:val="20"/>
    </w:rPr>
  </w:style>
  <w:style w:type="character" w:customStyle="1" w:styleId="CommentTextChar">
    <w:name w:val="Comment Text Char"/>
    <w:basedOn w:val="DefaultParagraphFont"/>
    <w:link w:val="CommentText"/>
    <w:semiHidden/>
    <w:rPr>
      <w:sz w:val="20"/>
      <w:szCs w:val="20"/>
    </w:rPr>
  </w:style>
  <w:style w:type="paragraph" w:styleId="CommentSubject">
    <w:name w:val="annotation subject"/>
    <w:basedOn w:val="Normal"/>
    <w:next w:val="Normal"/>
    <w:link w:val="CommentSubjectChar"/>
    <w:uiPriority w:val="99"/>
    <w:semiHidden/>
    <w:unhideWhenUsed/>
    <w:pPr>
      <w:spacing w:after="200" w:line="240" w:lineRule="auto"/>
    </w:pPr>
    <w:rPr>
      <w:rFonts w:ascii="EC Square Sans Pro" w:hAnsi="EC Square Sans Pro" w:cs="Times New Roman"/>
      <w:b/>
      <w:bCs/>
      <w:noProof/>
      <w:sz w:val="20"/>
      <w:szCs w:val="20"/>
    </w:rPr>
  </w:style>
  <w:style w:type="character" w:customStyle="1" w:styleId="CommentSubjectChar">
    <w:name w:val="Comment Subject Char"/>
    <w:basedOn w:val="CommentTextChar"/>
    <w:link w:val="CommentSubject"/>
    <w:uiPriority w:val="99"/>
    <w:semiHidden/>
    <w:rPr>
      <w:rFonts w:ascii="EC Square Sans Pro" w:hAnsi="EC Square Sans Pro" w:cs="Times New Roman"/>
      <w:b/>
      <w:bCs/>
      <w:noProof/>
      <w:sz w:val="20"/>
      <w:szCs w:val="20"/>
    </w:rPr>
  </w:style>
  <w:style w:type="paragraph" w:styleId="Revision">
    <w:name w:val="Revision"/>
    <w:hidden/>
    <w:uiPriority w:val="99"/>
    <w:semiHidden/>
    <w:pPr>
      <w:spacing w:after="0" w:line="240" w:lineRule="auto"/>
    </w:pPr>
    <w:rPr>
      <w:lang w:val="fr-BE"/>
    </w:rPr>
  </w:style>
  <w:style w:type="paragraph" w:customStyle="1" w:styleId="BulletsOrange">
    <w:name w:val="Bullets Orange"/>
    <w:basedOn w:val="BodyText"/>
    <w:semiHidden/>
    <w:pPr>
      <w:numPr>
        <w:numId w:val="4"/>
      </w:numPr>
      <w:spacing w:before="120" w:after="120"/>
      <w:ind w:left="714" w:hanging="357"/>
    </w:pPr>
  </w:style>
  <w:style w:type="character" w:styleId="Hyperlink">
    <w:name w:val="Hyperlink"/>
    <w:basedOn w:val="DefaultParagraphFont"/>
    <w:uiPriority w:val="99"/>
    <w:semiHidden/>
    <w:rPr>
      <w:rFonts w:ascii="EC Square Sans Pro" w:hAnsi="EC Square Sans Pro"/>
      <w:strike w:val="0"/>
      <w:dstrike w:val="0"/>
      <w:noProof/>
      <w:color w:val="auto"/>
      <w:u w:val="none" w:color="65BBC8"/>
      <w:effect w:val="none"/>
      <w:shd w:val="clear" w:color="auto" w:fill="auto"/>
      <w:lang w:val="en-GB"/>
    </w:rPr>
  </w:style>
  <w:style w:type="table" w:styleId="LightShading-Accent6">
    <w:name w:val="Light Shading Accent 6"/>
    <w:basedOn w:val="TableNormal"/>
    <w:uiPriority w:val="60"/>
    <w:pPr>
      <w:spacing w:after="0" w:line="240" w:lineRule="auto"/>
    </w:pPr>
    <w:rPr>
      <w:color w:val="538135" w:themeColor="accent6" w:themeShade="BF"/>
      <w:sz w:val="20"/>
      <w:szCs w:val="20"/>
      <w:lang w:val="fr-BE" w:eastAsia="en-GB"/>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EndnoteText">
    <w:name w:val="endnote text"/>
    <w:basedOn w:val="Normal"/>
    <w:link w:val="EndnoteTextChar"/>
    <w:uiPriority w:val="99"/>
    <w:semiHidden/>
    <w:unhideWhenUsed/>
    <w:pPr>
      <w:spacing w:after="0" w:line="240" w:lineRule="auto"/>
    </w:pPr>
    <w:rPr>
      <w:rFonts w:ascii="EC Square Sans Pro" w:eastAsia="Calibri" w:hAnsi="EC Square Sans Pro" w:cs="Times New Roman"/>
      <w:noProof/>
      <w:sz w:val="20"/>
      <w:szCs w:val="20"/>
    </w:rPr>
  </w:style>
  <w:style w:type="character" w:customStyle="1" w:styleId="EndnoteTextChar">
    <w:name w:val="Endnote Text Char"/>
    <w:basedOn w:val="DefaultParagraphFont"/>
    <w:link w:val="EndnoteText"/>
    <w:uiPriority w:val="99"/>
    <w:semiHidden/>
    <w:rPr>
      <w:rFonts w:ascii="EC Square Sans Pro" w:eastAsia="Calibri" w:hAnsi="EC Square Sans Pro" w:cs="Times New Roman"/>
      <w:noProof/>
      <w:sz w:val="20"/>
      <w:szCs w:val="20"/>
    </w:rPr>
  </w:style>
  <w:style w:type="character" w:styleId="EndnoteReference">
    <w:name w:val="endnote reference"/>
    <w:basedOn w:val="DefaultParagraphFont"/>
    <w:uiPriority w:val="99"/>
    <w:semiHidden/>
    <w:unhideWhenUsed/>
    <w:rPr>
      <w:rFonts w:ascii="EC Square Sans Pro" w:hAnsi="EC Square Sans Pro"/>
      <w:noProof/>
      <w:vertAlign w:val="superscript"/>
      <w:lang w:val="en-GB"/>
    </w:rPr>
  </w:style>
  <w:style w:type="paragraph" w:styleId="ListBullet">
    <w:name w:val="List Bullet"/>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noProof/>
      <w:sz w:val="24"/>
    </w:rPr>
  </w:style>
  <w:style w:type="paragraph" w:styleId="ListBullet2">
    <w:name w:val="List Bullet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noProof/>
      <w:sz w:val="24"/>
    </w:rPr>
  </w:style>
  <w:style w:type="paragraph" w:styleId="ListBullet3">
    <w:name w:val="List Bullet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noProof/>
      <w:sz w:val="24"/>
    </w:rPr>
  </w:style>
  <w:style w:type="paragraph" w:styleId="ListBullet4">
    <w:name w:val="List Bullet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noProof/>
      <w:sz w:val="24"/>
    </w:rPr>
  </w:style>
  <w:style w:type="table" w:styleId="LightShading-Accent5">
    <w:name w:val="Light Shading Accent 5"/>
    <w:basedOn w:val="TableNormal"/>
    <w:uiPriority w:val="60"/>
    <w:pPr>
      <w:spacing w:after="0" w:line="240" w:lineRule="auto"/>
    </w:pPr>
    <w:rPr>
      <w:color w:val="2F5496" w:themeColor="accent5" w:themeShade="BF"/>
      <w:sz w:val="20"/>
      <w:szCs w:val="20"/>
      <w:lang w:val="fr-BE" w:eastAsia="en-GB"/>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TableofFigures">
    <w:name w:val="table of figures"/>
    <w:basedOn w:val="Normal"/>
    <w:next w:val="Normal"/>
    <w:uiPriority w:val="99"/>
    <w:semiHidden/>
    <w:unhideWhenUsed/>
    <w:pPr>
      <w:spacing w:before="120" w:after="0" w:line="240" w:lineRule="auto"/>
      <w:jc w:val="both"/>
    </w:pPr>
    <w:rPr>
      <w:rFonts w:ascii="EC Square Sans Pro" w:hAnsi="EC Square Sans Pro" w:cs="Times New Roman"/>
      <w:noProof/>
      <w:sz w:val="24"/>
    </w:rPr>
  </w:style>
  <w:style w:type="paragraph" w:styleId="ListNumber">
    <w:name w:val="List Number"/>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noProof/>
      <w:sz w:val="24"/>
    </w:rPr>
  </w:style>
  <w:style w:type="paragraph" w:styleId="ListNumber2">
    <w:name w:val="List Number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noProof/>
      <w:sz w:val="24"/>
    </w:rPr>
  </w:style>
  <w:style w:type="paragraph" w:styleId="ListNumber3">
    <w:name w:val="List Number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noProof/>
      <w:sz w:val="24"/>
    </w:rPr>
  </w:style>
  <w:style w:type="paragraph" w:styleId="ListNumber4">
    <w:name w:val="List Number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noProof/>
      <w:sz w:val="24"/>
    </w:rPr>
  </w:style>
  <w:style w:type="table" w:styleId="LightShading">
    <w:name w:val="Light Shading"/>
    <w:basedOn w:val="TableNormal"/>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LE1Report">
    <w:name w:val="TITLE 1 / Report"/>
    <w:basedOn w:val="Normal"/>
    <w:link w:val="TITLE1ReportChar"/>
    <w:semiHidden/>
    <w:qFormat/>
    <w:pPr>
      <w:keepNext/>
      <w:keepLines/>
      <w:pageBreakBefore/>
      <w:spacing w:after="120" w:line="240" w:lineRule="auto"/>
      <w:outlineLvl w:val="0"/>
    </w:pPr>
    <w:rPr>
      <w:rFonts w:ascii="EC Square Sans Pro" w:hAnsi="EC Square Sans Pro" w:cs="Times New Roman"/>
      <w:noProof/>
      <w:color w:val="4472C4" w:themeColor="accent5"/>
      <w:sz w:val="52"/>
    </w:rPr>
  </w:style>
  <w:style w:type="character" w:customStyle="1" w:styleId="TITLE1ReportChar">
    <w:name w:val="TITLE 1 / Report Char"/>
    <w:basedOn w:val="DefaultParagraphFont"/>
    <w:link w:val="TITLE1Report"/>
    <w:semiHidden/>
    <w:rPr>
      <w:rFonts w:ascii="EC Square Sans Pro" w:hAnsi="EC Square Sans Pro" w:cs="Times New Roman"/>
      <w:noProof/>
      <w:color w:val="4472C4" w:themeColor="accent5"/>
      <w:sz w:val="52"/>
    </w:rPr>
  </w:style>
  <w:style w:type="paragraph" w:customStyle="1" w:styleId="BOXtext-blue">
    <w:name w:val="BOX text - blue"/>
    <w:basedOn w:val="BOXtext-orange"/>
    <w:semiHidden/>
    <w:pPr>
      <w:pBdr>
        <w:top w:val="single" w:sz="12" w:space="8" w:color="4472C4" w:themeColor="accent5"/>
        <w:left w:val="single" w:sz="12" w:space="8" w:color="4472C4" w:themeColor="accent5"/>
        <w:bottom w:val="single" w:sz="12" w:space="8" w:color="4472C4" w:themeColor="accent5"/>
        <w:right w:val="single" w:sz="12" w:space="8" w:color="4472C4" w:themeColor="accent5"/>
      </w:pBdr>
      <w:shd w:val="clear" w:color="auto" w:fill="4472C4" w:themeFill="accent5"/>
    </w:pPr>
  </w:style>
  <w:style w:type="paragraph" w:styleId="BodyText">
    <w:name w:val="Body Text"/>
    <w:basedOn w:val="Normal"/>
    <w:next w:val="Normal"/>
    <w:link w:val="BodyTextChar"/>
    <w:semiHidden/>
    <w:unhideWhenUsed/>
    <w:qFormat/>
    <w:pPr>
      <w:spacing w:after="0" w:line="240" w:lineRule="auto"/>
      <w:jc w:val="both"/>
    </w:pPr>
    <w:rPr>
      <w:rFonts w:ascii="EC Square Sans Pro" w:hAnsi="EC Square Sans Pro" w:cs="Times New Roman"/>
      <w:noProof/>
      <w:color w:val="000000" w:themeColor="text1"/>
      <w:sz w:val="20"/>
    </w:rPr>
  </w:style>
  <w:style w:type="character" w:customStyle="1" w:styleId="BodyTextChar">
    <w:name w:val="Body Text Char"/>
    <w:basedOn w:val="DefaultParagraphFont"/>
    <w:link w:val="BodyText"/>
    <w:semiHidden/>
    <w:rPr>
      <w:rFonts w:ascii="EC Square Sans Pro" w:hAnsi="EC Square Sans Pro" w:cs="Times New Roman"/>
      <w:noProof/>
      <w:color w:val="000000" w:themeColor="text1"/>
      <w:sz w:val="20"/>
    </w:rPr>
  </w:style>
  <w:style w:type="paragraph" w:customStyle="1" w:styleId="BOXtext-orange">
    <w:name w:val="BOX text - orange"/>
    <w:next w:val="Normal"/>
    <w:link w:val="BOXtext-orangeChar"/>
    <w:semiHidden/>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jc w:val="both"/>
    </w:pPr>
    <w:rPr>
      <w:rFonts w:ascii="EC Square Sans Pro" w:hAnsi="EC Square Sans Pro" w:cs="Times New Roman"/>
      <w:noProof/>
      <w:color w:val="FFFFFF" w:themeColor="background1"/>
      <w:sz w:val="20"/>
      <w:lang w:val="en-IE" w:eastAsia="fr-BE"/>
    </w:rPr>
  </w:style>
  <w:style w:type="character" w:customStyle="1" w:styleId="BOXtext-orangeChar">
    <w:name w:val="BOX text - orange Char"/>
    <w:basedOn w:val="DefaultParagraphFont"/>
    <w:link w:val="BOXtext-orange"/>
    <w:semiHidden/>
    <w:rPr>
      <w:rFonts w:ascii="EC Square Sans Pro" w:hAnsi="EC Square Sans Pro" w:cs="Times New Roman"/>
      <w:noProof/>
      <w:color w:val="FFFFFF" w:themeColor="background1"/>
      <w:sz w:val="20"/>
      <w:shd w:val="clear" w:color="auto" w:fill="5B9BD5" w:themeFill="accent1"/>
      <w:lang w:val="en-IE" w:eastAsia="fr-BE"/>
    </w:rPr>
  </w:style>
  <w:style w:type="paragraph" w:customStyle="1" w:styleId="BOLD-higlight">
    <w:name w:val="BOLD - higlight"/>
    <w:basedOn w:val="Normal"/>
    <w:link w:val="BOLD-higlightChar"/>
    <w:semiHidden/>
    <w:qFormat/>
    <w:pPr>
      <w:spacing w:before="120" w:after="0" w:line="240" w:lineRule="auto"/>
      <w:jc w:val="both"/>
    </w:pPr>
    <w:rPr>
      <w:rFonts w:ascii="EC Square Sans Pro" w:hAnsi="EC Square Sans Pro" w:cs="Times New Roman"/>
      <w:b/>
      <w:noProof/>
      <w:color w:val="ED7D31" w:themeColor="accent2"/>
      <w:sz w:val="20"/>
      <w:lang w:val="en-IE" w:eastAsia="fr-BE"/>
    </w:rPr>
  </w:style>
  <w:style w:type="character" w:customStyle="1" w:styleId="BOLD-higlightChar">
    <w:name w:val="BOLD - higlight Char"/>
    <w:basedOn w:val="DefaultParagraphFont"/>
    <w:link w:val="BOLD-higlight"/>
    <w:semiHidden/>
    <w:rPr>
      <w:rFonts w:ascii="EC Square Sans Pro" w:hAnsi="EC Square Sans Pro" w:cs="Times New Roman"/>
      <w:b/>
      <w:noProof/>
      <w:color w:val="ED7D31" w:themeColor="accent2"/>
      <w:sz w:val="20"/>
      <w:lang w:val="en-IE" w:eastAsia="fr-BE"/>
    </w:rPr>
  </w:style>
  <w:style w:type="table" w:customStyle="1" w:styleId="BOXBullets">
    <w:name w:val="BOX Bullets"/>
    <w:basedOn w:val="TableNormal"/>
    <w:uiPriority w:val="99"/>
    <w:pPr>
      <w:spacing w:after="0" w:line="240" w:lineRule="auto"/>
    </w:pPr>
    <w:rPr>
      <w:sz w:val="20"/>
      <w:lang w:val="fr-BE"/>
    </w:rPr>
    <w:tblPr/>
    <w:tcPr>
      <w:vAlign w:val="center"/>
    </w:tcPr>
  </w:style>
  <w:style w:type="table" w:customStyle="1" w:styleId="Tablegreen">
    <w:name w:val="Table green"/>
    <w:basedOn w:val="TableNormal"/>
    <w:uiPriority w:val="99"/>
    <w:pPr>
      <w:spacing w:after="0" w:line="240" w:lineRule="auto"/>
    </w:pPr>
    <w:rPr>
      <w:lang w:val="fr-BE"/>
    </w:rPr>
    <w:tblPr/>
  </w:style>
  <w:style w:type="table" w:customStyle="1" w:styleId="GridTable6Colorful-Accent51">
    <w:name w:val="Grid Table 6 Colorful - Accent 51"/>
    <w:basedOn w:val="TableNormal"/>
    <w:uiPriority w:val="5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ITLE1EXECUTIVESUMMARY">
    <w:name w:val="TITLE 1 / EXECUTIVE SUMMARY"/>
    <w:basedOn w:val="TITLE1Report"/>
    <w:link w:val="TITLE1EXECUTIVESUMMARYChar"/>
    <w:semiHidden/>
    <w:qFormat/>
    <w:rPr>
      <w:color w:val="EE6A44"/>
      <w:lang w:val="en-IE"/>
    </w:rPr>
  </w:style>
  <w:style w:type="character" w:customStyle="1" w:styleId="TITLE1EXECUTIVESUMMARYChar">
    <w:name w:val="TITLE 1 / EXECUTIVE SUMMARY Char"/>
    <w:basedOn w:val="TITLE1ReportChar"/>
    <w:link w:val="TITLE1EXECUTIVESUMMARY"/>
    <w:semiHidden/>
    <w:rPr>
      <w:rFonts w:ascii="EC Square Sans Pro" w:hAnsi="EC Square Sans Pro" w:cs="Times New Roman"/>
      <w:noProof/>
      <w:color w:val="EE6A44"/>
      <w:sz w:val="52"/>
      <w:lang w:val="en-IE"/>
    </w:rPr>
  </w:style>
  <w:style w:type="paragraph" w:customStyle="1" w:styleId="Title2Report">
    <w:name w:val="Title 2 / Report"/>
    <w:basedOn w:val="Normal"/>
    <w:link w:val="Title2ReportChar"/>
    <w:semiHidden/>
    <w:qFormat/>
    <w:pPr>
      <w:keepNext/>
      <w:keepLines/>
      <w:pBdr>
        <w:top w:val="single" w:sz="12" w:space="1" w:color="ED7D31" w:themeColor="accent2"/>
        <w:bottom w:val="single" w:sz="12" w:space="1" w:color="ED7D31" w:themeColor="accent2"/>
      </w:pBdr>
      <w:spacing w:before="480" w:after="240" w:line="276" w:lineRule="auto"/>
      <w:outlineLvl w:val="1"/>
    </w:pPr>
    <w:rPr>
      <w:rFonts w:ascii="EC Square Sans Pro" w:eastAsia="EC Square Sans Pro" w:hAnsi="EC Square Sans Pro" w:cs="Times New Roman"/>
      <w:b/>
      <w:noProof/>
      <w:color w:val="4472C4" w:themeColor="accent5"/>
      <w:sz w:val="28"/>
      <w:szCs w:val="21"/>
      <w:lang w:eastAsia="zh-CN"/>
    </w:rPr>
  </w:style>
  <w:style w:type="character" w:customStyle="1" w:styleId="Title2ReportChar">
    <w:name w:val="Title 2 / Report Char"/>
    <w:basedOn w:val="DefaultParagraphFont"/>
    <w:link w:val="Title2Report"/>
    <w:semiHidden/>
    <w:rPr>
      <w:rFonts w:ascii="EC Square Sans Pro" w:eastAsia="EC Square Sans Pro" w:hAnsi="EC Square Sans Pro" w:cs="Times New Roman"/>
      <w:b/>
      <w:noProof/>
      <w:color w:val="4472C4" w:themeColor="accent5"/>
      <w:sz w:val="28"/>
      <w:szCs w:val="21"/>
      <w:lang w:eastAsia="zh-CN"/>
    </w:rPr>
  </w:style>
  <w:style w:type="paragraph" w:customStyle="1" w:styleId="Quotes">
    <w:name w:val="Quotes"/>
    <w:basedOn w:val="Normal"/>
    <w:link w:val="QuotesChar"/>
    <w:semiHidden/>
    <w:qFormat/>
    <w:pPr>
      <w:spacing w:before="120" w:after="120" w:line="240" w:lineRule="auto"/>
      <w:ind w:left="41"/>
      <w:jc w:val="center"/>
    </w:pPr>
    <w:rPr>
      <w:rFonts w:ascii="EC Square Sans Pro" w:eastAsia="Calibri" w:hAnsi="EC Square Sans Pro" w:cs="Times New Roman"/>
      <w:i/>
      <w:noProof/>
      <w:color w:val="ED7D31" w:themeColor="accent2"/>
      <w:sz w:val="28"/>
      <w:lang w:val="en-IE" w:eastAsia="zh-CN"/>
    </w:rPr>
  </w:style>
  <w:style w:type="character" w:customStyle="1" w:styleId="QuotesChar">
    <w:name w:val="Quotes Char"/>
    <w:basedOn w:val="DefaultParagraphFont"/>
    <w:link w:val="Quotes"/>
    <w:semiHidden/>
    <w:rPr>
      <w:rFonts w:ascii="EC Square Sans Pro" w:eastAsia="Calibri" w:hAnsi="EC Square Sans Pro" w:cs="Times New Roman"/>
      <w:i/>
      <w:noProof/>
      <w:color w:val="ED7D31" w:themeColor="accent2"/>
      <w:sz w:val="28"/>
      <w:lang w:val="en-IE" w:eastAsia="zh-CN"/>
    </w:rPr>
  </w:style>
  <w:style w:type="paragraph" w:customStyle="1" w:styleId="BOX3Blue">
    <w:name w:val="BOX 3 / Blue"/>
    <w:basedOn w:val="Normal"/>
    <w:link w:val="BOX3BlueChar"/>
    <w:semiHidden/>
    <w:qFormat/>
    <w:pPr>
      <w:pBdr>
        <w:top w:val="dashSmallGap" w:sz="12" w:space="8" w:color="5B9BD5" w:themeColor="accent1"/>
        <w:left w:val="dashSmallGap" w:sz="12" w:space="8" w:color="5B9BD5" w:themeColor="accent1"/>
        <w:bottom w:val="dashSmallGap" w:sz="12" w:space="8" w:color="5B9BD5" w:themeColor="accent1"/>
        <w:right w:val="dashSmallGap" w:sz="12" w:space="8" w:color="5B9BD5" w:themeColor="accent1"/>
      </w:pBdr>
      <w:spacing w:after="120" w:line="240" w:lineRule="auto"/>
      <w:jc w:val="both"/>
    </w:pPr>
    <w:rPr>
      <w:rFonts w:ascii="EC Square Sans Pro" w:hAnsi="EC Square Sans Pro" w:cs="Times New Roman"/>
      <w:noProof/>
      <w:color w:val="4472C4" w:themeColor="accent5"/>
      <w:sz w:val="20"/>
      <w:lang w:eastAsia="fr-BE"/>
    </w:rPr>
  </w:style>
  <w:style w:type="character" w:customStyle="1" w:styleId="BOX3BlueChar">
    <w:name w:val="BOX 3 / Blue Char"/>
    <w:basedOn w:val="DefaultParagraphFont"/>
    <w:link w:val="BOX3Blue"/>
    <w:semiHidden/>
    <w:rPr>
      <w:rFonts w:ascii="EC Square Sans Pro" w:hAnsi="EC Square Sans Pro" w:cs="Times New Roman"/>
      <w:noProof/>
      <w:color w:val="4472C4" w:themeColor="accent5"/>
      <w:sz w:val="20"/>
      <w:lang w:eastAsia="fr-BE"/>
    </w:rPr>
  </w:style>
  <w:style w:type="paragraph" w:customStyle="1" w:styleId="ES-Title2">
    <w:name w:val="ES - Title 2"/>
    <w:basedOn w:val="Normal"/>
    <w:link w:val="ES-Title2Char"/>
    <w:semiHidden/>
    <w:qFormat/>
    <w:pPr>
      <w:pBdr>
        <w:top w:val="single" w:sz="12" w:space="1" w:color="4472C4" w:themeColor="accent5"/>
        <w:bottom w:val="single" w:sz="12" w:space="1" w:color="4472C4" w:themeColor="accent5"/>
      </w:pBdr>
      <w:spacing w:before="240" w:after="240" w:line="240" w:lineRule="auto"/>
      <w:ind w:left="-6" w:right="1"/>
      <w:outlineLvl w:val="1"/>
    </w:pPr>
    <w:rPr>
      <w:rFonts w:ascii="EC Square Sans Pro" w:eastAsia="EC Square Sans Pro" w:hAnsi="EC Square Sans Pro" w:cs="Times New Roman"/>
      <w:b/>
      <w:noProof/>
      <w:color w:val="ED7D31" w:themeColor="accent2"/>
      <w:sz w:val="28"/>
      <w:szCs w:val="21"/>
      <w:lang w:val="en-IE" w:eastAsia="zh-CN"/>
    </w:rPr>
  </w:style>
  <w:style w:type="character" w:customStyle="1" w:styleId="ES-Title2Char">
    <w:name w:val="ES - Title 2 Char"/>
    <w:basedOn w:val="DefaultParagraphFont"/>
    <w:link w:val="ES-Title2"/>
    <w:semiHidden/>
    <w:rPr>
      <w:rFonts w:ascii="EC Square Sans Pro" w:eastAsia="EC Square Sans Pro" w:hAnsi="EC Square Sans Pro" w:cs="Times New Roman"/>
      <w:b/>
      <w:noProof/>
      <w:color w:val="ED7D31" w:themeColor="accent2"/>
      <w:sz w:val="28"/>
      <w:szCs w:val="21"/>
      <w:lang w:val="en-IE" w:eastAsia="zh-CN"/>
    </w:rPr>
  </w:style>
  <w:style w:type="paragraph" w:styleId="TOC1">
    <w:name w:val="toc 1"/>
    <w:basedOn w:val="Normal"/>
    <w:next w:val="Normal"/>
    <w:autoRedefine/>
    <w:uiPriority w:val="39"/>
    <w:semiHidden/>
    <w:unhideWhenUsed/>
    <w:pPr>
      <w:tabs>
        <w:tab w:val="right" w:leader="dot" w:pos="9063"/>
      </w:tabs>
      <w:spacing w:after="100" w:line="240" w:lineRule="auto"/>
    </w:pPr>
    <w:rPr>
      <w:rFonts w:ascii="EC Square Sans Pro" w:hAnsi="EC Square Sans Pro" w:cs="Times New Roman"/>
      <w:noProof/>
      <w:sz w:val="20"/>
    </w:rPr>
  </w:style>
  <w:style w:type="table" w:customStyle="1" w:styleId="TableGrid1">
    <w:name w:val="Table Grid1"/>
    <w:basedOn w:val="TableNormal"/>
    <w:next w:val="TableGrid"/>
    <w:uiPriority w:val="59"/>
    <w:pPr>
      <w:spacing w:after="200" w:line="276"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rFonts w:ascii="EC Square Sans Pro" w:hAnsi="EC Square Sans Pro"/>
      <w:noProof/>
      <w:color w:val="954F72" w:themeColor="followedHyperlink"/>
      <w:u w:val="single"/>
      <w:lang w:val="en-GB"/>
    </w:rPr>
  </w:style>
  <w:style w:type="table" w:customStyle="1" w:styleId="GridTable6Colorful-Accent41">
    <w:name w:val="Grid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
    <w:name w:val="Grid Table 4 - Accent 41"/>
    <w:basedOn w:val="TableNormal"/>
    <w:uiPriority w:val="49"/>
    <w:pPr>
      <w:spacing w:after="0" w:line="240" w:lineRule="auto"/>
      <w:jc w:val="center"/>
    </w:pPr>
    <w:rPr>
      <w:sz w:val="20"/>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cPr>
      <w:vAlign w:val="center"/>
    </w:tc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11">
    <w:name w:val="Grid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11">
    <w:name w:val="List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1">
    <w:name w:val="List Table 2 - Accent 11"/>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11">
    <w:name w:val="Grid Table 2 - Accent 11"/>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cPr>
      <w:vAlign w:val="center"/>
    </w:tc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MediumShading2-Accent1">
    <w:name w:val="Medium Shading 2 Accent 1"/>
    <w:basedOn w:val="TableNormal"/>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1Light-Accent11">
    <w:name w:val="Grid Table 1 Light - Accent 11"/>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semiHidden/>
    <w:unhideWhenUsed/>
    <w:pPr>
      <w:spacing w:after="0" w:line="240" w:lineRule="auto"/>
    </w:pPr>
    <w:rPr>
      <w:rFonts w:ascii="EC Square Sans Pro" w:hAnsi="EC Square Sans Pro" w:cs="Times New Roman"/>
      <w:noProof/>
      <w:sz w:val="20"/>
    </w:rPr>
  </w:style>
  <w:style w:type="paragraph" w:styleId="BlockText">
    <w:name w:val="Block Text"/>
    <w:basedOn w:val="Normal"/>
    <w:uiPriority w:val="99"/>
    <w:semiHidden/>
    <w:unhideWhenUsed/>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spacing w:after="0" w:line="240" w:lineRule="auto"/>
      <w:ind w:left="1152" w:right="1152"/>
    </w:pPr>
    <w:rPr>
      <w:rFonts w:ascii="EC Square Sans Pro" w:eastAsia="Times New Roman" w:hAnsi="EC Square Sans Pro" w:cs="Times New Roman"/>
      <w:i/>
      <w:iCs/>
      <w:noProof/>
      <w:color w:val="5B9BD5" w:themeColor="accent1"/>
      <w:sz w:val="20"/>
    </w:rPr>
  </w:style>
  <w:style w:type="paragraph" w:styleId="BodyText2">
    <w:name w:val="Body Text 2"/>
    <w:basedOn w:val="Normal"/>
    <w:link w:val="BodyText2Char"/>
    <w:uiPriority w:val="99"/>
    <w:semiHidden/>
    <w:unhideWhenUsed/>
    <w:pPr>
      <w:spacing w:after="120" w:line="480" w:lineRule="auto"/>
    </w:pPr>
    <w:rPr>
      <w:rFonts w:ascii="EC Square Sans Pro" w:hAnsi="EC Square Sans Pro" w:cs="Times New Roman"/>
      <w:noProof/>
      <w:sz w:val="20"/>
    </w:rPr>
  </w:style>
  <w:style w:type="character" w:customStyle="1" w:styleId="BodyText2Char">
    <w:name w:val="Body Text 2 Char"/>
    <w:basedOn w:val="DefaultParagraphFont"/>
    <w:link w:val="BodyText2"/>
    <w:uiPriority w:val="99"/>
    <w:semiHidden/>
    <w:rPr>
      <w:rFonts w:ascii="EC Square Sans Pro" w:hAnsi="EC Square Sans Pro" w:cs="Times New Roman"/>
      <w:noProof/>
      <w:sz w:val="20"/>
    </w:rPr>
  </w:style>
  <w:style w:type="paragraph" w:styleId="BodyText3">
    <w:name w:val="Body Text 3"/>
    <w:basedOn w:val="Normal"/>
    <w:link w:val="BodyText3Char"/>
    <w:uiPriority w:val="99"/>
    <w:semiHidden/>
    <w:unhideWhenUsed/>
    <w:pPr>
      <w:spacing w:after="120" w:line="240" w:lineRule="auto"/>
    </w:pPr>
    <w:rPr>
      <w:rFonts w:ascii="EC Square Sans Pro" w:hAnsi="EC Square Sans Pro" w:cs="Times New Roman"/>
      <w:noProof/>
      <w:sz w:val="16"/>
      <w:szCs w:val="16"/>
    </w:rPr>
  </w:style>
  <w:style w:type="character" w:customStyle="1" w:styleId="BodyText3Char">
    <w:name w:val="Body Text 3 Char"/>
    <w:basedOn w:val="DefaultParagraphFont"/>
    <w:link w:val="BodyText3"/>
    <w:uiPriority w:val="99"/>
    <w:semiHidden/>
    <w:rPr>
      <w:rFonts w:ascii="EC Square Sans Pro" w:hAnsi="EC Square Sans Pro" w:cs="Times New Roman"/>
      <w:noProof/>
      <w:sz w:val="16"/>
      <w:szCs w:val="16"/>
    </w:rPr>
  </w:style>
  <w:style w:type="paragraph" w:styleId="BodyTextFirstIndent">
    <w:name w:val="Body Text First Indent"/>
    <w:basedOn w:val="BodyText"/>
    <w:link w:val="BodyTextFirstIndentChar"/>
    <w:uiPriority w:val="99"/>
    <w:semiHidden/>
    <w:unhideWhenUsed/>
    <w:pPr>
      <w:ind w:firstLine="360"/>
    </w:pPr>
  </w:style>
  <w:style w:type="character" w:customStyle="1" w:styleId="BodyTextFirstIndentChar">
    <w:name w:val="Body Text First Indent Char"/>
    <w:basedOn w:val="BodyTextChar"/>
    <w:link w:val="BodyTextFirstIndent"/>
    <w:uiPriority w:val="99"/>
    <w:semiHidden/>
    <w:rPr>
      <w:rFonts w:ascii="EC Square Sans Pro" w:hAnsi="EC Square Sans Pro" w:cs="Times New Roman"/>
      <w:noProof/>
      <w:color w:val="000000" w:themeColor="text1"/>
      <w:sz w:val="20"/>
    </w:rPr>
  </w:style>
  <w:style w:type="paragraph" w:styleId="BodyTextIndent">
    <w:name w:val="Body Text Indent"/>
    <w:basedOn w:val="Normal"/>
    <w:link w:val="BodyTextIndentChar"/>
    <w:uiPriority w:val="99"/>
    <w:semiHidden/>
    <w:unhideWhenUsed/>
    <w:pPr>
      <w:spacing w:after="120" w:line="240" w:lineRule="auto"/>
      <w:ind w:left="283"/>
    </w:pPr>
    <w:rPr>
      <w:rFonts w:ascii="EC Square Sans Pro" w:hAnsi="EC Square Sans Pro" w:cs="Times New Roman"/>
      <w:noProof/>
      <w:sz w:val="20"/>
    </w:rPr>
  </w:style>
  <w:style w:type="character" w:customStyle="1" w:styleId="BodyTextIndentChar">
    <w:name w:val="Body Text Indent Char"/>
    <w:basedOn w:val="DefaultParagraphFont"/>
    <w:link w:val="BodyTextIndent"/>
    <w:uiPriority w:val="99"/>
    <w:semiHidden/>
    <w:rPr>
      <w:rFonts w:ascii="EC Square Sans Pro" w:hAnsi="EC Square Sans Pro" w:cs="Times New Roman"/>
      <w:noProof/>
      <w:sz w:val="20"/>
    </w:rPr>
  </w:style>
  <w:style w:type="paragraph" w:styleId="BodyTextFirstIndent2">
    <w:name w:val="Body Text First Indent 2"/>
    <w:basedOn w:val="BodyTextIndent"/>
    <w:link w:val="BodyTextFirstIndent2Char"/>
    <w:uiPriority w:val="99"/>
    <w:semiHidden/>
    <w:unhideWhenUsed/>
    <w:pPr>
      <w:spacing w:after="0"/>
      <w:ind w:left="360" w:firstLine="360"/>
    </w:pPr>
  </w:style>
  <w:style w:type="character" w:customStyle="1" w:styleId="BodyTextFirstIndent2Char">
    <w:name w:val="Body Text First Indent 2 Char"/>
    <w:basedOn w:val="BodyTextIndentChar"/>
    <w:link w:val="BodyTextFirstIndent2"/>
    <w:uiPriority w:val="99"/>
    <w:semiHidden/>
    <w:rPr>
      <w:rFonts w:ascii="EC Square Sans Pro" w:hAnsi="EC Square Sans Pro" w:cs="Times New Roman"/>
      <w:noProof/>
      <w:sz w:val="20"/>
    </w:rPr>
  </w:style>
  <w:style w:type="paragraph" w:styleId="BodyTextIndent2">
    <w:name w:val="Body Text Indent 2"/>
    <w:basedOn w:val="Normal"/>
    <w:link w:val="BodyTextIndent2Char"/>
    <w:uiPriority w:val="99"/>
    <w:semiHidden/>
    <w:unhideWhenUsed/>
    <w:pPr>
      <w:spacing w:after="120" w:line="480" w:lineRule="auto"/>
      <w:ind w:left="283"/>
    </w:pPr>
    <w:rPr>
      <w:rFonts w:ascii="EC Square Sans Pro" w:hAnsi="EC Square Sans Pro" w:cs="Times New Roman"/>
      <w:noProof/>
      <w:sz w:val="20"/>
    </w:rPr>
  </w:style>
  <w:style w:type="character" w:customStyle="1" w:styleId="BodyTextIndent2Char">
    <w:name w:val="Body Text Indent 2 Char"/>
    <w:basedOn w:val="DefaultParagraphFont"/>
    <w:link w:val="BodyTextIndent2"/>
    <w:uiPriority w:val="99"/>
    <w:semiHidden/>
    <w:rPr>
      <w:rFonts w:ascii="EC Square Sans Pro" w:hAnsi="EC Square Sans Pro" w:cs="Times New Roman"/>
      <w:noProof/>
      <w:sz w:val="20"/>
    </w:rPr>
  </w:style>
  <w:style w:type="paragraph" w:styleId="BodyTextIndent3">
    <w:name w:val="Body Text Indent 3"/>
    <w:basedOn w:val="Normal"/>
    <w:link w:val="BodyTextIndent3Char"/>
    <w:uiPriority w:val="99"/>
    <w:semiHidden/>
    <w:unhideWhenUsed/>
    <w:pPr>
      <w:spacing w:after="120" w:line="240" w:lineRule="auto"/>
      <w:ind w:left="283"/>
    </w:pPr>
    <w:rPr>
      <w:rFonts w:ascii="EC Square Sans Pro" w:hAnsi="EC Square Sans Pro" w:cs="Times New Roman"/>
      <w:noProof/>
      <w:sz w:val="16"/>
      <w:szCs w:val="16"/>
    </w:rPr>
  </w:style>
  <w:style w:type="character" w:customStyle="1" w:styleId="BodyTextIndent3Char">
    <w:name w:val="Body Text Indent 3 Char"/>
    <w:basedOn w:val="DefaultParagraphFont"/>
    <w:link w:val="BodyTextIndent3"/>
    <w:uiPriority w:val="99"/>
    <w:semiHidden/>
    <w:rPr>
      <w:rFonts w:ascii="EC Square Sans Pro" w:hAnsi="EC Square Sans Pro" w:cs="Times New Roman"/>
      <w:noProof/>
      <w:sz w:val="16"/>
      <w:szCs w:val="16"/>
    </w:rPr>
  </w:style>
  <w:style w:type="paragraph" w:styleId="Closing">
    <w:name w:val="Closing"/>
    <w:basedOn w:val="Normal"/>
    <w:link w:val="ClosingChar"/>
    <w:uiPriority w:val="99"/>
    <w:semiHidden/>
    <w:unhideWhenUsed/>
    <w:pPr>
      <w:spacing w:after="0" w:line="240" w:lineRule="auto"/>
      <w:ind w:left="4252"/>
    </w:pPr>
    <w:rPr>
      <w:rFonts w:ascii="EC Square Sans Pro" w:hAnsi="EC Square Sans Pro" w:cs="Times New Roman"/>
      <w:noProof/>
      <w:sz w:val="20"/>
    </w:rPr>
  </w:style>
  <w:style w:type="character" w:customStyle="1" w:styleId="ClosingChar">
    <w:name w:val="Closing Char"/>
    <w:basedOn w:val="DefaultParagraphFont"/>
    <w:link w:val="Closing"/>
    <w:uiPriority w:val="99"/>
    <w:semiHidden/>
    <w:rPr>
      <w:rFonts w:ascii="EC Square Sans Pro" w:hAnsi="EC Square Sans Pro" w:cs="Times New Roman"/>
      <w:noProof/>
      <w:sz w:val="20"/>
    </w:rPr>
  </w:style>
  <w:style w:type="paragraph" w:styleId="Date">
    <w:name w:val="Date"/>
    <w:basedOn w:val="Normal"/>
    <w:next w:val="Normal"/>
    <w:link w:val="DateChar"/>
    <w:uiPriority w:val="99"/>
    <w:semiHidden/>
    <w:unhideWhenUsed/>
    <w:pPr>
      <w:spacing w:after="0" w:line="240" w:lineRule="auto"/>
    </w:pPr>
    <w:rPr>
      <w:rFonts w:ascii="EC Square Sans Pro" w:hAnsi="EC Square Sans Pro" w:cs="Times New Roman"/>
      <w:noProof/>
      <w:sz w:val="20"/>
    </w:rPr>
  </w:style>
  <w:style w:type="character" w:customStyle="1" w:styleId="DateChar">
    <w:name w:val="Date Char"/>
    <w:basedOn w:val="DefaultParagraphFont"/>
    <w:link w:val="Date"/>
    <w:uiPriority w:val="99"/>
    <w:semiHidden/>
    <w:rPr>
      <w:rFonts w:ascii="EC Square Sans Pro" w:hAnsi="EC Square Sans Pro" w:cs="Times New Roman"/>
      <w:noProof/>
      <w:sz w:val="20"/>
    </w:rPr>
  </w:style>
  <w:style w:type="paragraph" w:styleId="DocumentMap">
    <w:name w:val="Document Map"/>
    <w:basedOn w:val="Normal"/>
    <w:link w:val="DocumentMapChar"/>
    <w:uiPriority w:val="99"/>
    <w:semiHidden/>
    <w:unhideWhenUsed/>
    <w:pPr>
      <w:spacing w:after="0" w:line="240" w:lineRule="auto"/>
    </w:pPr>
    <w:rPr>
      <w:rFonts w:ascii="EC Square Sans Pro" w:hAnsi="EC Square Sans Pro" w:cs="Tahoma"/>
      <w:noProof/>
      <w:sz w:val="16"/>
      <w:szCs w:val="16"/>
    </w:rPr>
  </w:style>
  <w:style w:type="character" w:customStyle="1" w:styleId="DocumentMapChar">
    <w:name w:val="Document Map Char"/>
    <w:basedOn w:val="DefaultParagraphFont"/>
    <w:link w:val="DocumentMap"/>
    <w:uiPriority w:val="99"/>
    <w:semiHidden/>
    <w:rPr>
      <w:rFonts w:ascii="EC Square Sans Pro" w:hAnsi="EC Square Sans Pro" w:cs="Tahoma"/>
      <w:noProof/>
      <w:sz w:val="16"/>
      <w:szCs w:val="16"/>
    </w:rPr>
  </w:style>
  <w:style w:type="paragraph" w:styleId="E-mailSignature">
    <w:name w:val="E-mail Signature"/>
    <w:basedOn w:val="Normal"/>
    <w:link w:val="E-mailSignatureChar"/>
    <w:uiPriority w:val="99"/>
    <w:semiHidden/>
    <w:unhideWhenUsed/>
    <w:pPr>
      <w:spacing w:after="0" w:line="240" w:lineRule="auto"/>
    </w:pPr>
    <w:rPr>
      <w:rFonts w:ascii="EC Square Sans Pro" w:hAnsi="EC Square Sans Pro" w:cs="Times New Roman"/>
      <w:noProof/>
      <w:sz w:val="20"/>
    </w:rPr>
  </w:style>
  <w:style w:type="character" w:customStyle="1" w:styleId="E-mailSignatureChar">
    <w:name w:val="E-mail Signature Char"/>
    <w:basedOn w:val="DefaultParagraphFont"/>
    <w:link w:val="E-mailSignature"/>
    <w:uiPriority w:val="99"/>
    <w:semiHidden/>
    <w:rPr>
      <w:rFonts w:ascii="EC Square Sans Pro" w:hAnsi="EC Square Sans Pro" w:cs="Times New Roman"/>
      <w:noProof/>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EC Square Sans Pro" w:eastAsia="Times New Roman" w:hAnsi="EC Square Sans Pro" w:cs="Times New Roman"/>
      <w:noProof/>
      <w:sz w:val="24"/>
      <w:szCs w:val="24"/>
    </w:rPr>
  </w:style>
  <w:style w:type="paragraph" w:styleId="EnvelopeReturn">
    <w:name w:val="envelope return"/>
    <w:basedOn w:val="Normal"/>
    <w:uiPriority w:val="99"/>
    <w:semiHidden/>
    <w:unhideWhenUsed/>
    <w:pPr>
      <w:spacing w:after="0" w:line="240" w:lineRule="auto"/>
    </w:pPr>
    <w:rPr>
      <w:rFonts w:ascii="EC Square Sans Pro" w:eastAsia="Times New Roman" w:hAnsi="EC Square Sans Pro" w:cs="Times New Roman"/>
      <w:noProof/>
      <w:sz w:val="20"/>
      <w:szCs w:val="20"/>
    </w:rPr>
  </w:style>
  <w:style w:type="character" w:styleId="HTMLAcronym">
    <w:name w:val="HTML Acronym"/>
    <w:basedOn w:val="DefaultParagraphFont"/>
    <w:uiPriority w:val="99"/>
    <w:semiHidden/>
    <w:unhideWhenUsed/>
    <w:rPr>
      <w:rFonts w:ascii="EC Square Sans Pro" w:hAnsi="EC Square Sans Pro"/>
      <w:noProof/>
      <w:lang w:val="en-GB"/>
    </w:rPr>
  </w:style>
  <w:style w:type="paragraph" w:styleId="HTMLAddress">
    <w:name w:val="HTML Address"/>
    <w:basedOn w:val="Normal"/>
    <w:link w:val="HTMLAddressChar"/>
    <w:uiPriority w:val="99"/>
    <w:semiHidden/>
    <w:unhideWhenUsed/>
    <w:pPr>
      <w:spacing w:after="0" w:line="240" w:lineRule="auto"/>
    </w:pPr>
    <w:rPr>
      <w:rFonts w:ascii="EC Square Sans Pro" w:hAnsi="EC Square Sans Pro" w:cs="Times New Roman"/>
      <w:i/>
      <w:iCs/>
      <w:noProof/>
      <w:sz w:val="20"/>
    </w:rPr>
  </w:style>
  <w:style w:type="character" w:customStyle="1" w:styleId="HTMLAddressChar">
    <w:name w:val="HTML Address Char"/>
    <w:basedOn w:val="DefaultParagraphFont"/>
    <w:link w:val="HTMLAddress"/>
    <w:uiPriority w:val="99"/>
    <w:semiHidden/>
    <w:rPr>
      <w:rFonts w:ascii="EC Square Sans Pro" w:hAnsi="EC Square Sans Pro" w:cs="Times New Roman"/>
      <w:i/>
      <w:iCs/>
      <w:noProof/>
      <w:sz w:val="20"/>
    </w:rPr>
  </w:style>
  <w:style w:type="character" w:styleId="HTMLCite">
    <w:name w:val="HTML Cite"/>
    <w:basedOn w:val="DefaultParagraphFont"/>
    <w:uiPriority w:val="99"/>
    <w:semiHidden/>
    <w:unhideWhenUsed/>
    <w:rPr>
      <w:rFonts w:ascii="EC Square Sans Pro" w:hAnsi="EC Square Sans Pro"/>
      <w:i/>
      <w:iCs/>
      <w:noProof/>
      <w:lang w:val="en-GB"/>
    </w:rPr>
  </w:style>
  <w:style w:type="character" w:styleId="HTMLCode">
    <w:name w:val="HTML Code"/>
    <w:basedOn w:val="DefaultParagraphFont"/>
    <w:uiPriority w:val="99"/>
    <w:semiHidden/>
    <w:unhideWhenUsed/>
    <w:rPr>
      <w:rFonts w:ascii="EC Square Sans Pro" w:hAnsi="EC Square Sans Pro" w:cs="Consolas"/>
      <w:noProof/>
      <w:sz w:val="20"/>
      <w:szCs w:val="20"/>
      <w:lang w:val="en-GB"/>
    </w:rPr>
  </w:style>
  <w:style w:type="character" w:styleId="HTMLDefinition">
    <w:name w:val="HTML Definition"/>
    <w:basedOn w:val="DefaultParagraphFont"/>
    <w:uiPriority w:val="99"/>
    <w:semiHidden/>
    <w:unhideWhenUsed/>
    <w:rPr>
      <w:rFonts w:ascii="EC Square Sans Pro" w:hAnsi="EC Square Sans Pro"/>
      <w:i/>
      <w:iCs/>
      <w:noProof/>
      <w:lang w:val="en-GB"/>
    </w:rPr>
  </w:style>
  <w:style w:type="character" w:styleId="HTMLKeyboard">
    <w:name w:val="HTML Keyboard"/>
    <w:basedOn w:val="DefaultParagraphFont"/>
    <w:uiPriority w:val="99"/>
    <w:semiHidden/>
    <w:unhideWhenUsed/>
    <w:rPr>
      <w:rFonts w:ascii="EC Square Sans Pro" w:hAnsi="EC Square Sans Pro" w:cs="Consolas"/>
      <w:noProof/>
      <w:sz w:val="20"/>
      <w:szCs w:val="20"/>
      <w:lang w:val="en-GB"/>
    </w:rPr>
  </w:style>
  <w:style w:type="paragraph" w:styleId="HTMLPreformatted">
    <w:name w:val="HTML Preformatted"/>
    <w:basedOn w:val="Normal"/>
    <w:link w:val="HTMLPreformattedChar"/>
    <w:uiPriority w:val="99"/>
    <w:semiHidden/>
    <w:unhideWhenUsed/>
    <w:pPr>
      <w:spacing w:after="0" w:line="240" w:lineRule="auto"/>
    </w:pPr>
    <w:rPr>
      <w:rFonts w:ascii="EC Square Sans Pro" w:hAnsi="EC Square Sans Pro" w:cs="Consolas"/>
      <w:noProof/>
      <w:sz w:val="20"/>
      <w:szCs w:val="20"/>
    </w:rPr>
  </w:style>
  <w:style w:type="character" w:customStyle="1" w:styleId="HTMLPreformattedChar">
    <w:name w:val="HTML Preformatted Char"/>
    <w:basedOn w:val="DefaultParagraphFont"/>
    <w:link w:val="HTMLPreformatted"/>
    <w:uiPriority w:val="99"/>
    <w:semiHidden/>
    <w:rPr>
      <w:rFonts w:ascii="EC Square Sans Pro" w:hAnsi="EC Square Sans Pro" w:cs="Consolas"/>
      <w:noProof/>
      <w:sz w:val="20"/>
      <w:szCs w:val="20"/>
    </w:rPr>
  </w:style>
  <w:style w:type="character" w:styleId="HTMLSample">
    <w:name w:val="HTML Sample"/>
    <w:basedOn w:val="DefaultParagraphFont"/>
    <w:uiPriority w:val="99"/>
    <w:semiHidden/>
    <w:unhideWhenUsed/>
    <w:rPr>
      <w:rFonts w:ascii="EC Square Sans Pro" w:hAnsi="EC Square Sans Pro" w:cs="Consolas"/>
      <w:noProof/>
      <w:sz w:val="24"/>
      <w:szCs w:val="24"/>
      <w:lang w:val="en-GB"/>
    </w:rPr>
  </w:style>
  <w:style w:type="character" w:styleId="HTMLTypewriter">
    <w:name w:val="HTML Typewriter"/>
    <w:basedOn w:val="DefaultParagraphFont"/>
    <w:uiPriority w:val="99"/>
    <w:semiHidden/>
    <w:unhideWhenUsed/>
    <w:rPr>
      <w:rFonts w:ascii="EC Square Sans Pro" w:hAnsi="EC Square Sans Pro" w:cs="Consolas"/>
      <w:noProof/>
      <w:sz w:val="20"/>
      <w:szCs w:val="20"/>
      <w:lang w:val="en-GB"/>
    </w:rPr>
  </w:style>
  <w:style w:type="character" w:styleId="HTMLVariable">
    <w:name w:val="HTML Variable"/>
    <w:basedOn w:val="DefaultParagraphFont"/>
    <w:uiPriority w:val="99"/>
    <w:semiHidden/>
    <w:unhideWhenUsed/>
    <w:rPr>
      <w:rFonts w:ascii="EC Square Sans Pro" w:hAnsi="EC Square Sans Pro"/>
      <w:i/>
      <w:iCs/>
      <w:noProof/>
      <w:lang w:val="en-GB"/>
    </w:rPr>
  </w:style>
  <w:style w:type="paragraph" w:styleId="Index1">
    <w:name w:val="index 1"/>
    <w:basedOn w:val="Normal"/>
    <w:next w:val="Normal"/>
    <w:autoRedefine/>
    <w:uiPriority w:val="99"/>
    <w:semiHidden/>
    <w:unhideWhenUsed/>
    <w:pPr>
      <w:spacing w:after="0" w:line="240" w:lineRule="auto"/>
      <w:ind w:left="200" w:hanging="200"/>
    </w:pPr>
    <w:rPr>
      <w:rFonts w:ascii="EC Square Sans Pro" w:hAnsi="EC Square Sans Pro" w:cs="Times New Roman"/>
      <w:noProof/>
      <w:sz w:val="20"/>
    </w:rPr>
  </w:style>
  <w:style w:type="paragraph" w:styleId="Index2">
    <w:name w:val="index 2"/>
    <w:basedOn w:val="Normal"/>
    <w:next w:val="Normal"/>
    <w:autoRedefine/>
    <w:uiPriority w:val="99"/>
    <w:semiHidden/>
    <w:unhideWhenUsed/>
    <w:pPr>
      <w:spacing w:after="0" w:line="240" w:lineRule="auto"/>
      <w:ind w:left="400" w:hanging="200"/>
    </w:pPr>
    <w:rPr>
      <w:rFonts w:ascii="EC Square Sans Pro" w:hAnsi="EC Square Sans Pro" w:cs="Times New Roman"/>
      <w:noProof/>
      <w:sz w:val="20"/>
    </w:rPr>
  </w:style>
  <w:style w:type="paragraph" w:styleId="Index3">
    <w:name w:val="index 3"/>
    <w:basedOn w:val="Normal"/>
    <w:next w:val="Normal"/>
    <w:autoRedefine/>
    <w:uiPriority w:val="99"/>
    <w:semiHidden/>
    <w:unhideWhenUsed/>
    <w:pPr>
      <w:spacing w:after="0" w:line="240" w:lineRule="auto"/>
      <w:ind w:left="600" w:hanging="200"/>
    </w:pPr>
    <w:rPr>
      <w:rFonts w:ascii="EC Square Sans Pro" w:hAnsi="EC Square Sans Pro" w:cs="Times New Roman"/>
      <w:noProof/>
      <w:sz w:val="20"/>
    </w:rPr>
  </w:style>
  <w:style w:type="paragraph" w:styleId="Index4">
    <w:name w:val="index 4"/>
    <w:basedOn w:val="Normal"/>
    <w:next w:val="Normal"/>
    <w:autoRedefine/>
    <w:uiPriority w:val="99"/>
    <w:semiHidden/>
    <w:unhideWhenUsed/>
    <w:pPr>
      <w:spacing w:after="0" w:line="240" w:lineRule="auto"/>
      <w:ind w:left="800" w:hanging="200"/>
    </w:pPr>
    <w:rPr>
      <w:rFonts w:ascii="EC Square Sans Pro" w:hAnsi="EC Square Sans Pro" w:cs="Times New Roman"/>
      <w:noProof/>
      <w:sz w:val="20"/>
    </w:rPr>
  </w:style>
  <w:style w:type="paragraph" w:styleId="Index5">
    <w:name w:val="index 5"/>
    <w:basedOn w:val="Normal"/>
    <w:next w:val="Normal"/>
    <w:autoRedefine/>
    <w:uiPriority w:val="99"/>
    <w:semiHidden/>
    <w:unhideWhenUsed/>
    <w:pPr>
      <w:spacing w:after="0" w:line="240" w:lineRule="auto"/>
      <w:ind w:left="1000" w:hanging="200"/>
    </w:pPr>
    <w:rPr>
      <w:rFonts w:ascii="EC Square Sans Pro" w:hAnsi="EC Square Sans Pro" w:cs="Times New Roman"/>
      <w:noProof/>
      <w:sz w:val="20"/>
    </w:rPr>
  </w:style>
  <w:style w:type="paragraph" w:styleId="Index6">
    <w:name w:val="index 6"/>
    <w:basedOn w:val="Normal"/>
    <w:next w:val="Normal"/>
    <w:autoRedefine/>
    <w:uiPriority w:val="99"/>
    <w:semiHidden/>
    <w:unhideWhenUsed/>
    <w:pPr>
      <w:spacing w:after="0" w:line="240" w:lineRule="auto"/>
      <w:ind w:left="1200" w:hanging="200"/>
    </w:pPr>
    <w:rPr>
      <w:rFonts w:ascii="EC Square Sans Pro" w:hAnsi="EC Square Sans Pro" w:cs="Times New Roman"/>
      <w:noProof/>
      <w:sz w:val="20"/>
    </w:rPr>
  </w:style>
  <w:style w:type="paragraph" w:styleId="Index7">
    <w:name w:val="index 7"/>
    <w:basedOn w:val="Normal"/>
    <w:next w:val="Normal"/>
    <w:autoRedefine/>
    <w:uiPriority w:val="99"/>
    <w:semiHidden/>
    <w:unhideWhenUsed/>
    <w:pPr>
      <w:spacing w:after="0" w:line="240" w:lineRule="auto"/>
      <w:ind w:left="1400" w:hanging="200"/>
    </w:pPr>
    <w:rPr>
      <w:rFonts w:ascii="EC Square Sans Pro" w:hAnsi="EC Square Sans Pro" w:cs="Times New Roman"/>
      <w:noProof/>
      <w:sz w:val="20"/>
    </w:rPr>
  </w:style>
  <w:style w:type="paragraph" w:styleId="Index8">
    <w:name w:val="index 8"/>
    <w:basedOn w:val="Normal"/>
    <w:next w:val="Normal"/>
    <w:autoRedefine/>
    <w:uiPriority w:val="99"/>
    <w:semiHidden/>
    <w:unhideWhenUsed/>
    <w:pPr>
      <w:spacing w:after="0" w:line="240" w:lineRule="auto"/>
      <w:ind w:left="1600" w:hanging="200"/>
    </w:pPr>
    <w:rPr>
      <w:rFonts w:ascii="EC Square Sans Pro" w:hAnsi="EC Square Sans Pro" w:cs="Times New Roman"/>
      <w:noProof/>
      <w:sz w:val="20"/>
    </w:rPr>
  </w:style>
  <w:style w:type="paragraph" w:styleId="Index9">
    <w:name w:val="index 9"/>
    <w:basedOn w:val="Normal"/>
    <w:next w:val="Normal"/>
    <w:autoRedefine/>
    <w:uiPriority w:val="99"/>
    <w:semiHidden/>
    <w:unhideWhenUsed/>
    <w:pPr>
      <w:spacing w:after="0" w:line="240" w:lineRule="auto"/>
      <w:ind w:left="1800" w:hanging="200"/>
    </w:pPr>
    <w:rPr>
      <w:rFonts w:ascii="EC Square Sans Pro" w:hAnsi="EC Square Sans Pro" w:cs="Times New Roman"/>
      <w:noProof/>
      <w:sz w:val="20"/>
    </w:rPr>
  </w:style>
  <w:style w:type="paragraph" w:styleId="IndexHeading">
    <w:name w:val="index heading"/>
    <w:basedOn w:val="Normal"/>
    <w:next w:val="Index1"/>
    <w:uiPriority w:val="99"/>
    <w:semiHidden/>
    <w:unhideWhenUsed/>
    <w:pPr>
      <w:spacing w:after="0" w:line="240" w:lineRule="auto"/>
    </w:pPr>
    <w:rPr>
      <w:rFonts w:ascii="EC Square Sans Pro" w:eastAsia="Times New Roman" w:hAnsi="EC Square Sans Pro" w:cs="Times New Roman"/>
      <w:b/>
      <w:bCs/>
      <w:noProof/>
      <w:sz w:val="20"/>
    </w:rPr>
  </w:style>
  <w:style w:type="character" w:styleId="LineNumber">
    <w:name w:val="line number"/>
    <w:basedOn w:val="DefaultParagraphFont"/>
    <w:uiPriority w:val="99"/>
    <w:semiHidden/>
    <w:unhideWhenUsed/>
    <w:rPr>
      <w:rFonts w:ascii="EC Square Sans Pro" w:hAnsi="EC Square Sans Pro"/>
      <w:noProof/>
      <w:lang w:val="en-GB"/>
    </w:rPr>
  </w:style>
  <w:style w:type="paragraph" w:styleId="List">
    <w:name w:val="List"/>
    <w:basedOn w:val="Normal"/>
    <w:uiPriority w:val="99"/>
    <w:semiHidden/>
    <w:unhideWhenUsed/>
    <w:pPr>
      <w:spacing w:after="0" w:line="240" w:lineRule="auto"/>
      <w:ind w:left="283" w:hanging="283"/>
      <w:contextualSpacing/>
    </w:pPr>
    <w:rPr>
      <w:rFonts w:ascii="EC Square Sans Pro" w:hAnsi="EC Square Sans Pro" w:cs="Times New Roman"/>
      <w:noProof/>
      <w:sz w:val="20"/>
    </w:rPr>
  </w:style>
  <w:style w:type="paragraph" w:styleId="List2">
    <w:name w:val="List 2"/>
    <w:basedOn w:val="Normal"/>
    <w:uiPriority w:val="99"/>
    <w:semiHidden/>
    <w:unhideWhenUsed/>
    <w:pPr>
      <w:spacing w:after="0" w:line="240" w:lineRule="auto"/>
      <w:ind w:left="566" w:hanging="283"/>
      <w:contextualSpacing/>
    </w:pPr>
    <w:rPr>
      <w:rFonts w:ascii="EC Square Sans Pro" w:hAnsi="EC Square Sans Pro" w:cs="Times New Roman"/>
      <w:noProof/>
      <w:sz w:val="20"/>
    </w:rPr>
  </w:style>
  <w:style w:type="paragraph" w:styleId="List3">
    <w:name w:val="List 3"/>
    <w:basedOn w:val="Normal"/>
    <w:uiPriority w:val="99"/>
    <w:semiHidden/>
    <w:unhideWhenUsed/>
    <w:pPr>
      <w:spacing w:after="0" w:line="240" w:lineRule="auto"/>
      <w:ind w:left="849" w:hanging="283"/>
      <w:contextualSpacing/>
    </w:pPr>
    <w:rPr>
      <w:rFonts w:ascii="EC Square Sans Pro" w:hAnsi="EC Square Sans Pro" w:cs="Times New Roman"/>
      <w:noProof/>
      <w:sz w:val="20"/>
    </w:rPr>
  </w:style>
  <w:style w:type="paragraph" w:styleId="List4">
    <w:name w:val="List 4"/>
    <w:basedOn w:val="Normal"/>
    <w:uiPriority w:val="99"/>
    <w:semiHidden/>
    <w:unhideWhenUsed/>
    <w:pPr>
      <w:spacing w:after="0" w:line="240" w:lineRule="auto"/>
      <w:ind w:left="1132" w:hanging="283"/>
      <w:contextualSpacing/>
    </w:pPr>
    <w:rPr>
      <w:rFonts w:ascii="EC Square Sans Pro" w:hAnsi="EC Square Sans Pro" w:cs="Times New Roman"/>
      <w:noProof/>
      <w:sz w:val="20"/>
    </w:rPr>
  </w:style>
  <w:style w:type="paragraph" w:styleId="List5">
    <w:name w:val="List 5"/>
    <w:basedOn w:val="Normal"/>
    <w:uiPriority w:val="99"/>
    <w:semiHidden/>
    <w:unhideWhenUsed/>
    <w:pPr>
      <w:spacing w:after="0" w:line="240" w:lineRule="auto"/>
      <w:ind w:left="1415" w:hanging="283"/>
      <w:contextualSpacing/>
    </w:pPr>
    <w:rPr>
      <w:rFonts w:ascii="EC Square Sans Pro" w:hAnsi="EC Square Sans Pro" w:cs="Times New Roman"/>
      <w:noProof/>
      <w:sz w:val="20"/>
    </w:rPr>
  </w:style>
  <w:style w:type="paragraph" w:styleId="ListBullet5">
    <w:name w:val="List Bullet 5"/>
    <w:basedOn w:val="Normal"/>
    <w:uiPriority w:val="99"/>
    <w:semiHidden/>
    <w:unhideWhenUsed/>
    <w:pPr>
      <w:numPr>
        <w:numId w:val="1"/>
      </w:numPr>
      <w:spacing w:after="0" w:line="240" w:lineRule="auto"/>
      <w:contextualSpacing/>
    </w:pPr>
    <w:rPr>
      <w:rFonts w:ascii="EC Square Sans Pro" w:hAnsi="EC Square Sans Pro" w:cs="Times New Roman"/>
      <w:noProof/>
      <w:sz w:val="20"/>
    </w:rPr>
  </w:style>
  <w:style w:type="paragraph" w:styleId="ListContinue">
    <w:name w:val="List Continue"/>
    <w:basedOn w:val="Normal"/>
    <w:uiPriority w:val="99"/>
    <w:semiHidden/>
    <w:unhideWhenUsed/>
    <w:pPr>
      <w:spacing w:after="120" w:line="240" w:lineRule="auto"/>
      <w:ind w:left="283"/>
      <w:contextualSpacing/>
    </w:pPr>
    <w:rPr>
      <w:rFonts w:ascii="EC Square Sans Pro" w:hAnsi="EC Square Sans Pro" w:cs="Times New Roman"/>
      <w:noProof/>
      <w:sz w:val="20"/>
    </w:rPr>
  </w:style>
  <w:style w:type="paragraph" w:styleId="ListContinue2">
    <w:name w:val="List Continue 2"/>
    <w:basedOn w:val="Normal"/>
    <w:uiPriority w:val="99"/>
    <w:semiHidden/>
    <w:unhideWhenUsed/>
    <w:pPr>
      <w:spacing w:after="120" w:line="240" w:lineRule="auto"/>
      <w:ind w:left="566"/>
      <w:contextualSpacing/>
    </w:pPr>
    <w:rPr>
      <w:rFonts w:ascii="EC Square Sans Pro" w:hAnsi="EC Square Sans Pro" w:cs="Times New Roman"/>
      <w:noProof/>
      <w:sz w:val="20"/>
    </w:rPr>
  </w:style>
  <w:style w:type="paragraph" w:styleId="ListContinue3">
    <w:name w:val="List Continue 3"/>
    <w:basedOn w:val="Normal"/>
    <w:uiPriority w:val="99"/>
    <w:semiHidden/>
    <w:unhideWhenUsed/>
    <w:pPr>
      <w:spacing w:after="120" w:line="240" w:lineRule="auto"/>
      <w:ind w:left="849"/>
      <w:contextualSpacing/>
    </w:pPr>
    <w:rPr>
      <w:rFonts w:ascii="EC Square Sans Pro" w:hAnsi="EC Square Sans Pro" w:cs="Times New Roman"/>
      <w:noProof/>
      <w:sz w:val="20"/>
    </w:rPr>
  </w:style>
  <w:style w:type="paragraph" w:styleId="ListContinue4">
    <w:name w:val="List Continue 4"/>
    <w:basedOn w:val="Normal"/>
    <w:uiPriority w:val="99"/>
    <w:semiHidden/>
    <w:unhideWhenUsed/>
    <w:pPr>
      <w:spacing w:after="120" w:line="240" w:lineRule="auto"/>
      <w:ind w:left="1132"/>
      <w:contextualSpacing/>
    </w:pPr>
    <w:rPr>
      <w:rFonts w:ascii="EC Square Sans Pro" w:hAnsi="EC Square Sans Pro" w:cs="Times New Roman"/>
      <w:noProof/>
      <w:sz w:val="20"/>
    </w:rPr>
  </w:style>
  <w:style w:type="paragraph" w:styleId="ListContinue5">
    <w:name w:val="List Continue 5"/>
    <w:basedOn w:val="Normal"/>
    <w:uiPriority w:val="99"/>
    <w:semiHidden/>
    <w:unhideWhenUsed/>
    <w:pPr>
      <w:spacing w:after="120" w:line="240" w:lineRule="auto"/>
      <w:ind w:left="1415"/>
      <w:contextualSpacing/>
    </w:pPr>
    <w:rPr>
      <w:rFonts w:ascii="EC Square Sans Pro" w:hAnsi="EC Square Sans Pro" w:cs="Times New Roman"/>
      <w:noProof/>
      <w:sz w:val="20"/>
    </w:rPr>
  </w:style>
  <w:style w:type="paragraph" w:styleId="ListNumber5">
    <w:name w:val="List Number 5"/>
    <w:basedOn w:val="Normal"/>
    <w:uiPriority w:val="99"/>
    <w:semiHidden/>
    <w:unhideWhenUsed/>
    <w:pPr>
      <w:numPr>
        <w:numId w:val="2"/>
      </w:numPr>
      <w:spacing w:after="0" w:line="240" w:lineRule="auto"/>
      <w:contextualSpacing/>
    </w:pPr>
    <w:rPr>
      <w:rFonts w:ascii="EC Square Sans Pro" w:hAnsi="EC Square Sans Pro" w:cs="Times New Roman"/>
      <w:noProof/>
      <w:sz w:val="20"/>
    </w:r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C Square Sans Pro" w:hAnsi="EC Square Sans Pro" w:cs="Consolas"/>
      <w:noProof/>
      <w:sz w:val="20"/>
      <w:szCs w:val="20"/>
    </w:rPr>
  </w:style>
  <w:style w:type="character" w:customStyle="1" w:styleId="MacroTextChar">
    <w:name w:val="Macro Text Char"/>
    <w:basedOn w:val="DefaultParagraphFont"/>
    <w:link w:val="MacroText"/>
    <w:uiPriority w:val="99"/>
    <w:semiHidden/>
    <w:rPr>
      <w:rFonts w:ascii="EC Square Sans Pro" w:hAnsi="EC Square Sans Pro" w:cs="Consolas"/>
      <w:noProof/>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EC Square Sans Pro" w:eastAsia="Times New Roman" w:hAnsi="EC Square Sans Pro" w:cs="Times New Roman"/>
      <w:noProof/>
      <w:sz w:val="24"/>
      <w:szCs w:val="24"/>
    </w:rPr>
  </w:style>
  <w:style w:type="character" w:customStyle="1" w:styleId="MessageHeaderChar">
    <w:name w:val="Message Header Char"/>
    <w:basedOn w:val="DefaultParagraphFont"/>
    <w:link w:val="MessageHeader"/>
    <w:uiPriority w:val="99"/>
    <w:semiHidden/>
    <w:rPr>
      <w:rFonts w:ascii="EC Square Sans Pro" w:eastAsia="Times New Roman" w:hAnsi="EC Square Sans Pro" w:cs="Times New Roman"/>
      <w:noProof/>
      <w:sz w:val="24"/>
      <w:szCs w:val="24"/>
      <w:shd w:val="pct20" w:color="auto" w:fill="auto"/>
    </w:rPr>
  </w:style>
  <w:style w:type="paragraph" w:styleId="NormalIndent">
    <w:name w:val="Normal Indent"/>
    <w:basedOn w:val="Normal"/>
    <w:uiPriority w:val="99"/>
    <w:semiHidden/>
    <w:unhideWhenUsed/>
    <w:pPr>
      <w:spacing w:after="0" w:line="240" w:lineRule="auto"/>
      <w:ind w:left="720"/>
    </w:pPr>
    <w:rPr>
      <w:rFonts w:ascii="EC Square Sans Pro" w:hAnsi="EC Square Sans Pro" w:cs="Times New Roman"/>
      <w:noProof/>
      <w:sz w:val="20"/>
    </w:rPr>
  </w:style>
  <w:style w:type="paragraph" w:styleId="NoteHeading">
    <w:name w:val="Note Heading"/>
    <w:basedOn w:val="Normal"/>
    <w:next w:val="Normal"/>
    <w:link w:val="NoteHeadingChar"/>
    <w:uiPriority w:val="99"/>
    <w:semiHidden/>
    <w:unhideWhenUsed/>
    <w:pPr>
      <w:spacing w:after="0" w:line="240" w:lineRule="auto"/>
    </w:pPr>
    <w:rPr>
      <w:rFonts w:ascii="EC Square Sans Pro" w:hAnsi="EC Square Sans Pro" w:cs="Times New Roman"/>
      <w:noProof/>
      <w:sz w:val="20"/>
    </w:rPr>
  </w:style>
  <w:style w:type="character" w:customStyle="1" w:styleId="NoteHeadingChar">
    <w:name w:val="Note Heading Char"/>
    <w:basedOn w:val="DefaultParagraphFont"/>
    <w:link w:val="NoteHeading"/>
    <w:uiPriority w:val="99"/>
    <w:semiHidden/>
    <w:rPr>
      <w:rFonts w:ascii="EC Square Sans Pro" w:hAnsi="EC Square Sans Pro" w:cs="Times New Roman"/>
      <w:noProof/>
      <w:sz w:val="20"/>
    </w:rPr>
  </w:style>
  <w:style w:type="character" w:styleId="PageNumber">
    <w:name w:val="page number"/>
    <w:basedOn w:val="DefaultParagraphFont"/>
    <w:uiPriority w:val="99"/>
    <w:semiHidden/>
    <w:unhideWhenUsed/>
    <w:rPr>
      <w:rFonts w:ascii="EC Square Sans Pro" w:hAnsi="EC Square Sans Pro"/>
      <w:noProof/>
      <w:lang w:val="en-GB"/>
    </w:rPr>
  </w:style>
  <w:style w:type="character" w:styleId="PlaceholderText">
    <w:name w:val="Placeholder Text"/>
    <w:basedOn w:val="DefaultParagraphFont"/>
    <w:uiPriority w:val="99"/>
    <w:semiHidden/>
    <w:rPr>
      <w:rFonts w:ascii="EC Square Sans Pro" w:hAnsi="EC Square Sans Pro"/>
      <w:noProof/>
      <w:color w:val="808080"/>
      <w:lang w:val="en-GB"/>
    </w:rPr>
  </w:style>
  <w:style w:type="paragraph" w:styleId="PlainText">
    <w:name w:val="Plain Text"/>
    <w:basedOn w:val="Normal"/>
    <w:link w:val="PlainTextChar"/>
    <w:uiPriority w:val="99"/>
    <w:semiHidden/>
    <w:unhideWhenUsed/>
    <w:pPr>
      <w:spacing w:after="0" w:line="240" w:lineRule="auto"/>
    </w:pPr>
    <w:rPr>
      <w:rFonts w:ascii="EC Square Sans Pro" w:hAnsi="EC Square Sans Pro" w:cs="Consolas"/>
      <w:noProof/>
      <w:sz w:val="21"/>
      <w:szCs w:val="21"/>
    </w:rPr>
  </w:style>
  <w:style w:type="character" w:customStyle="1" w:styleId="PlainTextChar">
    <w:name w:val="Plain Text Char"/>
    <w:basedOn w:val="DefaultParagraphFont"/>
    <w:link w:val="PlainText"/>
    <w:uiPriority w:val="99"/>
    <w:semiHidden/>
    <w:rPr>
      <w:rFonts w:ascii="EC Square Sans Pro" w:hAnsi="EC Square Sans Pro" w:cs="Consolas"/>
      <w:noProof/>
      <w:sz w:val="21"/>
      <w:szCs w:val="21"/>
    </w:rPr>
  </w:style>
  <w:style w:type="paragraph" w:styleId="Salutation">
    <w:name w:val="Salutation"/>
    <w:basedOn w:val="Normal"/>
    <w:next w:val="Normal"/>
    <w:link w:val="SalutationChar"/>
    <w:uiPriority w:val="99"/>
    <w:semiHidden/>
    <w:unhideWhenUsed/>
    <w:pPr>
      <w:spacing w:after="0" w:line="240" w:lineRule="auto"/>
    </w:pPr>
    <w:rPr>
      <w:rFonts w:ascii="EC Square Sans Pro" w:hAnsi="EC Square Sans Pro" w:cs="Times New Roman"/>
      <w:noProof/>
      <w:sz w:val="20"/>
    </w:rPr>
  </w:style>
  <w:style w:type="character" w:customStyle="1" w:styleId="SalutationChar">
    <w:name w:val="Salutation Char"/>
    <w:basedOn w:val="DefaultParagraphFont"/>
    <w:link w:val="Salutation"/>
    <w:uiPriority w:val="99"/>
    <w:semiHidden/>
    <w:rPr>
      <w:rFonts w:ascii="EC Square Sans Pro" w:hAnsi="EC Square Sans Pro" w:cs="Times New Roman"/>
      <w:noProof/>
      <w:sz w:val="20"/>
    </w:rPr>
  </w:style>
  <w:style w:type="paragraph" w:styleId="Signature">
    <w:name w:val="Signature"/>
    <w:basedOn w:val="Normal"/>
    <w:link w:val="SignatureChar"/>
    <w:uiPriority w:val="99"/>
    <w:semiHidden/>
    <w:unhideWhenUsed/>
    <w:pPr>
      <w:spacing w:after="0" w:line="240" w:lineRule="auto"/>
      <w:ind w:left="4252"/>
    </w:pPr>
    <w:rPr>
      <w:rFonts w:ascii="EC Square Sans Pro" w:hAnsi="EC Square Sans Pro" w:cs="Times New Roman"/>
      <w:noProof/>
      <w:sz w:val="20"/>
    </w:rPr>
  </w:style>
  <w:style w:type="character" w:customStyle="1" w:styleId="SignatureChar">
    <w:name w:val="Signature Char"/>
    <w:basedOn w:val="DefaultParagraphFont"/>
    <w:link w:val="Signature"/>
    <w:uiPriority w:val="99"/>
    <w:semiHidden/>
    <w:rPr>
      <w:rFonts w:ascii="EC Square Sans Pro" w:hAnsi="EC Square Sans Pro" w:cs="Times New Roman"/>
      <w:noProof/>
      <w:sz w:val="20"/>
    </w:rPr>
  </w:style>
  <w:style w:type="paragraph" w:styleId="TableofAuthorities">
    <w:name w:val="table of authorities"/>
    <w:basedOn w:val="Normal"/>
    <w:next w:val="Normal"/>
    <w:uiPriority w:val="99"/>
    <w:semiHidden/>
    <w:unhideWhenUsed/>
    <w:pPr>
      <w:spacing w:after="0" w:line="240" w:lineRule="auto"/>
      <w:ind w:left="200" w:hanging="200"/>
    </w:pPr>
    <w:rPr>
      <w:rFonts w:ascii="EC Square Sans Pro" w:hAnsi="EC Square Sans Pro" w:cs="Times New Roman"/>
      <w:noProof/>
      <w:sz w:val="20"/>
    </w:rPr>
  </w:style>
  <w:style w:type="paragraph" w:styleId="TOAHeading">
    <w:name w:val="toa heading"/>
    <w:basedOn w:val="Normal"/>
    <w:next w:val="Normal"/>
    <w:uiPriority w:val="99"/>
    <w:semiHidden/>
    <w:unhideWhenUsed/>
    <w:pPr>
      <w:spacing w:before="120" w:after="0" w:line="240" w:lineRule="auto"/>
    </w:pPr>
    <w:rPr>
      <w:rFonts w:ascii="EC Square Sans Pro" w:eastAsia="Times New Roman" w:hAnsi="EC Square Sans Pro" w:cs="Times New Roman"/>
      <w:b/>
      <w:bCs/>
      <w:noProof/>
      <w:sz w:val="24"/>
      <w:szCs w:val="24"/>
    </w:rPr>
  </w:style>
  <w:style w:type="character" w:customStyle="1" w:styleId="BOLDBLUE">
    <w:name w:val="BOLD BLUE"/>
    <w:basedOn w:val="BodyTextChar"/>
    <w:semiHidden/>
    <w:qFormat/>
    <w:rPr>
      <w:rFonts w:ascii="EC Square Sans Pro" w:hAnsi="EC Square Sans Pro" w:cs="Times New Roman"/>
      <w:b/>
      <w:noProof/>
      <w:color w:val="4472C4" w:themeColor="accent5"/>
      <w:sz w:val="20"/>
      <w:lang w:val="en-GB" w:eastAsia="fr-BE"/>
    </w:rPr>
  </w:style>
  <w:style w:type="paragraph" w:customStyle="1" w:styleId="Title1-NoTOClink">
    <w:name w:val="Title 1 - No TOC link"/>
    <w:basedOn w:val="Normal"/>
    <w:next w:val="Normal"/>
    <w:semiHidden/>
    <w:pPr>
      <w:keepNext/>
      <w:keepLines/>
      <w:pageBreakBefore/>
      <w:spacing w:after="120" w:line="240" w:lineRule="auto"/>
      <w:outlineLvl w:val="0"/>
    </w:pPr>
    <w:rPr>
      <w:rFonts w:ascii="EC Square Sans Pro" w:hAnsi="EC Square Sans Pro" w:cs="Times New Roman"/>
      <w:noProof/>
      <w:color w:val="4472C4" w:themeColor="accent5"/>
      <w:sz w:val="52"/>
    </w:rPr>
  </w:style>
  <w:style w:type="character" w:customStyle="1" w:styleId="fnRefNo">
    <w:name w:val="fnRefNo"/>
    <w:uiPriority w:val="1"/>
    <w:qFormat/>
    <w:rPr>
      <w:rFonts w:ascii="EC Square Sans Pro" w:hAnsi="EC Square Sans Pro"/>
      <w:b w:val="0"/>
      <w:i w:val="0"/>
      <w:noProof/>
      <w:bdr w:val="none" w:sz="0" w:space="0" w:color="auto"/>
      <w:shd w:val="clear" w:color="auto" w:fill="auto"/>
      <w:vertAlign w:val="superscript"/>
      <w:lang w:val="en-GB"/>
    </w:rPr>
  </w:style>
  <w:style w:type="paragraph" w:customStyle="1" w:styleId="Subhead1">
    <w:name w:val="Subhead 1"/>
    <w:next w:val="Normal"/>
    <w:semiHidden/>
    <w:pPr>
      <w:keepNext/>
      <w:keepLines/>
      <w:spacing w:before="480" w:after="240" w:line="240" w:lineRule="auto"/>
    </w:pPr>
    <w:rPr>
      <w:rFonts w:ascii="EC Square Sans Pro" w:hAnsi="EC Square Sans Pro" w:cs="Times New Roman"/>
      <w:b/>
      <w:noProof/>
      <w:color w:val="ED7D31" w:themeColor="accent2"/>
      <w:sz w:val="24"/>
      <w:lang w:eastAsia="zh-CN"/>
    </w:rPr>
  </w:style>
  <w:style w:type="paragraph" w:customStyle="1" w:styleId="QuoteReportRef">
    <w:name w:val="Quote Report Ref"/>
    <w:basedOn w:val="Quotes"/>
    <w:semiHidden/>
    <w:pPr>
      <w:jc w:val="right"/>
    </w:pPr>
    <w:rPr>
      <w:i w:val="0"/>
      <w:sz w:val="16"/>
      <w:szCs w:val="16"/>
    </w:rPr>
  </w:style>
  <w:style w:type="paragraph" w:customStyle="1" w:styleId="Subhead2">
    <w:name w:val="Subhead 2"/>
    <w:next w:val="BodyText"/>
    <w:link w:val="Subhead2Char"/>
    <w:semiHidden/>
    <w:qFormat/>
    <w:pPr>
      <w:keepNext/>
      <w:keepLines/>
      <w:spacing w:before="480" w:after="240" w:line="240" w:lineRule="auto"/>
    </w:pPr>
    <w:rPr>
      <w:rFonts w:ascii="EC Square Sans Pro" w:hAnsi="EC Square Sans Pro" w:cs="Times New Roman"/>
      <w:b/>
      <w:noProof/>
      <w:color w:val="4472C4" w:themeColor="accent5"/>
      <w:sz w:val="24"/>
      <w:lang w:eastAsia="zh-CN"/>
    </w:rPr>
  </w:style>
  <w:style w:type="character" w:customStyle="1" w:styleId="Subhead2Char">
    <w:name w:val="Subhead 2 Char"/>
    <w:basedOn w:val="DefaultParagraphFont"/>
    <w:link w:val="Subhead2"/>
    <w:semiHidden/>
    <w:rPr>
      <w:rFonts w:ascii="EC Square Sans Pro" w:hAnsi="EC Square Sans Pro" w:cs="Times New Roman"/>
      <w:b/>
      <w:noProof/>
      <w:color w:val="4472C4" w:themeColor="accent5"/>
      <w:sz w:val="24"/>
      <w:lang w:eastAsia="zh-CN"/>
    </w:rPr>
  </w:style>
  <w:style w:type="table" w:customStyle="1" w:styleId="Simpletable1">
    <w:name w:val="Simple table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2">
    <w:name w:val="Simple table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3">
    <w:name w:val="Simple table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4">
    <w:name w:val="Simple table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3BluedashedborderBlacktext">
    <w:name w:val="BOX 3 / Blue dashed border / Black text"/>
    <w:semiHidden/>
    <w:pPr>
      <w:pBdr>
        <w:top w:val="dashSmallGap" w:sz="12" w:space="8" w:color="FFC000" w:themeColor="accent4"/>
        <w:left w:val="dashSmallGap" w:sz="12" w:space="8" w:color="FFC000" w:themeColor="accent4"/>
        <w:bottom w:val="dashSmallGap" w:sz="12" w:space="8" w:color="FFC000" w:themeColor="accent4"/>
        <w:right w:val="dashSmallGap" w:sz="12" w:space="8" w:color="FFC000" w:themeColor="accent4"/>
      </w:pBdr>
      <w:spacing w:after="120" w:line="240" w:lineRule="auto"/>
      <w:jc w:val="both"/>
    </w:pPr>
    <w:rPr>
      <w:rFonts w:ascii="EC Square Sans Pro" w:hAnsi="EC Square Sans Pro" w:cs="Times New Roman"/>
      <w:noProof/>
      <w:sz w:val="20"/>
      <w:lang w:eastAsia="fr-BE"/>
    </w:rPr>
  </w:style>
  <w:style w:type="table" w:customStyle="1" w:styleId="DocumentTable2">
    <w:name w:val="Document Table2"/>
    <w:basedOn w:val="TableNormal"/>
    <w:next w:val="TableGrid"/>
    <w:uiPriority w:val="59"/>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Simpletable5">
    <w:name w:val="Simple table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6">
    <w:name w:val="Simple table6"/>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7">
    <w:name w:val="Simple table7"/>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8">
    <w:name w:val="Simple table8"/>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Table-Chart-PhotoCaption">
    <w:name w:val="Source-Table-Chart-PhotoCaption"/>
    <w:pPr>
      <w:spacing w:before="40" w:after="0" w:line="240" w:lineRule="auto"/>
    </w:pPr>
    <w:rPr>
      <w:rFonts w:ascii="EC Square Sans Pro" w:eastAsia="Calibri" w:hAnsi="EC Square Sans Pro" w:cs="Times New Roman"/>
      <w:iCs/>
      <w:noProof/>
      <w:sz w:val="16"/>
      <w:szCs w:val="16"/>
      <w:lang w:eastAsia="fr-BE"/>
    </w:rPr>
  </w:style>
  <w:style w:type="paragraph" w:customStyle="1" w:styleId="BulletsblueNew-consecutive">
    <w:name w:val="Bullets blue New - consecutive"/>
    <w:basedOn w:val="Normal"/>
    <w:semiHidden/>
    <w:pPr>
      <w:spacing w:before="60" w:after="60" w:line="240" w:lineRule="auto"/>
      <w:ind w:left="709"/>
      <w:jc w:val="both"/>
    </w:pPr>
    <w:rPr>
      <w:rFonts w:ascii="EC Square Sans Pro" w:eastAsia="Calibri" w:hAnsi="EC Square Sans Pro" w:cs="Times New Roman"/>
      <w:noProof/>
      <w:sz w:val="20"/>
      <w:lang w:eastAsia="fr-BE"/>
    </w:rPr>
  </w:style>
  <w:style w:type="table" w:customStyle="1" w:styleId="TableGrid41">
    <w:name w:val="Table Grid4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Annexes">
    <w:name w:val="Title 1 / Annexes"/>
    <w:basedOn w:val="Normal"/>
    <w:link w:val="Title1AnnexesChar"/>
    <w:semiHidden/>
    <w:qFormat/>
    <w:pPr>
      <w:keepNext/>
      <w:keepLines/>
      <w:pageBreakBefore/>
      <w:spacing w:before="120" w:after="120" w:line="240" w:lineRule="auto"/>
      <w:outlineLvl w:val="0"/>
    </w:pPr>
    <w:rPr>
      <w:rFonts w:ascii="EC Square Sans Pro" w:hAnsi="EC Square Sans Pro" w:cs="Times New Roman"/>
      <w:noProof/>
      <w:color w:val="4472C4" w:themeColor="accent5"/>
      <w:sz w:val="52"/>
      <w:lang w:eastAsia="zh-CN"/>
    </w:rPr>
  </w:style>
  <w:style w:type="character" w:customStyle="1" w:styleId="Title1AnnexesChar">
    <w:name w:val="Title 1 / Annexes Char"/>
    <w:basedOn w:val="DefaultParagraphFont"/>
    <w:link w:val="Title1Annexes"/>
    <w:semiHidden/>
    <w:rPr>
      <w:rFonts w:ascii="EC Square Sans Pro" w:hAnsi="EC Square Sans Pro" w:cs="Times New Roman"/>
      <w:noProof/>
      <w:color w:val="4472C4" w:themeColor="accent5"/>
      <w:sz w:val="52"/>
      <w:lang w:eastAsia="zh-CN"/>
    </w:rPr>
  </w:style>
  <w:style w:type="paragraph" w:customStyle="1" w:styleId="Annex4-subheading1">
    <w:name w:val="Annex 4 - subheading 1"/>
    <w:basedOn w:val="BodyText"/>
    <w:semiHidden/>
    <w:pPr>
      <w:keepNext/>
      <w:spacing w:before="360" w:after="240"/>
      <w:jc w:val="left"/>
    </w:pPr>
    <w:rPr>
      <w:rFonts w:eastAsia="Calibri"/>
      <w:b/>
      <w:color w:val="4472C4" w:themeColor="accent5"/>
      <w:sz w:val="24"/>
      <w:lang w:eastAsia="fr-BE"/>
    </w:rPr>
  </w:style>
  <w:style w:type="paragraph" w:customStyle="1" w:styleId="BodyText1spaceafter">
    <w:name w:val="Body Text 1 (space after)"/>
    <w:basedOn w:val="Normal"/>
    <w:next w:val="Normal"/>
    <w:semiHidden/>
    <w:pPr>
      <w:spacing w:before="120" w:after="120" w:line="240" w:lineRule="auto"/>
      <w:jc w:val="both"/>
    </w:pPr>
    <w:rPr>
      <w:rFonts w:ascii="EC Square Sans Pro" w:eastAsia="Calibri" w:hAnsi="EC Square Sans Pro" w:cs="Times New Roman"/>
      <w:noProof/>
      <w:color w:val="000000" w:themeColor="text1"/>
      <w:sz w:val="20"/>
      <w:lang w:eastAsia="fr-BE"/>
    </w:rPr>
  </w:style>
  <w:style w:type="character" w:customStyle="1" w:styleId="BOLDORANGEAnnexes">
    <w:name w:val="BOLD ORANGE / Annexes"/>
    <w:uiPriority w:val="1"/>
    <w:semiHidden/>
    <w:rPr>
      <w:b/>
      <w:noProof/>
      <w:color w:val="E48C32"/>
    </w:rPr>
  </w:style>
  <w:style w:type="paragraph" w:customStyle="1" w:styleId="BasicParagraph">
    <w:name w:val="[Basic Paragraph]"/>
    <w:basedOn w:val="Normal"/>
    <w:uiPriority w:val="99"/>
    <w:semiHidden/>
    <w:pPr>
      <w:autoSpaceDE w:val="0"/>
      <w:autoSpaceDN w:val="0"/>
      <w:adjustRightInd w:val="0"/>
      <w:spacing w:after="0" w:line="288" w:lineRule="auto"/>
      <w:textAlignment w:val="center"/>
    </w:pPr>
    <w:rPr>
      <w:rFonts w:ascii="EC Square Sans Pro" w:hAnsi="EC Square Sans Pro" w:cs="EC Square Sans Pro"/>
      <w:noProof/>
      <w:color w:val="000000"/>
      <w:sz w:val="24"/>
      <w:szCs w:val="24"/>
    </w:rPr>
  </w:style>
  <w:style w:type="paragraph" w:styleId="FootnoteText">
    <w:name w:val="footnote text"/>
    <w:basedOn w:val="footnote"/>
    <w:link w:val="FootnoteTextChar"/>
    <w:uiPriority w:val="99"/>
    <w:qFormat/>
  </w:style>
  <w:style w:type="character" w:customStyle="1" w:styleId="FootnoteTextChar">
    <w:name w:val="Footnote Text Char"/>
    <w:basedOn w:val="DefaultParagraphFont"/>
    <w:link w:val="FootnoteText"/>
    <w:uiPriority w:val="99"/>
    <w:qFormat/>
    <w:rPr>
      <w:rFonts w:ascii="EC Square Sans Pro" w:hAnsi="EC Square Sans Pro"/>
      <w:noProof/>
      <w:sz w:val="16"/>
      <w:szCs w:val="20"/>
    </w:rPr>
  </w:style>
  <w:style w:type="character" w:styleId="CommentReference">
    <w:name w:val="annotation reference"/>
    <w:basedOn w:val="DefaultParagraphFont"/>
    <w:semiHidden/>
    <w:unhideWhenUsed/>
    <w:qFormat/>
    <w:rPr>
      <w:noProof/>
      <w:sz w:val="16"/>
      <w:szCs w:val="16"/>
    </w:rPr>
  </w:style>
  <w:style w:type="paragraph" w:customStyle="1" w:styleId="Pa5">
    <w:name w:val="Pa5"/>
    <w:basedOn w:val="Normal"/>
    <w:next w:val="Normal"/>
    <w:uiPriority w:val="99"/>
    <w:semiHidden/>
    <w:pPr>
      <w:autoSpaceDE w:val="0"/>
      <w:autoSpaceDN w:val="0"/>
      <w:adjustRightInd w:val="0"/>
      <w:spacing w:after="0" w:line="161" w:lineRule="atLeast"/>
    </w:pPr>
    <w:rPr>
      <w:rFonts w:ascii="EC Square Sans Cond Pro" w:eastAsia="Times New Roman" w:hAnsi="EC Square Sans Cond Pro" w:cs="Times New Roman"/>
      <w:noProof/>
      <w:sz w:val="24"/>
      <w:szCs w:val="24"/>
    </w:rPr>
  </w:style>
  <w:style w:type="paragraph" w:customStyle="1" w:styleId="titleheader">
    <w:name w:val="title header"/>
    <w:basedOn w:val="Header"/>
    <w:link w:val="titleheaderChar"/>
    <w:semiHidden/>
    <w:qFormat/>
    <w:pPr>
      <w:tabs>
        <w:tab w:val="clear" w:pos="4513"/>
        <w:tab w:val="clear" w:pos="9026"/>
        <w:tab w:val="center" w:pos="4536"/>
        <w:tab w:val="right" w:pos="9072"/>
      </w:tabs>
    </w:pPr>
    <w:rPr>
      <w:rFonts w:ascii="EC Square Sans Pro" w:eastAsia="Times New Roman" w:hAnsi="EC Square Sans Pro" w:cs="Times New Roman"/>
      <w:noProof/>
      <w:color w:val="3FB296"/>
      <w:sz w:val="20"/>
      <w:lang w:eastAsia="fr-BE"/>
    </w:rPr>
  </w:style>
  <w:style w:type="character" w:customStyle="1" w:styleId="titleheaderChar">
    <w:name w:val="title header Char"/>
    <w:basedOn w:val="HeaderChar"/>
    <w:link w:val="titleheader"/>
    <w:semiHidden/>
    <w:rPr>
      <w:rFonts w:ascii="EC Square Sans Pro" w:eastAsia="Times New Roman" w:hAnsi="EC Square Sans Pro" w:cs="Times New Roman"/>
      <w:noProof/>
      <w:color w:val="3FB296"/>
      <w:sz w:val="20"/>
      <w:lang w:eastAsia="fr-BE"/>
    </w:rPr>
  </w:style>
  <w:style w:type="character" w:customStyle="1" w:styleId="Bodytext20">
    <w:name w:val="Body text|2_"/>
    <w:basedOn w:val="DefaultParagraphFont"/>
    <w:link w:val="Bodytext21"/>
    <w:semiHidden/>
    <w:rPr>
      <w:rFonts w:ascii="EC Square Sans Pro" w:eastAsia="EC Square Sans Cond Pro Medium" w:hAnsi="EC Square Sans Pro" w:cs="EC Square Sans Cond Pro Medium"/>
      <w:bCs/>
      <w:noProof/>
      <w:color w:val="000000" w:themeColor="text1"/>
      <w:sz w:val="18"/>
      <w:szCs w:val="15"/>
    </w:rPr>
  </w:style>
  <w:style w:type="paragraph" w:customStyle="1" w:styleId="Bodytext21">
    <w:name w:val="Body text|2"/>
    <w:basedOn w:val="Normal"/>
    <w:link w:val="Bodytext20"/>
    <w:autoRedefine/>
    <w:semiHidden/>
    <w:qFormat/>
    <w:pPr>
      <w:widowControl w:val="0"/>
      <w:spacing w:after="100" w:afterAutospacing="1" w:line="160" w:lineRule="exact"/>
      <w:ind w:left="142"/>
      <w:jc w:val="both"/>
    </w:pPr>
    <w:rPr>
      <w:rFonts w:ascii="EC Square Sans Pro" w:eastAsia="EC Square Sans Cond Pro Medium" w:hAnsi="EC Square Sans Pro" w:cs="EC Square Sans Cond Pro Medium"/>
      <w:bCs/>
      <w:noProof/>
      <w:color w:val="000000" w:themeColor="text1"/>
      <w:sz w:val="18"/>
      <w:szCs w:val="15"/>
    </w:rPr>
  </w:style>
  <w:style w:type="character" w:customStyle="1" w:styleId="Tablecaption1Exact">
    <w:name w:val="Table caption|1 Exact"/>
    <w:basedOn w:val="DefaultParagraphFont"/>
    <w:link w:val="Tablecaption1"/>
    <w:semiHidden/>
    <w:rPr>
      <w:rFonts w:ascii="EC Square Sans Cond Pro Medium" w:eastAsia="EC Square Sans Cond Pro Medium" w:hAnsi="EC Square Sans Cond Pro Medium" w:cs="EC Square Sans Cond Pro Medium"/>
      <w:b/>
      <w:bCs/>
      <w:noProof/>
      <w:sz w:val="16"/>
      <w:szCs w:val="16"/>
      <w:shd w:val="clear" w:color="auto" w:fill="FFFFFF"/>
    </w:rPr>
  </w:style>
  <w:style w:type="paragraph" w:customStyle="1" w:styleId="Tablecaption1">
    <w:name w:val="Table caption|1"/>
    <w:basedOn w:val="Normal"/>
    <w:link w:val="Tablecaption1Exact"/>
    <w:semiHidden/>
    <w:qFormat/>
    <w:pPr>
      <w:widowControl w:val="0"/>
      <w:shd w:val="clear" w:color="auto" w:fill="FFFFFF"/>
      <w:spacing w:after="0" w:line="192" w:lineRule="exact"/>
    </w:pPr>
    <w:rPr>
      <w:rFonts w:ascii="EC Square Sans Cond Pro Medium" w:eastAsia="EC Square Sans Cond Pro Medium" w:hAnsi="EC Square Sans Cond Pro Medium" w:cs="EC Square Sans Cond Pro Medium"/>
      <w:b/>
      <w:bCs/>
      <w:noProof/>
      <w:sz w:val="16"/>
      <w:szCs w:val="16"/>
    </w:rPr>
  </w:style>
  <w:style w:type="character" w:customStyle="1" w:styleId="Bodytext2Exact">
    <w:name w:val="Body text|2 Exact"/>
    <w:basedOn w:val="Bodytext20"/>
    <w:semiHidden/>
    <w:unhideWhenUsed/>
    <w:rPr>
      <w:rFonts w:ascii="EC Square Sans Pro" w:eastAsia="EC Square Sans Cond Pro Medium" w:hAnsi="EC Square Sans Pro" w:cs="EC Square Sans Cond Pro Medium"/>
      <w:b w:val="0"/>
      <w:bCs/>
      <w:i w:val="0"/>
      <w:noProof/>
      <w:color w:val="0B7CC1"/>
      <w:sz w:val="13"/>
      <w:szCs w:val="15"/>
    </w:rPr>
  </w:style>
  <w:style w:type="paragraph" w:customStyle="1" w:styleId="BulletsblueNew">
    <w:name w:val="Bullets blue New"/>
    <w:basedOn w:val="Normal"/>
    <w:semiHidden/>
    <w:pPr>
      <w:numPr>
        <w:numId w:val="6"/>
      </w:numPr>
      <w:spacing w:after="60" w:line="240" w:lineRule="auto"/>
      <w:jc w:val="both"/>
    </w:pPr>
    <w:rPr>
      <w:rFonts w:ascii="EC Square Sans Pro" w:eastAsia="Calibri" w:hAnsi="EC Square Sans Pro" w:cs="Times New Roman"/>
      <w:noProof/>
      <w:sz w:val="20"/>
      <w:lang w:eastAsia="fr-BE"/>
    </w:rPr>
  </w:style>
  <w:style w:type="paragraph" w:customStyle="1" w:styleId="MOCKUPText">
    <w:name w:val="MOCKUP Text"/>
    <w:basedOn w:val="Bodytext21"/>
    <w:link w:val="MOCKUPTextChar"/>
    <w:semiHidden/>
    <w:qFormat/>
    <w:pPr>
      <w:spacing w:after="249" w:line="216" w:lineRule="exact"/>
    </w:pPr>
    <w:rPr>
      <w:b/>
    </w:rPr>
  </w:style>
  <w:style w:type="character" w:customStyle="1" w:styleId="MOCKUPTextChar">
    <w:name w:val="MOCKUP Text Char"/>
    <w:basedOn w:val="Bodytext20"/>
    <w:link w:val="MOCKUPText"/>
    <w:semiHidden/>
    <w:rPr>
      <w:rFonts w:ascii="EC Square Sans Pro" w:eastAsia="EC Square Sans Cond Pro Medium" w:hAnsi="EC Square Sans Pro" w:cs="EC Square Sans Cond Pro Medium"/>
      <w:b/>
      <w:bCs/>
      <w:noProof/>
      <w:color w:val="000000" w:themeColor="text1"/>
      <w:sz w:val="18"/>
      <w:szCs w:val="15"/>
    </w:rPr>
  </w:style>
  <w:style w:type="paragraph" w:customStyle="1" w:styleId="Title3">
    <w:name w:val="Title 3"/>
    <w:basedOn w:val="Normal"/>
    <w:link w:val="Title3Char"/>
    <w:semiHidden/>
    <w:qFormat/>
    <w:pPr>
      <w:autoSpaceDE w:val="0"/>
      <w:autoSpaceDN w:val="0"/>
      <w:adjustRightInd w:val="0"/>
      <w:spacing w:after="120" w:line="181" w:lineRule="atLeast"/>
      <w:jc w:val="both"/>
    </w:pPr>
    <w:rPr>
      <w:rFonts w:ascii="EC Square Sans Pro" w:eastAsia="Times New Roman" w:hAnsi="EC Square Sans Pro" w:cs="EC Square Sans Cond Pro"/>
      <w:b/>
      <w:bCs/>
      <w:noProof/>
      <w:color w:val="28296E"/>
      <w:sz w:val="21"/>
      <w:szCs w:val="21"/>
    </w:rPr>
  </w:style>
  <w:style w:type="paragraph" w:customStyle="1" w:styleId="Title1">
    <w:name w:val="Title 1"/>
    <w:basedOn w:val="Normal"/>
    <w:link w:val="Title1Char"/>
    <w:semiHidden/>
    <w:qFormat/>
    <w:pPr>
      <w:spacing w:after="0"/>
    </w:pPr>
    <w:rPr>
      <w:rFonts w:ascii="EC Square Sans Pro" w:eastAsia="Times New Roman" w:hAnsi="EC Square Sans Pro" w:cs="Times New Roman"/>
      <w:b/>
      <w:noProof/>
      <w:color w:val="28296E"/>
      <w:sz w:val="48"/>
    </w:rPr>
  </w:style>
  <w:style w:type="character" w:customStyle="1" w:styleId="Title3Char">
    <w:name w:val="Title 3 Char"/>
    <w:basedOn w:val="DefaultParagraphFont"/>
    <w:link w:val="Title3"/>
    <w:semiHidden/>
    <w:rPr>
      <w:rFonts w:ascii="EC Square Sans Pro" w:eastAsia="Times New Roman" w:hAnsi="EC Square Sans Pro" w:cs="EC Square Sans Cond Pro"/>
      <w:b/>
      <w:bCs/>
      <w:noProof/>
      <w:color w:val="28296E"/>
      <w:sz w:val="21"/>
      <w:szCs w:val="21"/>
    </w:rPr>
  </w:style>
  <w:style w:type="paragraph" w:customStyle="1" w:styleId="Title2">
    <w:name w:val="Title 2"/>
    <w:basedOn w:val="Normal"/>
    <w:link w:val="Title2Char"/>
    <w:semiHidden/>
    <w:qFormat/>
    <w:pPr>
      <w:spacing w:after="0" w:line="240" w:lineRule="auto"/>
    </w:pPr>
    <w:rPr>
      <w:rFonts w:ascii="EC Square Sans Pro" w:eastAsia="Times New Roman" w:hAnsi="EC Square Sans Pro" w:cs="Times New Roman"/>
      <w:noProof/>
      <w:color w:val="0070C0"/>
    </w:rPr>
  </w:style>
  <w:style w:type="character" w:customStyle="1" w:styleId="Title1Char">
    <w:name w:val="Title 1 Char"/>
    <w:basedOn w:val="DefaultParagraphFont"/>
    <w:link w:val="Title1"/>
    <w:semiHidden/>
    <w:rPr>
      <w:rFonts w:ascii="EC Square Sans Pro" w:eastAsia="Times New Roman" w:hAnsi="EC Square Sans Pro" w:cs="Times New Roman"/>
      <w:b/>
      <w:noProof/>
      <w:color w:val="28296E"/>
      <w:sz w:val="48"/>
    </w:rPr>
  </w:style>
  <w:style w:type="paragraph" w:customStyle="1" w:styleId="WidgetTitle">
    <w:name w:val="Widget Title"/>
    <w:basedOn w:val="Normal"/>
    <w:link w:val="WidgetTitleChar"/>
    <w:semiHidden/>
    <w:qFormat/>
    <w:pPr>
      <w:autoSpaceDE w:val="0"/>
      <w:autoSpaceDN w:val="0"/>
      <w:adjustRightInd w:val="0"/>
      <w:spacing w:after="60" w:line="241" w:lineRule="atLeast"/>
      <w:jc w:val="right"/>
    </w:pPr>
    <w:rPr>
      <w:rFonts w:ascii="EC Square Sans Cond Pro" w:eastAsia="Times New Roman" w:hAnsi="EC Square Sans Cond Pro" w:cs="EC Square Sans Cond Pro"/>
      <w:b/>
      <w:bCs/>
      <w:noProof/>
      <w:color w:val="00ADDC"/>
      <w:sz w:val="21"/>
      <w:szCs w:val="21"/>
    </w:rPr>
  </w:style>
  <w:style w:type="character" w:customStyle="1" w:styleId="Title2Char">
    <w:name w:val="Title 2 Char"/>
    <w:basedOn w:val="DefaultParagraphFont"/>
    <w:link w:val="Title2"/>
    <w:semiHidden/>
    <w:rPr>
      <w:rFonts w:ascii="EC Square Sans Pro" w:eastAsia="Times New Roman" w:hAnsi="EC Square Sans Pro" w:cs="Times New Roman"/>
      <w:noProof/>
      <w:color w:val="0070C0"/>
    </w:rPr>
  </w:style>
  <w:style w:type="character" w:customStyle="1" w:styleId="WidgetTitleChar">
    <w:name w:val="Widget Title Char"/>
    <w:basedOn w:val="DefaultParagraphFont"/>
    <w:link w:val="WidgetTitle"/>
    <w:semiHidden/>
    <w:rPr>
      <w:rFonts w:ascii="EC Square Sans Cond Pro" w:eastAsia="Times New Roman" w:hAnsi="EC Square Sans Cond Pro" w:cs="EC Square Sans Cond Pro"/>
      <w:b/>
      <w:bCs/>
      <w:noProof/>
      <w:color w:val="00ADDC"/>
      <w:sz w:val="21"/>
      <w:szCs w:val="21"/>
    </w:rPr>
  </w:style>
  <w:style w:type="paragraph" w:customStyle="1" w:styleId="Bullet">
    <w:name w:val="Bullet"/>
    <w:basedOn w:val="MOCKUPText"/>
    <w:semiHidden/>
    <w:qFormat/>
    <w:pPr>
      <w:numPr>
        <w:numId w:val="5"/>
      </w:numPr>
      <w:spacing w:after="100"/>
      <w:ind w:left="284" w:hanging="284"/>
      <w:jc w:val="left"/>
    </w:pPr>
    <w:rPr>
      <w:rFonts w:ascii="EC Square Sans Cond Pro" w:hAnsi="EC Square Sans Cond Pro"/>
      <w:b w:val="0"/>
      <w:szCs w:val="17"/>
    </w:rPr>
  </w:style>
  <w:style w:type="paragraph" w:customStyle="1" w:styleId="bodyText0">
    <w:name w:val="bodyText"/>
    <w:basedOn w:val="Normal"/>
    <w:semiHidden/>
    <w:qFormat/>
    <w:pPr>
      <w:jc w:val="both"/>
    </w:pPr>
    <w:rPr>
      <w:rFonts w:ascii="EC Square Sans Cond Pro" w:eastAsia="Times New Roman" w:hAnsi="EC Square Sans Cond Pro" w:cs="EC Square Sans Cond Pro"/>
      <w:noProof/>
      <w:color w:val="000000"/>
      <w:sz w:val="18"/>
      <w:szCs w:val="18"/>
    </w:rPr>
  </w:style>
  <w:style w:type="paragraph" w:customStyle="1" w:styleId="BulletspecificObj">
    <w:name w:val="Bullet specificObj"/>
    <w:basedOn w:val="BulletsblueNew"/>
    <w:semiHidden/>
    <w:qFormat/>
    <w:pPr>
      <w:framePr w:hSpace="181" w:wrap="around" w:vAnchor="text" w:hAnchor="text" w:x="108" w:y="1"/>
      <w:ind w:left="142" w:hanging="142"/>
    </w:pPr>
    <w:rPr>
      <w:sz w:val="18"/>
    </w:rPr>
  </w:style>
  <w:style w:type="numbering" w:customStyle="1" w:styleId="PPOLISTBlackBULLETS">
    <w:name w:val="(PPO LIST) Black BULLETS"/>
    <w:uiPriority w:val="99"/>
    <w:pPr>
      <w:numPr>
        <w:numId w:val="7"/>
      </w:numPr>
    </w:pPr>
  </w:style>
  <w:style w:type="paragraph" w:customStyle="1" w:styleId="PPOBlackBULLETS-L1">
    <w:name w:val="(PPO) Black BULLETS - L1"/>
    <w:basedOn w:val="BASE-STYLE-TEXT"/>
    <w:qFormat/>
    <w:pPr>
      <w:widowControl w:val="0"/>
      <w:numPr>
        <w:numId w:val="8"/>
      </w:numPr>
      <w:spacing w:after="60" w:line="200" w:lineRule="exact"/>
    </w:pPr>
    <w:rPr>
      <w:rFonts w:ascii="EC Square Sans Cond Pro" w:eastAsia="EC Square Sans Cond Pro Medium" w:hAnsi="EC Square Sans Cond Pro" w:cs="EC Square Sans Cond Pro Medium"/>
      <w:bCs/>
      <w:szCs w:val="17"/>
      <w:lang w:eastAsia="en-US"/>
    </w:rPr>
  </w:style>
  <w:style w:type="paragraph" w:customStyle="1" w:styleId="PPOBlackBULLETS-L2">
    <w:name w:val="(PPO) Black BULLETS - L2"/>
    <w:basedOn w:val="BASE-STYLE-TEXT"/>
    <w:qFormat/>
    <w:pPr>
      <w:widowControl w:val="0"/>
      <w:numPr>
        <w:ilvl w:val="1"/>
        <w:numId w:val="8"/>
      </w:numPr>
      <w:spacing w:after="60" w:line="200" w:lineRule="exact"/>
    </w:pPr>
    <w:rPr>
      <w:rFonts w:ascii="EC Square Sans Cond Pro" w:eastAsia="EC Square Sans Cond Pro Medium" w:hAnsi="EC Square Sans Cond Pro" w:cs="EC Square Sans Cond Pro Medium"/>
      <w:bCs/>
      <w:szCs w:val="17"/>
      <w:lang w:eastAsia="en-US"/>
    </w:rPr>
  </w:style>
  <w:style w:type="paragraph" w:customStyle="1" w:styleId="PPObodyText">
    <w:name w:val="(PPO) bodyText"/>
    <w:basedOn w:val="BASE-STYLE-TEXT"/>
    <w:qFormat/>
    <w:pPr>
      <w:spacing w:after="160"/>
    </w:pPr>
    <w:rPr>
      <w:rFonts w:ascii="EC Square Sans Cond Pro" w:eastAsiaTheme="minorEastAsia" w:hAnsi="EC Square Sans Cond Pro" w:cs="EC Square Sans Cond Pro"/>
      <w:color w:val="000000"/>
      <w:szCs w:val="18"/>
      <w:lang w:eastAsia="en-US"/>
    </w:rPr>
  </w:style>
  <w:style w:type="character" w:customStyle="1" w:styleId="PPOChar-Hyperlink">
    <w:name w:val="(PPO) Char - Hyperlink"/>
    <w:uiPriority w:val="1"/>
    <w:qFormat/>
    <w:rPr>
      <w:noProof/>
      <w:color w:val="0000FF"/>
    </w:rPr>
  </w:style>
  <w:style w:type="paragraph" w:customStyle="1" w:styleId="PPOExamplesTABLEHeader">
    <w:name w:val="(PPO) Examples TABLE Header"/>
    <w:basedOn w:val="BASE-STYLE-TEXT"/>
    <w:qFormat/>
    <w:pPr>
      <w:spacing w:before="60" w:after="0" w:line="200" w:lineRule="exact"/>
      <w:jc w:val="center"/>
    </w:pPr>
    <w:rPr>
      <w:rFonts w:asciiTheme="minorHAnsi" w:hAnsiTheme="minorHAnsi" w:cstheme="minorBidi"/>
      <w:b/>
      <w:bCs/>
      <w:noProof/>
      <w:color w:val="FFFFFF" w:themeColor="background1"/>
      <w:sz w:val="22"/>
      <w:szCs w:val="17"/>
      <w:lang w:eastAsia="en-GB"/>
    </w:rPr>
  </w:style>
  <w:style w:type="paragraph" w:customStyle="1" w:styleId="PPOExamplesTABLEText">
    <w:name w:val="(PPO) Examples TABLE Text"/>
    <w:basedOn w:val="BASE-STYLE-TEXT"/>
    <w:qFormat/>
    <w:pPr>
      <w:spacing w:after="0" w:line="160" w:lineRule="exact"/>
      <w:jc w:val="left"/>
    </w:pPr>
    <w:rPr>
      <w:rFonts w:asciiTheme="minorHAnsi" w:eastAsiaTheme="minorEastAsia" w:hAnsiTheme="minorHAnsi" w:cstheme="minorBidi"/>
      <w:color w:val="auto"/>
      <w:sz w:val="17"/>
      <w:szCs w:val="17"/>
      <w:lang w:eastAsia="en-GB"/>
    </w:rPr>
  </w:style>
  <w:style w:type="paragraph" w:customStyle="1" w:styleId="PPORunningheader-rightside">
    <w:name w:val="(PPO) Running header - right side"/>
    <w:basedOn w:val="BASE-STYLE-TEXT"/>
    <w:qFormat/>
    <w:pPr>
      <w:tabs>
        <w:tab w:val="center" w:pos="4536"/>
        <w:tab w:val="right" w:pos="9072"/>
      </w:tabs>
      <w:spacing w:after="0" w:line="240" w:lineRule="auto"/>
      <w:ind w:right="141"/>
      <w:jc w:val="right"/>
    </w:pPr>
    <w:rPr>
      <w:rFonts w:cstheme="minorHAnsi"/>
      <w:bCs/>
      <w:noProof/>
      <w:color w:val="28296E"/>
      <w:sz w:val="20"/>
      <w:szCs w:val="22"/>
      <w:lang w:eastAsia="fr-BE"/>
    </w:rPr>
  </w:style>
  <w:style w:type="paragraph" w:customStyle="1" w:styleId="PPORunningheader-leftside">
    <w:name w:val="(PPO) Running header - left side"/>
    <w:basedOn w:val="PPORunningheader-rightside"/>
    <w:qFormat/>
    <w:pPr>
      <w:ind w:right="0" w:firstLine="284"/>
      <w:jc w:val="left"/>
    </w:pPr>
  </w:style>
  <w:style w:type="paragraph" w:customStyle="1" w:styleId="PPOsidebarchartLegends">
    <w:name w:val="(PPO) sidebar chart Legends"/>
    <w:basedOn w:val="BASE-STYLE-TEXT"/>
    <w:qFormat/>
    <w:pPr>
      <w:spacing w:after="100"/>
      <w:ind w:left="397" w:firstLine="720"/>
      <w:jc w:val="left"/>
    </w:pPr>
    <w:rPr>
      <w:rFonts w:asciiTheme="minorHAnsi" w:hAnsiTheme="minorHAnsi" w:cstheme="minorBidi"/>
      <w:bCs/>
      <w:noProof/>
      <w:color w:val="auto"/>
      <w:sz w:val="16"/>
      <w:szCs w:val="14"/>
    </w:rPr>
  </w:style>
  <w:style w:type="paragraph" w:customStyle="1" w:styleId="PPOsidebartext">
    <w:name w:val="(PPO) sidebar text"/>
    <w:basedOn w:val="BASE-STYLE-TEXT"/>
    <w:qFormat/>
    <w:pPr>
      <w:spacing w:after="0"/>
      <w:jc w:val="right"/>
    </w:pPr>
    <w:rPr>
      <w:rFonts w:ascii="EC Square Sans Cond Pro" w:hAnsi="EC Square Sans Cond Pro"/>
      <w:bCs/>
      <w:noProof/>
      <w:szCs w:val="18"/>
    </w:rPr>
  </w:style>
  <w:style w:type="paragraph" w:customStyle="1" w:styleId="PPOsidebarTabletext">
    <w:name w:val="(PPO) sidebar Table text"/>
    <w:basedOn w:val="BASE-STYLE-TEXT"/>
    <w:qFormat/>
    <w:pPr>
      <w:widowControl w:val="0"/>
      <w:spacing w:after="100" w:afterAutospacing="1" w:line="160" w:lineRule="exact"/>
      <w:jc w:val="center"/>
    </w:pPr>
    <w:rPr>
      <w:rFonts w:eastAsia="EC Square Sans Cond Pro Medium" w:cs="EC Square Sans Cond Pro Medium"/>
      <w:noProof/>
      <w:szCs w:val="15"/>
    </w:rPr>
  </w:style>
  <w:style w:type="paragraph" w:customStyle="1" w:styleId="PPOTitle3">
    <w:name w:val="(PPO) Title 3"/>
    <w:basedOn w:val="BASE-STYLE-TEXT"/>
    <w:qFormat/>
    <w:pPr>
      <w:autoSpaceDE w:val="0"/>
      <w:autoSpaceDN w:val="0"/>
      <w:adjustRightInd w:val="0"/>
      <w:spacing w:before="160" w:after="120" w:line="181" w:lineRule="atLeast"/>
    </w:pPr>
    <w:rPr>
      <w:b/>
      <w:noProof/>
      <w:color w:val="28296E"/>
      <w:sz w:val="21"/>
    </w:rPr>
  </w:style>
  <w:style w:type="paragraph" w:customStyle="1" w:styleId="PPOTitle3-nospacebefore">
    <w:name w:val="(PPO) Title 3 - no space before"/>
    <w:basedOn w:val="PPOTitle3"/>
    <w:qFormat/>
    <w:pPr>
      <w:spacing w:before="0"/>
    </w:pPr>
  </w:style>
  <w:style w:type="paragraph" w:customStyle="1" w:styleId="PPOTitle3-pagebreakbefore">
    <w:name w:val="(PPO) Title 3 - page break before"/>
    <w:basedOn w:val="PPOTitle3"/>
    <w:qFormat/>
    <w:pPr>
      <w:pageBreakBefore/>
      <w:spacing w:before="0"/>
    </w:pPr>
  </w:style>
  <w:style w:type="paragraph" w:customStyle="1" w:styleId="PPOTitle4-BlackBold9pt">
    <w:name w:val="(PPO) Title 4 - Black Bold 9pt"/>
    <w:basedOn w:val="BASE-STYLE-TEXT"/>
    <w:qFormat/>
    <w:pPr>
      <w:spacing w:before="160" w:after="60"/>
    </w:pPr>
    <w:rPr>
      <w:rFonts w:ascii="EC Square Sans Cond Pro" w:hAnsi="EC Square Sans Cond Pro"/>
      <w:b/>
      <w:noProof/>
      <w:szCs w:val="18"/>
    </w:rPr>
  </w:style>
  <w:style w:type="paragraph" w:customStyle="1" w:styleId="PPOVotedbudgetTABLEHeaderLeftcol">
    <w:name w:val="(PPO) Voted budget TABLE Header Left col"/>
    <w:basedOn w:val="BASE-STYLE-TEXT"/>
    <w:qFormat/>
    <w:pPr>
      <w:framePr w:hSpace="181" w:wrap="around" w:vAnchor="page" w:hAnchor="page" w:x="3448" w:y="13530"/>
      <w:spacing w:after="100" w:afterAutospacing="1"/>
      <w:ind w:left="190" w:right="227"/>
      <w:suppressOverlap/>
      <w:jc w:val="right"/>
    </w:pPr>
    <w:rPr>
      <w:rFonts w:cstheme="minorBidi"/>
      <w:bCs/>
      <w:noProof/>
      <w:color w:val="FFFFFF" w:themeColor="background1"/>
      <w:szCs w:val="22"/>
    </w:rPr>
  </w:style>
  <w:style w:type="paragraph" w:customStyle="1" w:styleId="PPOVotedbudgetTABLEHeaderRightcol">
    <w:name w:val="(PPO) Voted budget TABLE Header Right col"/>
    <w:basedOn w:val="PPOVotedbudgetTABLEHeaderLeftcol"/>
    <w:qFormat/>
    <w:pPr>
      <w:framePr w:wrap="around"/>
      <w:ind w:left="227" w:right="0"/>
      <w:jc w:val="left"/>
    </w:pPr>
  </w:style>
  <w:style w:type="paragraph" w:customStyle="1" w:styleId="PPO1AsidebarchartCenterText">
    <w:name w:val="(PPO_1A) sidebar chart Center Text"/>
    <w:basedOn w:val="BASE-STYLE-TEXT"/>
    <w:qFormat/>
    <w:pPr>
      <w:spacing w:after="120" w:line="240" w:lineRule="auto"/>
      <w:jc w:val="center"/>
    </w:pPr>
    <w:rPr>
      <w:rFonts w:cstheme="minorBidi"/>
      <w:bCs/>
      <w:noProof/>
      <w:color w:val="00ADDC"/>
      <w:sz w:val="22"/>
      <w:szCs w:val="22"/>
    </w:rPr>
  </w:style>
  <w:style w:type="paragraph" w:customStyle="1" w:styleId="PPO1AsidebarTablecaption">
    <w:name w:val="(PPO_1A)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00ADDC"/>
      <w:sz w:val="16"/>
      <w:shd w:val="clear" w:color="auto" w:fill="FFFFFF"/>
    </w:rPr>
  </w:style>
  <w:style w:type="paragraph" w:customStyle="1" w:styleId="PPO1AsidebarTitleBlue">
    <w:name w:val="(PPO_1A) sidebar Title Blue"/>
    <w:basedOn w:val="BASE-STYLE-TEXT"/>
    <w:qFormat/>
    <w:pPr>
      <w:autoSpaceDE w:val="0"/>
      <w:autoSpaceDN w:val="0"/>
      <w:adjustRightInd w:val="0"/>
      <w:spacing w:before="340" w:after="40" w:line="240" w:lineRule="auto"/>
      <w:jc w:val="right"/>
    </w:pPr>
    <w:rPr>
      <w:rFonts w:ascii="EC Square Sans Cond Pro" w:hAnsi="EC Square Sans Cond Pro"/>
      <w:b/>
      <w:noProof/>
      <w:color w:val="28296E"/>
      <w:sz w:val="16"/>
    </w:rPr>
  </w:style>
  <w:style w:type="paragraph" w:customStyle="1" w:styleId="PPO1AsidebarTitleLightBlue">
    <w:name w:val="(PPO_1A) sidebar Title Light Blue"/>
    <w:basedOn w:val="BASE-STYLE-TEXT"/>
    <w:qFormat/>
    <w:pPr>
      <w:autoSpaceDE w:val="0"/>
      <w:autoSpaceDN w:val="0"/>
      <w:adjustRightInd w:val="0"/>
      <w:spacing w:before="440" w:after="60" w:line="241" w:lineRule="atLeast"/>
      <w:jc w:val="right"/>
    </w:pPr>
    <w:rPr>
      <w:rFonts w:ascii="EC Square Sans Cond Pro" w:hAnsi="EC Square Sans Cond Pro"/>
      <w:b/>
      <w:noProof/>
      <w:color w:val="00ADDC"/>
      <w:sz w:val="21"/>
    </w:rPr>
  </w:style>
  <w:style w:type="paragraph" w:customStyle="1" w:styleId="PPO1ASpecificobjectivesBOX-BulletLightBlue">
    <w:name w:val="(PPO_1A) Specific objectives BOX - Bullet Light Blue"/>
    <w:basedOn w:val="BASE-STYLE-TEXT"/>
    <w:qFormat/>
    <w:pPr>
      <w:numPr>
        <w:numId w:val="9"/>
      </w:numPr>
      <w:spacing w:after="60" w:line="240" w:lineRule="auto"/>
    </w:pPr>
    <w:rPr>
      <w:rFonts w:eastAsia="Calibri"/>
      <w:bCs/>
      <w:noProof/>
      <w:color w:val="auto"/>
      <w:szCs w:val="22"/>
      <w:lang w:eastAsia="fr-BE"/>
    </w:rPr>
  </w:style>
  <w:style w:type="paragraph" w:customStyle="1" w:styleId="PPO1ASpecificobjectivesBOX-HeadingLightBlue">
    <w:name w:val="(PPO_1A) Specific objectives BOX - Heading Light Blue"/>
    <w:basedOn w:val="BASE-STYLE-TEXT"/>
    <w:qFormat/>
    <w:pPr>
      <w:spacing w:before="140" w:after="120"/>
      <w:ind w:left="-119" w:right="-16" w:firstLine="9"/>
      <w:jc w:val="left"/>
    </w:pPr>
    <w:rPr>
      <w:rFonts w:ascii="EC Square Sans Cond Pro" w:hAnsi="EC Square Sans Cond Pro"/>
      <w:b/>
      <w:noProof/>
      <w:color w:val="00ADDC"/>
      <w:sz w:val="21"/>
    </w:rPr>
  </w:style>
  <w:style w:type="numbering" w:customStyle="1" w:styleId="PPO1ASpecificObjectivesBulletsLIST">
    <w:name w:val="(PPO_1A) Specific Objectives Bullets (LIST)"/>
    <w:uiPriority w:val="99"/>
    <w:pPr>
      <w:numPr>
        <w:numId w:val="9"/>
      </w:numPr>
    </w:pPr>
  </w:style>
  <w:style w:type="paragraph" w:customStyle="1" w:styleId="PPO1ATitle1">
    <w:name w:val="(PPO_1A) Title 1"/>
    <w:basedOn w:val="BASE-STYLE-HEADINGS"/>
    <w:qFormat/>
    <w:pPr>
      <w:pBdr>
        <w:top w:val="single" w:sz="4" w:space="3" w:color="28296E"/>
        <w:bottom w:val="single" w:sz="4" w:space="1" w:color="28296E"/>
      </w:pBdr>
      <w:spacing w:after="0" w:line="240" w:lineRule="auto"/>
      <w:jc w:val="left"/>
      <w:outlineLvl w:val="0"/>
    </w:pPr>
    <w:rPr>
      <w:rFonts w:cstheme="minorBidi"/>
      <w:b/>
      <w:bCs/>
      <w:color w:val="28296E"/>
      <w:sz w:val="48"/>
      <w:szCs w:val="22"/>
    </w:rPr>
  </w:style>
  <w:style w:type="paragraph" w:customStyle="1" w:styleId="PPO1ATitle2">
    <w:name w:val="(PPO_1A) Title 2"/>
    <w:basedOn w:val="BASE-STYLE-TEXT"/>
    <w:qFormat/>
    <w:pPr>
      <w:spacing w:before="60" w:after="60" w:line="240" w:lineRule="auto"/>
      <w:jc w:val="left"/>
    </w:pPr>
    <w:rPr>
      <w:rFonts w:cstheme="minorBidi"/>
      <w:bCs/>
      <w:noProof/>
      <w:color w:val="00ADDC"/>
      <w:sz w:val="22"/>
      <w:szCs w:val="22"/>
    </w:rPr>
  </w:style>
  <w:style w:type="paragraph" w:customStyle="1" w:styleId="PPO1AVotedbudgetTABLEtextBlue">
    <w:name w:val="(PPO_1A) Voted budget TABLE text 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0070C0"/>
      <w:sz w:val="22"/>
      <w:szCs w:val="22"/>
    </w:rPr>
  </w:style>
  <w:style w:type="paragraph" w:customStyle="1" w:styleId="PPOsidebarLegalBasisBOXHeading">
    <w:name w:val="(PPO) sidebar Legal Basis BOX Heading"/>
    <w:basedOn w:val="BASE-STYLE-TEXT"/>
    <w:qFormat/>
    <w:pPr>
      <w:spacing w:after="160"/>
      <w:jc w:val="right"/>
    </w:pPr>
    <w:rPr>
      <w:rFonts w:cstheme="minorBidi"/>
      <w:b/>
      <w:bCs/>
      <w:noProof/>
      <w:color w:val="FFFFFF" w:themeColor="background1"/>
      <w:sz w:val="16"/>
    </w:rPr>
  </w:style>
  <w:style w:type="paragraph" w:customStyle="1" w:styleId="PPOsidebarLegalBasisBOXtext">
    <w:name w:val="(PPO) sidebar Legal Basis BOX text"/>
    <w:basedOn w:val="BASE-STYLE-TEXT"/>
    <w:qFormat/>
    <w:pPr>
      <w:spacing w:after="0"/>
      <w:jc w:val="right"/>
    </w:pPr>
    <w:rPr>
      <w:rFonts w:cstheme="minorBidi"/>
      <w:bCs/>
      <w:noProof/>
      <w:color w:val="FFFFFF" w:themeColor="background1"/>
      <w:sz w:val="14"/>
      <w:szCs w:val="14"/>
    </w:rPr>
  </w:style>
  <w:style w:type="numbering" w:customStyle="1" w:styleId="PPOA1SpecificObjectivesBulletsLIST">
    <w:name w:val="(PPO_A1) Specific Objectives Bullets (LIST)"/>
    <w:uiPriority w:val="99"/>
    <w:pPr>
      <w:numPr>
        <w:numId w:val="10"/>
      </w:numPr>
    </w:pPr>
  </w:style>
  <w:style w:type="paragraph" w:customStyle="1" w:styleId="BVIfnrCarCarCarCarCharCharCharChar">
    <w:name w:val="BVI fnr Car Car Car Car Char Char Char Char"/>
    <w:basedOn w:val="Normal"/>
    <w:autoRedefine/>
    <w:uiPriority w:val="99"/>
    <w:qFormat/>
    <w:pPr>
      <w:spacing w:after="0" w:line="240" w:lineRule="auto"/>
      <w:ind w:left="720" w:hanging="720"/>
    </w:pPr>
    <w:rPr>
      <w:rFonts w:ascii="Times New Roman" w:hAnsi="Times New Roman" w:cs="Times New Roman"/>
      <w:noProof/>
      <w:vertAlign w:val="superscript"/>
    </w:rPr>
  </w:style>
  <w:style w:type="paragraph" w:customStyle="1" w:styleId="PPOsidebarTabletext-rightaligned">
    <w:name w:val="(PPO) sidebar Table text - right aligned"/>
    <w:basedOn w:val="PPOsidebarTabletext"/>
    <w:qFormat/>
    <w:pPr>
      <w:jc w:val="right"/>
    </w:pPr>
  </w:style>
  <w:style w:type="paragraph" w:customStyle="1" w:styleId="Hidelastparagraphafterthetable">
    <w:name w:val="_Hide last paragraph after the table"/>
    <w:next w:val="Normal"/>
    <w:pPr>
      <w:widowControl w:val="0"/>
      <w:spacing w:after="0" w:line="20" w:lineRule="exact"/>
    </w:pPr>
    <w:rPr>
      <w:rFonts w:eastAsiaTheme="minorEastAsia"/>
      <w:noProof/>
      <w:vanish/>
      <w:sz w:val="2"/>
      <w:szCs w:val="2"/>
    </w:rPr>
  </w:style>
  <w:style w:type="paragraph" w:customStyle="1" w:styleId="PPOSpecificobjectivesBOX-Subheading">
    <w:name w:val="(PPO) Specific objectives BOX - Subheading"/>
    <w:basedOn w:val="BASE-STYLE-TEXT"/>
    <w:qFormat/>
    <w:pPr>
      <w:spacing w:before="200" w:after="60" w:line="240" w:lineRule="auto"/>
    </w:pPr>
    <w:rPr>
      <w:rFonts w:ascii="EC Square Sans Cond Pro" w:eastAsia="Calibri" w:hAnsi="EC Square Sans Cond Pro"/>
      <w:b/>
      <w:bCs/>
      <w:noProof/>
      <w:color w:val="auto"/>
      <w:szCs w:val="22"/>
      <w:lang w:eastAsia="fr-BE"/>
    </w:rPr>
  </w:style>
  <w:style w:type="paragraph" w:customStyle="1" w:styleId="PPOVotedbudgetTABLEtextBlue">
    <w:name w:val="(PPO) Voted budget TABLE text Blue"/>
    <w:basedOn w:val="Normal"/>
    <w:qFormat/>
    <w:pPr>
      <w:framePr w:hSpace="181" w:wrap="around" w:vAnchor="page" w:hAnchor="page" w:x="3448" w:y="13530"/>
      <w:spacing w:after="60" w:line="240" w:lineRule="auto"/>
      <w:suppressOverlap/>
      <w:jc w:val="center"/>
    </w:pPr>
    <w:rPr>
      <w:rFonts w:ascii="Times New Roman" w:eastAsia="Times New Roman" w:hAnsi="Times New Roman" w:cs="Times New Roman"/>
      <w:noProof/>
      <w:color w:val="0070C0"/>
    </w:rPr>
  </w:style>
  <w:style w:type="paragraph" w:customStyle="1" w:styleId="PPO3sidebarchartCenterText">
    <w:name w:val="(PPO_3) sidebar chart Center Text"/>
    <w:basedOn w:val="BASE-STYLE-TEXT"/>
    <w:qFormat/>
    <w:pPr>
      <w:spacing w:after="120" w:line="240" w:lineRule="auto"/>
      <w:jc w:val="center"/>
    </w:pPr>
    <w:rPr>
      <w:rFonts w:cstheme="minorBidi"/>
      <w:bCs/>
      <w:noProof/>
      <w:color w:val="585EAA"/>
      <w:sz w:val="22"/>
      <w:szCs w:val="22"/>
    </w:rPr>
  </w:style>
  <w:style w:type="paragraph" w:customStyle="1" w:styleId="PPO3sidebarTablecaption">
    <w:name w:val="(PPO_3)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585EAA"/>
      <w:sz w:val="16"/>
      <w:shd w:val="clear" w:color="auto" w:fill="FFFFFF"/>
    </w:rPr>
  </w:style>
  <w:style w:type="paragraph" w:customStyle="1" w:styleId="PPO3sidebarTitleDarkBlue">
    <w:name w:val="(PPO_3) sidebar Title DarkBlue"/>
    <w:basedOn w:val="BASE-STYLE-TEXT"/>
    <w:qFormat/>
    <w:pPr>
      <w:autoSpaceDE w:val="0"/>
      <w:autoSpaceDN w:val="0"/>
      <w:adjustRightInd w:val="0"/>
      <w:spacing w:before="340" w:after="40" w:line="240" w:lineRule="auto"/>
      <w:jc w:val="right"/>
    </w:pPr>
    <w:rPr>
      <w:rFonts w:ascii="EC Square Sans Cond Pro" w:hAnsi="EC Square Sans Cond Pro"/>
      <w:b/>
      <w:noProof/>
      <w:color w:val="333663"/>
      <w:sz w:val="16"/>
    </w:rPr>
  </w:style>
  <w:style w:type="paragraph" w:customStyle="1" w:styleId="PPO3sidebarTitlePurple">
    <w:name w:val="(PPO_3) sidebar Title Purple"/>
    <w:basedOn w:val="BASE-STYLE-TEXT"/>
    <w:qFormat/>
    <w:pPr>
      <w:autoSpaceDE w:val="0"/>
      <w:autoSpaceDN w:val="0"/>
      <w:adjustRightInd w:val="0"/>
      <w:spacing w:before="440" w:after="60" w:line="241" w:lineRule="atLeast"/>
      <w:jc w:val="right"/>
    </w:pPr>
    <w:rPr>
      <w:rFonts w:ascii="EC Square Sans Cond Pro" w:hAnsi="EC Square Sans Cond Pro"/>
      <w:b/>
      <w:noProof/>
      <w:color w:val="585EAA"/>
      <w:sz w:val="21"/>
    </w:rPr>
  </w:style>
  <w:style w:type="paragraph" w:customStyle="1" w:styleId="PPO3SpecificobjectivesBOX-BulletPurple">
    <w:name w:val="(PPO_3) Specific objectives BOX - Bullet Purple"/>
    <w:basedOn w:val="BASE-STYLE-TEXT"/>
    <w:qFormat/>
    <w:pPr>
      <w:numPr>
        <w:numId w:val="11"/>
      </w:numPr>
      <w:spacing w:after="60" w:line="240" w:lineRule="auto"/>
    </w:pPr>
    <w:rPr>
      <w:rFonts w:eastAsia="Calibri"/>
      <w:bCs/>
      <w:noProof/>
      <w:color w:val="auto"/>
      <w:szCs w:val="22"/>
      <w:lang w:eastAsia="fr-BE"/>
    </w:rPr>
  </w:style>
  <w:style w:type="paragraph" w:customStyle="1" w:styleId="PPO3SpecificobjectivesBOX-HeadingPurple">
    <w:name w:val="(PPO_3) Specific objectives BOX - Heading Purple"/>
    <w:basedOn w:val="BASE-STYLE-TEXT"/>
    <w:qFormat/>
    <w:pPr>
      <w:spacing w:before="140" w:after="120"/>
      <w:ind w:left="-119" w:right="-16" w:firstLine="9"/>
      <w:jc w:val="left"/>
    </w:pPr>
    <w:rPr>
      <w:rFonts w:ascii="EC Square Sans Cond Pro" w:hAnsi="EC Square Sans Cond Pro"/>
      <w:b/>
      <w:noProof/>
      <w:color w:val="585EAA"/>
      <w:sz w:val="21"/>
    </w:rPr>
  </w:style>
  <w:style w:type="numbering" w:customStyle="1" w:styleId="PPO3SpecificObjectivesBulletsLIST">
    <w:name w:val="(PPO_3) Specific Objectives Bullets (LIST)"/>
    <w:uiPriority w:val="99"/>
    <w:pPr>
      <w:numPr>
        <w:numId w:val="11"/>
      </w:numPr>
    </w:pPr>
  </w:style>
  <w:style w:type="paragraph" w:customStyle="1" w:styleId="PPO3Title1">
    <w:name w:val="(PPO_3) Title 1"/>
    <w:basedOn w:val="BASE-STYLE-HEADINGS"/>
    <w:qFormat/>
    <w:pPr>
      <w:pBdr>
        <w:top w:val="single" w:sz="4" w:space="3" w:color="28296E"/>
        <w:bottom w:val="single" w:sz="4" w:space="1" w:color="28296E"/>
      </w:pBdr>
      <w:spacing w:after="0" w:line="240" w:lineRule="auto"/>
      <w:jc w:val="left"/>
      <w:outlineLvl w:val="0"/>
    </w:pPr>
    <w:rPr>
      <w:rFonts w:cstheme="minorBidi"/>
      <w:b/>
      <w:bCs/>
      <w:color w:val="333663"/>
      <w:sz w:val="48"/>
      <w:szCs w:val="22"/>
    </w:rPr>
  </w:style>
  <w:style w:type="paragraph" w:customStyle="1" w:styleId="PPO3VotedbudgetTABLEtextBlue">
    <w:name w:val="(PPO_3) Voted budget TABLE text 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0070C0"/>
      <w:sz w:val="22"/>
      <w:szCs w:val="22"/>
    </w:rPr>
  </w:style>
  <w:style w:type="paragraph" w:customStyle="1" w:styleId="PPO1BsidebarchartCenterText">
    <w:name w:val="(PPO_1B) sidebar chart Center Text"/>
    <w:basedOn w:val="BASE-STYLE-TEXT"/>
    <w:qFormat/>
    <w:pPr>
      <w:spacing w:after="120" w:line="240" w:lineRule="auto"/>
      <w:jc w:val="center"/>
    </w:pPr>
    <w:rPr>
      <w:rFonts w:cstheme="minorBidi"/>
      <w:bCs/>
      <w:noProof/>
      <w:color w:val="18BAA8"/>
      <w:sz w:val="22"/>
      <w:szCs w:val="22"/>
    </w:rPr>
  </w:style>
  <w:style w:type="paragraph" w:customStyle="1" w:styleId="PPO1BsidebarTablecaption">
    <w:name w:val="(PPO_1B)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18BAA8"/>
      <w:sz w:val="16"/>
      <w:shd w:val="clear" w:color="auto" w:fill="FFFFFF"/>
    </w:rPr>
  </w:style>
  <w:style w:type="paragraph" w:customStyle="1" w:styleId="PPO1BsidebarTitleDarkGreen">
    <w:name w:val="(PPO_1B) sidebar Title DarkGreen"/>
    <w:basedOn w:val="BASE-STYLE-TEXT"/>
    <w:qFormat/>
    <w:pPr>
      <w:autoSpaceDE w:val="0"/>
      <w:autoSpaceDN w:val="0"/>
      <w:adjustRightInd w:val="0"/>
      <w:spacing w:before="340" w:after="40" w:line="240" w:lineRule="auto"/>
      <w:jc w:val="right"/>
    </w:pPr>
    <w:rPr>
      <w:rFonts w:ascii="EC Square Sans Cond Pro" w:hAnsi="EC Square Sans Cond Pro"/>
      <w:b/>
      <w:noProof/>
      <w:color w:val="128C7D"/>
      <w:sz w:val="16"/>
    </w:rPr>
  </w:style>
  <w:style w:type="paragraph" w:customStyle="1" w:styleId="PPO1BsidebarTitleTurquoise">
    <w:name w:val="(PPO_1B) sidebar Title Turquoise"/>
    <w:basedOn w:val="BASE-STYLE-TEXT"/>
    <w:qFormat/>
    <w:pPr>
      <w:autoSpaceDE w:val="0"/>
      <w:autoSpaceDN w:val="0"/>
      <w:adjustRightInd w:val="0"/>
      <w:spacing w:before="440" w:after="60" w:line="241" w:lineRule="atLeast"/>
      <w:jc w:val="right"/>
    </w:pPr>
    <w:rPr>
      <w:rFonts w:ascii="EC Square Sans Cond Pro" w:hAnsi="EC Square Sans Cond Pro"/>
      <w:b/>
      <w:noProof/>
      <w:color w:val="18BAA8"/>
      <w:sz w:val="21"/>
    </w:rPr>
  </w:style>
  <w:style w:type="paragraph" w:customStyle="1" w:styleId="PPO1BSpecificobjectivesBOX-BulletTurquoise">
    <w:name w:val="(PPO_1B) Specific objectives BOX - Bullet Turquoise"/>
    <w:basedOn w:val="BASE-STYLE-TEXT"/>
    <w:qFormat/>
    <w:pPr>
      <w:numPr>
        <w:numId w:val="12"/>
      </w:numPr>
      <w:spacing w:after="60" w:line="240" w:lineRule="auto"/>
    </w:pPr>
    <w:rPr>
      <w:rFonts w:eastAsia="Calibri"/>
      <w:bCs/>
      <w:noProof/>
      <w:color w:val="auto"/>
      <w:szCs w:val="22"/>
      <w:lang w:eastAsia="fr-BE"/>
    </w:rPr>
  </w:style>
  <w:style w:type="paragraph" w:customStyle="1" w:styleId="PPO1BSpecificobjectivesBOX-HeadingTurquoise">
    <w:name w:val="(PPO_1B) Specific objectives BOX - Heading Turquoise"/>
    <w:basedOn w:val="BASE-STYLE-TEXT"/>
    <w:qFormat/>
    <w:pPr>
      <w:spacing w:before="140" w:after="120"/>
      <w:ind w:left="-119" w:right="-16" w:firstLine="9"/>
      <w:jc w:val="left"/>
    </w:pPr>
    <w:rPr>
      <w:rFonts w:ascii="EC Square Sans Cond Pro" w:hAnsi="EC Square Sans Cond Pro"/>
      <w:b/>
      <w:noProof/>
      <w:color w:val="18BAA8"/>
      <w:sz w:val="21"/>
    </w:rPr>
  </w:style>
  <w:style w:type="numbering" w:customStyle="1" w:styleId="PPO1BSpecificObjectivesBulletsLIST">
    <w:name w:val="(PPO_1B) Specific Objectives Bullets (LIST)"/>
    <w:uiPriority w:val="99"/>
    <w:pPr>
      <w:numPr>
        <w:numId w:val="12"/>
      </w:numPr>
    </w:pPr>
  </w:style>
  <w:style w:type="paragraph" w:customStyle="1" w:styleId="PPO1BTitle1">
    <w:name w:val="(PPO_1B) Title 1"/>
    <w:basedOn w:val="BASE-STYLE-HEADINGS"/>
    <w:qFormat/>
    <w:pPr>
      <w:pBdr>
        <w:top w:val="single" w:sz="4" w:space="3" w:color="18BAA8"/>
        <w:bottom w:val="single" w:sz="4" w:space="1" w:color="18BAA8"/>
      </w:pBdr>
      <w:spacing w:after="0" w:line="240" w:lineRule="auto"/>
      <w:jc w:val="left"/>
      <w:outlineLvl w:val="0"/>
    </w:pPr>
    <w:rPr>
      <w:rFonts w:cstheme="minorBidi"/>
      <w:b/>
      <w:bCs/>
      <w:color w:val="128C7D"/>
      <w:sz w:val="48"/>
      <w:szCs w:val="22"/>
    </w:rPr>
  </w:style>
  <w:style w:type="paragraph" w:customStyle="1" w:styleId="PPO1BTitle2">
    <w:name w:val="(PPO_1B) Title 2"/>
    <w:basedOn w:val="BASE-STYLE-TEXT"/>
    <w:qFormat/>
    <w:pPr>
      <w:spacing w:before="60" w:after="60" w:line="240" w:lineRule="auto"/>
      <w:jc w:val="left"/>
    </w:pPr>
    <w:rPr>
      <w:rFonts w:cstheme="minorBidi"/>
      <w:bCs/>
      <w:noProof/>
      <w:color w:val="18BAA8"/>
      <w:sz w:val="22"/>
      <w:szCs w:val="22"/>
    </w:rPr>
  </w:style>
  <w:style w:type="paragraph" w:customStyle="1" w:styleId="PPO1BVotedbudgetTABLEtextTurquoise">
    <w:name w:val="(PPO_1B) Voted budget TABLE text Turquois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18BAA8"/>
      <w:sz w:val="22"/>
      <w:szCs w:val="22"/>
    </w:rPr>
  </w:style>
  <w:style w:type="paragraph" w:customStyle="1" w:styleId="PPOBlackBULLETS-L1nobullettext">
    <w:name w:val="(PPO) Black BULLETS - L1 (no bullet text)"/>
    <w:basedOn w:val="PPOBlackBULLETS-L1"/>
    <w:qFormat/>
    <w:pPr>
      <w:numPr>
        <w:numId w:val="0"/>
      </w:numPr>
      <w:ind w:left="499"/>
    </w:pPr>
  </w:style>
  <w:style w:type="paragraph" w:customStyle="1" w:styleId="PPO2sidebarchartCenterText">
    <w:name w:val="(PPO_2) sidebar chart Center Text"/>
    <w:basedOn w:val="BASE-STYLE-TEXT"/>
    <w:qFormat/>
    <w:pPr>
      <w:spacing w:after="120" w:line="240" w:lineRule="auto"/>
      <w:jc w:val="center"/>
    </w:pPr>
    <w:rPr>
      <w:rFonts w:cstheme="minorBidi"/>
      <w:bCs/>
      <w:noProof/>
      <w:color w:val="9ACA3C"/>
      <w:sz w:val="22"/>
      <w:szCs w:val="22"/>
    </w:rPr>
  </w:style>
  <w:style w:type="paragraph" w:customStyle="1" w:styleId="PPO2sidebarTablecaption">
    <w:name w:val="(PPO_2)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9ACA3C"/>
      <w:sz w:val="16"/>
      <w:shd w:val="clear" w:color="auto" w:fill="FFFFFF"/>
    </w:rPr>
  </w:style>
  <w:style w:type="paragraph" w:customStyle="1" w:styleId="PPO2sidebarTitleOlive">
    <w:name w:val="(PPO_2) sidebar Title Olive"/>
    <w:basedOn w:val="BASE-STYLE-TEXT"/>
    <w:qFormat/>
    <w:pPr>
      <w:autoSpaceDE w:val="0"/>
      <w:autoSpaceDN w:val="0"/>
      <w:adjustRightInd w:val="0"/>
      <w:spacing w:before="340" w:after="40" w:line="240" w:lineRule="auto"/>
      <w:jc w:val="right"/>
    </w:pPr>
    <w:rPr>
      <w:rFonts w:ascii="EC Square Sans Cond Pro" w:hAnsi="EC Square Sans Cond Pro"/>
      <w:b/>
      <w:noProof/>
      <w:color w:val="668725"/>
      <w:sz w:val="16"/>
    </w:rPr>
  </w:style>
  <w:style w:type="paragraph" w:customStyle="1" w:styleId="PPO2sidebarTitleSpringGreen">
    <w:name w:val="(PPO_2) sidebar Title SpringGreen"/>
    <w:basedOn w:val="BASE-STYLE-TEXT"/>
    <w:qFormat/>
    <w:pPr>
      <w:autoSpaceDE w:val="0"/>
      <w:autoSpaceDN w:val="0"/>
      <w:adjustRightInd w:val="0"/>
      <w:spacing w:before="440" w:after="60" w:line="241" w:lineRule="atLeast"/>
      <w:jc w:val="right"/>
    </w:pPr>
    <w:rPr>
      <w:rFonts w:ascii="EC Square Sans Cond Pro" w:hAnsi="EC Square Sans Cond Pro"/>
      <w:b/>
      <w:noProof/>
      <w:color w:val="9ACA3C"/>
      <w:sz w:val="21"/>
    </w:rPr>
  </w:style>
  <w:style w:type="paragraph" w:customStyle="1" w:styleId="PPO2SpecificobjectivesBOX-BulletSpringGreen">
    <w:name w:val="(PPO_2) Specific objectives BOX - Bullet SpringGreen"/>
    <w:basedOn w:val="BASE-STYLE-TEXT"/>
    <w:qFormat/>
    <w:pPr>
      <w:numPr>
        <w:numId w:val="14"/>
      </w:numPr>
      <w:spacing w:after="60" w:line="240" w:lineRule="auto"/>
    </w:pPr>
    <w:rPr>
      <w:rFonts w:eastAsia="Calibri"/>
      <w:bCs/>
      <w:noProof/>
      <w:color w:val="auto"/>
      <w:szCs w:val="22"/>
      <w:lang w:eastAsia="fr-BE"/>
    </w:rPr>
  </w:style>
  <w:style w:type="paragraph" w:customStyle="1" w:styleId="PPO2SpecificobjectivesBOX-HeadingSpringGreen">
    <w:name w:val="(PPO_2) Specific objectives BOX - Heading SpringGreen"/>
    <w:basedOn w:val="BASE-STYLE-TEXT"/>
    <w:qFormat/>
    <w:pPr>
      <w:spacing w:before="140" w:after="120"/>
      <w:ind w:left="-119" w:right="-16" w:firstLine="9"/>
      <w:jc w:val="left"/>
    </w:pPr>
    <w:rPr>
      <w:rFonts w:ascii="EC Square Sans Cond Pro" w:hAnsi="EC Square Sans Cond Pro"/>
      <w:b/>
      <w:noProof/>
      <w:color w:val="9ACA3C"/>
      <w:sz w:val="21"/>
    </w:rPr>
  </w:style>
  <w:style w:type="numbering" w:customStyle="1" w:styleId="PPO2SpecificObjectivesBulletsLIST">
    <w:name w:val="(PPO_2) Specific Objectives Bullets (LIST)"/>
    <w:uiPriority w:val="99"/>
    <w:pPr>
      <w:numPr>
        <w:numId w:val="14"/>
      </w:numPr>
    </w:pPr>
  </w:style>
  <w:style w:type="paragraph" w:customStyle="1" w:styleId="PPO2Title1">
    <w:name w:val="(PPO_2) Title 1"/>
    <w:basedOn w:val="BASE-STYLE-HEADINGS"/>
    <w:qFormat/>
    <w:pPr>
      <w:pBdr>
        <w:top w:val="single" w:sz="4" w:space="3" w:color="9ACA3C"/>
        <w:bottom w:val="single" w:sz="4" w:space="1" w:color="9ACA3C"/>
      </w:pBdr>
      <w:spacing w:after="0" w:line="240" w:lineRule="auto"/>
      <w:jc w:val="left"/>
      <w:outlineLvl w:val="0"/>
    </w:pPr>
    <w:rPr>
      <w:rFonts w:cstheme="minorBidi"/>
      <w:b/>
      <w:bCs/>
      <w:color w:val="668725"/>
      <w:sz w:val="48"/>
      <w:szCs w:val="22"/>
    </w:rPr>
  </w:style>
  <w:style w:type="paragraph" w:customStyle="1" w:styleId="PPO2Title2">
    <w:name w:val="(PPO_2) Title 2"/>
    <w:basedOn w:val="BASE-STYLE-TEXT"/>
    <w:qFormat/>
    <w:pPr>
      <w:spacing w:before="60" w:after="60" w:line="240" w:lineRule="auto"/>
      <w:jc w:val="left"/>
    </w:pPr>
    <w:rPr>
      <w:rFonts w:cstheme="minorBidi"/>
      <w:bCs/>
      <w:noProof/>
      <w:color w:val="9ACA3C"/>
      <w:sz w:val="22"/>
      <w:szCs w:val="22"/>
    </w:rPr>
  </w:style>
  <w:style w:type="paragraph" w:customStyle="1" w:styleId="PPO2VotedbudgetTABLEtextSpringGreen">
    <w:name w:val="(PPO_2) Voted budget TABLE text SpringGreen"/>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9ACA3C"/>
      <w:sz w:val="22"/>
      <w:szCs w:val="22"/>
    </w:rPr>
  </w:style>
  <w:style w:type="paragraph" w:customStyle="1" w:styleId="BulletsspecificObj">
    <w:name w:val="Bullets specificObj"/>
    <w:basedOn w:val="BulletsblueNew"/>
    <w:semiHidden/>
    <w:qFormat/>
    <w:pPr>
      <w:framePr w:hSpace="181" w:wrap="around" w:vAnchor="text" w:hAnchor="text" w:x="108" w:y="1"/>
      <w:numPr>
        <w:numId w:val="3"/>
      </w:numPr>
      <w:ind w:left="142" w:hanging="142"/>
    </w:pPr>
    <w:rPr>
      <w:sz w:val="18"/>
    </w:rPr>
  </w:style>
  <w:style w:type="paragraph" w:customStyle="1" w:styleId="BodyText1">
    <w:name w:val="BodyText"/>
    <w:basedOn w:val="Normal"/>
    <w:semiHidden/>
    <w:qFormat/>
    <w:pPr>
      <w:ind w:right="-149"/>
      <w:jc w:val="both"/>
    </w:pPr>
    <w:rPr>
      <w:rFonts w:ascii="EC Square Sans Cond Pro" w:eastAsia="Times New Roman" w:hAnsi="EC Square Sans Cond Pro" w:cs="EC Square Sans Cond Pro"/>
      <w:noProof/>
      <w:color w:val="000000"/>
      <w:sz w:val="18"/>
      <w:szCs w:val="18"/>
    </w:rPr>
  </w:style>
  <w:style w:type="paragraph" w:customStyle="1" w:styleId="PPO3Title2">
    <w:name w:val="(PPO_3) Title 2"/>
    <w:basedOn w:val="BASE-STYLE-TEXT"/>
    <w:qFormat/>
    <w:pPr>
      <w:spacing w:before="60" w:after="60" w:line="240" w:lineRule="auto"/>
      <w:jc w:val="left"/>
    </w:pPr>
    <w:rPr>
      <w:rFonts w:cstheme="minorBidi"/>
      <w:bCs/>
      <w:noProof/>
      <w:color w:val="585EAA"/>
      <w:sz w:val="22"/>
      <w:szCs w:val="22"/>
    </w:rPr>
  </w:style>
  <w:style w:type="paragraph" w:customStyle="1" w:styleId="PPOBlackNumberinBracketsLIST-L1">
    <w:name w:val="(PPO) Black Number in Brackets LIST - L1"/>
    <w:basedOn w:val="BASE-STYLE-TEXT"/>
    <w:qFormat/>
    <w:pPr>
      <w:numPr>
        <w:numId w:val="19"/>
      </w:numPr>
      <w:spacing w:after="60" w:line="200" w:lineRule="exact"/>
    </w:pPr>
    <w:rPr>
      <w:rFonts w:ascii="EC Square Sans Cond Pro" w:eastAsiaTheme="minorEastAsia" w:hAnsi="EC Square Sans Cond Pro" w:cs="EC Square Sans Cond Pro"/>
      <w:color w:val="000000"/>
      <w:szCs w:val="18"/>
      <w:lang w:eastAsia="en-US"/>
    </w:rPr>
  </w:style>
  <w:style w:type="numbering" w:customStyle="1" w:styleId="PPOLISTBlackNumbersinbrackets">
    <w:name w:val="(PPO LIST) Black Numbers in brackets"/>
    <w:uiPriority w:val="99"/>
    <w:pPr>
      <w:numPr>
        <w:numId w:val="17"/>
      </w:numPr>
    </w:pPr>
  </w:style>
  <w:style w:type="paragraph" w:customStyle="1" w:styleId="PPO4sidebarchartCenterText">
    <w:name w:val="(PPO_4) sidebar chart Center Text"/>
    <w:basedOn w:val="BASE-STYLE-TEXT"/>
    <w:qFormat/>
    <w:pPr>
      <w:spacing w:after="120" w:line="240" w:lineRule="auto"/>
      <w:jc w:val="center"/>
    </w:pPr>
    <w:rPr>
      <w:rFonts w:cstheme="minorBidi"/>
      <w:bCs/>
      <w:noProof/>
      <w:color w:val="F68A42"/>
      <w:sz w:val="22"/>
      <w:szCs w:val="22"/>
    </w:rPr>
  </w:style>
  <w:style w:type="paragraph" w:customStyle="1" w:styleId="PPO4sidebarTablecaption">
    <w:name w:val="(PPO_4)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F68A42"/>
      <w:sz w:val="16"/>
      <w:shd w:val="clear" w:color="auto" w:fill="FFFFFF"/>
    </w:rPr>
  </w:style>
  <w:style w:type="paragraph" w:customStyle="1" w:styleId="PPO4sidebarTitleBrown">
    <w:name w:val="(PPO_4) sidebar Title Brown"/>
    <w:basedOn w:val="BASE-STYLE-TEXT"/>
    <w:qFormat/>
    <w:pPr>
      <w:autoSpaceDE w:val="0"/>
      <w:autoSpaceDN w:val="0"/>
      <w:adjustRightInd w:val="0"/>
      <w:spacing w:before="340" w:after="40" w:line="240" w:lineRule="auto"/>
      <w:jc w:val="right"/>
    </w:pPr>
    <w:rPr>
      <w:rFonts w:ascii="EC Square Sans Cond Pro" w:hAnsi="EC Square Sans Cond Pro"/>
      <w:b/>
      <w:noProof/>
      <w:color w:val="B74F09"/>
      <w:sz w:val="16"/>
    </w:rPr>
  </w:style>
  <w:style w:type="paragraph" w:customStyle="1" w:styleId="PPO4sidebarTitleLightBrown">
    <w:name w:val="(PPO_4) sidebar Title Light Brown"/>
    <w:basedOn w:val="BASE-STYLE-TEXT"/>
    <w:qFormat/>
    <w:pPr>
      <w:autoSpaceDE w:val="0"/>
      <w:autoSpaceDN w:val="0"/>
      <w:adjustRightInd w:val="0"/>
      <w:spacing w:before="440" w:after="60" w:line="241" w:lineRule="atLeast"/>
      <w:jc w:val="right"/>
    </w:pPr>
    <w:rPr>
      <w:rFonts w:ascii="EC Square Sans Cond Pro" w:hAnsi="EC Square Sans Cond Pro"/>
      <w:b/>
      <w:noProof/>
      <w:color w:val="F68A42"/>
      <w:sz w:val="21"/>
    </w:rPr>
  </w:style>
  <w:style w:type="paragraph" w:customStyle="1" w:styleId="PPO4SpecificobjectivesBOX-BulletBrown">
    <w:name w:val="(PPO_4) Specific objectives BOX - Bullet Brown"/>
    <w:basedOn w:val="Normal"/>
    <w:qFormat/>
    <w:pPr>
      <w:spacing w:after="60" w:line="240" w:lineRule="auto"/>
      <w:jc w:val="both"/>
    </w:pPr>
    <w:rPr>
      <w:rFonts w:ascii="EC Square Sans Pro" w:eastAsia="Calibri" w:hAnsi="EC Square Sans Pro" w:cs="Times New Roman"/>
      <w:noProof/>
      <w:sz w:val="18"/>
      <w:lang w:eastAsia="fr-BE"/>
    </w:rPr>
  </w:style>
  <w:style w:type="paragraph" w:customStyle="1" w:styleId="PPO4SpecificobjectivesBOX-HeadingLightBrown">
    <w:name w:val="(PPO_4) Specific objectives BOX - Heading Light Brown"/>
    <w:basedOn w:val="BASE-STYLE-TEXT"/>
    <w:qFormat/>
    <w:pPr>
      <w:spacing w:before="140" w:after="120"/>
      <w:ind w:left="-119" w:right="-16" w:firstLine="9"/>
      <w:jc w:val="left"/>
    </w:pPr>
    <w:rPr>
      <w:rFonts w:ascii="EC Square Sans Cond Pro" w:eastAsiaTheme="minorEastAsia" w:hAnsi="EC Square Sans Cond Pro" w:cs="EC Square Sans Cond Pro"/>
      <w:b/>
      <w:bCs/>
      <w:color w:val="F68A42"/>
      <w:sz w:val="21"/>
      <w:lang w:eastAsia="en-US"/>
    </w:rPr>
  </w:style>
  <w:style w:type="numbering" w:customStyle="1" w:styleId="PPO4SpecificObjectivesBulletsLIST">
    <w:name w:val="(PPO_4) Specific Objectives Bullets (LIST)"/>
    <w:uiPriority w:val="99"/>
    <w:pPr>
      <w:numPr>
        <w:numId w:val="20"/>
      </w:numPr>
    </w:pPr>
  </w:style>
  <w:style w:type="paragraph" w:customStyle="1" w:styleId="PPO4Title1">
    <w:name w:val="(PPO_4) Title 1"/>
    <w:basedOn w:val="BASE-STYLE-HEADINGS"/>
    <w:qFormat/>
    <w:pPr>
      <w:pBdr>
        <w:top w:val="single" w:sz="4" w:space="3" w:color="F68A42"/>
        <w:bottom w:val="single" w:sz="4" w:space="1" w:color="F68A42"/>
      </w:pBdr>
      <w:spacing w:after="0" w:line="240" w:lineRule="auto"/>
      <w:jc w:val="left"/>
      <w:outlineLvl w:val="0"/>
    </w:pPr>
    <w:rPr>
      <w:rFonts w:cstheme="minorBidi"/>
      <w:b/>
      <w:bCs/>
      <w:color w:val="B74F09"/>
      <w:sz w:val="48"/>
      <w:szCs w:val="22"/>
    </w:rPr>
  </w:style>
  <w:style w:type="paragraph" w:customStyle="1" w:styleId="PPO4Title2">
    <w:name w:val="(PPO_4) Title 2"/>
    <w:basedOn w:val="BASE-STYLE-TEXT"/>
    <w:qFormat/>
    <w:pPr>
      <w:spacing w:before="60" w:after="60" w:line="240" w:lineRule="auto"/>
      <w:jc w:val="left"/>
    </w:pPr>
    <w:rPr>
      <w:rFonts w:cstheme="minorBidi"/>
      <w:bCs/>
      <w:noProof/>
      <w:color w:val="F68A42"/>
      <w:sz w:val="22"/>
      <w:szCs w:val="22"/>
    </w:rPr>
  </w:style>
  <w:style w:type="paragraph" w:customStyle="1" w:styleId="PPO4VotedbudgetTABLEtextLightBrown">
    <w:name w:val="(PPO_4) Voted budget TABLE text Light Brown"/>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F68A42"/>
      <w:sz w:val="22"/>
      <w:szCs w:val="22"/>
    </w:rPr>
  </w:style>
  <w:style w:type="paragraph" w:customStyle="1" w:styleId="PPO4SpecificobjectivesBOX-BulletLightBrown">
    <w:name w:val="(PPO_4) Specific objectives BOX - Bullet LightBrown"/>
    <w:basedOn w:val="BASE-STYLE-TEXT"/>
    <w:qFormat/>
    <w:pPr>
      <w:numPr>
        <w:numId w:val="20"/>
      </w:numPr>
      <w:spacing w:after="60" w:line="240" w:lineRule="auto"/>
    </w:pPr>
    <w:rPr>
      <w:rFonts w:eastAsia="Calibri"/>
      <w:noProof/>
      <w:color w:val="auto"/>
      <w:szCs w:val="22"/>
      <w:lang w:eastAsia="fr-BE"/>
    </w:rPr>
  </w:style>
  <w:style w:type="paragraph" w:customStyle="1" w:styleId="PPOSIsidebarchartCenterText">
    <w:name w:val="(PPO_SI) sidebar chart Center Text"/>
    <w:basedOn w:val="BASE-STYLE-TEXT"/>
    <w:qFormat/>
    <w:pPr>
      <w:spacing w:after="120" w:line="240" w:lineRule="auto"/>
      <w:jc w:val="center"/>
    </w:pPr>
    <w:rPr>
      <w:rFonts w:cstheme="minorBidi"/>
      <w:bCs/>
      <w:noProof/>
      <w:color w:val="4BACC6"/>
      <w:sz w:val="22"/>
      <w:szCs w:val="22"/>
    </w:rPr>
  </w:style>
  <w:style w:type="paragraph" w:customStyle="1" w:styleId="PPOSIsidebarTablecaption">
    <w:name w:val="(PPO_SI)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4BACC6"/>
      <w:sz w:val="16"/>
      <w:shd w:val="clear" w:color="auto" w:fill="FFFFFF"/>
    </w:rPr>
  </w:style>
  <w:style w:type="paragraph" w:customStyle="1" w:styleId="PPOSIsidebarTitleElectricBlue">
    <w:name w:val="(PPO_SI) sidebar Title ElectricBlue"/>
    <w:basedOn w:val="BASE-STYLE-TEXT"/>
    <w:qFormat/>
    <w:pPr>
      <w:autoSpaceDE w:val="0"/>
      <w:autoSpaceDN w:val="0"/>
      <w:adjustRightInd w:val="0"/>
      <w:spacing w:before="440" w:after="60" w:line="241" w:lineRule="atLeast"/>
      <w:jc w:val="right"/>
    </w:pPr>
    <w:rPr>
      <w:rFonts w:ascii="EC Square Sans Cond Pro" w:hAnsi="EC Square Sans Cond Pro"/>
      <w:b/>
      <w:noProof/>
      <w:color w:val="4BACC6"/>
      <w:sz w:val="21"/>
    </w:rPr>
  </w:style>
  <w:style w:type="paragraph" w:customStyle="1" w:styleId="PPOSIsidebarTitlePeacockBlue">
    <w:name w:val="(PPO_SI) sidebar Title PeacockBlue"/>
    <w:basedOn w:val="BASE-STYLE-TEXT"/>
    <w:qFormat/>
    <w:pPr>
      <w:autoSpaceDE w:val="0"/>
      <w:autoSpaceDN w:val="0"/>
      <w:adjustRightInd w:val="0"/>
      <w:spacing w:before="340" w:after="40" w:line="240" w:lineRule="auto"/>
      <w:jc w:val="right"/>
    </w:pPr>
    <w:rPr>
      <w:rFonts w:ascii="EC Square Sans Cond Pro" w:hAnsi="EC Square Sans Cond Pro"/>
      <w:b/>
      <w:noProof/>
      <w:color w:val="215968"/>
      <w:sz w:val="16"/>
    </w:rPr>
  </w:style>
  <w:style w:type="paragraph" w:customStyle="1" w:styleId="PPOSISpecificobjectivesBOX-BulletElectricBlue">
    <w:name w:val="(PPO_SI) Specific objectives BOX - Bullet ElectricBlue"/>
    <w:basedOn w:val="BASE-STYLE-TEXT"/>
    <w:qFormat/>
    <w:pPr>
      <w:numPr>
        <w:numId w:val="23"/>
      </w:numPr>
      <w:spacing w:after="60" w:line="240" w:lineRule="auto"/>
    </w:pPr>
    <w:rPr>
      <w:rFonts w:eastAsia="Calibri"/>
      <w:bCs/>
      <w:noProof/>
      <w:color w:val="auto"/>
      <w:szCs w:val="22"/>
      <w:lang w:eastAsia="fr-BE"/>
    </w:rPr>
  </w:style>
  <w:style w:type="paragraph" w:customStyle="1" w:styleId="PPOSISpecificobjectivesBOX-HeadingElectricBlue">
    <w:name w:val="(PPO_SI) Specific objectives BOX - Heading ElectricBlue"/>
    <w:basedOn w:val="BASE-STYLE-TEXT"/>
    <w:qFormat/>
    <w:pPr>
      <w:spacing w:before="140" w:after="120"/>
      <w:ind w:left="-119" w:right="-16" w:firstLine="9"/>
      <w:jc w:val="left"/>
    </w:pPr>
    <w:rPr>
      <w:rFonts w:ascii="EC Square Sans Cond Pro" w:hAnsi="EC Square Sans Cond Pro"/>
      <w:b/>
      <w:noProof/>
      <w:color w:val="4BACC6"/>
      <w:sz w:val="21"/>
    </w:rPr>
  </w:style>
  <w:style w:type="numbering" w:customStyle="1" w:styleId="PPOSISpecificObjectivesBulletsLIST">
    <w:name w:val="(PPO_SI) Specific Objectives Bullets (LIST)"/>
    <w:uiPriority w:val="99"/>
    <w:pPr>
      <w:numPr>
        <w:numId w:val="23"/>
      </w:numPr>
    </w:pPr>
  </w:style>
  <w:style w:type="paragraph" w:customStyle="1" w:styleId="PPOSITitle1">
    <w:name w:val="(PPO_SI) Title 1"/>
    <w:basedOn w:val="BASE-STYLE-HEADINGS"/>
    <w:qFormat/>
    <w:pPr>
      <w:pBdr>
        <w:top w:val="single" w:sz="4" w:space="3" w:color="4BACC6"/>
        <w:bottom w:val="single" w:sz="4" w:space="1" w:color="4BACC6"/>
      </w:pBdr>
      <w:spacing w:after="0" w:line="240" w:lineRule="auto"/>
      <w:jc w:val="left"/>
      <w:outlineLvl w:val="0"/>
    </w:pPr>
    <w:rPr>
      <w:rFonts w:cstheme="minorBidi"/>
      <w:b/>
      <w:bCs/>
      <w:color w:val="215968"/>
      <w:sz w:val="48"/>
      <w:szCs w:val="22"/>
    </w:rPr>
  </w:style>
  <w:style w:type="paragraph" w:customStyle="1" w:styleId="PPOSITitle2">
    <w:name w:val="(PPO_SI) Title 2"/>
    <w:basedOn w:val="BASE-STYLE-TEXT"/>
    <w:qFormat/>
    <w:pPr>
      <w:spacing w:before="60" w:after="60" w:line="240" w:lineRule="auto"/>
      <w:jc w:val="left"/>
    </w:pPr>
    <w:rPr>
      <w:rFonts w:cstheme="minorBidi"/>
      <w:bCs/>
      <w:noProof/>
      <w:color w:val="4BACC6"/>
      <w:sz w:val="22"/>
      <w:szCs w:val="22"/>
    </w:rPr>
  </w:style>
  <w:style w:type="paragraph" w:customStyle="1" w:styleId="PPOSIVotedbudgetTABLEElectricBlue">
    <w:name w:val="(PPO_SI) Voted budget TABLE Electric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4BACC6"/>
      <w:sz w:val="22"/>
      <w:szCs w:val="22"/>
    </w:rPr>
  </w:style>
  <w:style w:type="paragraph" w:customStyle="1" w:styleId="Pa226">
    <w:name w:val="Pa22+6"/>
    <w:basedOn w:val="Normal"/>
    <w:next w:val="Normal"/>
    <w:uiPriority w:val="99"/>
    <w:semiHidden/>
    <w:pPr>
      <w:autoSpaceDE w:val="0"/>
      <w:autoSpaceDN w:val="0"/>
      <w:adjustRightInd w:val="0"/>
      <w:spacing w:after="0" w:line="501" w:lineRule="atLeast"/>
    </w:pPr>
    <w:rPr>
      <w:rFonts w:ascii="EC Square Sans Cond Pro" w:hAnsi="EC Square Sans Cond Pro" w:cs="Times New Roman"/>
      <w:noProof/>
      <w:sz w:val="24"/>
      <w:szCs w:val="24"/>
    </w:rPr>
  </w:style>
  <w:style w:type="paragraph" w:customStyle="1" w:styleId="Pa36">
    <w:name w:val="Pa3+6"/>
    <w:basedOn w:val="Normal"/>
    <w:next w:val="Normal"/>
    <w:uiPriority w:val="99"/>
    <w:semiHidden/>
    <w:pPr>
      <w:autoSpaceDE w:val="0"/>
      <w:autoSpaceDN w:val="0"/>
      <w:adjustRightInd w:val="0"/>
      <w:spacing w:after="0" w:line="181" w:lineRule="atLeast"/>
    </w:pPr>
    <w:rPr>
      <w:rFonts w:ascii="EC Square Sans Cond Pro" w:hAnsi="EC Square Sans Cond Pro" w:cs="Times New Roman"/>
      <w:noProof/>
      <w:sz w:val="24"/>
      <w:szCs w:val="24"/>
    </w:rPr>
  </w:style>
  <w:style w:type="paragraph" w:customStyle="1" w:styleId="Pa366">
    <w:name w:val="Pa36+6"/>
    <w:basedOn w:val="Normal"/>
    <w:next w:val="Normal"/>
    <w:uiPriority w:val="99"/>
    <w:semiHidden/>
    <w:pPr>
      <w:autoSpaceDE w:val="0"/>
      <w:autoSpaceDN w:val="0"/>
      <w:adjustRightInd w:val="0"/>
      <w:spacing w:after="0" w:line="181" w:lineRule="atLeast"/>
    </w:pPr>
    <w:rPr>
      <w:rFonts w:ascii="EC Square Sans Cond Pro" w:hAnsi="EC Square Sans Cond Pro" w:cs="Times New Roman"/>
      <w:noProof/>
      <w:sz w:val="24"/>
      <w:szCs w:val="24"/>
    </w:rPr>
  </w:style>
  <w:style w:type="paragraph" w:customStyle="1" w:styleId="Pa356">
    <w:name w:val="Pa35+6"/>
    <w:basedOn w:val="Normal"/>
    <w:next w:val="Normal"/>
    <w:uiPriority w:val="99"/>
    <w:semiHidden/>
    <w:pPr>
      <w:autoSpaceDE w:val="0"/>
      <w:autoSpaceDN w:val="0"/>
      <w:adjustRightInd w:val="0"/>
      <w:spacing w:after="0" w:line="181" w:lineRule="atLeast"/>
    </w:pPr>
    <w:rPr>
      <w:rFonts w:ascii="EC Square Sans Cond Pro" w:hAnsi="EC Square Sans Cond Pro" w:cs="Times New Roman"/>
      <w:noProof/>
      <w:sz w:val="24"/>
      <w:szCs w:val="24"/>
    </w:rPr>
  </w:style>
  <w:style w:type="paragraph" w:styleId="TOCHeading">
    <w:name w:val="TOC Heading"/>
    <w:basedOn w:val="Heading1"/>
    <w:next w:val="Normal"/>
    <w:uiPriority w:val="39"/>
    <w:semiHidden/>
    <w:unhideWhenUsed/>
    <w:qFormat/>
    <w:pPr>
      <w:numPr>
        <w:numId w:val="0"/>
      </w:numPr>
      <w:outlineLvl w:val="9"/>
    </w:pPr>
    <w:rPr>
      <w:rFonts w:ascii="Times New Roman" w:eastAsia="Times New Roman" w:hAnsi="Times New Roman" w:cs="Times New Roman"/>
      <w:noProof/>
      <w:lang w:val="en-US"/>
    </w:rPr>
  </w:style>
  <w:style w:type="paragraph" w:styleId="TOC2">
    <w:name w:val="toc 2"/>
    <w:basedOn w:val="Normal"/>
    <w:next w:val="Normal"/>
    <w:autoRedefine/>
    <w:uiPriority w:val="39"/>
    <w:semiHidden/>
    <w:unhideWhenUsed/>
    <w:pPr>
      <w:spacing w:after="100" w:line="240" w:lineRule="auto"/>
      <w:ind w:left="200"/>
    </w:pPr>
    <w:rPr>
      <w:rFonts w:ascii="EC Square Sans Pro" w:hAnsi="EC Square Sans Pro" w:cs="Times New Roman"/>
      <w:noProof/>
      <w:sz w:val="20"/>
    </w:rPr>
  </w:style>
  <w:style w:type="paragraph" w:customStyle="1" w:styleId="AMPRFooter-Right">
    <w:name w:val="(AMPR) Footer - Right"/>
    <w:basedOn w:val="BASE-STYLE-TEXT"/>
    <w:semiHidden/>
    <w:qFormat/>
    <w:pPr>
      <w:spacing w:after="0" w:line="240" w:lineRule="auto"/>
      <w:ind w:right="-851"/>
      <w:jc w:val="right"/>
    </w:pPr>
    <w:rPr>
      <w:noProof/>
      <w:color w:val="auto"/>
      <w:sz w:val="20"/>
    </w:rPr>
  </w:style>
  <w:style w:type="paragraph" w:customStyle="1" w:styleId="AMPRFooter-Left">
    <w:name w:val="(AMPR) Footer - Left"/>
    <w:basedOn w:val="AMPRFooter-Right"/>
    <w:semiHidden/>
    <w:qFormat/>
    <w:pPr>
      <w:ind w:left="-851" w:right="0"/>
      <w:jc w:val="left"/>
    </w:pPr>
  </w:style>
  <w:style w:type="paragraph" w:customStyle="1" w:styleId="AMPRHeader-Right">
    <w:name w:val="(AMPR) Header - Right"/>
    <w:basedOn w:val="BASE-STYLE-TEXT"/>
    <w:semiHidden/>
    <w:qFormat/>
    <w:pPr>
      <w:spacing w:after="0" w:line="240" w:lineRule="auto"/>
      <w:ind w:right="-851"/>
      <w:jc w:val="right"/>
    </w:pPr>
    <w:rPr>
      <w:noProof/>
      <w:color w:val="4472C4" w:themeColor="accent5"/>
      <w:sz w:val="20"/>
    </w:rPr>
  </w:style>
  <w:style w:type="paragraph" w:customStyle="1" w:styleId="AMPRHeader-Left">
    <w:name w:val="(AMPR) Header - Left"/>
    <w:basedOn w:val="AMPRHeader-Right"/>
    <w:semiHidden/>
    <w:qFormat/>
    <w:pPr>
      <w:ind w:left="-851" w:right="0"/>
      <w:jc w:val="left"/>
    </w:pPr>
  </w:style>
  <w:style w:type="paragraph" w:customStyle="1" w:styleId="PPOFooter-Right">
    <w:name w:val="(PPO) Footer - Right"/>
    <w:basedOn w:val="Normal"/>
    <w:qFormat/>
    <w:pPr>
      <w:spacing w:after="0" w:line="240" w:lineRule="auto"/>
      <w:jc w:val="right"/>
    </w:pPr>
    <w:rPr>
      <w:rFonts w:ascii="EC Square Sans Pro" w:eastAsia="EC Square Sans Pro" w:hAnsi="EC Square Sans Pro" w:cs="Times New Roman"/>
      <w:noProof/>
      <w:sz w:val="20"/>
      <w:szCs w:val="21"/>
      <w:lang w:eastAsia="zh-CN"/>
    </w:rPr>
  </w:style>
  <w:style w:type="paragraph" w:customStyle="1" w:styleId="PPOFooter-Left">
    <w:name w:val="(PPO) Footer - Left"/>
    <w:basedOn w:val="PPOFooter-Right"/>
    <w:qFormat/>
    <w:pPr>
      <w:jc w:val="left"/>
    </w:pPr>
  </w:style>
  <w:style w:type="paragraph" w:customStyle="1" w:styleId="PPOHeader-Right">
    <w:name w:val="(PPO) Header - Right"/>
    <w:basedOn w:val="Normal"/>
    <w:qFormat/>
    <w:pPr>
      <w:spacing w:after="120" w:line="240" w:lineRule="auto"/>
      <w:jc w:val="right"/>
    </w:pPr>
    <w:rPr>
      <w:rFonts w:ascii="EC Square Sans Pro" w:eastAsia="EC Square Sans Pro" w:hAnsi="EC Square Sans Pro" w:cs="Times New Roman"/>
      <w:noProof/>
      <w:color w:val="4472C4" w:themeColor="accent5"/>
      <w:sz w:val="20"/>
      <w:szCs w:val="21"/>
      <w:lang w:eastAsia="zh-CN"/>
    </w:rPr>
  </w:style>
  <w:style w:type="paragraph" w:customStyle="1" w:styleId="PPOHeader-Left">
    <w:name w:val="(PPO) Header - Left"/>
    <w:basedOn w:val="PPOHeader-Right"/>
    <w:qFormat/>
    <w:pPr>
      <w:jc w:val="left"/>
    </w:pPr>
  </w:style>
  <w:style w:type="paragraph" w:customStyle="1" w:styleId="AMPRBodyText">
    <w:name w:val="(AMPR) Body Text"/>
    <w:basedOn w:val="BASE-STYLE-TEXT"/>
    <w:semiHidden/>
    <w:qFormat/>
    <w:pPr>
      <w:spacing w:before="240" w:after="240" w:line="240" w:lineRule="auto"/>
    </w:pPr>
    <w:rPr>
      <w:rFonts w:eastAsiaTheme="minorHAnsi" w:cstheme="minorBidi"/>
      <w:noProof/>
      <w:color w:val="000000"/>
      <w:sz w:val="20"/>
      <w:szCs w:val="20"/>
      <w:lang w:eastAsia="en-US"/>
    </w:rPr>
  </w:style>
  <w:style w:type="paragraph" w:customStyle="1" w:styleId="AMPRAnnexesList-Columnspecifications-L1">
    <w:name w:val="(AMPR Annexes) List - Column specifications - L1"/>
    <w:basedOn w:val="AMPRBodyText"/>
    <w:semiHidden/>
    <w:qFormat/>
    <w:pPr>
      <w:numPr>
        <w:numId w:val="26"/>
      </w:numPr>
    </w:pPr>
  </w:style>
  <w:style w:type="paragraph" w:customStyle="1" w:styleId="AMPRAnnexesList-Columnspecifications-L1-Consecutive">
    <w:name w:val="(AMPR Annexes) List - Column specifications - L1 - Consecutive"/>
    <w:basedOn w:val="BASE-STYLE-TEXT"/>
    <w:semiHidden/>
    <w:qFormat/>
    <w:pPr>
      <w:spacing w:before="240" w:after="240" w:line="240" w:lineRule="auto"/>
      <w:ind w:left="357"/>
    </w:pPr>
    <w:rPr>
      <w:rFonts w:eastAsiaTheme="minorHAnsi" w:cstheme="minorBidi"/>
      <w:noProof/>
      <w:color w:val="000000"/>
      <w:sz w:val="20"/>
      <w:szCs w:val="20"/>
      <w:lang w:eastAsia="en-US"/>
    </w:rPr>
  </w:style>
  <w:style w:type="paragraph" w:customStyle="1" w:styleId="AMPRAnnexesList-Columnspecifications-L2">
    <w:name w:val="(AMPR Annexes) List - Column specifications - L2"/>
    <w:basedOn w:val="BASE-STYLE-TEXT"/>
    <w:semiHidden/>
    <w:qFormat/>
    <w:pPr>
      <w:numPr>
        <w:ilvl w:val="1"/>
        <w:numId w:val="26"/>
      </w:numPr>
      <w:spacing w:before="80" w:after="80" w:line="240" w:lineRule="auto"/>
    </w:pPr>
    <w:rPr>
      <w:rFonts w:eastAsiaTheme="minorHAnsi"/>
      <w:noProof/>
      <w:sz w:val="20"/>
      <w:szCs w:val="22"/>
      <w:lang w:eastAsia="en-US"/>
    </w:rPr>
  </w:style>
  <w:style w:type="character" w:customStyle="1" w:styleId="AMPRcharBlue">
    <w:name w:val="(AMPR char) Blue"/>
    <w:uiPriority w:val="1"/>
    <w:semiHidden/>
    <w:rPr>
      <w:noProof/>
      <w:color w:val="005D95"/>
      <w:bdr w:val="none" w:sz="0" w:space="0" w:color="auto"/>
      <w:shd w:val="clear" w:color="auto" w:fill="auto"/>
    </w:rPr>
  </w:style>
  <w:style w:type="character" w:customStyle="1" w:styleId="AMPRcharBold">
    <w:name w:val="(AMPR char) Bold"/>
    <w:uiPriority w:val="1"/>
    <w:semiHidden/>
    <w:rPr>
      <w:b/>
      <w:bCs/>
      <w:noProof/>
      <w:bdr w:val="none" w:sz="0" w:space="0" w:color="auto"/>
      <w:shd w:val="clear" w:color="auto" w:fill="auto"/>
    </w:rPr>
  </w:style>
  <w:style w:type="character" w:customStyle="1" w:styleId="AMPRcharBoldBlue">
    <w:name w:val="(AMPR char) Bold Blue"/>
    <w:uiPriority w:val="1"/>
    <w:semiHidden/>
    <w:rPr>
      <w:b/>
      <w:noProof/>
      <w:color w:val="005D95"/>
      <w:bdr w:val="none" w:sz="0" w:space="0" w:color="auto"/>
      <w:shd w:val="clear" w:color="auto" w:fill="auto"/>
      <w:lang w:val="en-GB"/>
    </w:rPr>
  </w:style>
  <w:style w:type="character" w:customStyle="1" w:styleId="AMPRcharBoldOrange">
    <w:name w:val="(AMPR char) Bold Orange"/>
    <w:basedOn w:val="DefaultParagraphFont"/>
    <w:uiPriority w:val="1"/>
    <w:semiHidden/>
    <w:rPr>
      <w:b/>
      <w:bCs/>
      <w:noProof/>
      <w:color w:val="5B9BD5" w:themeColor="accent1"/>
      <w:bdr w:val="none" w:sz="0" w:space="0" w:color="auto"/>
      <w:shd w:val="clear" w:color="auto" w:fill="auto"/>
    </w:rPr>
  </w:style>
  <w:style w:type="character" w:customStyle="1" w:styleId="AMPRcharHyperlink">
    <w:name w:val="(AMPR char) Hyperlink"/>
    <w:uiPriority w:val="1"/>
    <w:semiHidden/>
    <w:rPr>
      <w:noProof/>
      <w:color w:val="4E9DD6"/>
      <w:bdr w:val="none" w:sz="0" w:space="0" w:color="auto"/>
      <w:shd w:val="clear" w:color="auto" w:fill="auto"/>
    </w:rPr>
  </w:style>
  <w:style w:type="character" w:customStyle="1" w:styleId="AMPRcharItalic">
    <w:name w:val="(AMPR char) Italic"/>
    <w:uiPriority w:val="1"/>
    <w:semiHidden/>
    <w:rPr>
      <w:i/>
      <w:noProof/>
      <w:bdr w:val="none" w:sz="0" w:space="0" w:color="auto"/>
      <w:shd w:val="clear" w:color="auto" w:fill="auto"/>
    </w:rPr>
  </w:style>
  <w:style w:type="character" w:customStyle="1" w:styleId="AMPRcharOrange">
    <w:name w:val="(AMPR char) Orange"/>
    <w:basedOn w:val="DefaultParagraphFont"/>
    <w:uiPriority w:val="1"/>
    <w:semiHidden/>
    <w:rPr>
      <w:noProof/>
      <w:color w:val="DE5F0A"/>
      <w:bdr w:val="none" w:sz="0" w:space="0" w:color="auto"/>
      <w:shd w:val="clear" w:color="auto" w:fill="auto"/>
    </w:rPr>
  </w:style>
  <w:style w:type="paragraph" w:customStyle="1" w:styleId="AMPRBOXA-bgWHITElnORANGE-BLUEHeading">
    <w:name w:val="(AMPR) BOX A - bgWHITE_lnORANGE - BLUE Heading"/>
    <w:basedOn w:val="BASE-STYLE-TEXT"/>
    <w:next w:val="AMPRBOXA-bgWHITElnORANGE-BLUEtext"/>
    <w:semiHidden/>
    <w:qFormat/>
    <w:pPr>
      <w:pBdr>
        <w:top w:val="dashSmallGap" w:sz="12" w:space="8" w:color="F68A42"/>
        <w:left w:val="dashSmallGap" w:sz="12" w:space="8" w:color="F68A42"/>
        <w:bottom w:val="dashSmallGap" w:sz="12" w:space="8" w:color="F68A42"/>
        <w:right w:val="dashSmallGap" w:sz="12" w:space="8" w:color="F68A42"/>
      </w:pBdr>
      <w:spacing w:before="240" w:after="120" w:line="240" w:lineRule="auto"/>
    </w:pPr>
    <w:rPr>
      <w:b/>
      <w:noProof/>
      <w:color w:val="005D95"/>
      <w:sz w:val="22"/>
      <w:szCs w:val="24"/>
      <w:lang w:eastAsia="fr-BE"/>
    </w:rPr>
  </w:style>
  <w:style w:type="paragraph" w:customStyle="1" w:styleId="AMPRBOXA-bgWHITElnORANGE-BLUEtext">
    <w:name w:val="(AMPR) BOX A - bgWHITE_lnORANGE - BLUE text"/>
    <w:basedOn w:val="BASE-STYLE-TEXT"/>
    <w:semiHidden/>
    <w:qFormat/>
    <w:pPr>
      <w:pBdr>
        <w:top w:val="dashSmallGap" w:sz="12" w:space="8" w:color="F68A42"/>
        <w:left w:val="dashSmallGap" w:sz="12" w:space="8" w:color="F68A42"/>
        <w:bottom w:val="dashSmallGap" w:sz="12" w:space="8" w:color="F68A42"/>
        <w:right w:val="dashSmallGap" w:sz="12" w:space="8" w:color="F68A42"/>
      </w:pBdr>
      <w:spacing w:after="120" w:line="240" w:lineRule="auto"/>
    </w:pPr>
    <w:rPr>
      <w:noProof/>
      <w:color w:val="005D95"/>
      <w:sz w:val="20"/>
      <w:szCs w:val="22"/>
      <w:lang w:eastAsia="fr-BE"/>
    </w:rPr>
  </w:style>
  <w:style w:type="paragraph" w:customStyle="1" w:styleId="AMPRBOXB-bgWHITElnBLUE-BLACKHeading">
    <w:name w:val="(AMPR) BOX B - bgWHITE_lnBLUE - BLACK Heading"/>
    <w:basedOn w:val="BASE-STYLE-TEXT"/>
    <w:next w:val="AMPRBOXB-bgWHITElnBLUE-BLACKtext"/>
    <w:semiHidden/>
    <w:qFormat/>
    <w:pPr>
      <w:pBdr>
        <w:top w:val="dashSmallGap" w:sz="12" w:space="8" w:color="4E9DD6"/>
        <w:left w:val="dashSmallGap" w:sz="12" w:space="8" w:color="4E9DD6"/>
        <w:bottom w:val="dashSmallGap" w:sz="12" w:space="8" w:color="4E9DD6"/>
        <w:right w:val="dashSmallGap" w:sz="12" w:space="8" w:color="4E9DD6"/>
      </w:pBdr>
      <w:spacing w:after="120" w:line="240" w:lineRule="auto"/>
    </w:pPr>
    <w:rPr>
      <w:b/>
      <w:bCs/>
      <w:noProof/>
      <w:sz w:val="20"/>
      <w:szCs w:val="22"/>
      <w:lang w:eastAsia="fr-BE"/>
      <w14:textFill>
        <w14:solidFill>
          <w14:schemeClr w14:val="tx1">
            <w14:alpha w14:val="86000"/>
          </w14:schemeClr>
        </w14:solidFill>
      </w14:textFill>
    </w:rPr>
  </w:style>
  <w:style w:type="paragraph" w:customStyle="1" w:styleId="AMPRBOXB-bgWHITElnBLUE-BLACKtext">
    <w:name w:val="(AMPR) BOX B - bgWHITE_lnBLUE - BLACK text"/>
    <w:basedOn w:val="BASE-STYLE-TEXT"/>
    <w:semiHidden/>
    <w:qFormat/>
    <w:pPr>
      <w:pBdr>
        <w:top w:val="dashSmallGap" w:sz="12" w:space="8" w:color="4E9DD6"/>
        <w:left w:val="dashSmallGap" w:sz="12" w:space="8" w:color="4E9DD6"/>
        <w:bottom w:val="dashSmallGap" w:sz="12" w:space="8" w:color="4E9DD6"/>
        <w:right w:val="dashSmallGap" w:sz="12" w:space="8" w:color="4E9DD6"/>
      </w:pBdr>
      <w:spacing w:after="120" w:line="240" w:lineRule="auto"/>
    </w:pPr>
    <w:rPr>
      <w:noProof/>
      <w:sz w:val="20"/>
      <w:szCs w:val="22"/>
      <w:lang w:eastAsia="fr-BE"/>
    </w:rPr>
  </w:style>
  <w:style w:type="paragraph" w:customStyle="1" w:styleId="AMPRBOXB-bgWHITElnBLUE-BLUEHeading">
    <w:name w:val="(AMPR) BOX B - bgWHITE_lnBLUE - BLUE Heading"/>
    <w:basedOn w:val="BASE-STYLE-TEXT"/>
    <w:next w:val="AMPRBOXB-bgWHITElnBLUE-BLACKtext"/>
    <w:semiHidden/>
    <w:qFormat/>
    <w:pPr>
      <w:pBdr>
        <w:top w:val="dashSmallGap" w:sz="12" w:space="8" w:color="4E9DD6"/>
        <w:left w:val="dashSmallGap" w:sz="12" w:space="8" w:color="4E9DD6"/>
        <w:bottom w:val="dashSmallGap" w:sz="12" w:space="8" w:color="4E9DD6"/>
        <w:right w:val="dashSmallGap" w:sz="12" w:space="8" w:color="4E9DD6"/>
      </w:pBdr>
      <w:spacing w:before="240" w:after="120" w:line="240" w:lineRule="auto"/>
    </w:pPr>
    <w:rPr>
      <w:b/>
      <w:bCs/>
      <w:noProof/>
      <w:color w:val="005D95"/>
      <w:sz w:val="22"/>
      <w:szCs w:val="24"/>
      <w:lang w:eastAsia="fr-BE"/>
    </w:rPr>
  </w:style>
  <w:style w:type="paragraph" w:customStyle="1" w:styleId="AMPRBOXC-bgPINK-BLACKtext">
    <w:name w:val="(AMPR) BOX C - bgPINK - BLACK text"/>
    <w:basedOn w:val="BASE-STYLE-TEXT"/>
    <w:semiHidden/>
    <w:qFormat/>
    <w:pPr>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after="120" w:line="240" w:lineRule="auto"/>
    </w:pPr>
    <w:rPr>
      <w:rFonts w:eastAsiaTheme="minorHAnsi"/>
      <w:noProof/>
      <w:sz w:val="20"/>
      <w:szCs w:val="22"/>
      <w:lang w:eastAsia="fr-BE"/>
    </w:rPr>
  </w:style>
  <w:style w:type="paragraph" w:customStyle="1" w:styleId="AMPRBOXC-bgPINK-ORANGEHeading">
    <w:name w:val="(AMPR) BOX C - bgPINK - ORANGE Heading"/>
    <w:basedOn w:val="BASE-STYLE-TEXT"/>
    <w:next w:val="AMPRBOXC-bgPINK-BLACKtext"/>
    <w:semiHidden/>
    <w:qFormat/>
    <w:pPr>
      <w:keepNext/>
      <w:keepLines/>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before="240" w:after="120" w:line="240" w:lineRule="auto"/>
    </w:pPr>
    <w:rPr>
      <w:rFonts w:eastAsiaTheme="minorHAnsi"/>
      <w:b/>
      <w:bCs/>
      <w:noProof/>
      <w:color w:val="ED7D31" w:themeColor="accent2"/>
      <w:sz w:val="22"/>
      <w:szCs w:val="24"/>
      <w:lang w:eastAsia="fr-BE"/>
    </w:rPr>
  </w:style>
  <w:style w:type="paragraph" w:customStyle="1" w:styleId="AMPRBOXD-bgORANGEWHITEtext-Largefont">
    <w:name w:val="(AMPR) BOX D - bgORANGE WHITE text - Large font"/>
    <w:basedOn w:val="BASE-STYLE-TEXT"/>
    <w:semiHidden/>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pPr>
    <w:rPr>
      <w:rFonts w:eastAsiaTheme="minorHAnsi"/>
      <w:noProof/>
      <w:color w:val="FFFFFF" w:themeColor="background1"/>
      <w:sz w:val="24"/>
      <w:szCs w:val="24"/>
      <w:lang w:eastAsia="fr-BE"/>
    </w:rPr>
  </w:style>
  <w:style w:type="paragraph" w:customStyle="1" w:styleId="AMPRBOXE-bgBLUE-WHITEHeading">
    <w:name w:val="(AMPR) BOX E - bgBLUE - WHITE Heading"/>
    <w:basedOn w:val="BASE-STYLE-TEXT"/>
    <w:next w:val="AMPRBOXE-bgBLUE-WHITEtext"/>
    <w:semiHidden/>
    <w:qFormat/>
    <w:pPr>
      <w:pBdr>
        <w:top w:val="single" w:sz="4" w:space="9" w:color="005D95"/>
        <w:left w:val="single" w:sz="4" w:space="9" w:color="005D95"/>
        <w:bottom w:val="single" w:sz="4" w:space="9" w:color="005D95"/>
        <w:right w:val="single" w:sz="4" w:space="9" w:color="005D95"/>
      </w:pBdr>
      <w:shd w:val="clear" w:color="auto" w:fill="005D95"/>
      <w:spacing w:after="120" w:line="240" w:lineRule="auto"/>
    </w:pPr>
    <w:rPr>
      <w:rFonts w:eastAsiaTheme="minorHAnsi"/>
      <w:b/>
      <w:bCs/>
      <w:noProof/>
      <w:color w:val="FFFFFF" w:themeColor="background1"/>
      <w:sz w:val="22"/>
      <w:szCs w:val="22"/>
      <w:lang w:eastAsia="fr-BE"/>
    </w:rPr>
  </w:style>
  <w:style w:type="paragraph" w:customStyle="1" w:styleId="AMPRBOXE-bgBLUE-WHITEtext">
    <w:name w:val="(AMPR) BOX E - bgBLUE - WHITE text"/>
    <w:basedOn w:val="BASE-STYLE-TEXT"/>
    <w:semiHidden/>
    <w:qFormat/>
    <w:pPr>
      <w:pBdr>
        <w:top w:val="single" w:sz="4" w:space="9" w:color="005D95"/>
        <w:left w:val="single" w:sz="4" w:space="9" w:color="005D95"/>
        <w:bottom w:val="single" w:sz="4" w:space="9" w:color="005D95"/>
        <w:right w:val="single" w:sz="4" w:space="9" w:color="005D95"/>
      </w:pBdr>
      <w:shd w:val="clear" w:color="auto" w:fill="005D95"/>
      <w:spacing w:after="120" w:line="240" w:lineRule="auto"/>
    </w:pPr>
    <w:rPr>
      <w:rFonts w:eastAsiaTheme="minorHAnsi"/>
      <w:noProof/>
      <w:color w:val="FFFFFF" w:themeColor="background1"/>
      <w:sz w:val="20"/>
      <w:szCs w:val="22"/>
      <w:lang w:eastAsia="fr-BE"/>
    </w:rPr>
  </w:style>
  <w:style w:type="paragraph" w:customStyle="1" w:styleId="AMPRCharttitle">
    <w:name w:val="(AMPR) Chart title"/>
    <w:basedOn w:val="BASE-STYLE-TEXT"/>
    <w:next w:val="AMPRSource-Table-Chart-Photo-Caption"/>
    <w:semiHidden/>
    <w:qFormat/>
    <w:pPr>
      <w:spacing w:before="120" w:after="0" w:line="240" w:lineRule="auto"/>
      <w:jc w:val="left"/>
    </w:pPr>
    <w:rPr>
      <w:rFonts w:ascii="EC Square Sans Cond Pro Medium" w:eastAsia="Calibri" w:hAnsi="EC Square Sans Cond Pro Medium"/>
      <w:iCs/>
      <w:noProof/>
      <w:color w:val="auto"/>
      <w:sz w:val="16"/>
      <w:szCs w:val="16"/>
      <w:lang w:eastAsia="fr-BE"/>
    </w:rPr>
  </w:style>
  <w:style w:type="paragraph" w:customStyle="1" w:styleId="AMPRChart-Tabletitle">
    <w:name w:val="(AMPR) Chart-Table title"/>
    <w:basedOn w:val="BASE-STYLE-TEXT"/>
    <w:next w:val="AMPRSource-Table-Chart-Photo-Caption"/>
    <w:semiHidden/>
    <w:qFormat/>
    <w:pPr>
      <w:spacing w:before="120" w:after="0" w:line="240" w:lineRule="auto"/>
      <w:jc w:val="left"/>
    </w:pPr>
    <w:rPr>
      <w:rFonts w:ascii="EC Square Sans Cond Pro Medium" w:eastAsia="Calibri" w:hAnsi="EC Square Sans Cond Pro Medium"/>
      <w:iCs/>
      <w:noProof/>
      <w:color w:val="auto"/>
      <w:sz w:val="16"/>
      <w:szCs w:val="16"/>
      <w:lang w:eastAsia="fr-BE"/>
    </w:rPr>
  </w:style>
  <w:style w:type="numbering" w:customStyle="1" w:styleId="AMPRLIST-Annexes-Headings">
    <w:name w:val="(AMPR) LIST - Annexes - Headings"/>
    <w:uiPriority w:val="99"/>
    <w:pPr>
      <w:numPr>
        <w:numId w:val="27"/>
      </w:numPr>
    </w:pPr>
  </w:style>
  <w:style w:type="numbering" w:customStyle="1" w:styleId="AMPRLIST-SEC1-Headings">
    <w:name w:val="(AMPR) LIST - SEC 1 - Headings"/>
    <w:uiPriority w:val="99"/>
    <w:pPr>
      <w:numPr>
        <w:numId w:val="28"/>
      </w:numPr>
    </w:pPr>
  </w:style>
  <w:style w:type="numbering" w:customStyle="1" w:styleId="AMPRLIST-SEC2-Headings">
    <w:name w:val="(AMPR) LIST - SEC 2 - Headings"/>
    <w:uiPriority w:val="99"/>
    <w:pPr>
      <w:numPr>
        <w:numId w:val="29"/>
      </w:numPr>
    </w:pPr>
  </w:style>
  <w:style w:type="paragraph" w:customStyle="1" w:styleId="AMPRLista-L1">
    <w:name w:val="(AMPR) List (a) - L1"/>
    <w:basedOn w:val="BASE-STYLE-TEXT"/>
    <w:semiHidden/>
    <w:qFormat/>
    <w:pPr>
      <w:numPr>
        <w:numId w:val="30"/>
      </w:numPr>
      <w:spacing w:before="80" w:after="80" w:line="240" w:lineRule="auto"/>
      <w:jc w:val="left"/>
    </w:pPr>
    <w:rPr>
      <w:rFonts w:eastAsiaTheme="minorHAnsi"/>
      <w:noProof/>
      <w:color w:val="auto"/>
      <w:sz w:val="20"/>
      <w:szCs w:val="22"/>
      <w:lang w:eastAsia="en-US"/>
    </w:rPr>
  </w:style>
  <w:style w:type="paragraph" w:customStyle="1" w:styleId="AMPRListBlue-L1">
    <w:name w:val="(AMPR) List * [Blue] - L1"/>
    <w:basedOn w:val="BASE-STYLE-TEXT"/>
    <w:semiHidden/>
    <w:qFormat/>
    <w:pPr>
      <w:numPr>
        <w:numId w:val="31"/>
      </w:numPr>
      <w:spacing w:before="80" w:after="80" w:line="240" w:lineRule="auto"/>
    </w:pPr>
    <w:rPr>
      <w:rFonts w:eastAsiaTheme="minorHAnsi"/>
      <w:noProof/>
      <w:sz w:val="20"/>
      <w:szCs w:val="22"/>
      <w:lang w:eastAsia="en-US"/>
    </w:rPr>
  </w:style>
  <w:style w:type="paragraph" w:customStyle="1" w:styleId="AMPRListBlue-L2">
    <w:name w:val="(AMPR) List * [Blue] - L2"/>
    <w:basedOn w:val="BASE-STYLE-TEXT"/>
    <w:semiHidden/>
    <w:qFormat/>
    <w:pPr>
      <w:numPr>
        <w:ilvl w:val="1"/>
        <w:numId w:val="31"/>
      </w:numPr>
      <w:spacing w:before="80" w:after="80" w:line="240" w:lineRule="auto"/>
    </w:pPr>
    <w:rPr>
      <w:rFonts w:eastAsiaTheme="minorHAnsi"/>
      <w:noProof/>
      <w:sz w:val="20"/>
      <w:szCs w:val="22"/>
      <w:lang w:eastAsia="fr-BE"/>
    </w:rPr>
  </w:style>
  <w:style w:type="paragraph" w:customStyle="1" w:styleId="AMPRListOrange-L1">
    <w:name w:val="(AMPR) List * [Orange] - L1"/>
    <w:basedOn w:val="BASE-STYLE-TEXT"/>
    <w:semiHidden/>
    <w:qFormat/>
    <w:pPr>
      <w:numPr>
        <w:numId w:val="32"/>
      </w:numPr>
      <w:spacing w:before="80" w:after="80" w:line="240" w:lineRule="auto"/>
    </w:pPr>
    <w:rPr>
      <w:rFonts w:eastAsiaTheme="minorHAnsi"/>
      <w:noProof/>
      <w:sz w:val="20"/>
      <w:szCs w:val="22"/>
      <w:lang w:eastAsia="en-US"/>
    </w:rPr>
  </w:style>
  <w:style w:type="paragraph" w:customStyle="1" w:styleId="AMPRListOrange-L1-consecutive">
    <w:name w:val="(AMPR) List * [Orange] - L1 - consecutive"/>
    <w:basedOn w:val="AMPRListOrange-L1"/>
    <w:semiHidden/>
    <w:qFormat/>
    <w:pPr>
      <w:numPr>
        <w:numId w:val="0"/>
      </w:numPr>
      <w:ind w:left="697"/>
    </w:pPr>
  </w:style>
  <w:style w:type="paragraph" w:customStyle="1" w:styleId="AMPRListOrange-L2">
    <w:name w:val="(AMPR) List * [Orange] - L2"/>
    <w:basedOn w:val="BASE-STYLE-TEXT"/>
    <w:semiHidden/>
    <w:qFormat/>
    <w:pPr>
      <w:numPr>
        <w:ilvl w:val="1"/>
        <w:numId w:val="32"/>
      </w:numPr>
      <w:spacing w:before="80" w:after="80" w:line="240" w:lineRule="auto"/>
    </w:pPr>
    <w:rPr>
      <w:rFonts w:eastAsiaTheme="minorHAnsi"/>
      <w:noProof/>
      <w:sz w:val="20"/>
      <w:szCs w:val="22"/>
      <w:lang w:eastAsia="fr-BE"/>
    </w:rPr>
  </w:style>
  <w:style w:type="paragraph" w:customStyle="1" w:styleId="AMPRSource-Table-Chart-Photo-Caption">
    <w:name w:val="(AMPR) Source-Table-Chart-Photo-Caption"/>
    <w:basedOn w:val="BASE-STYLE-TEXT"/>
    <w:next w:val="AMPRBodyText"/>
    <w:qFormat/>
    <w:pPr>
      <w:spacing w:before="40" w:after="0" w:line="240" w:lineRule="auto"/>
      <w:jc w:val="left"/>
    </w:pPr>
    <w:rPr>
      <w:rFonts w:eastAsia="Calibri"/>
      <w:iCs/>
      <w:noProof/>
      <w:color w:val="auto"/>
      <w:sz w:val="16"/>
      <w:szCs w:val="16"/>
      <w:lang w:eastAsia="fr-BE"/>
    </w:rPr>
  </w:style>
  <w:style w:type="paragraph" w:customStyle="1" w:styleId="AMPRTABLEA-HEADERText-WHITE">
    <w:name w:val="(AMPR) TABLE A - HEADER Text - WHITE"/>
    <w:basedOn w:val="BASE-STYLE-TEXT"/>
    <w:semiHidden/>
    <w:qFormat/>
    <w:pPr>
      <w:spacing w:before="60" w:after="60" w:line="240" w:lineRule="auto"/>
      <w:jc w:val="center"/>
    </w:pPr>
    <w:rPr>
      <w:rFonts w:cs="Arial"/>
      <w:b/>
      <w:bCs/>
      <w:noProof/>
      <w:color w:val="FFFFFF"/>
      <w:szCs w:val="16"/>
      <w:lang w:eastAsia="en-US"/>
    </w:rPr>
  </w:style>
  <w:style w:type="table" w:customStyle="1" w:styleId="AMPRTABLEA-Template">
    <w:name w:val="(AMPR) TABLE A - Template"/>
    <w:basedOn w:val="TableNormal"/>
    <w:uiPriority w:val="99"/>
    <w:pPr>
      <w:keepLines/>
      <w:spacing w:before="60" w:after="60" w:line="240" w:lineRule="auto"/>
      <w:jc w:val="right"/>
    </w:pPr>
    <w:rPr>
      <w:rFonts w:ascii="EC Square Sans Pro" w:hAnsi="EC Square Sans Pro"/>
      <w:sz w:val="18"/>
      <w:lang w:val="fr-BE"/>
    </w:rPr>
    <w:tblPr>
      <w:tblInd w:w="108" w:type="dxa"/>
      <w:tblBorders>
        <w:bottom w:val="single" w:sz="4" w:space="0" w:color="F68A42"/>
        <w:insideH w:val="single" w:sz="4" w:space="0" w:color="F68A42"/>
        <w:insideV w:val="single" w:sz="4" w:space="0" w:color="F68A42"/>
      </w:tblBorders>
    </w:tblPr>
    <w:trPr>
      <w:cantSplit/>
    </w:trPr>
    <w:tblStylePr w:type="firstRow">
      <w:pPr>
        <w:wordWrap/>
        <w:spacing w:beforeLines="60" w:before="60" w:beforeAutospacing="0" w:afterLines="60" w:after="60" w:afterAutospacing="0" w:line="240" w:lineRule="auto"/>
        <w:jc w:val="center"/>
        <w:outlineLvl w:val="9"/>
      </w:pPr>
      <w:rPr>
        <w:rFonts w:ascii="EC Square Sans Pro" w:hAnsi="EC Square Sans Pro"/>
        <w:b w:val="0"/>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203F79"/>
        <w:vAlign w:val="center"/>
      </w:tcPr>
    </w:tblStylePr>
    <w:tblStylePr w:type="lastRow">
      <w:rPr>
        <w:b w:val="0"/>
        <w:i w:val="0"/>
      </w:rPr>
      <w:tblPr/>
      <w:tcPr>
        <w:shd w:val="clear" w:color="auto" w:fill="DEEAF6" w:themeFill="accent1" w:themeFillTint="33"/>
      </w:tcPr>
    </w:tblStylePr>
    <w:tblStylePr w:type="firstCol">
      <w:pPr>
        <w:wordWrap/>
        <w:jc w:val="left"/>
      </w:pPr>
    </w:tblStylePr>
  </w:style>
  <w:style w:type="paragraph" w:customStyle="1" w:styleId="AMPRTABLEA-TextJUSTIFIED-BLACK">
    <w:name w:val="(AMPR) TABLE A - Text JUSTIFIED - BLACK"/>
    <w:basedOn w:val="BASE-STYLE-TEXT"/>
    <w:semiHidden/>
    <w:qFormat/>
    <w:pPr>
      <w:spacing w:before="60" w:after="60" w:line="240" w:lineRule="auto"/>
    </w:pPr>
    <w:rPr>
      <w:rFonts w:asciiTheme="minorHAnsi" w:hAnsiTheme="minorHAnsi" w:cs="Arial"/>
      <w:noProof/>
      <w:color w:val="000000"/>
      <w:szCs w:val="18"/>
      <w:lang w:eastAsia="en-US"/>
    </w:rPr>
  </w:style>
  <w:style w:type="paragraph" w:customStyle="1" w:styleId="AMPRTABLEA-TextLEFTalligned-BLACK">
    <w:name w:val="(AMPR) TABLE A - Text LEFT_alligned - BLACK"/>
    <w:basedOn w:val="BASE-STYLE-TEXT"/>
    <w:semiHidden/>
    <w:qFormat/>
    <w:pPr>
      <w:spacing w:before="60" w:after="60" w:line="240" w:lineRule="auto"/>
      <w:jc w:val="left"/>
    </w:pPr>
    <w:rPr>
      <w:rFonts w:asciiTheme="minorHAnsi" w:hAnsiTheme="minorHAnsi" w:cs="Arial"/>
      <w:noProof/>
      <w:color w:val="000000"/>
      <w:szCs w:val="18"/>
      <w:lang w:eastAsia="en-US"/>
    </w:rPr>
  </w:style>
  <w:style w:type="paragraph" w:customStyle="1" w:styleId="AMPRTABLEA-TextLEFTallignedindented-BLACK">
    <w:name w:val="(AMPR) TABLE A - Text LEFT_alligned_indented - BLACK"/>
    <w:basedOn w:val="AMPRTABLEA-TextLEFTalligned-BLACK"/>
    <w:semiHidden/>
    <w:qFormat/>
    <w:pPr>
      <w:ind w:left="142"/>
    </w:pPr>
  </w:style>
  <w:style w:type="paragraph" w:customStyle="1" w:styleId="AMPRTABLEA-TextRIGHTalligned-BLACK">
    <w:name w:val="(AMPR) TABLE A - Text RIGHT_alligned - BLACK"/>
    <w:basedOn w:val="BASE-STYLE-TEXT"/>
    <w:semiHidden/>
    <w:qFormat/>
    <w:pPr>
      <w:spacing w:before="60" w:after="60" w:line="240" w:lineRule="auto"/>
      <w:jc w:val="right"/>
    </w:pPr>
    <w:rPr>
      <w:rFonts w:asciiTheme="minorHAnsi" w:eastAsia="Times New Roman" w:hAnsiTheme="minorHAnsi" w:cs="Arial"/>
      <w:noProof/>
      <w:color w:val="000000"/>
      <w:szCs w:val="18"/>
      <w:lang w:eastAsia="en-US"/>
    </w:rPr>
  </w:style>
  <w:style w:type="paragraph" w:customStyle="1" w:styleId="AMPRTABLEA-TOTALLEFTalligned-BLACK">
    <w:name w:val="(AMPR) TABLE A - TOTAL LEFT_alligned - BLACK"/>
    <w:basedOn w:val="BASE-STYLE-TEXT"/>
    <w:semiHidden/>
    <w:qFormat/>
    <w:pPr>
      <w:spacing w:before="60" w:after="60" w:line="240" w:lineRule="auto"/>
      <w:jc w:val="left"/>
    </w:pPr>
    <w:rPr>
      <w:rFonts w:asciiTheme="minorHAnsi" w:eastAsia="Times New Roman" w:hAnsiTheme="minorHAnsi" w:cs="Arial"/>
      <w:b/>
      <w:noProof/>
      <w:color w:val="000000"/>
      <w:szCs w:val="18"/>
      <w:lang w:eastAsia="en-US"/>
    </w:rPr>
  </w:style>
  <w:style w:type="paragraph" w:customStyle="1" w:styleId="AMPRTABLEA-TOTALRIGHTalligned-BLACK">
    <w:name w:val="(AMPR) TABLE A - TOTAL RIGHT_alligned - BLACK"/>
    <w:basedOn w:val="BASE-STYLE-TEXT"/>
    <w:semiHidden/>
    <w:qFormat/>
    <w:pPr>
      <w:spacing w:before="60" w:after="60" w:line="240" w:lineRule="auto"/>
      <w:jc w:val="right"/>
    </w:pPr>
    <w:rPr>
      <w:rFonts w:asciiTheme="minorHAnsi" w:eastAsiaTheme="minorHAnsi" w:hAnsiTheme="minorHAnsi" w:cs="Arial"/>
      <w:b/>
      <w:noProof/>
      <w:color w:val="000000"/>
      <w:szCs w:val="18"/>
      <w:lang w:eastAsia="en-US"/>
    </w:rPr>
  </w:style>
  <w:style w:type="paragraph" w:customStyle="1" w:styleId="AMPRTableF-Text-DarkBlue">
    <w:name w:val="(AMPR) Table F - Text - DarkBlue"/>
    <w:basedOn w:val="BASE-STYLE-TEXT"/>
    <w:semiHidden/>
    <w:qFormat/>
    <w:pPr>
      <w:framePr w:hSpace="180" w:wrap="around" w:vAnchor="text" w:hAnchor="margin" w:y="962"/>
      <w:tabs>
        <w:tab w:val="left" w:pos="2705"/>
      </w:tabs>
      <w:spacing w:after="0" w:line="240" w:lineRule="auto"/>
    </w:pPr>
    <w:rPr>
      <w:rFonts w:eastAsia="Calibri"/>
      <w:noProof/>
      <w:color w:val="203F79"/>
      <w:szCs w:val="18"/>
    </w:rPr>
  </w:style>
  <w:style w:type="paragraph" w:customStyle="1" w:styleId="AMPRtableBOXA-bgWHITElnORANGE-BLUEBullet">
    <w:name w:val="(AMPR) tableBOX A - bgWHITE_lnORANGE - BLUE Bullet"/>
    <w:basedOn w:val="BASE-STYLE-TEXT"/>
    <w:semiHidden/>
    <w:qFormat/>
    <w:pPr>
      <w:widowControl w:val="0"/>
      <w:numPr>
        <w:numId w:val="33"/>
      </w:numPr>
      <w:autoSpaceDE w:val="0"/>
      <w:autoSpaceDN w:val="0"/>
      <w:adjustRightInd w:val="0"/>
      <w:spacing w:after="100" w:line="241" w:lineRule="exact"/>
      <w:jc w:val="left"/>
    </w:pPr>
    <w:rPr>
      <w:rFonts w:eastAsia="Times New Roman"/>
      <w:noProof/>
      <w:color w:val="4472C4" w:themeColor="accent5"/>
      <w:sz w:val="20"/>
      <w:szCs w:val="24"/>
      <w:lang w:eastAsia="fr-BE"/>
    </w:rPr>
  </w:style>
  <w:style w:type="paragraph" w:customStyle="1" w:styleId="AMPRtableBOXA-bgWHITElnORANGE-BLUEheading">
    <w:name w:val="(AMPR) tableBOX A - bgWHITE_lnORANGE - BLUE heading"/>
    <w:basedOn w:val="BASE-STYLE-TEXT"/>
    <w:semiHidden/>
    <w:qFormat/>
    <w:pPr>
      <w:widowControl w:val="0"/>
      <w:autoSpaceDE w:val="0"/>
      <w:autoSpaceDN w:val="0"/>
      <w:adjustRightInd w:val="0"/>
      <w:spacing w:after="100" w:line="241" w:lineRule="exact"/>
      <w:jc w:val="left"/>
    </w:pPr>
    <w:rPr>
      <w:rFonts w:eastAsia="Times New Roman"/>
      <w:b/>
      <w:noProof/>
      <w:color w:val="4472C4" w:themeColor="accent5"/>
      <w:sz w:val="20"/>
      <w:szCs w:val="24"/>
      <w:lang w:eastAsia="fr-BE"/>
    </w:rPr>
  </w:style>
  <w:style w:type="paragraph" w:customStyle="1" w:styleId="AMPRtableBOXA-bgWHITElnORANGE-BLUEText">
    <w:name w:val="(AMPR) tableBOX A - bgWHITE_lnORANGE - BLUE Text"/>
    <w:basedOn w:val="BASE-STYLE-TEXT"/>
    <w:semiHidden/>
    <w:qFormat/>
    <w:pPr>
      <w:spacing w:after="100" w:line="240" w:lineRule="auto"/>
    </w:pPr>
    <w:rPr>
      <w:rFonts w:eastAsiaTheme="minorHAnsi" w:cstheme="minorBidi"/>
      <w:noProof/>
      <w:color w:val="005D95"/>
      <w:sz w:val="20"/>
      <w:szCs w:val="20"/>
      <w:lang w:eastAsia="en-US"/>
    </w:rPr>
  </w:style>
  <w:style w:type="paragraph" w:customStyle="1" w:styleId="AMPRTitle2">
    <w:name w:val="(AMPR) Title 2"/>
    <w:basedOn w:val="BASE-STYLE-HEADINGS"/>
    <w:next w:val="AMPRBodyText"/>
    <w:semiHidden/>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1">
    <w:name w:val="(AMPR_Annexes) TITLE 1"/>
    <w:basedOn w:val="BASE-STYLE-HEADINGS"/>
    <w:next w:val="Normal"/>
    <w:semiHidden/>
    <w:qFormat/>
    <w:pPr>
      <w:spacing w:before="8600" w:after="240" w:line="240" w:lineRule="auto"/>
      <w:ind w:left="3844"/>
      <w:jc w:val="left"/>
    </w:pPr>
    <w:rPr>
      <w:rFonts w:ascii="EC Square Sans Pro Light" w:eastAsiaTheme="minorHAnsi" w:hAnsi="EC Square Sans Pro Light" w:cstheme="minorBidi"/>
      <w:color w:val="FFFFFF" w:themeColor="background1"/>
      <w:sz w:val="72"/>
      <w:szCs w:val="72"/>
      <w:lang w:eastAsia="en-US"/>
    </w:rPr>
  </w:style>
  <w:style w:type="paragraph" w:customStyle="1" w:styleId="AMPRAnnexesTITLE2">
    <w:name w:val="(AMPR_Annexes) TITLE 2"/>
    <w:basedOn w:val="BASE-STYLE-HEADINGS"/>
    <w:next w:val="AMPRBodyText"/>
    <w:semiHidden/>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AnnexesTITLE3">
    <w:name w:val="(AMPR_Annexes) TITLE 3"/>
    <w:basedOn w:val="BASE-STYLE-HEADINGS"/>
    <w:next w:val="AMPRBodyText"/>
    <w:semiHidden/>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3-Numbered">
    <w:name w:val="(AMPR_Annexes) TITLE 3 - Numbered"/>
    <w:basedOn w:val="BASE-STYLE-HEADINGS"/>
    <w:next w:val="AMPRBodyText"/>
    <w:semiHidden/>
    <w:qFormat/>
    <w:pPr>
      <w:keepNext/>
      <w:keepLines/>
      <w:numPr>
        <w:numId w:val="34"/>
      </w:numPr>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4">
    <w:name w:val="(AMPR_Annexes) TITLE 4"/>
    <w:basedOn w:val="BASE-STYLE-HEADINGS"/>
    <w:next w:val="AMPRBodyText"/>
    <w:semiHidden/>
    <w:qFormat/>
    <w:pPr>
      <w:keepNext/>
      <w:keepLines/>
      <w:spacing w:before="360" w:after="240" w:line="240" w:lineRule="auto"/>
      <w:ind w:left="663"/>
      <w:jc w:val="left"/>
      <w:outlineLvl w:val="2"/>
    </w:pPr>
    <w:rPr>
      <w:rFonts w:eastAsiaTheme="minorHAnsi"/>
      <w:b/>
      <w:color w:val="5B9BD5" w:themeColor="accent1"/>
      <w:sz w:val="28"/>
      <w:szCs w:val="22"/>
    </w:rPr>
  </w:style>
  <w:style w:type="paragraph" w:customStyle="1" w:styleId="AMPRAnnexesTITLE4-Numbered">
    <w:name w:val="(AMPR_Annexes) TITLE 4 - Numbered"/>
    <w:basedOn w:val="BASE-STYLE-HEADINGS"/>
    <w:next w:val="AMPRBodyText"/>
    <w:semiHidden/>
    <w:qFormat/>
    <w:pPr>
      <w:keepNext/>
      <w:keepLines/>
      <w:numPr>
        <w:ilvl w:val="1"/>
        <w:numId w:val="34"/>
      </w:numPr>
      <w:spacing w:before="360" w:after="240" w:line="240" w:lineRule="auto"/>
      <w:jc w:val="left"/>
      <w:outlineLvl w:val="2"/>
    </w:pPr>
    <w:rPr>
      <w:rFonts w:eastAsiaTheme="minorHAnsi"/>
      <w:b/>
      <w:color w:val="5B9BD5" w:themeColor="accent1"/>
      <w:sz w:val="28"/>
      <w:szCs w:val="22"/>
    </w:rPr>
  </w:style>
  <w:style w:type="paragraph" w:customStyle="1" w:styleId="AMPRAnnexesTITLE5">
    <w:name w:val="(AMPR_Annexes) TITLE 5"/>
    <w:basedOn w:val="BASE-STYLE-HEADINGS"/>
    <w:next w:val="AMPRBodyText"/>
    <w:semiHidden/>
    <w:qFormat/>
    <w:pPr>
      <w:keepNext/>
      <w:keepLines/>
      <w:spacing w:before="240" w:after="240" w:line="240" w:lineRule="auto"/>
      <w:ind w:left="340"/>
      <w:jc w:val="left"/>
    </w:pPr>
    <w:rPr>
      <w:rFonts w:eastAsiaTheme="minorHAnsi"/>
      <w:b/>
      <w:color w:val="FFC000" w:themeColor="accent4"/>
      <w:sz w:val="24"/>
      <w:szCs w:val="22"/>
    </w:rPr>
  </w:style>
  <w:style w:type="numbering" w:customStyle="1" w:styleId="AMPRANNEXESLISTColumnSpecifications">
    <w:name w:val="(AMPR_ANNEXES_LIST) Column Specifications"/>
    <w:uiPriority w:val="99"/>
    <w:pPr>
      <w:numPr>
        <w:numId w:val="26"/>
      </w:numPr>
    </w:pPr>
  </w:style>
  <w:style w:type="paragraph" w:customStyle="1" w:styleId="AMPRCoverInsidecover-Identifierstabletext">
    <w:name w:val="(AMPR_Cover) Inside cover - Identifiers table text"/>
    <w:basedOn w:val="BASE-STYLE-TEXT"/>
    <w:semiHidden/>
    <w:qFormat/>
    <w:pPr>
      <w:widowControl w:val="0"/>
      <w:autoSpaceDE w:val="0"/>
      <w:autoSpaceDN w:val="0"/>
      <w:spacing w:after="0" w:line="218" w:lineRule="exact"/>
      <w:jc w:val="left"/>
    </w:pPr>
    <w:rPr>
      <w:rFonts w:ascii="EC Square Sans Pro Light" w:eastAsia="EC Square Sans Pro Light" w:hAnsi="EC Square Sans Pro Light" w:cs="EC Square Sans Pro Light"/>
      <w:noProof/>
      <w:color w:val="auto"/>
      <w:sz w:val="20"/>
      <w:szCs w:val="22"/>
      <w:lang w:eastAsia="en-US" w:bidi="en-US"/>
    </w:rPr>
  </w:style>
  <w:style w:type="paragraph" w:customStyle="1" w:styleId="AMPRCoverInsidecovertext">
    <w:name w:val="(AMPR_Cover) Inside cover text"/>
    <w:basedOn w:val="BASE-STYLE-TEXT"/>
    <w:semiHidden/>
    <w:qFormat/>
    <w:pPr>
      <w:autoSpaceDE w:val="0"/>
      <w:autoSpaceDN w:val="0"/>
      <w:spacing w:before="240" w:after="240" w:line="240" w:lineRule="auto"/>
    </w:pPr>
    <w:rPr>
      <w:rFonts w:cs="EC Square Sans Pro"/>
      <w:noProof/>
      <w:color w:val="auto"/>
      <w:sz w:val="20"/>
      <w:szCs w:val="20"/>
      <w:lang w:eastAsia="en-US" w:bidi="en-US"/>
    </w:rPr>
  </w:style>
  <w:style w:type="paragraph" w:customStyle="1" w:styleId="AMPRCoverInsidecovertext-nospacebeforeandafter">
    <w:name w:val="(AMPR_Cover) Inside cover text - no space before and after"/>
    <w:basedOn w:val="BASE-STYLE-TEXT"/>
    <w:semiHidden/>
    <w:qFormat/>
    <w:pPr>
      <w:autoSpaceDE w:val="0"/>
      <w:autoSpaceDN w:val="0"/>
      <w:spacing w:after="0" w:line="240" w:lineRule="auto"/>
    </w:pPr>
    <w:rPr>
      <w:rFonts w:cs="EC Square Sans Pro"/>
      <w:noProof/>
      <w:color w:val="auto"/>
      <w:sz w:val="20"/>
      <w:szCs w:val="20"/>
      <w:lang w:eastAsia="en-US" w:bidi="en-US"/>
    </w:rPr>
  </w:style>
  <w:style w:type="paragraph" w:customStyle="1" w:styleId="AMPRForewordTITLE1">
    <w:name w:val="(AMPR_Foreword) TITLE 1"/>
    <w:basedOn w:val="BASE-STYLE-HEADINGS"/>
    <w:next w:val="AMPRBodyText"/>
    <w:semiHidden/>
    <w:qFormat/>
    <w:pPr>
      <w:keepNext/>
      <w:keepLines/>
      <w:pageBreakBefore/>
      <w:spacing w:after="240" w:line="240" w:lineRule="auto"/>
      <w:jc w:val="left"/>
      <w:outlineLvl w:val="0"/>
    </w:pPr>
    <w:rPr>
      <w:rFonts w:eastAsiaTheme="minorHAnsi"/>
      <w:color w:val="005D95"/>
      <w:sz w:val="48"/>
      <w:szCs w:val="22"/>
      <w:lang w:eastAsia="en-US"/>
    </w:rPr>
  </w:style>
  <w:style w:type="numbering" w:customStyle="1" w:styleId="AMPRLISTa">
    <w:name w:val="(AMPR_LIST) (a)"/>
    <w:uiPriority w:val="99"/>
    <w:pPr>
      <w:numPr>
        <w:numId w:val="30"/>
      </w:numPr>
    </w:pPr>
  </w:style>
  <w:style w:type="numbering" w:customStyle="1" w:styleId="AMPRLISTBlue">
    <w:name w:val="(AMPR_LIST) * Blue"/>
    <w:uiPriority w:val="99"/>
    <w:pPr>
      <w:numPr>
        <w:numId w:val="31"/>
      </w:numPr>
    </w:pPr>
  </w:style>
  <w:style w:type="numbering" w:customStyle="1" w:styleId="AMPRLISTOrange">
    <w:name w:val="(AMPR_LIST) * Orange"/>
    <w:uiPriority w:val="99"/>
    <w:pPr>
      <w:numPr>
        <w:numId w:val="32"/>
      </w:numPr>
    </w:pPr>
  </w:style>
  <w:style w:type="paragraph" w:customStyle="1" w:styleId="AMPRReportTITLE1-noTOC">
    <w:name w:val="(AMPR_Report) TITLE 1 - noTOC"/>
    <w:basedOn w:val="BASE-STYLE-HEADINGS"/>
    <w:next w:val="AMPRBodyText"/>
    <w:semiHidden/>
    <w:qFormat/>
    <w:pPr>
      <w:spacing w:before="8320" w:after="240" w:line="240" w:lineRule="auto"/>
      <w:ind w:left="3844" w:right="-567"/>
      <w:jc w:val="left"/>
    </w:pPr>
    <w:rPr>
      <w:rFonts w:ascii="EC Square Sans Pro Light" w:eastAsiaTheme="minorHAnsi" w:hAnsi="EC Square Sans Pro Light" w:cstheme="minorBidi"/>
      <w:color w:val="FFFFFF" w:themeColor="background1"/>
      <w:sz w:val="72"/>
      <w:szCs w:val="72"/>
      <w:lang w:eastAsia="en-US"/>
    </w:rPr>
  </w:style>
  <w:style w:type="paragraph" w:customStyle="1" w:styleId="AMPRSec1TITLE1">
    <w:name w:val="(AMPR_Sec1) TITLE 1"/>
    <w:basedOn w:val="BASE-STYLE-HEADINGS"/>
    <w:next w:val="AMPRSec1TITLE3-notnumbered"/>
    <w:semiHidden/>
    <w:qFormat/>
    <w:pPr>
      <w:spacing w:before="8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paragraph" w:customStyle="1" w:styleId="AMPRSec1TITLE2-numbered">
    <w:name w:val="(AMPR_Sec1) TITLE 2 - numbered"/>
    <w:basedOn w:val="BASE-STYLE-HEADINGS"/>
    <w:next w:val="AMPRBodyText"/>
    <w:semiHidden/>
    <w:qFormat/>
    <w:pPr>
      <w:keepNext/>
      <w:keepLines/>
      <w:pageBreakBefore/>
      <w:numPr>
        <w:numId w:val="28"/>
      </w:numPr>
      <w:spacing w:after="120" w:line="240" w:lineRule="auto"/>
      <w:jc w:val="left"/>
      <w:outlineLvl w:val="1"/>
    </w:pPr>
    <w:rPr>
      <w:rFonts w:eastAsiaTheme="minorHAnsi"/>
      <w:color w:val="4472C4" w:themeColor="accent5"/>
      <w:sz w:val="48"/>
      <w:szCs w:val="22"/>
      <w:lang w:eastAsia="en-US"/>
    </w:rPr>
  </w:style>
  <w:style w:type="paragraph" w:customStyle="1" w:styleId="AMPRSec1TITLE3-notnumbered">
    <w:name w:val="(AMPR_Sec1) TITLE 3 - not numbered"/>
    <w:basedOn w:val="BASE-STYLE-HEADINGS"/>
    <w:next w:val="AMPRBodyText"/>
    <w:semiHidden/>
    <w:qFormat/>
    <w:pPr>
      <w:keepNext/>
      <w:keepLines/>
      <w:pBdr>
        <w:top w:val="single" w:sz="12" w:space="1" w:color="ED7D31" w:themeColor="accent2"/>
        <w:bottom w:val="single" w:sz="12" w:space="1" w:color="ED7D31" w:themeColor="accent2"/>
      </w:pBdr>
      <w:spacing w:before="480" w:after="240" w:line="276" w:lineRule="auto"/>
      <w:jc w:val="left"/>
      <w:outlineLvl w:val="2"/>
    </w:pPr>
    <w:rPr>
      <w:b/>
      <w:color w:val="005D95"/>
      <w:sz w:val="28"/>
    </w:rPr>
  </w:style>
  <w:style w:type="paragraph" w:customStyle="1" w:styleId="AMPRSec1TITLE4">
    <w:name w:val="(AMPR_Sec1) TITLE 4"/>
    <w:basedOn w:val="BASE-STYLE-HEADINGS"/>
    <w:next w:val="AMPRBodyText"/>
    <w:semiHidden/>
    <w:qFormat/>
    <w:pPr>
      <w:keepNext/>
      <w:keepLines/>
      <w:spacing w:before="360" w:after="240" w:line="240" w:lineRule="auto"/>
      <w:ind w:left="663"/>
      <w:outlineLvl w:val="3"/>
    </w:pPr>
    <w:rPr>
      <w:rFonts w:eastAsiaTheme="minorHAnsi"/>
      <w:b/>
      <w:color w:val="5B9BD5" w:themeColor="accent1"/>
      <w:sz w:val="28"/>
      <w:szCs w:val="22"/>
    </w:rPr>
  </w:style>
  <w:style w:type="paragraph" w:customStyle="1" w:styleId="AMPRSec2TITLE1">
    <w:name w:val="(AMPR_Sec2) TITLE 1"/>
    <w:basedOn w:val="BASE-STYLE-HEADINGS"/>
    <w:next w:val="Normal"/>
    <w:semiHidden/>
    <w:qFormat/>
    <w:pPr>
      <w:spacing w:before="7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paragraph" w:customStyle="1" w:styleId="AMPRSec2TITLE2-numbered">
    <w:name w:val="(AMPR_Sec2) TITLE 2 - numbered"/>
    <w:basedOn w:val="BASE-STYLE-HEADINGS"/>
    <w:next w:val="AMPRBodyText"/>
    <w:semiHidden/>
    <w:qFormat/>
    <w:pPr>
      <w:keepNext/>
      <w:keepLines/>
      <w:pageBreakBefore/>
      <w:numPr>
        <w:numId w:val="35"/>
      </w:numPr>
      <w:spacing w:after="120" w:line="240" w:lineRule="auto"/>
      <w:jc w:val="left"/>
      <w:outlineLvl w:val="1"/>
    </w:pPr>
    <w:rPr>
      <w:rFonts w:eastAsiaTheme="minorHAnsi"/>
      <w:color w:val="4472C4" w:themeColor="accent5"/>
      <w:sz w:val="48"/>
      <w:szCs w:val="22"/>
      <w:lang w:eastAsia="en-US"/>
    </w:rPr>
  </w:style>
  <w:style w:type="paragraph" w:customStyle="1" w:styleId="AMPRSec2TITLE3-numbered">
    <w:name w:val="(AMPR_Sec2) TITLE 3 - numbered"/>
    <w:basedOn w:val="BASE-STYLE-HEADINGS"/>
    <w:next w:val="AMPRBodyText"/>
    <w:semiHidden/>
    <w:qFormat/>
    <w:pPr>
      <w:keepNext/>
      <w:keepLines/>
      <w:numPr>
        <w:ilvl w:val="1"/>
        <w:numId w:val="35"/>
      </w:numPr>
      <w:pBdr>
        <w:top w:val="single" w:sz="12" w:space="1" w:color="ED7D31" w:themeColor="accent2"/>
        <w:bottom w:val="single" w:sz="12" w:space="1" w:color="ED7D31" w:themeColor="accent2"/>
      </w:pBdr>
      <w:spacing w:before="480" w:after="240" w:line="276" w:lineRule="auto"/>
      <w:jc w:val="left"/>
      <w:outlineLvl w:val="2"/>
    </w:pPr>
    <w:rPr>
      <w:b/>
      <w:color w:val="005D95"/>
      <w:sz w:val="28"/>
    </w:rPr>
  </w:style>
  <w:style w:type="paragraph" w:customStyle="1" w:styleId="AMPRSec2TITLE4">
    <w:name w:val="(AMPR_Sec2) TITLE 4"/>
    <w:basedOn w:val="BASE-STYLE-HEADINGS"/>
    <w:next w:val="AMPRBodyText"/>
    <w:semiHidden/>
    <w:qFormat/>
    <w:pPr>
      <w:keepNext/>
      <w:keepLines/>
      <w:spacing w:before="360" w:after="240" w:line="240" w:lineRule="auto"/>
      <w:ind w:left="663"/>
      <w:outlineLvl w:val="3"/>
    </w:pPr>
    <w:rPr>
      <w:rFonts w:eastAsiaTheme="minorHAnsi"/>
      <w:b/>
      <w:color w:val="5B9BD5" w:themeColor="accent1"/>
      <w:sz w:val="28"/>
      <w:szCs w:val="22"/>
    </w:rPr>
  </w:style>
  <w:style w:type="paragraph" w:customStyle="1" w:styleId="AMPRTOCTITLE1-noTOC">
    <w:name w:val="(AMPR_TOC) TITLE 1 - noTOC"/>
    <w:basedOn w:val="BASE-STYLE-HEADINGS"/>
    <w:next w:val="AMPRBodyText"/>
    <w:semiHidden/>
    <w:qFormat/>
    <w:pPr>
      <w:keepNext/>
      <w:keepLines/>
      <w:spacing w:after="240" w:line="240" w:lineRule="auto"/>
      <w:jc w:val="left"/>
    </w:pPr>
    <w:rPr>
      <w:rFonts w:eastAsiaTheme="minorHAnsi"/>
      <w:color w:val="005D95"/>
      <w:sz w:val="48"/>
      <w:szCs w:val="22"/>
      <w:lang w:eastAsia="en-US"/>
    </w:rPr>
  </w:style>
  <w:style w:type="character" w:customStyle="1" w:styleId="fnRef">
    <w:name w:val="fnRef"/>
    <w:uiPriority w:val="1"/>
    <w:rPr>
      <w:rFonts w:ascii="EC Square Sans Pro" w:hAnsi="EC Square Sans Pro"/>
      <w:b w:val="0"/>
      <w:i w:val="0"/>
      <w:noProof/>
      <w:bdr w:val="none" w:sz="0" w:space="0" w:color="auto"/>
      <w:shd w:val="clear" w:color="auto" w:fill="auto"/>
      <w:vertAlign w:val="baseline"/>
      <w:lang w:val="en-GB"/>
    </w:rPr>
  </w:style>
  <w:style w:type="paragraph" w:customStyle="1" w:styleId="BASE-STYLE-TEXT">
    <w:name w:val="_BASE-STYLE-TEXT"/>
    <w:next w:val="Normal"/>
    <w:pPr>
      <w:spacing w:after="200"/>
      <w:jc w:val="both"/>
    </w:pPr>
    <w:rPr>
      <w:rFonts w:ascii="EC Square Sans Pro" w:eastAsia="EC Square Sans Pro" w:hAnsi="EC Square Sans Pro" w:cs="Times New Roman"/>
      <w:color w:val="000000" w:themeColor="text1"/>
      <w:sz w:val="18"/>
      <w:szCs w:val="21"/>
      <w:lang w:eastAsia="zh-CN"/>
    </w:rPr>
  </w:style>
  <w:style w:type="paragraph" w:customStyle="1" w:styleId="BASE-STYLE-HEADINGS">
    <w:name w:val="_BASE-STYLE-HEADINGS"/>
    <w:basedOn w:val="BASE-STYLE-TEXT"/>
    <w:next w:val="Normal"/>
    <w:semiHidden/>
    <w:rPr>
      <w:noProof/>
    </w:rPr>
  </w:style>
  <w:style w:type="paragraph" w:customStyle="1" w:styleId="PPOsidebarchartPlaceholder">
    <w:name w:val="(PPO) sidebar chart Placeholder"/>
    <w:basedOn w:val="PPOsidebartext"/>
    <w:qFormat/>
    <w:pPr>
      <w:spacing w:before="160" w:after="160"/>
      <w:ind w:left="284"/>
    </w:pPr>
    <w:rPr>
      <w:lang w:eastAsia="en-GB"/>
    </w:rPr>
  </w:style>
  <w:style w:type="paragraph" w:customStyle="1" w:styleId="PPOsidebarTableplaceholder">
    <w:name w:val="(PPO) sidebar Table placeholder"/>
    <w:basedOn w:val="BASE-STYLE-TEXT"/>
    <w:qFormat/>
    <w:pPr>
      <w:spacing w:line="276" w:lineRule="auto"/>
      <w:jc w:val="left"/>
    </w:pPr>
    <w:rPr>
      <w:rFonts w:asciiTheme="minorHAnsi" w:hAnsiTheme="minorHAnsi" w:cstheme="minorBidi"/>
      <w:bCs/>
      <w:noProof/>
      <w:color w:val="auto"/>
      <w:szCs w:val="22"/>
    </w:rPr>
  </w:style>
  <w:style w:type="character" w:styleId="BookTitle">
    <w:name w:val="Book Title"/>
    <w:basedOn w:val="DefaultParagraphFont"/>
    <w:uiPriority w:val="33"/>
    <w:rPr>
      <w:b/>
      <w:bCs/>
      <w:i/>
      <w:iCs/>
      <w:noProof/>
      <w:spacing w:val="5"/>
    </w:rPr>
  </w:style>
  <w:style w:type="paragraph" w:styleId="Caption">
    <w:name w:val="caption"/>
    <w:basedOn w:val="Normal"/>
    <w:next w:val="Normal"/>
    <w:uiPriority w:val="35"/>
    <w:semiHidden/>
    <w:unhideWhenUsed/>
    <w:qFormat/>
    <w:pPr>
      <w:spacing w:after="200" w:line="240" w:lineRule="auto"/>
    </w:pPr>
    <w:rPr>
      <w:rFonts w:ascii="EC Square Sans Pro" w:hAnsi="EC Square Sans Pro" w:cs="Times New Roman"/>
      <w:i/>
      <w:iCs/>
      <w:noProof/>
      <w:color w:val="44546A" w:themeColor="text2"/>
      <w:sz w:val="18"/>
      <w:szCs w:val="18"/>
    </w:rPr>
  </w:style>
  <w:style w:type="character" w:styleId="Emphasis">
    <w:name w:val="Emphasis"/>
    <w:basedOn w:val="DefaultParagraphFont"/>
    <w:uiPriority w:val="20"/>
    <w:qFormat/>
    <w:rPr>
      <w:i/>
      <w:iCs/>
      <w:noProof/>
    </w:rPr>
  </w:style>
  <w:style w:type="character" w:styleId="IntenseEmphasis">
    <w:name w:val="Intense Emphasis"/>
    <w:basedOn w:val="DefaultParagraphFont"/>
    <w:uiPriority w:val="21"/>
    <w:rPr>
      <w:i/>
      <w:iCs/>
      <w:noProof/>
      <w:color w:val="5B9BD5" w:themeColor="accent1"/>
    </w:rPr>
  </w:style>
  <w:style w:type="paragraph" w:styleId="IntenseQuote">
    <w:name w:val="Intense Quote"/>
    <w:basedOn w:val="Normal"/>
    <w:next w:val="Normal"/>
    <w:link w:val="IntenseQuoteChar"/>
    <w:uiPriority w:val="30"/>
    <w:pPr>
      <w:pBdr>
        <w:top w:val="single" w:sz="4" w:space="10" w:color="5B9BD5" w:themeColor="accent1"/>
        <w:bottom w:val="single" w:sz="4" w:space="10" w:color="5B9BD5" w:themeColor="accent1"/>
      </w:pBdr>
      <w:spacing w:before="360" w:after="360" w:line="240" w:lineRule="auto"/>
      <w:ind w:left="864" w:right="864"/>
      <w:jc w:val="center"/>
    </w:pPr>
    <w:rPr>
      <w:rFonts w:ascii="EC Square Sans Pro" w:hAnsi="EC Square Sans Pro" w:cs="Times New Roman"/>
      <w:i/>
      <w:iCs/>
      <w:noProof/>
      <w:color w:val="5B9BD5" w:themeColor="accent1"/>
      <w:sz w:val="20"/>
    </w:rPr>
  </w:style>
  <w:style w:type="character" w:customStyle="1" w:styleId="IntenseQuoteChar">
    <w:name w:val="Intense Quote Char"/>
    <w:basedOn w:val="DefaultParagraphFont"/>
    <w:link w:val="IntenseQuote"/>
    <w:uiPriority w:val="30"/>
    <w:rPr>
      <w:rFonts w:ascii="EC Square Sans Pro" w:hAnsi="EC Square Sans Pro" w:cs="Times New Roman"/>
      <w:i/>
      <w:iCs/>
      <w:noProof/>
      <w:color w:val="5B9BD5" w:themeColor="accent1"/>
      <w:sz w:val="20"/>
    </w:rPr>
  </w:style>
  <w:style w:type="character" w:styleId="IntenseReference">
    <w:name w:val="Intense Reference"/>
    <w:basedOn w:val="DefaultParagraphFont"/>
    <w:uiPriority w:val="32"/>
    <w:rPr>
      <w:b/>
      <w:bCs/>
      <w:smallCaps/>
      <w:noProof/>
      <w:color w:val="5B9BD5" w:themeColor="accent1"/>
      <w:spacing w:val="5"/>
    </w:rPr>
  </w:style>
  <w:style w:type="paragraph" w:styleId="NoSpacing">
    <w:name w:val="No Spacing"/>
    <w:uiPriority w:val="1"/>
    <w:pPr>
      <w:spacing w:after="0" w:line="240" w:lineRule="auto"/>
    </w:pPr>
    <w:rPr>
      <w:rFonts w:ascii="EC Square Sans Pro" w:hAnsi="EC Square Sans Pro" w:cs="Times New Roman"/>
      <w:noProof/>
      <w:sz w:val="20"/>
    </w:rPr>
  </w:style>
  <w:style w:type="paragraph" w:styleId="NormalWeb">
    <w:name w:val="Normal (Web)"/>
    <w:basedOn w:val="Normal"/>
    <w:uiPriority w:val="99"/>
    <w:semiHidden/>
    <w:unhideWhenUsed/>
    <w:pPr>
      <w:spacing w:after="0" w:line="240" w:lineRule="auto"/>
    </w:pPr>
    <w:rPr>
      <w:rFonts w:ascii="Times New Roman" w:hAnsi="Times New Roman" w:cs="Times New Roman"/>
      <w:noProof/>
      <w:sz w:val="24"/>
      <w:szCs w:val="24"/>
    </w:rPr>
  </w:style>
  <w:style w:type="paragraph" w:styleId="Quote">
    <w:name w:val="Quote"/>
    <w:basedOn w:val="Normal"/>
    <w:next w:val="Normal"/>
    <w:link w:val="QuoteChar"/>
    <w:uiPriority w:val="29"/>
    <w:qFormat/>
    <w:pPr>
      <w:spacing w:before="200" w:line="240" w:lineRule="auto"/>
      <w:ind w:left="864" w:right="864"/>
      <w:jc w:val="center"/>
    </w:pPr>
    <w:rPr>
      <w:rFonts w:ascii="EC Square Sans Pro" w:hAnsi="EC Square Sans Pro" w:cs="Times New Roman"/>
      <w:i/>
      <w:iCs/>
      <w:noProof/>
      <w:color w:val="404040" w:themeColor="text1" w:themeTint="BF"/>
      <w:sz w:val="20"/>
    </w:rPr>
  </w:style>
  <w:style w:type="character" w:customStyle="1" w:styleId="QuoteChar">
    <w:name w:val="Quote Char"/>
    <w:basedOn w:val="DefaultParagraphFont"/>
    <w:link w:val="Quote"/>
    <w:uiPriority w:val="29"/>
    <w:rPr>
      <w:rFonts w:ascii="EC Square Sans Pro" w:hAnsi="EC Square Sans Pro" w:cs="Times New Roman"/>
      <w:i/>
      <w:iCs/>
      <w:noProof/>
      <w:color w:val="404040" w:themeColor="text1" w:themeTint="BF"/>
      <w:sz w:val="20"/>
    </w:rPr>
  </w:style>
  <w:style w:type="character" w:styleId="Strong">
    <w:name w:val="Strong"/>
    <w:basedOn w:val="DefaultParagraphFont"/>
    <w:uiPriority w:val="22"/>
    <w:qFormat/>
    <w:rPr>
      <w:b/>
      <w:bCs/>
      <w:noProof/>
    </w:rPr>
  </w:style>
  <w:style w:type="paragraph" w:styleId="Subtitle">
    <w:name w:val="Subtitle"/>
    <w:basedOn w:val="Normal"/>
    <w:next w:val="Normal"/>
    <w:link w:val="SubtitleChar"/>
    <w:uiPriority w:val="11"/>
    <w:pPr>
      <w:numPr>
        <w:ilvl w:val="1"/>
      </w:numPr>
      <w:spacing w:line="240" w:lineRule="auto"/>
    </w:pPr>
    <w:rPr>
      <w:rFonts w:eastAsiaTheme="minorEastAsia"/>
      <w:noProof/>
      <w:color w:val="5A5A5A" w:themeColor="text1" w:themeTint="A5"/>
      <w:spacing w:val="15"/>
    </w:rPr>
  </w:style>
  <w:style w:type="character" w:customStyle="1" w:styleId="SubtitleChar">
    <w:name w:val="Subtitle Char"/>
    <w:basedOn w:val="DefaultParagraphFont"/>
    <w:link w:val="Subtitle"/>
    <w:uiPriority w:val="11"/>
    <w:rPr>
      <w:rFonts w:eastAsiaTheme="minorEastAsia"/>
      <w:noProof/>
      <w:color w:val="5A5A5A" w:themeColor="text1" w:themeTint="A5"/>
      <w:spacing w:val="15"/>
    </w:rPr>
  </w:style>
  <w:style w:type="character" w:styleId="SubtleEmphasis">
    <w:name w:val="Subtle Emphasis"/>
    <w:basedOn w:val="DefaultParagraphFont"/>
    <w:uiPriority w:val="19"/>
    <w:rPr>
      <w:i/>
      <w:iCs/>
      <w:noProof/>
      <w:color w:val="404040" w:themeColor="text1" w:themeTint="BF"/>
    </w:rPr>
  </w:style>
  <w:style w:type="character" w:styleId="SubtleReference">
    <w:name w:val="Subtle Reference"/>
    <w:basedOn w:val="DefaultParagraphFont"/>
    <w:uiPriority w:val="31"/>
    <w:qFormat/>
    <w:rPr>
      <w:smallCaps/>
      <w:noProof/>
      <w:color w:val="5A5A5A" w:themeColor="text1" w:themeTint="A5"/>
    </w:rPr>
  </w:style>
  <w:style w:type="paragraph" w:styleId="Title">
    <w:name w:val="Title"/>
    <w:basedOn w:val="Normal"/>
    <w:next w:val="Normal"/>
    <w:link w:val="TitleChar"/>
    <w:uiPriority w:val="10"/>
    <w:pPr>
      <w:spacing w:after="0" w:line="240" w:lineRule="auto"/>
      <w:contextualSpacing/>
    </w:pPr>
    <w:rPr>
      <w:rFonts w:asciiTheme="majorHAnsi" w:eastAsiaTheme="majorEastAsia" w:hAnsiTheme="majorHAnsi" w:cstheme="majorBidi"/>
      <w:noProof/>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noProof/>
      <w:spacing w:val="-10"/>
      <w:kern w:val="28"/>
      <w:sz w:val="56"/>
      <w:szCs w:val="56"/>
    </w:rPr>
  </w:style>
  <w:style w:type="paragraph" w:styleId="TOC3">
    <w:name w:val="toc 3"/>
    <w:basedOn w:val="Normal"/>
    <w:next w:val="Normal"/>
    <w:autoRedefine/>
    <w:uiPriority w:val="39"/>
    <w:semiHidden/>
    <w:unhideWhenUsed/>
    <w:pPr>
      <w:spacing w:after="100" w:line="240" w:lineRule="auto"/>
      <w:ind w:left="400"/>
    </w:pPr>
    <w:rPr>
      <w:rFonts w:ascii="EC Square Sans Pro" w:hAnsi="EC Square Sans Pro" w:cs="Times New Roman"/>
      <w:noProof/>
      <w:sz w:val="20"/>
    </w:rPr>
  </w:style>
  <w:style w:type="paragraph" w:styleId="TOC4">
    <w:name w:val="toc 4"/>
    <w:basedOn w:val="Normal"/>
    <w:next w:val="Normal"/>
    <w:autoRedefine/>
    <w:uiPriority w:val="39"/>
    <w:semiHidden/>
    <w:unhideWhenUsed/>
    <w:pPr>
      <w:spacing w:after="100" w:line="240" w:lineRule="auto"/>
      <w:ind w:left="600"/>
    </w:pPr>
    <w:rPr>
      <w:rFonts w:ascii="EC Square Sans Pro" w:hAnsi="EC Square Sans Pro" w:cs="Times New Roman"/>
      <w:noProof/>
      <w:sz w:val="20"/>
    </w:rPr>
  </w:style>
  <w:style w:type="paragraph" w:styleId="TOC5">
    <w:name w:val="toc 5"/>
    <w:basedOn w:val="Normal"/>
    <w:next w:val="Normal"/>
    <w:autoRedefine/>
    <w:uiPriority w:val="39"/>
    <w:semiHidden/>
    <w:unhideWhenUsed/>
    <w:pPr>
      <w:spacing w:after="100" w:line="240" w:lineRule="auto"/>
      <w:ind w:left="800"/>
    </w:pPr>
    <w:rPr>
      <w:rFonts w:ascii="EC Square Sans Pro" w:hAnsi="EC Square Sans Pro" w:cs="Times New Roman"/>
      <w:noProof/>
      <w:sz w:val="20"/>
    </w:rPr>
  </w:style>
  <w:style w:type="paragraph" w:styleId="TOC6">
    <w:name w:val="toc 6"/>
    <w:basedOn w:val="Normal"/>
    <w:next w:val="Normal"/>
    <w:autoRedefine/>
    <w:uiPriority w:val="39"/>
    <w:semiHidden/>
    <w:unhideWhenUsed/>
    <w:pPr>
      <w:spacing w:after="100" w:line="240" w:lineRule="auto"/>
      <w:ind w:left="1000"/>
    </w:pPr>
    <w:rPr>
      <w:rFonts w:ascii="EC Square Sans Pro" w:hAnsi="EC Square Sans Pro" w:cs="Times New Roman"/>
      <w:noProof/>
      <w:sz w:val="20"/>
    </w:rPr>
  </w:style>
  <w:style w:type="paragraph" w:styleId="TOC7">
    <w:name w:val="toc 7"/>
    <w:basedOn w:val="Normal"/>
    <w:next w:val="Normal"/>
    <w:autoRedefine/>
    <w:uiPriority w:val="39"/>
    <w:semiHidden/>
    <w:unhideWhenUsed/>
    <w:pPr>
      <w:spacing w:after="100" w:line="240" w:lineRule="auto"/>
      <w:ind w:left="1200"/>
    </w:pPr>
    <w:rPr>
      <w:rFonts w:ascii="EC Square Sans Pro" w:hAnsi="EC Square Sans Pro" w:cs="Times New Roman"/>
      <w:noProof/>
      <w:sz w:val="20"/>
    </w:rPr>
  </w:style>
  <w:style w:type="paragraph" w:styleId="TOC8">
    <w:name w:val="toc 8"/>
    <w:basedOn w:val="Normal"/>
    <w:next w:val="Normal"/>
    <w:autoRedefine/>
    <w:uiPriority w:val="39"/>
    <w:semiHidden/>
    <w:unhideWhenUsed/>
    <w:pPr>
      <w:spacing w:after="100" w:line="240" w:lineRule="auto"/>
      <w:ind w:left="1400"/>
    </w:pPr>
    <w:rPr>
      <w:rFonts w:ascii="EC Square Sans Pro" w:hAnsi="EC Square Sans Pro" w:cs="Times New Roman"/>
      <w:noProof/>
      <w:sz w:val="20"/>
    </w:rPr>
  </w:style>
  <w:style w:type="paragraph" w:styleId="TOC9">
    <w:name w:val="toc 9"/>
    <w:basedOn w:val="Normal"/>
    <w:next w:val="Normal"/>
    <w:autoRedefine/>
    <w:uiPriority w:val="39"/>
    <w:semiHidden/>
    <w:unhideWhenUsed/>
    <w:pPr>
      <w:spacing w:after="100" w:line="240" w:lineRule="auto"/>
      <w:ind w:left="1600"/>
    </w:pPr>
    <w:rPr>
      <w:rFonts w:ascii="EC Square Sans Pro" w:hAnsi="EC Square Sans Pro" w:cs="Times New Roman"/>
      <w:noProof/>
      <w:sz w:val="20"/>
    </w:rPr>
  </w:style>
  <w:style w:type="numbering" w:styleId="111111">
    <w:name w:val="Outline List 2"/>
    <w:basedOn w:val="NoList"/>
    <w:uiPriority w:val="99"/>
    <w:semiHidden/>
    <w:unhideWhenUsed/>
    <w:pPr>
      <w:numPr>
        <w:numId w:val="37"/>
      </w:numPr>
    </w:pPr>
  </w:style>
  <w:style w:type="numbering" w:styleId="1ai">
    <w:name w:val="Outline List 1"/>
    <w:basedOn w:val="NoList"/>
    <w:uiPriority w:val="99"/>
    <w:semiHidden/>
    <w:unhideWhenUsed/>
    <w:pPr>
      <w:numPr>
        <w:numId w:val="38"/>
      </w:numPr>
    </w:pPr>
  </w:style>
  <w:style w:type="numbering" w:styleId="ArticleSection">
    <w:name w:val="Outline List 3"/>
    <w:basedOn w:val="NoList"/>
    <w:uiPriority w:val="99"/>
    <w:semiHidden/>
    <w:unhideWhenUsed/>
    <w:pPr>
      <w:numPr>
        <w:numId w:val="39"/>
      </w:numPr>
    </w:pPr>
  </w:style>
  <w:style w:type="table" w:styleId="ColorfulGrid">
    <w:name w:val="Colorful Grid"/>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GridTable1Light1">
    <w:name w:val="Grid Table 1 Light1"/>
    <w:basedOn w:val="TableNormal"/>
    <w:uiPriority w:val="46"/>
    <w:pPr>
      <w:spacing w:after="0" w:line="240" w:lineRule="auto"/>
    </w:pPr>
    <w:rPr>
      <w:lang w:val="fr-B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pPr>
      <w:spacing w:after="0" w:line="240" w:lineRule="auto"/>
    </w:pPr>
    <w:rPr>
      <w:lang w:val="fr-B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pPr>
      <w:spacing w:after="0" w:line="240" w:lineRule="auto"/>
    </w:pPr>
    <w:rPr>
      <w:lang w:val="fr-B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pPr>
      <w:spacing w:after="0" w:line="240" w:lineRule="auto"/>
    </w:pPr>
    <w:rPr>
      <w:lang w:val="fr-B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pPr>
      <w:spacing w:after="0" w:line="240" w:lineRule="auto"/>
    </w:pPr>
    <w:rPr>
      <w:lang w:val="fr-BE"/>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pPr>
      <w:spacing w:after="0" w:line="240" w:lineRule="auto"/>
    </w:pPr>
    <w:rPr>
      <w:lang w:val="fr-B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pPr>
      <w:spacing w:after="0" w:line="240" w:lineRule="auto"/>
    </w:pPr>
    <w:rPr>
      <w:lang w:val="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2">
    <w:name w:val="Grid Table 2 - Accent 12"/>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eNormal"/>
    <w:uiPriority w:val="47"/>
    <w:pPr>
      <w:spacing w:after="0" w:line="240" w:lineRule="auto"/>
    </w:pPr>
    <w:rPr>
      <w:lang w:val="fr-BE"/>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1">
    <w:name w:val="Grid Table 2 - Accent 31"/>
    <w:basedOn w:val="TableNormal"/>
    <w:uiPriority w:val="47"/>
    <w:pPr>
      <w:spacing w:after="0" w:line="240" w:lineRule="auto"/>
    </w:pPr>
    <w:rPr>
      <w:lang w:val="fr-B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pPr>
      <w:spacing w:after="0" w:line="240" w:lineRule="auto"/>
    </w:pPr>
    <w:rPr>
      <w:lang w:val="fr-BE"/>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pPr>
      <w:spacing w:after="0" w:line="240" w:lineRule="auto"/>
    </w:pPr>
    <w:rPr>
      <w:lang w:val="fr-BE"/>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1">
    <w:name w:val="Grid Table 2 - Accent 61"/>
    <w:basedOn w:val="TableNormal"/>
    <w:uiPriority w:val="47"/>
    <w:pPr>
      <w:spacing w:after="0" w:line="240" w:lineRule="auto"/>
    </w:pPr>
    <w:rPr>
      <w:lang w:val="fr-BE"/>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TableNormal"/>
    <w:uiPriority w:val="48"/>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1">
    <w:name w:val="Grid Table 3 - Accent 31"/>
    <w:basedOn w:val="TableNormal"/>
    <w:uiPriority w:val="48"/>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uiPriority w:val="48"/>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1">
    <w:name w:val="Grid Table 3 - Accent 61"/>
    <w:basedOn w:val="TableNormal"/>
    <w:uiPriority w:val="48"/>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1">
    <w:name w:val="Grid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2">
    <w:name w:val="Grid Table 4 - Accent 12"/>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
    <w:name w:val="Grid Table 4 - Accent 42"/>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1">
    <w:name w:val="Grid Table 5 Dark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1">
    <w:name w:val="Grid Table 5 Dark - Accent 3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1">
    <w:name w:val="Grid Table 5 Dark - Accent 6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1">
    <w:name w:val="Grid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2">
    <w:name w:val="Grid Table 6 Colorful - Accent 42"/>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2">
    <w:name w:val="Grid Table 6 Colorful - Accent 52"/>
    <w:basedOn w:val="TableNormal"/>
    <w:uiPriority w:val="51"/>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1">
    <w:name w:val="Grid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TableNormal"/>
    <w:uiPriority w:val="52"/>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1">
    <w:name w:val="Grid Table 7 Colorful - Accent 31"/>
    <w:basedOn w:val="TableNormal"/>
    <w:uiPriority w:val="52"/>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leNormal"/>
    <w:uiPriority w:val="52"/>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1">
    <w:name w:val="Grid Table 7 Colorful - Accent 61"/>
    <w:basedOn w:val="TableNormal"/>
    <w:uiPriority w:val="52"/>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
    <w:name w:val="Light Grid"/>
    <w:basedOn w:val="TableNormal"/>
    <w:uiPriority w:val="62"/>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Accent1">
    <w:name w:val="Light Shading Accent 1"/>
    <w:basedOn w:val="TableNormal"/>
    <w:uiPriority w:val="60"/>
    <w:semiHidden/>
    <w:unhideWhenUsed/>
    <w:pPr>
      <w:spacing w:after="0" w:line="240" w:lineRule="auto"/>
    </w:pPr>
    <w:rPr>
      <w:color w:val="2E74B5" w:themeColor="accent1" w:themeShade="BF"/>
      <w:lang w:val="fr-BE"/>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pPr>
      <w:spacing w:after="0" w:line="240" w:lineRule="auto"/>
    </w:pPr>
    <w:rPr>
      <w:color w:val="C45911" w:themeColor="accent2" w:themeShade="BF"/>
      <w:lang w:val="fr-B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pPr>
      <w:spacing w:after="0" w:line="240" w:lineRule="auto"/>
    </w:pPr>
    <w:rPr>
      <w:color w:val="7B7B7B" w:themeColor="accent3" w:themeShade="BF"/>
      <w:lang w:val="fr-B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pPr>
      <w:spacing w:after="0" w:line="240" w:lineRule="auto"/>
    </w:pPr>
    <w:rPr>
      <w:color w:val="BF8F00" w:themeColor="accent4" w:themeShade="BF"/>
      <w:lang w:val="fr-B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ListTable1Light1">
    <w:name w:val="List Table 1 Light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1">
    <w:name w:val="List Table 1 Light - Accent 3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pPr>
      <w:spacing w:after="0" w:line="240" w:lineRule="auto"/>
    </w:pPr>
    <w:rPr>
      <w:lang w:val="fr-B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2">
    <w:name w:val="List Table 2 - Accent 12"/>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TableNormal"/>
    <w:uiPriority w:val="47"/>
    <w:pPr>
      <w:spacing w:after="0" w:line="240" w:lineRule="auto"/>
    </w:pPr>
    <w:rPr>
      <w:lang w:val="fr-BE"/>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1">
    <w:name w:val="List Table 2 - Accent 31"/>
    <w:basedOn w:val="TableNormal"/>
    <w:uiPriority w:val="47"/>
    <w:pPr>
      <w:spacing w:after="0" w:line="240" w:lineRule="auto"/>
    </w:pPr>
    <w:rPr>
      <w:lang w:val="fr-B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pPr>
      <w:spacing w:after="0" w:line="240" w:lineRule="auto"/>
    </w:pPr>
    <w:rPr>
      <w:lang w:val="fr-BE"/>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uiPriority w:val="47"/>
    <w:pPr>
      <w:spacing w:after="0" w:line="240" w:lineRule="auto"/>
    </w:pPr>
    <w:rPr>
      <w:lang w:val="fr-BE"/>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61">
    <w:name w:val="List Table 2 - Accent 61"/>
    <w:basedOn w:val="TableNormal"/>
    <w:uiPriority w:val="47"/>
    <w:pPr>
      <w:spacing w:after="0" w:line="240" w:lineRule="auto"/>
    </w:pPr>
    <w:rPr>
      <w:lang w:val="fr-BE"/>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pPr>
      <w:spacing w:after="0" w:line="240" w:lineRule="auto"/>
    </w:pPr>
    <w:rPr>
      <w:lang w:val="fr-B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pPr>
      <w:spacing w:after="0" w:line="240" w:lineRule="auto"/>
    </w:pPr>
    <w:rPr>
      <w:lang w:val="fr-BE"/>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TableNormal"/>
    <w:uiPriority w:val="48"/>
    <w:pPr>
      <w:spacing w:after="0" w:line="240" w:lineRule="auto"/>
    </w:pPr>
    <w:rPr>
      <w:lang w:val="fr-B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1">
    <w:name w:val="List Table 3 - Accent 31"/>
    <w:basedOn w:val="TableNormal"/>
    <w:uiPriority w:val="48"/>
    <w:pPr>
      <w:spacing w:after="0" w:line="240" w:lineRule="auto"/>
    </w:pPr>
    <w:rPr>
      <w:lang w:val="fr-B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pPr>
      <w:spacing w:after="0" w:line="240" w:lineRule="auto"/>
    </w:pPr>
    <w:rPr>
      <w:lang w:val="fr-B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uiPriority w:val="48"/>
    <w:pPr>
      <w:spacing w:after="0" w:line="240" w:lineRule="auto"/>
    </w:pPr>
    <w:rPr>
      <w:lang w:val="fr-BE"/>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1">
    <w:name w:val="List Table 3 - Accent 61"/>
    <w:basedOn w:val="TableNormal"/>
    <w:uiPriority w:val="48"/>
    <w:pPr>
      <w:spacing w:after="0" w:line="240" w:lineRule="auto"/>
    </w:pPr>
    <w:rPr>
      <w:lang w:val="fr-B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1">
    <w:name w:val="List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61">
    <w:name w:val="List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pPr>
      <w:spacing w:after="0" w:line="240" w:lineRule="auto"/>
    </w:pPr>
    <w:rPr>
      <w:color w:val="FFFFFF" w:themeColor="background1"/>
      <w:lang w:val="fr-BE"/>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pPr>
      <w:spacing w:after="0" w:line="240" w:lineRule="auto"/>
    </w:pPr>
    <w:rPr>
      <w:color w:val="FFFFFF" w:themeColor="background1"/>
      <w:lang w:val="fr-BE"/>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pPr>
      <w:spacing w:after="0" w:line="240" w:lineRule="auto"/>
    </w:pPr>
    <w:rPr>
      <w:color w:val="FFFFFF" w:themeColor="background1"/>
      <w:lang w:val="fr-BE"/>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pPr>
      <w:spacing w:after="0" w:line="240" w:lineRule="auto"/>
    </w:pPr>
    <w:rPr>
      <w:color w:val="FFFFFF" w:themeColor="background1"/>
      <w:lang w:val="fr-BE"/>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pPr>
      <w:spacing w:after="0" w:line="240" w:lineRule="auto"/>
    </w:pPr>
    <w:rPr>
      <w:color w:val="FFFFFF" w:themeColor="background1"/>
      <w:lang w:val="fr-BE"/>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pPr>
      <w:spacing w:after="0" w:line="240" w:lineRule="auto"/>
    </w:pPr>
    <w:rPr>
      <w:color w:val="FFFFFF" w:themeColor="background1"/>
      <w:lang w:val="fr-BE"/>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pPr>
      <w:spacing w:after="0" w:line="240" w:lineRule="auto"/>
    </w:pPr>
    <w:rPr>
      <w:color w:val="FFFFFF" w:themeColor="background1"/>
      <w:lang w:val="fr-BE"/>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2">
    <w:name w:val="List Table 6 Colorful - Accent 12"/>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1">
    <w:name w:val="List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leNormal"/>
    <w:uiPriority w:val="51"/>
    <w:pPr>
      <w:spacing w:after="0" w:line="240" w:lineRule="auto"/>
    </w:pPr>
    <w:rPr>
      <w:color w:val="2F5496" w:themeColor="accent5" w:themeShade="BF"/>
      <w:lang w:val="fr-BE"/>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61">
    <w:name w:val="List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pPr>
      <w:spacing w:after="0" w:line="240" w:lineRule="auto"/>
    </w:pPr>
    <w:rPr>
      <w:color w:val="000000" w:themeColor="text1"/>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pPr>
      <w:spacing w:after="0" w:line="240" w:lineRule="auto"/>
    </w:pPr>
    <w:rPr>
      <w:color w:val="2E74B5" w:themeColor="accent1"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pPr>
      <w:spacing w:after="0" w:line="240" w:lineRule="auto"/>
    </w:pPr>
    <w:rPr>
      <w:color w:val="C45911" w:themeColor="accent2"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pPr>
      <w:spacing w:after="0" w:line="240" w:lineRule="auto"/>
    </w:pPr>
    <w:rPr>
      <w:color w:val="7B7B7B" w:themeColor="accent3"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pPr>
      <w:spacing w:after="0" w:line="240" w:lineRule="auto"/>
    </w:pPr>
    <w:rPr>
      <w:color w:val="BF8F00" w:themeColor="accent4"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pPr>
      <w:spacing w:after="0" w:line="240" w:lineRule="auto"/>
    </w:pPr>
    <w:rPr>
      <w:color w:val="2F5496" w:themeColor="accent5"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pPr>
      <w:spacing w:after="0" w:line="240" w:lineRule="auto"/>
    </w:pPr>
    <w:rPr>
      <w:color w:val="538135" w:themeColor="accent6"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PlainTable11">
    <w:name w:val="Plain Table 11"/>
    <w:basedOn w:val="TableNormal"/>
    <w:uiPriority w:val="41"/>
    <w:pPr>
      <w:spacing w:after="0" w:line="240" w:lineRule="auto"/>
    </w:pPr>
    <w:rPr>
      <w:lang w:val="fr-B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pPr>
      <w:spacing w:after="0" w:line="240" w:lineRule="auto"/>
    </w:pPr>
    <w:rPr>
      <w:lang w:val="fr-B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pPr>
      <w:spacing w:after="0" w:line="240" w:lineRule="auto"/>
    </w:pPr>
    <w:rPr>
      <w:lang w:val="fr-B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pPr>
      <w:spacing w:after="0" w:line="240" w:lineRule="auto"/>
    </w:pPr>
    <w:rPr>
      <w:lang w:val="fr-B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pPr>
      <w:spacing w:after="0" w:line="240" w:lineRule="auto"/>
    </w:pPr>
    <w:rPr>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pPr>
      <w:spacing w:after="0" w:line="240" w:lineRule="auto"/>
    </w:pPr>
    <w:rPr>
      <w:lang w:val="fr-B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after="0" w:line="240" w:lineRule="auto"/>
    </w:pPr>
    <w:rPr>
      <w:lang w:val="fr-B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after="0" w:line="240" w:lineRule="auto"/>
    </w:pPr>
    <w:rPr>
      <w:lang w:val="fr-B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after="0" w:line="240" w:lineRule="auto"/>
    </w:pPr>
    <w:rPr>
      <w:color w:val="000080"/>
      <w:lang w:val="fr-B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after="0" w:line="240" w:lineRule="auto"/>
    </w:pPr>
    <w:rPr>
      <w:lang w:val="fr-B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after="0" w:line="240" w:lineRule="auto"/>
    </w:pPr>
    <w:rPr>
      <w:color w:val="FFFFFF"/>
      <w:lang w:val="fr-B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after="0" w:line="240" w:lineRule="auto"/>
    </w:pPr>
    <w:rPr>
      <w:lang w:val="fr-B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after="0" w:line="240" w:lineRule="auto"/>
    </w:pPr>
    <w:rPr>
      <w:lang w:val="fr-B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after="0" w:line="240" w:lineRule="auto"/>
    </w:pPr>
    <w:rPr>
      <w:b/>
      <w:bCs/>
      <w:lang w:val="fr-B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after="0" w:line="240" w:lineRule="auto"/>
    </w:pPr>
    <w:rPr>
      <w:b/>
      <w:bCs/>
      <w:lang w:val="fr-B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after="0" w:line="240" w:lineRule="auto"/>
    </w:pPr>
    <w:rPr>
      <w:b/>
      <w:bCs/>
      <w:lang w:val="fr-B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after="0" w:line="240" w:lineRule="auto"/>
    </w:pPr>
    <w:rPr>
      <w:lang w:val="fr-B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after="0" w:line="240" w:lineRule="auto"/>
    </w:pPr>
    <w:rPr>
      <w:lang w:val="fr-B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after="0" w:line="240" w:lineRule="auto"/>
    </w:pPr>
    <w:rPr>
      <w:lang w:val="fr-B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after="0" w:line="240" w:lineRule="auto"/>
    </w:pPr>
    <w:rPr>
      <w:lang w:val="fr-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unhideWhenUsed/>
    <w:pPr>
      <w:spacing w:after="0" w:line="240" w:lineRule="auto"/>
    </w:pPr>
    <w:rPr>
      <w:lang w:val="fr-B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semiHidden/>
    <w:unhideWhenUsed/>
    <w:pPr>
      <w:spacing w:after="0" w:line="240" w:lineRule="auto"/>
    </w:pPr>
    <w:rPr>
      <w:lang w:val="fr-B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semiHidden/>
    <w:unhideWhenUsed/>
    <w:pPr>
      <w:spacing w:after="0" w:line="240" w:lineRule="auto"/>
    </w:pPr>
    <w:rPr>
      <w:lang w:val="fr-B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after="0" w:line="240" w:lineRule="auto"/>
    </w:pPr>
    <w:rPr>
      <w:b/>
      <w:bCs/>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after="0" w:line="240" w:lineRule="auto"/>
    </w:pPr>
    <w:rPr>
      <w:lang w:val="fr-B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pPr>
      <w:spacing w:after="0" w:line="240" w:lineRule="auto"/>
    </w:pPr>
    <w:rPr>
      <w:lang w:val="fr-B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pPr>
      <w:spacing w:after="0" w:line="240" w:lineRule="auto"/>
    </w:pPr>
    <w:rPr>
      <w:lang w:val="fr-B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after="0" w:line="240" w:lineRule="auto"/>
    </w:pPr>
    <w:rPr>
      <w:lang w:val="fr-B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after="0" w:line="240" w:lineRule="auto"/>
    </w:pPr>
    <w:rPr>
      <w:lang w:val="fr-B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after="0" w:line="240" w:lineRule="auto"/>
    </w:pPr>
    <w:rPr>
      <w:lang w:val="fr-B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after="0" w:line="240" w:lineRule="auto"/>
    </w:pPr>
    <w:rPr>
      <w:lang w:val="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after="0" w:line="240" w:lineRule="auto"/>
    </w:pPr>
    <w:rPr>
      <w:lang w:val="fr-B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after="0" w:line="240" w:lineRule="auto"/>
    </w:pPr>
    <w:rPr>
      <w:lang w:val="fr-B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after="0" w:line="240" w:lineRule="auto"/>
    </w:pPr>
    <w:rPr>
      <w:lang w:val="fr-B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after="0" w:line="240" w:lineRule="auto"/>
    </w:pPr>
    <w:rPr>
      <w:lang w:val="fr-B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after="0" w:line="240" w:lineRule="auto"/>
    </w:pPr>
    <w:rPr>
      <w:lang w:val="fr-B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after="0" w:line="240" w:lineRule="auto"/>
    </w:pPr>
    <w:rPr>
      <w:lang w:val="fr-B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letethissytlex">
    <w:name w:val="deletethissytle________________________________________________________________________________x"/>
    <w:basedOn w:val="Normal"/>
    <w:pPr>
      <w:keepLines/>
      <w:spacing w:before="60" w:after="60" w:line="240" w:lineRule="auto"/>
      <w:jc w:val="both"/>
    </w:pPr>
    <w:rPr>
      <w:rFonts w:ascii="EC Square Sans Pro" w:hAnsi="EC Square Sans Pro" w:cs="Times New Roman"/>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31.xml"/><Relationship Id="rId299" Type="http://schemas.openxmlformats.org/officeDocument/2006/relationships/footer" Target="footer70.xml"/><Relationship Id="rId21" Type="http://schemas.openxmlformats.org/officeDocument/2006/relationships/header" Target="header8.xml"/><Relationship Id="rId63" Type="http://schemas.openxmlformats.org/officeDocument/2006/relationships/chart" Target="charts/chart9.xml"/><Relationship Id="rId159" Type="http://schemas.openxmlformats.org/officeDocument/2006/relationships/header" Target="header42.xml"/><Relationship Id="rId324" Type="http://schemas.openxmlformats.org/officeDocument/2006/relationships/header" Target="header76.xml"/><Relationship Id="rId366" Type="http://schemas.openxmlformats.org/officeDocument/2006/relationships/chart" Target="charts/chart89.xml"/><Relationship Id="rId170" Type="http://schemas.openxmlformats.org/officeDocument/2006/relationships/header" Target="header44.xml"/><Relationship Id="rId226" Type="http://schemas.openxmlformats.org/officeDocument/2006/relationships/oleObject" Target="embeddings/Microsoft_Excel_Chart7.xls"/><Relationship Id="rId433" Type="http://schemas.openxmlformats.org/officeDocument/2006/relationships/header" Target="header104.xml"/><Relationship Id="rId268" Type="http://schemas.openxmlformats.org/officeDocument/2006/relationships/header" Target="header65.xml"/><Relationship Id="rId475" Type="http://schemas.openxmlformats.org/officeDocument/2006/relationships/chart" Target="charts/chart117.xml"/><Relationship Id="rId32" Type="http://schemas.openxmlformats.org/officeDocument/2006/relationships/hyperlink" Target="https://europa.eu/!TP38Kh%20" TargetMode="External"/><Relationship Id="rId74" Type="http://schemas.openxmlformats.org/officeDocument/2006/relationships/chart" Target="charts/chart11.xml"/><Relationship Id="rId128" Type="http://schemas.openxmlformats.org/officeDocument/2006/relationships/chart" Target="charts/chart26.xml"/><Relationship Id="rId335" Type="http://schemas.openxmlformats.org/officeDocument/2006/relationships/image" Target="media/image39.png"/><Relationship Id="rId377" Type="http://schemas.openxmlformats.org/officeDocument/2006/relationships/footer" Target="footer90.xml"/><Relationship Id="rId5" Type="http://schemas.openxmlformats.org/officeDocument/2006/relationships/footnotes" Target="footnotes.xml"/><Relationship Id="rId181" Type="http://schemas.openxmlformats.org/officeDocument/2006/relationships/header" Target="header47.xml"/><Relationship Id="rId237" Type="http://schemas.openxmlformats.org/officeDocument/2006/relationships/chart" Target="charts/chart55.xml"/><Relationship Id="rId402" Type="http://schemas.openxmlformats.org/officeDocument/2006/relationships/hyperlink" Target="http://europa.eu/!ry89dk" TargetMode="External"/><Relationship Id="rId279" Type="http://schemas.openxmlformats.org/officeDocument/2006/relationships/hyperlink" Target="https://europa.eu/!RD46kH" TargetMode="External"/><Relationship Id="rId444" Type="http://schemas.openxmlformats.org/officeDocument/2006/relationships/footer" Target="footer106.xml"/><Relationship Id="rId486" Type="http://schemas.openxmlformats.org/officeDocument/2006/relationships/image" Target="media/image61.png"/><Relationship Id="rId43" Type="http://schemas.openxmlformats.org/officeDocument/2006/relationships/footer" Target="footer13.xml"/><Relationship Id="rId139" Type="http://schemas.openxmlformats.org/officeDocument/2006/relationships/chart" Target="charts/chart30.xml"/><Relationship Id="rId290" Type="http://schemas.openxmlformats.org/officeDocument/2006/relationships/chart" Target="charts/chart68.xml"/><Relationship Id="rId304" Type="http://schemas.openxmlformats.org/officeDocument/2006/relationships/chart" Target="charts/chart74.xml"/><Relationship Id="rId346" Type="http://schemas.openxmlformats.org/officeDocument/2006/relationships/header" Target="header82.xml"/><Relationship Id="rId388" Type="http://schemas.openxmlformats.org/officeDocument/2006/relationships/footer" Target="footer91.xml"/><Relationship Id="rId85" Type="http://schemas.openxmlformats.org/officeDocument/2006/relationships/chart" Target="charts/chart13.xml"/><Relationship Id="rId150" Type="http://schemas.openxmlformats.org/officeDocument/2006/relationships/header" Target="header39.xml"/><Relationship Id="rId192" Type="http://schemas.openxmlformats.org/officeDocument/2006/relationships/image" Target="media/image22.png"/><Relationship Id="rId206" Type="http://schemas.openxmlformats.org/officeDocument/2006/relationships/chart" Target="charts/chart51.xml"/><Relationship Id="rId413" Type="http://schemas.openxmlformats.org/officeDocument/2006/relationships/footer" Target="footer98.xml"/><Relationship Id="rId248" Type="http://schemas.openxmlformats.org/officeDocument/2006/relationships/header" Target="header60.xml"/><Relationship Id="rId455" Type="http://schemas.openxmlformats.org/officeDocument/2006/relationships/header" Target="header109.xml"/><Relationship Id="rId497" Type="http://schemas.openxmlformats.org/officeDocument/2006/relationships/footer" Target="footer120.xml"/><Relationship Id="rId12" Type="http://schemas.openxmlformats.org/officeDocument/2006/relationships/header" Target="header3.xml"/><Relationship Id="rId108" Type="http://schemas.openxmlformats.org/officeDocument/2006/relationships/hyperlink" Target="http://europa.eu/!kD37xn" TargetMode="External"/><Relationship Id="rId315" Type="http://schemas.openxmlformats.org/officeDocument/2006/relationships/footer" Target="footer74.xml"/><Relationship Id="rId357" Type="http://schemas.openxmlformats.org/officeDocument/2006/relationships/hyperlink" Target="http://europa.eu/!tv44YW" TargetMode="External"/><Relationship Id="rId54" Type="http://schemas.openxmlformats.org/officeDocument/2006/relationships/footer" Target="footer16.xml"/><Relationship Id="rId96" Type="http://schemas.openxmlformats.org/officeDocument/2006/relationships/footer" Target="footer27.xml"/><Relationship Id="rId161" Type="http://schemas.openxmlformats.org/officeDocument/2006/relationships/hyperlink" Target="http://europa.eu/!jw46Rk" TargetMode="External"/><Relationship Id="rId217" Type="http://schemas.openxmlformats.org/officeDocument/2006/relationships/header" Target="header53.xml"/><Relationship Id="rId399" Type="http://schemas.openxmlformats.org/officeDocument/2006/relationships/footer" Target="footer95.xml"/><Relationship Id="rId259" Type="http://schemas.openxmlformats.org/officeDocument/2006/relationships/header" Target="header62.xml"/><Relationship Id="rId424" Type="http://schemas.openxmlformats.org/officeDocument/2006/relationships/hyperlink" Target="http://europa.eu/!Uu48PC" TargetMode="External"/><Relationship Id="rId466" Type="http://schemas.openxmlformats.org/officeDocument/2006/relationships/footer" Target="footer113.xml"/><Relationship Id="rId23" Type="http://schemas.openxmlformats.org/officeDocument/2006/relationships/footer" Target="footer8.xml"/><Relationship Id="rId119" Type="http://schemas.openxmlformats.org/officeDocument/2006/relationships/footer" Target="footer31.xml"/><Relationship Id="rId270" Type="http://schemas.openxmlformats.org/officeDocument/2006/relationships/footer" Target="footer65.xml"/><Relationship Id="rId326" Type="http://schemas.openxmlformats.org/officeDocument/2006/relationships/footer" Target="footer76.xml"/><Relationship Id="rId65" Type="http://schemas.openxmlformats.org/officeDocument/2006/relationships/image" Target="media/image7.png"/><Relationship Id="rId130" Type="http://schemas.openxmlformats.org/officeDocument/2006/relationships/chart" Target="charts/chart28.xml"/><Relationship Id="rId368" Type="http://schemas.openxmlformats.org/officeDocument/2006/relationships/chart" Target="charts/chart91.xml"/><Relationship Id="rId172" Type="http://schemas.openxmlformats.org/officeDocument/2006/relationships/footer" Target="footer44.xml"/><Relationship Id="rId228" Type="http://schemas.openxmlformats.org/officeDocument/2006/relationships/hyperlink" Target="http://europa.eu/!pm48VY" TargetMode="External"/><Relationship Id="rId435" Type="http://schemas.openxmlformats.org/officeDocument/2006/relationships/footer" Target="footer104.xml"/><Relationship Id="rId477" Type="http://schemas.openxmlformats.org/officeDocument/2006/relationships/header" Target="header115.xml"/><Relationship Id="rId281" Type="http://schemas.openxmlformats.org/officeDocument/2006/relationships/image" Target="media/image34.png"/><Relationship Id="rId337" Type="http://schemas.openxmlformats.org/officeDocument/2006/relationships/header" Target="header79.xml"/><Relationship Id="rId34" Type="http://schemas.openxmlformats.org/officeDocument/2006/relationships/image" Target="media/image3.png"/><Relationship Id="rId76" Type="http://schemas.openxmlformats.org/officeDocument/2006/relationships/header" Target="header23.xml"/><Relationship Id="rId141" Type="http://schemas.openxmlformats.org/officeDocument/2006/relationships/oleObject" Target="embeddings/Microsoft_Excel_Chart4.xls"/><Relationship Id="rId379" Type="http://schemas.openxmlformats.org/officeDocument/2006/relationships/chart" Target="charts/chart95.xml"/><Relationship Id="rId7" Type="http://schemas.openxmlformats.org/officeDocument/2006/relationships/image" Target="media/image1.emf"/><Relationship Id="rId183" Type="http://schemas.openxmlformats.org/officeDocument/2006/relationships/footer" Target="footer47.xml"/><Relationship Id="rId239" Type="http://schemas.openxmlformats.org/officeDocument/2006/relationships/chart" Target="charts/chart57.xml"/><Relationship Id="rId390" Type="http://schemas.openxmlformats.org/officeDocument/2006/relationships/header" Target="header93.xml"/><Relationship Id="rId404" Type="http://schemas.openxmlformats.org/officeDocument/2006/relationships/image" Target="media/image47.png"/><Relationship Id="rId446" Type="http://schemas.openxmlformats.org/officeDocument/2006/relationships/header" Target="header108.xml"/><Relationship Id="rId250" Type="http://schemas.openxmlformats.org/officeDocument/2006/relationships/hyperlink" Target="http://europa.eu/!ng64Kw" TargetMode="External"/><Relationship Id="rId292" Type="http://schemas.openxmlformats.org/officeDocument/2006/relationships/chart" Target="charts/chart70.xml"/><Relationship Id="rId306" Type="http://schemas.openxmlformats.org/officeDocument/2006/relationships/oleObject" Target="embeddings/Microsoft_Excel_Chart10.xls"/><Relationship Id="rId488" Type="http://schemas.openxmlformats.org/officeDocument/2006/relationships/image" Target="media/image63.png"/><Relationship Id="rId24" Type="http://schemas.openxmlformats.org/officeDocument/2006/relationships/header" Target="header9.xml"/><Relationship Id="rId45" Type="http://schemas.openxmlformats.org/officeDocument/2006/relationships/header" Target="header15.xml"/><Relationship Id="rId66" Type="http://schemas.openxmlformats.org/officeDocument/2006/relationships/image" Target="media/image8.png"/><Relationship Id="rId87" Type="http://schemas.openxmlformats.org/officeDocument/2006/relationships/hyperlink" Target="https://europa.eu/!XF34px" TargetMode="External"/><Relationship Id="rId110" Type="http://schemas.openxmlformats.org/officeDocument/2006/relationships/chart" Target="charts/chart19.xml"/><Relationship Id="rId131" Type="http://schemas.openxmlformats.org/officeDocument/2006/relationships/chart" Target="charts/chart29.xml"/><Relationship Id="rId327" Type="http://schemas.openxmlformats.org/officeDocument/2006/relationships/footer" Target="footer77.xml"/><Relationship Id="rId348" Type="http://schemas.openxmlformats.org/officeDocument/2006/relationships/footer" Target="footer82.xml"/><Relationship Id="rId369" Type="http://schemas.openxmlformats.org/officeDocument/2006/relationships/chart" Target="charts/chart92.xml"/><Relationship Id="rId152" Type="http://schemas.openxmlformats.org/officeDocument/2006/relationships/chart" Target="charts/chart32.xml"/><Relationship Id="rId173" Type="http://schemas.openxmlformats.org/officeDocument/2006/relationships/header" Target="header45.xml"/><Relationship Id="rId194" Type="http://schemas.openxmlformats.org/officeDocument/2006/relationships/header" Target="header50.xml"/><Relationship Id="rId208" Type="http://schemas.openxmlformats.org/officeDocument/2006/relationships/hyperlink" Target="https://europa.eu/!DF83FM" TargetMode="External"/><Relationship Id="rId229" Type="http://schemas.openxmlformats.org/officeDocument/2006/relationships/image" Target="media/image24.png"/><Relationship Id="rId380" Type="http://schemas.openxmlformats.org/officeDocument/2006/relationships/image" Target="media/image44.png"/><Relationship Id="rId415" Type="http://schemas.openxmlformats.org/officeDocument/2006/relationships/footer" Target="footer99.xml"/><Relationship Id="rId436" Type="http://schemas.openxmlformats.org/officeDocument/2006/relationships/header" Target="header105.xml"/><Relationship Id="rId457" Type="http://schemas.openxmlformats.org/officeDocument/2006/relationships/footer" Target="footer109.xml"/><Relationship Id="rId240" Type="http://schemas.openxmlformats.org/officeDocument/2006/relationships/chart" Target="charts/chart58.xml"/><Relationship Id="rId261" Type="http://schemas.openxmlformats.org/officeDocument/2006/relationships/footer" Target="footer62.xml"/><Relationship Id="rId478" Type="http://schemas.openxmlformats.org/officeDocument/2006/relationships/header" Target="header116.xml"/><Relationship Id="rId499" Type="http://schemas.openxmlformats.org/officeDocument/2006/relationships/theme" Target="theme/theme1.xml"/><Relationship Id="rId14" Type="http://schemas.openxmlformats.org/officeDocument/2006/relationships/header" Target="header4.xml"/><Relationship Id="rId35" Type="http://schemas.openxmlformats.org/officeDocument/2006/relationships/oleObject" Target="embeddings/Microsoft_Excel_Chart.xls"/><Relationship Id="rId56" Type="http://schemas.openxmlformats.org/officeDocument/2006/relationships/header" Target="header18.xml"/><Relationship Id="rId77" Type="http://schemas.openxmlformats.org/officeDocument/2006/relationships/footer" Target="footer22.xml"/><Relationship Id="rId100" Type="http://schemas.openxmlformats.org/officeDocument/2006/relationships/chart" Target="charts/chart17.xml"/><Relationship Id="rId282" Type="http://schemas.openxmlformats.org/officeDocument/2006/relationships/header" Target="header67.xml"/><Relationship Id="rId317" Type="http://schemas.openxmlformats.org/officeDocument/2006/relationships/footer" Target="footer75.xml"/><Relationship Id="rId338" Type="http://schemas.openxmlformats.org/officeDocument/2006/relationships/header" Target="header80.xml"/><Relationship Id="rId359" Type="http://schemas.openxmlformats.org/officeDocument/2006/relationships/image" Target="media/image43.png"/><Relationship Id="rId8" Type="http://schemas.openxmlformats.org/officeDocument/2006/relationships/header" Target="header1.xml"/><Relationship Id="rId98" Type="http://schemas.openxmlformats.org/officeDocument/2006/relationships/chart" Target="charts/chart15.xml"/><Relationship Id="rId121" Type="http://schemas.openxmlformats.org/officeDocument/2006/relationships/header" Target="header33.xml"/><Relationship Id="rId142" Type="http://schemas.openxmlformats.org/officeDocument/2006/relationships/chart" Target="charts/chart31.xml"/><Relationship Id="rId163" Type="http://schemas.openxmlformats.org/officeDocument/2006/relationships/image" Target="media/image18.png"/><Relationship Id="rId184" Type="http://schemas.openxmlformats.org/officeDocument/2006/relationships/header" Target="header48.xml"/><Relationship Id="rId219" Type="http://schemas.openxmlformats.org/officeDocument/2006/relationships/footer" Target="footer53.xml"/><Relationship Id="rId370" Type="http://schemas.openxmlformats.org/officeDocument/2006/relationships/chart" Target="charts/chart93.xml"/><Relationship Id="rId391" Type="http://schemas.openxmlformats.org/officeDocument/2006/relationships/footer" Target="footer93.xml"/><Relationship Id="rId405" Type="http://schemas.openxmlformats.org/officeDocument/2006/relationships/oleObject" Target="embeddings/Microsoft_Excel_Chart14.xls"/><Relationship Id="rId426" Type="http://schemas.openxmlformats.org/officeDocument/2006/relationships/image" Target="media/image50.png"/><Relationship Id="rId447" Type="http://schemas.openxmlformats.org/officeDocument/2006/relationships/footer" Target="footer108.xml"/><Relationship Id="rId230" Type="http://schemas.openxmlformats.org/officeDocument/2006/relationships/image" Target="media/image25.png"/><Relationship Id="rId251" Type="http://schemas.openxmlformats.org/officeDocument/2006/relationships/chart" Target="charts/chart62.xml"/><Relationship Id="rId468" Type="http://schemas.openxmlformats.org/officeDocument/2006/relationships/footer" Target="footer114.xml"/><Relationship Id="rId489" Type="http://schemas.openxmlformats.org/officeDocument/2006/relationships/image" Target="media/image64.png"/><Relationship Id="rId25" Type="http://schemas.openxmlformats.org/officeDocument/2006/relationships/footer" Target="footer9.xml"/><Relationship Id="rId46" Type="http://schemas.openxmlformats.org/officeDocument/2006/relationships/footer" Target="footer15.xml"/><Relationship Id="rId67" Type="http://schemas.openxmlformats.org/officeDocument/2006/relationships/header" Target="header19.xml"/><Relationship Id="rId272" Type="http://schemas.openxmlformats.org/officeDocument/2006/relationships/footer" Target="footer66.xml"/><Relationship Id="rId293" Type="http://schemas.openxmlformats.org/officeDocument/2006/relationships/chart" Target="charts/chart71.xml"/><Relationship Id="rId307" Type="http://schemas.openxmlformats.org/officeDocument/2006/relationships/chart" Target="charts/chart75.xml"/><Relationship Id="rId328" Type="http://schemas.openxmlformats.org/officeDocument/2006/relationships/header" Target="header78.xml"/><Relationship Id="rId349" Type="http://schemas.openxmlformats.org/officeDocument/2006/relationships/footer" Target="footer83.xml"/><Relationship Id="rId88" Type="http://schemas.openxmlformats.org/officeDocument/2006/relationships/hyperlink" Target="https://www.copernicus.eu/sites/default/files/2018-10/Copernicus-Ex-Ante-Final-Report_0_0.pdf" TargetMode="External"/><Relationship Id="rId111" Type="http://schemas.openxmlformats.org/officeDocument/2006/relationships/image" Target="media/image12.png"/><Relationship Id="rId132" Type="http://schemas.openxmlformats.org/officeDocument/2006/relationships/header" Target="header34.xml"/><Relationship Id="rId153" Type="http://schemas.openxmlformats.org/officeDocument/2006/relationships/chart" Target="charts/chart33.xml"/><Relationship Id="rId174" Type="http://schemas.openxmlformats.org/officeDocument/2006/relationships/footer" Target="footer45.xml"/><Relationship Id="rId195" Type="http://schemas.openxmlformats.org/officeDocument/2006/relationships/footer" Target="footer49.xml"/><Relationship Id="rId209" Type="http://schemas.openxmlformats.org/officeDocument/2006/relationships/hyperlink" Target="https://cordis.europa.eu/project/rcn/208224/brief/en" TargetMode="External"/><Relationship Id="rId360" Type="http://schemas.openxmlformats.org/officeDocument/2006/relationships/header" Target="header85.xml"/><Relationship Id="rId381" Type="http://schemas.openxmlformats.org/officeDocument/2006/relationships/oleObject" Target="embeddings/Microsoft_Excel_Chart13.xls"/><Relationship Id="rId416" Type="http://schemas.openxmlformats.org/officeDocument/2006/relationships/chart" Target="charts/chart103.xml"/><Relationship Id="rId220" Type="http://schemas.openxmlformats.org/officeDocument/2006/relationships/header" Target="header54.xml"/><Relationship Id="rId241" Type="http://schemas.openxmlformats.org/officeDocument/2006/relationships/chart" Target="charts/chart59.xml"/><Relationship Id="rId437" Type="http://schemas.openxmlformats.org/officeDocument/2006/relationships/footer" Target="footer105.xml"/><Relationship Id="rId458" Type="http://schemas.openxmlformats.org/officeDocument/2006/relationships/footer" Target="footer110.xml"/><Relationship Id="rId479" Type="http://schemas.openxmlformats.org/officeDocument/2006/relationships/footer" Target="footer115.xml"/><Relationship Id="rId15" Type="http://schemas.openxmlformats.org/officeDocument/2006/relationships/header" Target="header5.xml"/><Relationship Id="rId36" Type="http://schemas.openxmlformats.org/officeDocument/2006/relationships/chart" Target="charts/chart2.xml"/><Relationship Id="rId57" Type="http://schemas.openxmlformats.org/officeDocument/2006/relationships/footer" Target="footer18.xml"/><Relationship Id="rId262" Type="http://schemas.openxmlformats.org/officeDocument/2006/relationships/header" Target="header63.xml"/><Relationship Id="rId283" Type="http://schemas.openxmlformats.org/officeDocument/2006/relationships/header" Target="header68.xml"/><Relationship Id="rId318" Type="http://schemas.openxmlformats.org/officeDocument/2006/relationships/chart" Target="charts/chart76.xml"/><Relationship Id="rId339" Type="http://schemas.openxmlformats.org/officeDocument/2006/relationships/footer" Target="footer79.xml"/><Relationship Id="rId490" Type="http://schemas.openxmlformats.org/officeDocument/2006/relationships/image" Target="media/image65.png"/><Relationship Id="rId78" Type="http://schemas.openxmlformats.org/officeDocument/2006/relationships/footer" Target="footer23.xml"/><Relationship Id="rId99" Type="http://schemas.openxmlformats.org/officeDocument/2006/relationships/chart" Target="charts/chart16.xml"/><Relationship Id="rId101" Type="http://schemas.openxmlformats.org/officeDocument/2006/relationships/chart" Target="charts/chart18.xml"/><Relationship Id="rId122" Type="http://schemas.openxmlformats.org/officeDocument/2006/relationships/footer" Target="footer33.xml"/><Relationship Id="rId143" Type="http://schemas.openxmlformats.org/officeDocument/2006/relationships/hyperlink" Target="https://europa.eu/!TN67UQ" TargetMode="External"/><Relationship Id="rId164" Type="http://schemas.openxmlformats.org/officeDocument/2006/relationships/oleObject" Target="embeddings/Microsoft_Excel_Chart5.xls"/><Relationship Id="rId185" Type="http://schemas.openxmlformats.org/officeDocument/2006/relationships/footer" Target="footer48.xml"/><Relationship Id="rId350" Type="http://schemas.openxmlformats.org/officeDocument/2006/relationships/header" Target="header84.xml"/><Relationship Id="rId371" Type="http://schemas.openxmlformats.org/officeDocument/2006/relationships/chart" Target="charts/chart94.xml"/><Relationship Id="rId406" Type="http://schemas.openxmlformats.org/officeDocument/2006/relationships/chart" Target="charts/chart102.xml"/><Relationship Id="rId9" Type="http://schemas.openxmlformats.org/officeDocument/2006/relationships/header" Target="header2.xml"/><Relationship Id="rId210" Type="http://schemas.openxmlformats.org/officeDocument/2006/relationships/hyperlink" Target="https://cordis.europa.eu/project/rcn/193941/brief/en" TargetMode="External"/><Relationship Id="rId392" Type="http://schemas.openxmlformats.org/officeDocument/2006/relationships/chart" Target="charts/chart97.xml"/><Relationship Id="rId427" Type="http://schemas.openxmlformats.org/officeDocument/2006/relationships/oleObject" Target="embeddings/Microsoft_Excel_Chart15.xls"/><Relationship Id="rId448" Type="http://schemas.openxmlformats.org/officeDocument/2006/relationships/hyperlink" Target="http://europa.eu/!qh38yN" TargetMode="External"/><Relationship Id="rId469" Type="http://schemas.openxmlformats.org/officeDocument/2006/relationships/hyperlink" Target="https://europa.eu/!Px98ju" TargetMode="External"/><Relationship Id="rId26" Type="http://schemas.openxmlformats.org/officeDocument/2006/relationships/header" Target="header10.xml"/><Relationship Id="rId231" Type="http://schemas.openxmlformats.org/officeDocument/2006/relationships/header" Target="header55.xml"/><Relationship Id="rId252" Type="http://schemas.openxmlformats.org/officeDocument/2006/relationships/image" Target="media/image26.png"/><Relationship Id="rId273" Type="http://schemas.openxmlformats.org/officeDocument/2006/relationships/hyperlink" Target="http://europa.eu/!tU79tW" TargetMode="External"/><Relationship Id="rId294" Type="http://schemas.openxmlformats.org/officeDocument/2006/relationships/chart" Target="charts/chart72.xml"/><Relationship Id="rId308" Type="http://schemas.openxmlformats.org/officeDocument/2006/relationships/hyperlink" Target="http://europa.eu/!wy63PW" TargetMode="External"/><Relationship Id="rId329" Type="http://schemas.openxmlformats.org/officeDocument/2006/relationships/footer" Target="footer78.xml"/><Relationship Id="rId480" Type="http://schemas.openxmlformats.org/officeDocument/2006/relationships/footer" Target="footer116.xml"/><Relationship Id="rId47" Type="http://schemas.openxmlformats.org/officeDocument/2006/relationships/chart" Target="charts/chart3.xml"/><Relationship Id="rId68" Type="http://schemas.openxmlformats.org/officeDocument/2006/relationships/header" Target="header20.xml"/><Relationship Id="rId89" Type="http://schemas.openxmlformats.org/officeDocument/2006/relationships/image" Target="media/image10.png"/><Relationship Id="rId112" Type="http://schemas.openxmlformats.org/officeDocument/2006/relationships/oleObject" Target="embeddings/Microsoft_Excel_Chart3.xls"/><Relationship Id="rId133" Type="http://schemas.openxmlformats.org/officeDocument/2006/relationships/header" Target="header35.xml"/><Relationship Id="rId154" Type="http://schemas.openxmlformats.org/officeDocument/2006/relationships/chart" Target="charts/chart34.xml"/><Relationship Id="rId175" Type="http://schemas.openxmlformats.org/officeDocument/2006/relationships/chart" Target="charts/chart37.xml"/><Relationship Id="rId340" Type="http://schemas.openxmlformats.org/officeDocument/2006/relationships/footer" Target="footer80.xml"/><Relationship Id="rId361" Type="http://schemas.openxmlformats.org/officeDocument/2006/relationships/header" Target="header86.xml"/><Relationship Id="rId196" Type="http://schemas.openxmlformats.org/officeDocument/2006/relationships/footer" Target="footer50.xml"/><Relationship Id="rId200" Type="http://schemas.openxmlformats.org/officeDocument/2006/relationships/chart" Target="charts/chart45.xml"/><Relationship Id="rId382" Type="http://schemas.openxmlformats.org/officeDocument/2006/relationships/chart" Target="charts/chart96.xml"/><Relationship Id="rId417" Type="http://schemas.openxmlformats.org/officeDocument/2006/relationships/chart" Target="charts/chart104.xml"/><Relationship Id="rId438" Type="http://schemas.openxmlformats.org/officeDocument/2006/relationships/chart" Target="charts/chart107.xml"/><Relationship Id="rId459" Type="http://schemas.openxmlformats.org/officeDocument/2006/relationships/header" Target="header111.xml"/><Relationship Id="rId16" Type="http://schemas.openxmlformats.org/officeDocument/2006/relationships/footer" Target="footer4.xml"/><Relationship Id="rId221" Type="http://schemas.openxmlformats.org/officeDocument/2006/relationships/footer" Target="footer54.xml"/><Relationship Id="rId242" Type="http://schemas.openxmlformats.org/officeDocument/2006/relationships/chart" Target="charts/chart60.xml"/><Relationship Id="rId263" Type="http://schemas.openxmlformats.org/officeDocument/2006/relationships/footer" Target="footer63.xml"/><Relationship Id="rId284" Type="http://schemas.openxmlformats.org/officeDocument/2006/relationships/footer" Target="footer67.xml"/><Relationship Id="rId319" Type="http://schemas.openxmlformats.org/officeDocument/2006/relationships/chart" Target="charts/chart77.xml"/><Relationship Id="rId470" Type="http://schemas.openxmlformats.org/officeDocument/2006/relationships/chart" Target="charts/chart115.xml"/><Relationship Id="rId491" Type="http://schemas.openxmlformats.org/officeDocument/2006/relationships/image" Target="media/image66.png"/><Relationship Id="rId37" Type="http://schemas.openxmlformats.org/officeDocument/2006/relationships/hyperlink" Target="http://europa.eu/!KF39Uq" TargetMode="External"/><Relationship Id="rId58" Type="http://schemas.openxmlformats.org/officeDocument/2006/relationships/hyperlink" Target="http://fusionforenergy.europa.eu/" TargetMode="External"/><Relationship Id="rId79" Type="http://schemas.openxmlformats.org/officeDocument/2006/relationships/header" Target="header24.xml"/><Relationship Id="rId102" Type="http://schemas.openxmlformats.org/officeDocument/2006/relationships/header" Target="header28.xml"/><Relationship Id="rId123" Type="http://schemas.openxmlformats.org/officeDocument/2006/relationships/chart" Target="charts/chart21.xml"/><Relationship Id="rId144" Type="http://schemas.openxmlformats.org/officeDocument/2006/relationships/image" Target="media/image16.png"/><Relationship Id="rId330" Type="http://schemas.openxmlformats.org/officeDocument/2006/relationships/hyperlink" Target="http://europa.eu/!GQ68Dy" TargetMode="External"/><Relationship Id="rId90" Type="http://schemas.openxmlformats.org/officeDocument/2006/relationships/image" Target="media/image11.png"/><Relationship Id="rId165" Type="http://schemas.openxmlformats.org/officeDocument/2006/relationships/chart" Target="charts/chart36.xml"/><Relationship Id="rId186" Type="http://schemas.openxmlformats.org/officeDocument/2006/relationships/hyperlink" Target="http://europa.eu/!gW68pY" TargetMode="External"/><Relationship Id="rId351" Type="http://schemas.openxmlformats.org/officeDocument/2006/relationships/footer" Target="footer84.xml"/><Relationship Id="rId372" Type="http://schemas.openxmlformats.org/officeDocument/2006/relationships/header" Target="header88.xml"/><Relationship Id="rId393" Type="http://schemas.openxmlformats.org/officeDocument/2006/relationships/chart" Target="charts/chart98.xml"/><Relationship Id="rId407" Type="http://schemas.openxmlformats.org/officeDocument/2006/relationships/hyperlink" Target="http://europa.eu/!Jq37nB" TargetMode="External"/><Relationship Id="rId428" Type="http://schemas.openxmlformats.org/officeDocument/2006/relationships/chart" Target="charts/chart106.xml"/><Relationship Id="rId449" Type="http://schemas.openxmlformats.org/officeDocument/2006/relationships/chart" Target="charts/chart111.xml"/><Relationship Id="rId211" Type="http://schemas.openxmlformats.org/officeDocument/2006/relationships/hyperlink" Target="https://cordis.europa.eu/project/rcn/204993/brief/en" TargetMode="External"/><Relationship Id="rId232" Type="http://schemas.openxmlformats.org/officeDocument/2006/relationships/header" Target="header56.xml"/><Relationship Id="rId253" Type="http://schemas.openxmlformats.org/officeDocument/2006/relationships/oleObject" Target="embeddings/Microsoft_Excel_Chart8.xls"/><Relationship Id="rId274" Type="http://schemas.openxmlformats.org/officeDocument/2006/relationships/chart" Target="charts/chart64.xml"/><Relationship Id="rId295" Type="http://schemas.openxmlformats.org/officeDocument/2006/relationships/chart" Target="charts/chart73.xml"/><Relationship Id="rId309" Type="http://schemas.openxmlformats.org/officeDocument/2006/relationships/hyperlink" Target="http://europa.eu/!bx37TB" TargetMode="External"/><Relationship Id="rId460" Type="http://schemas.openxmlformats.org/officeDocument/2006/relationships/footer" Target="footer111.xml"/><Relationship Id="rId481" Type="http://schemas.openxmlformats.org/officeDocument/2006/relationships/header" Target="header117.xml"/><Relationship Id="rId27" Type="http://schemas.openxmlformats.org/officeDocument/2006/relationships/header" Target="header11.xml"/><Relationship Id="rId48" Type="http://schemas.openxmlformats.org/officeDocument/2006/relationships/chart" Target="charts/chart4.xml"/><Relationship Id="rId69" Type="http://schemas.openxmlformats.org/officeDocument/2006/relationships/footer" Target="footer19.xml"/><Relationship Id="rId113" Type="http://schemas.openxmlformats.org/officeDocument/2006/relationships/chart" Target="charts/chart20.xml"/><Relationship Id="rId134" Type="http://schemas.openxmlformats.org/officeDocument/2006/relationships/footer" Target="footer34.xml"/><Relationship Id="rId320" Type="http://schemas.openxmlformats.org/officeDocument/2006/relationships/chart" Target="charts/chart78.xml"/><Relationship Id="rId80" Type="http://schemas.openxmlformats.org/officeDocument/2006/relationships/footer" Target="footer24.xml"/><Relationship Id="rId155" Type="http://schemas.openxmlformats.org/officeDocument/2006/relationships/header" Target="header40.xml"/><Relationship Id="rId176" Type="http://schemas.openxmlformats.org/officeDocument/2006/relationships/chart" Target="charts/chart38.xml"/><Relationship Id="rId197" Type="http://schemas.openxmlformats.org/officeDocument/2006/relationships/header" Target="header51.xml"/><Relationship Id="rId341" Type="http://schemas.openxmlformats.org/officeDocument/2006/relationships/header" Target="header81.xml"/><Relationship Id="rId362" Type="http://schemas.openxmlformats.org/officeDocument/2006/relationships/footer" Target="footer85.xml"/><Relationship Id="rId383" Type="http://schemas.openxmlformats.org/officeDocument/2006/relationships/hyperlink" Target="http://europa.eu/!tv44YW" TargetMode="External"/><Relationship Id="rId418" Type="http://schemas.openxmlformats.org/officeDocument/2006/relationships/header" Target="header100.xml"/><Relationship Id="rId439" Type="http://schemas.openxmlformats.org/officeDocument/2006/relationships/chart" Target="charts/chart108.xml"/><Relationship Id="rId201" Type="http://schemas.openxmlformats.org/officeDocument/2006/relationships/chart" Target="charts/chart46.xml"/><Relationship Id="rId222" Type="http://schemas.openxmlformats.org/officeDocument/2006/relationships/hyperlink" Target="http://europa.eu/!nj69xp" TargetMode="External"/><Relationship Id="rId243" Type="http://schemas.openxmlformats.org/officeDocument/2006/relationships/chart" Target="charts/chart61.xml"/><Relationship Id="rId264" Type="http://schemas.openxmlformats.org/officeDocument/2006/relationships/image" Target="media/image29.png"/><Relationship Id="rId285" Type="http://schemas.openxmlformats.org/officeDocument/2006/relationships/footer" Target="footer68.xml"/><Relationship Id="rId450" Type="http://schemas.openxmlformats.org/officeDocument/2006/relationships/image" Target="media/image53.png"/><Relationship Id="rId471" Type="http://schemas.openxmlformats.org/officeDocument/2006/relationships/image" Target="media/image56.png"/><Relationship Id="rId17" Type="http://schemas.openxmlformats.org/officeDocument/2006/relationships/footer" Target="footer5.xml"/><Relationship Id="rId38" Type="http://schemas.openxmlformats.org/officeDocument/2006/relationships/hyperlink" Target="https://europa.eu/!XF34px" TargetMode="External"/><Relationship Id="rId59" Type="http://schemas.openxmlformats.org/officeDocument/2006/relationships/hyperlink" Target="https://www.iter.org/" TargetMode="External"/><Relationship Id="rId103" Type="http://schemas.openxmlformats.org/officeDocument/2006/relationships/header" Target="header29.xml"/><Relationship Id="rId124" Type="http://schemas.openxmlformats.org/officeDocument/2006/relationships/chart" Target="charts/chart22.xml"/><Relationship Id="rId310" Type="http://schemas.openxmlformats.org/officeDocument/2006/relationships/image" Target="media/image36.png"/><Relationship Id="rId492" Type="http://schemas.openxmlformats.org/officeDocument/2006/relationships/header" Target="header118.xml"/><Relationship Id="rId70" Type="http://schemas.openxmlformats.org/officeDocument/2006/relationships/footer" Target="footer20.xml"/><Relationship Id="rId91" Type="http://schemas.openxmlformats.org/officeDocument/2006/relationships/header" Target="header25.xml"/><Relationship Id="rId145" Type="http://schemas.openxmlformats.org/officeDocument/2006/relationships/image" Target="media/image17.png"/><Relationship Id="rId166" Type="http://schemas.openxmlformats.org/officeDocument/2006/relationships/hyperlink" Target="https://europa.eu/!TN67UQ" TargetMode="External"/><Relationship Id="rId187" Type="http://schemas.openxmlformats.org/officeDocument/2006/relationships/chart" Target="charts/chart42.xml"/><Relationship Id="rId331" Type="http://schemas.openxmlformats.org/officeDocument/2006/relationships/chart" Target="charts/chart82.xml"/><Relationship Id="rId352" Type="http://schemas.openxmlformats.org/officeDocument/2006/relationships/hyperlink" Target="http://europa.eu/!NQ39kG" TargetMode="External"/><Relationship Id="rId373" Type="http://schemas.openxmlformats.org/officeDocument/2006/relationships/header" Target="header89.xml"/><Relationship Id="rId394" Type="http://schemas.openxmlformats.org/officeDocument/2006/relationships/chart" Target="charts/chart99.xml"/><Relationship Id="rId408" Type="http://schemas.openxmlformats.org/officeDocument/2006/relationships/image" Target="media/image48.png"/><Relationship Id="rId429" Type="http://schemas.openxmlformats.org/officeDocument/2006/relationships/hyperlink" Target="http://europa.eu/!kq94nP" TargetMode="External"/><Relationship Id="rId1" Type="http://schemas.openxmlformats.org/officeDocument/2006/relationships/numbering" Target="numbering.xml"/><Relationship Id="rId212" Type="http://schemas.openxmlformats.org/officeDocument/2006/relationships/hyperlink" Target="https://cordis.europa.eu/project/rcn/197354/brief/en" TargetMode="External"/><Relationship Id="rId233" Type="http://schemas.openxmlformats.org/officeDocument/2006/relationships/footer" Target="footer55.xml"/><Relationship Id="rId254" Type="http://schemas.openxmlformats.org/officeDocument/2006/relationships/chart" Target="charts/chart63.xml"/><Relationship Id="rId440" Type="http://schemas.openxmlformats.org/officeDocument/2006/relationships/chart" Target="charts/chart109.xml"/><Relationship Id="rId28" Type="http://schemas.openxmlformats.org/officeDocument/2006/relationships/footer" Target="footer10.xml"/><Relationship Id="rId49" Type="http://schemas.openxmlformats.org/officeDocument/2006/relationships/chart" Target="charts/chart5.xml"/><Relationship Id="rId114" Type="http://schemas.openxmlformats.org/officeDocument/2006/relationships/hyperlink" Target="https://europa.eu/!YK63VR" TargetMode="External"/><Relationship Id="rId275" Type="http://schemas.openxmlformats.org/officeDocument/2006/relationships/image" Target="media/image32.png"/><Relationship Id="rId296" Type="http://schemas.openxmlformats.org/officeDocument/2006/relationships/hyperlink" Target="http://ec.europa.eu/sport/week/" TargetMode="External"/><Relationship Id="rId300" Type="http://schemas.openxmlformats.org/officeDocument/2006/relationships/footer" Target="footer71.xml"/><Relationship Id="rId461" Type="http://schemas.openxmlformats.org/officeDocument/2006/relationships/chart" Target="charts/chart113.xml"/><Relationship Id="rId482" Type="http://schemas.openxmlformats.org/officeDocument/2006/relationships/footer" Target="footer117.xml"/><Relationship Id="rId60" Type="http://schemas.openxmlformats.org/officeDocument/2006/relationships/chart" Target="charts/chart8.xml"/><Relationship Id="rId81" Type="http://schemas.openxmlformats.org/officeDocument/2006/relationships/hyperlink" Target="http://www.copernicus.eu" TargetMode="External"/><Relationship Id="rId135" Type="http://schemas.openxmlformats.org/officeDocument/2006/relationships/footer" Target="footer35.xml"/><Relationship Id="rId156" Type="http://schemas.openxmlformats.org/officeDocument/2006/relationships/header" Target="header41.xml"/><Relationship Id="rId177" Type="http://schemas.openxmlformats.org/officeDocument/2006/relationships/chart" Target="charts/chart39.xml"/><Relationship Id="rId198" Type="http://schemas.openxmlformats.org/officeDocument/2006/relationships/footer" Target="footer51.xml"/><Relationship Id="rId321" Type="http://schemas.openxmlformats.org/officeDocument/2006/relationships/chart" Target="charts/chart79.xml"/><Relationship Id="rId342" Type="http://schemas.openxmlformats.org/officeDocument/2006/relationships/footer" Target="footer81.xml"/><Relationship Id="rId363" Type="http://schemas.openxmlformats.org/officeDocument/2006/relationships/footer" Target="footer86.xml"/><Relationship Id="rId384" Type="http://schemas.openxmlformats.org/officeDocument/2006/relationships/image" Target="media/image45.png"/><Relationship Id="rId419" Type="http://schemas.openxmlformats.org/officeDocument/2006/relationships/header" Target="header101.xml"/><Relationship Id="rId202" Type="http://schemas.openxmlformats.org/officeDocument/2006/relationships/chart" Target="charts/chart47.xml"/><Relationship Id="rId223" Type="http://schemas.openxmlformats.org/officeDocument/2006/relationships/hyperlink" Target="http://europa.eu/!HW64Gy" TargetMode="External"/><Relationship Id="rId244" Type="http://schemas.openxmlformats.org/officeDocument/2006/relationships/header" Target="header58.xml"/><Relationship Id="rId430" Type="http://schemas.openxmlformats.org/officeDocument/2006/relationships/image" Target="media/image51.png"/><Relationship Id="rId18" Type="http://schemas.openxmlformats.org/officeDocument/2006/relationships/header" Target="header6.xml"/><Relationship Id="rId39" Type="http://schemas.openxmlformats.org/officeDocument/2006/relationships/image" Target="media/image4.png"/><Relationship Id="rId265" Type="http://schemas.openxmlformats.org/officeDocument/2006/relationships/image" Target="media/image30.png"/><Relationship Id="rId286" Type="http://schemas.openxmlformats.org/officeDocument/2006/relationships/header" Target="header69.xml"/><Relationship Id="rId451" Type="http://schemas.openxmlformats.org/officeDocument/2006/relationships/oleObject" Target="embeddings/Microsoft_Excel_Chart16.xls"/><Relationship Id="rId472" Type="http://schemas.openxmlformats.org/officeDocument/2006/relationships/oleObject" Target="embeddings/Microsoft_Excel_Chart17.xls"/><Relationship Id="rId493" Type="http://schemas.openxmlformats.org/officeDocument/2006/relationships/header" Target="header119.xml"/><Relationship Id="rId50" Type="http://schemas.openxmlformats.org/officeDocument/2006/relationships/chart" Target="charts/chart6.xml"/><Relationship Id="rId104" Type="http://schemas.openxmlformats.org/officeDocument/2006/relationships/footer" Target="footer28.xml"/><Relationship Id="rId125" Type="http://schemas.openxmlformats.org/officeDocument/2006/relationships/chart" Target="charts/chart23.xml"/><Relationship Id="rId146" Type="http://schemas.openxmlformats.org/officeDocument/2006/relationships/header" Target="header37.xml"/><Relationship Id="rId167" Type="http://schemas.openxmlformats.org/officeDocument/2006/relationships/image" Target="media/image19.png"/><Relationship Id="rId188" Type="http://schemas.openxmlformats.org/officeDocument/2006/relationships/oleObject" Target="embeddings/Microsoft_Excel_Chart6.xls"/><Relationship Id="rId311" Type="http://schemas.openxmlformats.org/officeDocument/2006/relationships/image" Target="media/image37.png"/><Relationship Id="rId332" Type="http://schemas.openxmlformats.org/officeDocument/2006/relationships/image" Target="media/image38.png"/><Relationship Id="rId353" Type="http://schemas.openxmlformats.org/officeDocument/2006/relationships/chart" Target="charts/chart87.xml"/><Relationship Id="rId374" Type="http://schemas.openxmlformats.org/officeDocument/2006/relationships/footer" Target="footer88.xml"/><Relationship Id="rId395" Type="http://schemas.openxmlformats.org/officeDocument/2006/relationships/chart" Target="charts/chart100.xml"/><Relationship Id="rId409" Type="http://schemas.openxmlformats.org/officeDocument/2006/relationships/image" Target="media/image49.png"/><Relationship Id="rId71" Type="http://schemas.openxmlformats.org/officeDocument/2006/relationships/header" Target="header21.xml"/><Relationship Id="rId92" Type="http://schemas.openxmlformats.org/officeDocument/2006/relationships/header" Target="header26.xml"/><Relationship Id="rId213" Type="http://schemas.openxmlformats.org/officeDocument/2006/relationships/hyperlink" Target="https://cordis.europa.eu/project/rcn/200840/brief/en" TargetMode="External"/><Relationship Id="rId234" Type="http://schemas.openxmlformats.org/officeDocument/2006/relationships/footer" Target="footer56.xml"/><Relationship Id="rId420" Type="http://schemas.openxmlformats.org/officeDocument/2006/relationships/footer" Target="footer100.xml"/><Relationship Id="rId2" Type="http://schemas.openxmlformats.org/officeDocument/2006/relationships/styles" Target="styles.xml"/><Relationship Id="rId29" Type="http://schemas.openxmlformats.org/officeDocument/2006/relationships/footer" Target="footer11.xml"/><Relationship Id="rId255" Type="http://schemas.openxmlformats.org/officeDocument/2006/relationships/hyperlink" Target="http://europa.eu/!RD83Xc" TargetMode="External"/><Relationship Id="rId276" Type="http://schemas.openxmlformats.org/officeDocument/2006/relationships/oleObject" Target="embeddings/Microsoft_Excel_Chart9.xls"/><Relationship Id="rId297" Type="http://schemas.openxmlformats.org/officeDocument/2006/relationships/header" Target="header70.xml"/><Relationship Id="rId441" Type="http://schemas.openxmlformats.org/officeDocument/2006/relationships/chart" Target="charts/chart110.xml"/><Relationship Id="rId462" Type="http://schemas.openxmlformats.org/officeDocument/2006/relationships/chart" Target="charts/chart114.xml"/><Relationship Id="rId483" Type="http://schemas.openxmlformats.org/officeDocument/2006/relationships/image" Target="media/image58.png"/><Relationship Id="rId40" Type="http://schemas.openxmlformats.org/officeDocument/2006/relationships/image" Target="media/image5.png"/><Relationship Id="rId115" Type="http://schemas.openxmlformats.org/officeDocument/2006/relationships/image" Target="media/image13.png"/><Relationship Id="rId136" Type="http://schemas.openxmlformats.org/officeDocument/2006/relationships/header" Target="header36.xml"/><Relationship Id="rId157" Type="http://schemas.openxmlformats.org/officeDocument/2006/relationships/footer" Target="footer40.xml"/><Relationship Id="rId178" Type="http://schemas.openxmlformats.org/officeDocument/2006/relationships/chart" Target="charts/chart40.xml"/><Relationship Id="rId301" Type="http://schemas.openxmlformats.org/officeDocument/2006/relationships/header" Target="header72.xml"/><Relationship Id="rId322" Type="http://schemas.openxmlformats.org/officeDocument/2006/relationships/chart" Target="charts/chart80.xml"/><Relationship Id="rId343" Type="http://schemas.openxmlformats.org/officeDocument/2006/relationships/chart" Target="charts/chart84.xml"/><Relationship Id="rId364" Type="http://schemas.openxmlformats.org/officeDocument/2006/relationships/header" Target="header87.xml"/><Relationship Id="rId61" Type="http://schemas.openxmlformats.org/officeDocument/2006/relationships/image" Target="media/image6.png"/><Relationship Id="rId82" Type="http://schemas.openxmlformats.org/officeDocument/2006/relationships/chart" Target="charts/chart12.xml"/><Relationship Id="rId199" Type="http://schemas.openxmlformats.org/officeDocument/2006/relationships/chart" Target="charts/chart44.xml"/><Relationship Id="rId203" Type="http://schemas.openxmlformats.org/officeDocument/2006/relationships/chart" Target="charts/chart48.xml"/><Relationship Id="rId385" Type="http://schemas.openxmlformats.org/officeDocument/2006/relationships/image" Target="media/image46.png"/><Relationship Id="rId19" Type="http://schemas.openxmlformats.org/officeDocument/2006/relationships/footer" Target="footer6.xml"/><Relationship Id="rId224" Type="http://schemas.openxmlformats.org/officeDocument/2006/relationships/chart" Target="charts/chart53.xml"/><Relationship Id="rId245" Type="http://schemas.openxmlformats.org/officeDocument/2006/relationships/header" Target="header59.xml"/><Relationship Id="rId266" Type="http://schemas.openxmlformats.org/officeDocument/2006/relationships/image" Target="media/image31.png"/><Relationship Id="rId287" Type="http://schemas.openxmlformats.org/officeDocument/2006/relationships/footer" Target="footer69.xml"/><Relationship Id="rId410" Type="http://schemas.openxmlformats.org/officeDocument/2006/relationships/header" Target="header97.xml"/><Relationship Id="rId431" Type="http://schemas.openxmlformats.org/officeDocument/2006/relationships/image" Target="media/image52.png"/><Relationship Id="rId452" Type="http://schemas.openxmlformats.org/officeDocument/2006/relationships/chart" Target="charts/chart112.xml"/><Relationship Id="rId473" Type="http://schemas.openxmlformats.org/officeDocument/2006/relationships/chart" Target="charts/chart116.xml"/><Relationship Id="rId494" Type="http://schemas.openxmlformats.org/officeDocument/2006/relationships/footer" Target="footer118.xml"/><Relationship Id="rId30" Type="http://schemas.openxmlformats.org/officeDocument/2006/relationships/header" Target="header12.xml"/><Relationship Id="rId105" Type="http://schemas.openxmlformats.org/officeDocument/2006/relationships/footer" Target="footer29.xml"/><Relationship Id="rId126" Type="http://schemas.openxmlformats.org/officeDocument/2006/relationships/chart" Target="charts/chart24.xml"/><Relationship Id="rId147" Type="http://schemas.openxmlformats.org/officeDocument/2006/relationships/header" Target="header38.xml"/><Relationship Id="rId168" Type="http://schemas.openxmlformats.org/officeDocument/2006/relationships/image" Target="media/image20.png"/><Relationship Id="rId312" Type="http://schemas.openxmlformats.org/officeDocument/2006/relationships/header" Target="header73.xml"/><Relationship Id="rId333" Type="http://schemas.openxmlformats.org/officeDocument/2006/relationships/oleObject" Target="embeddings/Microsoft_Excel_Chart11.xls"/><Relationship Id="rId354" Type="http://schemas.openxmlformats.org/officeDocument/2006/relationships/image" Target="media/image41.png"/><Relationship Id="rId51" Type="http://schemas.openxmlformats.org/officeDocument/2006/relationships/chart" Target="charts/chart7.xml"/><Relationship Id="rId72" Type="http://schemas.openxmlformats.org/officeDocument/2006/relationships/footer" Target="footer21.xml"/><Relationship Id="rId93" Type="http://schemas.openxmlformats.org/officeDocument/2006/relationships/footer" Target="footer25.xml"/><Relationship Id="rId189" Type="http://schemas.openxmlformats.org/officeDocument/2006/relationships/chart" Target="charts/chart43.xml"/><Relationship Id="rId375" Type="http://schemas.openxmlformats.org/officeDocument/2006/relationships/footer" Target="footer89.xml"/><Relationship Id="rId396" Type="http://schemas.openxmlformats.org/officeDocument/2006/relationships/header" Target="header94.xml"/><Relationship Id="rId3" Type="http://schemas.openxmlformats.org/officeDocument/2006/relationships/settings" Target="settings.xml"/><Relationship Id="rId214" Type="http://schemas.openxmlformats.org/officeDocument/2006/relationships/hyperlink" Target="https://cordis.europa.eu/project/rcn/200557/brief/en" TargetMode="External"/><Relationship Id="rId235" Type="http://schemas.openxmlformats.org/officeDocument/2006/relationships/header" Target="header57.xml"/><Relationship Id="rId256" Type="http://schemas.openxmlformats.org/officeDocument/2006/relationships/image" Target="media/image27.png"/><Relationship Id="rId277" Type="http://schemas.openxmlformats.org/officeDocument/2006/relationships/chart" Target="charts/chart65.xml"/><Relationship Id="rId298" Type="http://schemas.openxmlformats.org/officeDocument/2006/relationships/header" Target="header71.xml"/><Relationship Id="rId400" Type="http://schemas.openxmlformats.org/officeDocument/2006/relationships/header" Target="header96.xml"/><Relationship Id="rId421" Type="http://schemas.openxmlformats.org/officeDocument/2006/relationships/footer" Target="footer101.xml"/><Relationship Id="rId442" Type="http://schemas.openxmlformats.org/officeDocument/2006/relationships/header" Target="header106.xml"/><Relationship Id="rId463" Type="http://schemas.openxmlformats.org/officeDocument/2006/relationships/header" Target="header112.xml"/><Relationship Id="rId484" Type="http://schemas.openxmlformats.org/officeDocument/2006/relationships/image" Target="media/image59.png"/><Relationship Id="rId116" Type="http://schemas.openxmlformats.org/officeDocument/2006/relationships/image" Target="media/image14.png"/><Relationship Id="rId137" Type="http://schemas.openxmlformats.org/officeDocument/2006/relationships/footer" Target="footer36.xml"/><Relationship Id="rId158" Type="http://schemas.openxmlformats.org/officeDocument/2006/relationships/footer" Target="footer41.xml"/><Relationship Id="rId302" Type="http://schemas.openxmlformats.org/officeDocument/2006/relationships/footer" Target="footer72.xml"/><Relationship Id="rId323" Type="http://schemas.openxmlformats.org/officeDocument/2006/relationships/chart" Target="charts/chart81.xml"/><Relationship Id="rId344" Type="http://schemas.openxmlformats.org/officeDocument/2006/relationships/chart" Target="charts/chart85.xml"/><Relationship Id="rId20" Type="http://schemas.openxmlformats.org/officeDocument/2006/relationships/header" Target="header7.xml"/><Relationship Id="rId41" Type="http://schemas.openxmlformats.org/officeDocument/2006/relationships/header" Target="header13.xml"/><Relationship Id="rId62" Type="http://schemas.openxmlformats.org/officeDocument/2006/relationships/oleObject" Target="embeddings/Microsoft_Excel_Chart1.xls"/><Relationship Id="rId83" Type="http://schemas.openxmlformats.org/officeDocument/2006/relationships/image" Target="media/image9.png"/><Relationship Id="rId179" Type="http://schemas.openxmlformats.org/officeDocument/2006/relationships/chart" Target="charts/chart41.xml"/><Relationship Id="rId365" Type="http://schemas.openxmlformats.org/officeDocument/2006/relationships/footer" Target="footer87.xml"/><Relationship Id="rId386" Type="http://schemas.openxmlformats.org/officeDocument/2006/relationships/header" Target="header91.xml"/><Relationship Id="rId190" Type="http://schemas.openxmlformats.org/officeDocument/2006/relationships/hyperlink" Target="http://europa.eu/!pm48VY" TargetMode="External"/><Relationship Id="rId204" Type="http://schemas.openxmlformats.org/officeDocument/2006/relationships/chart" Target="charts/chart49.xml"/><Relationship Id="rId225" Type="http://schemas.openxmlformats.org/officeDocument/2006/relationships/image" Target="media/image23.png"/><Relationship Id="rId246" Type="http://schemas.openxmlformats.org/officeDocument/2006/relationships/footer" Target="footer58.xml"/><Relationship Id="rId267" Type="http://schemas.openxmlformats.org/officeDocument/2006/relationships/header" Target="header64.xml"/><Relationship Id="rId288" Type="http://schemas.openxmlformats.org/officeDocument/2006/relationships/chart" Target="charts/chart66.xml"/><Relationship Id="rId411" Type="http://schemas.openxmlformats.org/officeDocument/2006/relationships/header" Target="header98.xml"/><Relationship Id="rId432" Type="http://schemas.openxmlformats.org/officeDocument/2006/relationships/header" Target="header103.xml"/><Relationship Id="rId453" Type="http://schemas.openxmlformats.org/officeDocument/2006/relationships/image" Target="media/image54.png"/><Relationship Id="rId474" Type="http://schemas.openxmlformats.org/officeDocument/2006/relationships/hyperlink" Target="http://europa.eu/!Rc38MC" TargetMode="External"/><Relationship Id="rId106" Type="http://schemas.openxmlformats.org/officeDocument/2006/relationships/header" Target="header30.xml"/><Relationship Id="rId127" Type="http://schemas.openxmlformats.org/officeDocument/2006/relationships/chart" Target="charts/chart25.xml"/><Relationship Id="rId313" Type="http://schemas.openxmlformats.org/officeDocument/2006/relationships/header" Target="header74.xml"/><Relationship Id="rId495" Type="http://schemas.openxmlformats.org/officeDocument/2006/relationships/footer" Target="footer119.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header" Target="header16.xml"/><Relationship Id="rId73" Type="http://schemas.openxmlformats.org/officeDocument/2006/relationships/chart" Target="charts/chart10.xml"/><Relationship Id="rId94" Type="http://schemas.openxmlformats.org/officeDocument/2006/relationships/footer" Target="footer26.xml"/><Relationship Id="rId148" Type="http://schemas.openxmlformats.org/officeDocument/2006/relationships/footer" Target="footer37.xml"/><Relationship Id="rId169" Type="http://schemas.openxmlformats.org/officeDocument/2006/relationships/header" Target="header43.xml"/><Relationship Id="rId334" Type="http://schemas.openxmlformats.org/officeDocument/2006/relationships/chart" Target="charts/chart83.xml"/><Relationship Id="rId355" Type="http://schemas.openxmlformats.org/officeDocument/2006/relationships/oleObject" Target="embeddings/Microsoft_Excel_Chart12.xls"/><Relationship Id="rId376" Type="http://schemas.openxmlformats.org/officeDocument/2006/relationships/header" Target="header90.xml"/><Relationship Id="rId397" Type="http://schemas.openxmlformats.org/officeDocument/2006/relationships/header" Target="header95.xml"/><Relationship Id="rId4" Type="http://schemas.openxmlformats.org/officeDocument/2006/relationships/webSettings" Target="webSettings.xml"/><Relationship Id="rId180" Type="http://schemas.openxmlformats.org/officeDocument/2006/relationships/header" Target="header46.xml"/><Relationship Id="rId215" Type="http://schemas.openxmlformats.org/officeDocument/2006/relationships/hyperlink" Target="https://cordis.europa.eu/project/rcn/199956/brief/en" TargetMode="External"/><Relationship Id="rId236" Type="http://schemas.openxmlformats.org/officeDocument/2006/relationships/footer" Target="footer57.xml"/><Relationship Id="rId257" Type="http://schemas.openxmlformats.org/officeDocument/2006/relationships/image" Target="media/image28.png"/><Relationship Id="rId278" Type="http://schemas.openxmlformats.org/officeDocument/2006/relationships/hyperlink" Target="https://europa.eu/!RH98bU" TargetMode="External"/><Relationship Id="rId401" Type="http://schemas.openxmlformats.org/officeDocument/2006/relationships/footer" Target="footer96.xml"/><Relationship Id="rId422" Type="http://schemas.openxmlformats.org/officeDocument/2006/relationships/header" Target="header102.xml"/><Relationship Id="rId443" Type="http://schemas.openxmlformats.org/officeDocument/2006/relationships/header" Target="header107.xml"/><Relationship Id="rId464" Type="http://schemas.openxmlformats.org/officeDocument/2006/relationships/header" Target="header113.xml"/><Relationship Id="rId303" Type="http://schemas.openxmlformats.org/officeDocument/2006/relationships/hyperlink" Target="http://europa.eu/!Qw97vT" TargetMode="External"/><Relationship Id="rId485" Type="http://schemas.openxmlformats.org/officeDocument/2006/relationships/image" Target="media/image60.png"/><Relationship Id="rId42" Type="http://schemas.openxmlformats.org/officeDocument/2006/relationships/header" Target="header14.xml"/><Relationship Id="rId84" Type="http://schemas.openxmlformats.org/officeDocument/2006/relationships/oleObject" Target="embeddings/Microsoft_Excel_Chart2.xls"/><Relationship Id="rId138" Type="http://schemas.openxmlformats.org/officeDocument/2006/relationships/hyperlink" Target="https://europa.eu/!bC66CU" TargetMode="External"/><Relationship Id="rId345" Type="http://schemas.openxmlformats.org/officeDocument/2006/relationships/chart" Target="charts/chart86.xml"/><Relationship Id="rId387" Type="http://schemas.openxmlformats.org/officeDocument/2006/relationships/header" Target="header92.xml"/><Relationship Id="rId191" Type="http://schemas.openxmlformats.org/officeDocument/2006/relationships/image" Target="media/image21.png"/><Relationship Id="rId205" Type="http://schemas.openxmlformats.org/officeDocument/2006/relationships/chart" Target="charts/chart50.xml"/><Relationship Id="rId247" Type="http://schemas.openxmlformats.org/officeDocument/2006/relationships/footer" Target="footer59.xml"/><Relationship Id="rId412" Type="http://schemas.openxmlformats.org/officeDocument/2006/relationships/footer" Target="footer97.xml"/><Relationship Id="rId107" Type="http://schemas.openxmlformats.org/officeDocument/2006/relationships/footer" Target="footer30.xml"/><Relationship Id="rId289" Type="http://schemas.openxmlformats.org/officeDocument/2006/relationships/chart" Target="charts/chart67.xml"/><Relationship Id="rId454" Type="http://schemas.openxmlformats.org/officeDocument/2006/relationships/image" Target="media/image55.png"/><Relationship Id="rId496" Type="http://schemas.openxmlformats.org/officeDocument/2006/relationships/header" Target="header120.xml"/><Relationship Id="rId11" Type="http://schemas.openxmlformats.org/officeDocument/2006/relationships/footer" Target="footer2.xml"/><Relationship Id="rId53" Type="http://schemas.openxmlformats.org/officeDocument/2006/relationships/header" Target="header17.xml"/><Relationship Id="rId149" Type="http://schemas.openxmlformats.org/officeDocument/2006/relationships/footer" Target="footer38.xml"/><Relationship Id="rId314" Type="http://schemas.openxmlformats.org/officeDocument/2006/relationships/footer" Target="footer73.xml"/><Relationship Id="rId356" Type="http://schemas.openxmlformats.org/officeDocument/2006/relationships/chart" Target="charts/chart88.xml"/><Relationship Id="rId398" Type="http://schemas.openxmlformats.org/officeDocument/2006/relationships/footer" Target="footer94.xml"/><Relationship Id="rId95" Type="http://schemas.openxmlformats.org/officeDocument/2006/relationships/header" Target="header27.xml"/><Relationship Id="rId160" Type="http://schemas.openxmlformats.org/officeDocument/2006/relationships/footer" Target="footer42.xml"/><Relationship Id="rId216" Type="http://schemas.openxmlformats.org/officeDocument/2006/relationships/header" Target="header52.xml"/><Relationship Id="rId423" Type="http://schemas.openxmlformats.org/officeDocument/2006/relationships/footer" Target="footer102.xml"/><Relationship Id="rId258" Type="http://schemas.openxmlformats.org/officeDocument/2006/relationships/header" Target="header61.xml"/><Relationship Id="rId465" Type="http://schemas.openxmlformats.org/officeDocument/2006/relationships/footer" Target="footer112.xml"/><Relationship Id="rId22" Type="http://schemas.openxmlformats.org/officeDocument/2006/relationships/footer" Target="footer7.xml"/><Relationship Id="rId64" Type="http://schemas.openxmlformats.org/officeDocument/2006/relationships/hyperlink" Target="https://europa.eu/!Hq99Nh" TargetMode="External"/><Relationship Id="rId118" Type="http://schemas.openxmlformats.org/officeDocument/2006/relationships/header" Target="header32.xml"/><Relationship Id="rId325" Type="http://schemas.openxmlformats.org/officeDocument/2006/relationships/header" Target="header77.xml"/><Relationship Id="rId367" Type="http://schemas.openxmlformats.org/officeDocument/2006/relationships/chart" Target="charts/chart90.xml"/><Relationship Id="rId171" Type="http://schemas.openxmlformats.org/officeDocument/2006/relationships/footer" Target="footer43.xml"/><Relationship Id="rId227" Type="http://schemas.openxmlformats.org/officeDocument/2006/relationships/chart" Target="charts/chart54.xml"/><Relationship Id="rId269" Type="http://schemas.openxmlformats.org/officeDocument/2006/relationships/footer" Target="footer64.xml"/><Relationship Id="rId434" Type="http://schemas.openxmlformats.org/officeDocument/2006/relationships/footer" Target="footer103.xml"/><Relationship Id="rId476" Type="http://schemas.openxmlformats.org/officeDocument/2006/relationships/image" Target="media/image57.png"/><Relationship Id="rId33" Type="http://schemas.openxmlformats.org/officeDocument/2006/relationships/chart" Target="charts/chart1.xml"/><Relationship Id="rId129" Type="http://schemas.openxmlformats.org/officeDocument/2006/relationships/chart" Target="charts/chart27.xml"/><Relationship Id="rId280" Type="http://schemas.openxmlformats.org/officeDocument/2006/relationships/image" Target="media/image33.png"/><Relationship Id="rId336" Type="http://schemas.openxmlformats.org/officeDocument/2006/relationships/image" Target="media/image40.png"/><Relationship Id="rId75" Type="http://schemas.openxmlformats.org/officeDocument/2006/relationships/header" Target="header22.xml"/><Relationship Id="rId140" Type="http://schemas.openxmlformats.org/officeDocument/2006/relationships/image" Target="media/image15.png"/><Relationship Id="rId182" Type="http://schemas.openxmlformats.org/officeDocument/2006/relationships/footer" Target="footer46.xml"/><Relationship Id="rId378" Type="http://schemas.openxmlformats.org/officeDocument/2006/relationships/hyperlink" Target="http://europa.eu/!tp64hw" TargetMode="External"/><Relationship Id="rId403" Type="http://schemas.openxmlformats.org/officeDocument/2006/relationships/chart" Target="charts/chart101.xml"/><Relationship Id="rId6" Type="http://schemas.openxmlformats.org/officeDocument/2006/relationships/endnotes" Target="endnotes.xml"/><Relationship Id="rId238" Type="http://schemas.openxmlformats.org/officeDocument/2006/relationships/chart" Target="charts/chart56.xml"/><Relationship Id="rId445" Type="http://schemas.openxmlformats.org/officeDocument/2006/relationships/footer" Target="footer107.xml"/><Relationship Id="rId487" Type="http://schemas.openxmlformats.org/officeDocument/2006/relationships/image" Target="media/image62.png"/><Relationship Id="rId291" Type="http://schemas.openxmlformats.org/officeDocument/2006/relationships/chart" Target="charts/chart69.xml"/><Relationship Id="rId305" Type="http://schemas.openxmlformats.org/officeDocument/2006/relationships/image" Target="media/image35.png"/><Relationship Id="rId347" Type="http://schemas.openxmlformats.org/officeDocument/2006/relationships/header" Target="header83.xml"/><Relationship Id="rId44" Type="http://schemas.openxmlformats.org/officeDocument/2006/relationships/footer" Target="footer14.xml"/><Relationship Id="rId86" Type="http://schemas.openxmlformats.org/officeDocument/2006/relationships/hyperlink" Target="http://europa.eu/!GJ34Xr" TargetMode="External"/><Relationship Id="rId151" Type="http://schemas.openxmlformats.org/officeDocument/2006/relationships/footer" Target="footer39.xml"/><Relationship Id="rId389" Type="http://schemas.openxmlformats.org/officeDocument/2006/relationships/footer" Target="footer92.xml"/><Relationship Id="rId193" Type="http://schemas.openxmlformats.org/officeDocument/2006/relationships/header" Target="header49.xml"/><Relationship Id="rId207" Type="http://schemas.openxmlformats.org/officeDocument/2006/relationships/chart" Target="charts/chart52.xml"/><Relationship Id="rId249" Type="http://schemas.openxmlformats.org/officeDocument/2006/relationships/footer" Target="footer60.xml"/><Relationship Id="rId414" Type="http://schemas.openxmlformats.org/officeDocument/2006/relationships/header" Target="header99.xml"/><Relationship Id="rId456" Type="http://schemas.openxmlformats.org/officeDocument/2006/relationships/header" Target="header110.xml"/><Relationship Id="rId498" Type="http://schemas.openxmlformats.org/officeDocument/2006/relationships/fontTable" Target="fontTable.xml"/><Relationship Id="rId13" Type="http://schemas.openxmlformats.org/officeDocument/2006/relationships/footer" Target="footer3.xml"/><Relationship Id="rId109" Type="http://schemas.openxmlformats.org/officeDocument/2006/relationships/hyperlink" Target="http://www.eib.org/efsi/index.htm" TargetMode="External"/><Relationship Id="rId260" Type="http://schemas.openxmlformats.org/officeDocument/2006/relationships/footer" Target="footer61.xml"/><Relationship Id="rId316" Type="http://schemas.openxmlformats.org/officeDocument/2006/relationships/header" Target="header75.xml"/><Relationship Id="rId55" Type="http://schemas.openxmlformats.org/officeDocument/2006/relationships/footer" Target="footer17.xml"/><Relationship Id="rId97" Type="http://schemas.openxmlformats.org/officeDocument/2006/relationships/chart" Target="charts/chart14.xml"/><Relationship Id="rId120" Type="http://schemas.openxmlformats.org/officeDocument/2006/relationships/footer" Target="footer32.xml"/><Relationship Id="rId358" Type="http://schemas.openxmlformats.org/officeDocument/2006/relationships/image" Target="media/image42.png"/><Relationship Id="rId162" Type="http://schemas.openxmlformats.org/officeDocument/2006/relationships/chart" Target="charts/chart35.xml"/><Relationship Id="rId218" Type="http://schemas.openxmlformats.org/officeDocument/2006/relationships/footer" Target="footer52.xml"/><Relationship Id="rId425" Type="http://schemas.openxmlformats.org/officeDocument/2006/relationships/chart" Target="charts/chart105.xml"/><Relationship Id="rId467" Type="http://schemas.openxmlformats.org/officeDocument/2006/relationships/header" Target="header114.xml"/><Relationship Id="rId271" Type="http://schemas.openxmlformats.org/officeDocument/2006/relationships/header" Target="header66.xml"/></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1.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102.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10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1.xml"/><Relationship Id="rId1" Type="http://schemas.microsoft.com/office/2011/relationships/chartStyle" Target="style31.xml"/></Relationships>
</file>

<file path=word/charts/_rels/chart105.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2.xml"/><Relationship Id="rId1" Type="http://schemas.microsoft.com/office/2011/relationships/chartStyle" Target="style32.xml"/></Relationships>
</file>

<file path=word/charts/_rels/chart106.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3.xml"/><Relationship Id="rId1" Type="http://schemas.microsoft.com/office/2011/relationships/chartStyle" Target="style33.xml"/></Relationships>
</file>

<file path=word/charts/_rels/chart10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1.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4.xml"/><Relationship Id="rId1" Type="http://schemas.microsoft.com/office/2011/relationships/chartStyle" Target="style34.xml"/></Relationships>
</file>

<file path=word/charts/_rels/chart112.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5.xml"/><Relationship Id="rId1" Type="http://schemas.microsoft.com/office/2011/relationships/chartStyle" Target="style35.xml"/></Relationships>
</file>

<file path=word/charts/_rels/chart11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11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6.xml"/><Relationship Id="rId1" Type="http://schemas.microsoft.com/office/2011/relationships/chartStyle" Target="style36.xml"/></Relationships>
</file>

<file path=word/charts/_rels/chart11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7.xml"/><Relationship Id="rId1" Type="http://schemas.microsoft.com/office/2011/relationships/chartStyle" Target="style37.xml"/></Relationships>
</file>

<file path=word/charts/_rels/chart11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8.xml"/><Relationship Id="rId1" Type="http://schemas.microsoft.com/office/2011/relationships/chartStyle" Target="style38.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1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2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3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3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4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5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6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4.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75.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7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8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2.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83.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8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7.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88.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8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9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5.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96.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9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00ADDC"/>
              </a:solidFill>
              <a:ln w="19050">
                <a:solidFill>
                  <a:schemeClr val="lt1"/>
                </a:solidFill>
              </a:ln>
              <a:effectLst/>
            </c:spPr>
            <c:extLst>
              <c:ext xmlns:c16="http://schemas.microsoft.com/office/drawing/2014/chart" uri="{C3380CC4-5D6E-409C-BE32-E72D297353CC}">
                <c16:uniqueId val="{00000001-D487-447B-8314-F67009EE9D0D}"/>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D487-447B-8314-F67009EE9D0D}"/>
              </c:ext>
            </c:extLst>
          </c:dPt>
          <c:cat>
            <c:strRef>
              <c:f>Sheet1!$A$2:$A$3</c:f>
              <c:strCache>
                <c:ptCount val="2"/>
                <c:pt idx="0">
                  <c:v>1st Qtr</c:v>
                </c:pt>
                <c:pt idx="1">
                  <c:v>2nd Qtr</c:v>
                </c:pt>
              </c:strCache>
            </c:strRef>
          </c:cat>
          <c:val>
            <c:numRef>
              <c:f>Sheet1!$B$2:$B$3</c:f>
              <c:numCache>
                <c:formatCode>0%</c:formatCode>
                <c:ptCount val="2"/>
                <c:pt idx="0">
                  <c:v>0.71</c:v>
                </c:pt>
                <c:pt idx="1">
                  <c:v>0.27</c:v>
                </c:pt>
              </c:numCache>
            </c:numRef>
          </c:val>
          <c:extLst>
            <c:ext xmlns:c16="http://schemas.microsoft.com/office/drawing/2014/chart" uri="{C3380CC4-5D6E-409C-BE32-E72D297353CC}">
              <c16:uniqueId val="{00000004-D487-447B-8314-F67009EE9D0D}"/>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ITER!$K$4</c:f>
              <c:numCache>
                <c:formatCode>0%</c:formatCode>
                <c:ptCount val="1"/>
                <c:pt idx="0">
                  <c:v>1</c:v>
                </c:pt>
              </c:numCache>
            </c:numRef>
          </c:val>
          <c:extLst>
            <c:ext xmlns:c16="http://schemas.microsoft.com/office/drawing/2014/chart" uri="{C3380CC4-5D6E-409C-BE32-E72D297353CC}">
              <c16:uniqueId val="{00000000-2FD4-41DF-B747-469577C53B54}"/>
            </c:ext>
          </c:extLst>
        </c:ser>
        <c:ser>
          <c:idx val="1"/>
          <c:order val="1"/>
          <c:spPr>
            <a:solidFill>
              <a:srgbClr val="000000"/>
            </a:solidFill>
            <a:ln>
              <a:noFill/>
            </a:ln>
            <a:effectLst/>
          </c:spPr>
          <c:invertIfNegative val="0"/>
          <c:val>
            <c:numRef>
              <c:f>ITER!$L$4</c:f>
              <c:numCache>
                <c:formatCode>0%</c:formatCode>
                <c:ptCount val="1"/>
                <c:pt idx="0">
                  <c:v>0</c:v>
                </c:pt>
              </c:numCache>
            </c:numRef>
          </c:val>
          <c:extLst>
            <c:ext xmlns:c16="http://schemas.microsoft.com/office/drawing/2014/chart" uri="{C3380CC4-5D6E-409C-BE32-E72D297353CC}">
              <c16:uniqueId val="{00000001-2FD4-41DF-B747-469577C53B54}"/>
            </c:ext>
          </c:extLst>
        </c:ser>
        <c:ser>
          <c:idx val="2"/>
          <c:order val="2"/>
          <c:spPr>
            <a:solidFill>
              <a:srgbClr val="DCE6F2"/>
            </a:solidFill>
            <a:ln>
              <a:noFill/>
            </a:ln>
            <a:effectLst/>
          </c:spPr>
          <c:invertIfNegative val="0"/>
          <c:val>
            <c:numRef>
              <c:f>ITER!$M$4</c:f>
              <c:numCache>
                <c:formatCode>0%</c:formatCode>
                <c:ptCount val="1"/>
                <c:pt idx="0">
                  <c:v>0</c:v>
                </c:pt>
              </c:numCache>
            </c:numRef>
          </c:val>
          <c:extLst>
            <c:ext xmlns:c16="http://schemas.microsoft.com/office/drawing/2014/chart" uri="{C3380CC4-5D6E-409C-BE32-E72D297353CC}">
              <c16:uniqueId val="{00000002-2FD4-41DF-B747-469577C53B54}"/>
            </c:ext>
          </c:extLst>
        </c:ser>
        <c:ser>
          <c:idx val="3"/>
          <c:order val="3"/>
          <c:spPr>
            <a:solidFill>
              <a:srgbClr val="00ADDC"/>
            </a:solidFill>
            <a:ln>
              <a:noFill/>
            </a:ln>
            <a:effectLst/>
          </c:spPr>
          <c:invertIfNegative val="0"/>
          <c:val>
            <c:numRef>
              <c:f>ITER!$N$4</c:f>
              <c:numCache>
                <c:formatCode>0%</c:formatCode>
                <c:ptCount val="1"/>
                <c:pt idx="0">
                  <c:v>0</c:v>
                </c:pt>
              </c:numCache>
            </c:numRef>
          </c:val>
          <c:extLst>
            <c:ext xmlns:c16="http://schemas.microsoft.com/office/drawing/2014/chart" uri="{C3380CC4-5D6E-409C-BE32-E72D297353CC}">
              <c16:uniqueId val="{00000003-2FD4-41DF-B747-469577C53B54}"/>
            </c:ext>
          </c:extLst>
        </c:ser>
        <c:ser>
          <c:idx val="4"/>
          <c:order val="4"/>
          <c:spPr>
            <a:solidFill>
              <a:srgbClr val="000000"/>
            </a:solidFill>
            <a:ln>
              <a:noFill/>
            </a:ln>
            <a:effectLst/>
          </c:spPr>
          <c:invertIfNegative val="0"/>
          <c:val>
            <c:numRef>
              <c:f>ITER!$O$4</c:f>
              <c:numCache>
                <c:formatCode>0%</c:formatCode>
                <c:ptCount val="1"/>
                <c:pt idx="0">
                  <c:v>0</c:v>
                </c:pt>
              </c:numCache>
            </c:numRef>
          </c:val>
          <c:extLst>
            <c:ext xmlns:c16="http://schemas.microsoft.com/office/drawing/2014/chart" uri="{C3380CC4-5D6E-409C-BE32-E72D297353CC}">
              <c16:uniqueId val="{00000004-2FD4-41DF-B747-469577C53B54}"/>
            </c:ext>
          </c:extLst>
        </c:ser>
        <c:ser>
          <c:idx val="5"/>
          <c:order val="5"/>
          <c:spPr>
            <a:solidFill>
              <a:srgbClr val="00ADDC"/>
            </a:solidFill>
            <a:ln>
              <a:noFill/>
            </a:ln>
            <a:effectLst/>
          </c:spPr>
          <c:invertIfNegative val="0"/>
          <c:val>
            <c:numRef>
              <c:f>ITER!$P$4</c:f>
              <c:numCache>
                <c:formatCode>0%</c:formatCode>
                <c:ptCount val="1"/>
                <c:pt idx="0">
                  <c:v>0</c:v>
                </c:pt>
              </c:numCache>
            </c:numRef>
          </c:val>
          <c:extLst>
            <c:ext xmlns:c16="http://schemas.microsoft.com/office/drawing/2014/chart" uri="{C3380CC4-5D6E-409C-BE32-E72D297353CC}">
              <c16:uniqueId val="{00000005-2FD4-41DF-B747-469577C53B54}"/>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ITER!$Q$4</c:f>
              <c:numCache>
                <c:formatCode>0%</c:formatCode>
                <c:ptCount val="1"/>
                <c:pt idx="0">
                  <c:v>0.6507936507936507</c:v>
                </c:pt>
              </c:numCache>
            </c:numRef>
          </c:val>
          <c:extLst>
            <c:ext xmlns:c16="http://schemas.microsoft.com/office/drawing/2014/chart" uri="{C3380CC4-5D6E-409C-BE32-E72D297353CC}">
              <c16:uniqueId val="{00000006-2FD4-41DF-B747-469577C53B54}"/>
            </c:ext>
          </c:extLst>
        </c:ser>
        <c:ser>
          <c:idx val="7"/>
          <c:order val="7"/>
          <c:spPr>
            <a:solidFill>
              <a:srgbClr val="000000"/>
            </a:solidFill>
            <a:ln>
              <a:noFill/>
            </a:ln>
            <a:effectLst/>
          </c:spPr>
          <c:invertIfNegative val="0"/>
          <c:val>
            <c:numRef>
              <c:f>ITER!$R$4</c:f>
              <c:numCache>
                <c:formatCode>0%</c:formatCode>
                <c:ptCount val="1"/>
                <c:pt idx="0">
                  <c:v>0</c:v>
                </c:pt>
              </c:numCache>
            </c:numRef>
          </c:val>
          <c:extLst>
            <c:ext xmlns:c16="http://schemas.microsoft.com/office/drawing/2014/chart" uri="{C3380CC4-5D6E-409C-BE32-E72D297353CC}">
              <c16:uniqueId val="{00000007-2FD4-41DF-B747-469577C53B54}"/>
            </c:ext>
          </c:extLst>
        </c:ser>
        <c:ser>
          <c:idx val="8"/>
          <c:order val="8"/>
          <c:spPr>
            <a:solidFill>
              <a:srgbClr val="28296E"/>
            </a:solidFill>
            <a:ln>
              <a:noFill/>
            </a:ln>
            <a:effectLst/>
          </c:spPr>
          <c:invertIfNegative val="0"/>
          <c:val>
            <c:numRef>
              <c:f>ITER!$S$4</c:f>
              <c:numCache>
                <c:formatCode>0%</c:formatCode>
                <c:ptCount val="1"/>
                <c:pt idx="0">
                  <c:v>0</c:v>
                </c:pt>
              </c:numCache>
            </c:numRef>
          </c:val>
          <c:extLst>
            <c:ext xmlns:c16="http://schemas.microsoft.com/office/drawing/2014/chart" uri="{C3380CC4-5D6E-409C-BE32-E72D297353CC}">
              <c16:uniqueId val="{00000008-2FD4-41DF-B747-469577C53B54}"/>
            </c:ext>
          </c:extLst>
        </c:ser>
        <c:dLbls>
          <c:showLegendKey val="0"/>
          <c:showVal val="0"/>
          <c:showCatName val="0"/>
          <c:showSerName val="0"/>
          <c:showPercent val="0"/>
          <c:showBubbleSize val="0"/>
        </c:dLbls>
        <c:gapWidth val="0"/>
        <c:overlap val="100"/>
        <c:axId val="102994688"/>
        <c:axId val="102996224"/>
      </c:barChart>
      <c:catAx>
        <c:axId val="102994688"/>
        <c:scaling>
          <c:orientation val="minMax"/>
        </c:scaling>
        <c:delete val="1"/>
        <c:axPos val="l"/>
        <c:majorTickMark val="none"/>
        <c:minorTickMark val="none"/>
        <c:tickLblPos val="nextTo"/>
        <c:crossAx val="102996224"/>
        <c:crosses val="autoZero"/>
        <c:auto val="1"/>
        <c:lblAlgn val="ctr"/>
        <c:lblOffset val="100"/>
        <c:noMultiLvlLbl val="0"/>
      </c:catAx>
      <c:valAx>
        <c:axId val="102996224"/>
        <c:scaling>
          <c:orientation val="minMax"/>
          <c:max val="1"/>
        </c:scaling>
        <c:delete val="1"/>
        <c:axPos val="b"/>
        <c:numFmt formatCode="0%" sourceLinked="1"/>
        <c:majorTickMark val="none"/>
        <c:minorTickMark val="none"/>
        <c:tickLblPos val="nextTo"/>
        <c:crossAx val="10299468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Fiscalis2020!$K$7</c:f>
              <c:numCache>
                <c:formatCode>0%</c:formatCode>
                <c:ptCount val="1"/>
                <c:pt idx="0">
                  <c:v>1</c:v>
                </c:pt>
              </c:numCache>
            </c:numRef>
          </c:val>
          <c:extLst>
            <c:ext xmlns:c16="http://schemas.microsoft.com/office/drawing/2014/chart" uri="{C3380CC4-5D6E-409C-BE32-E72D297353CC}">
              <c16:uniqueId val="{00000000-1123-4480-A2B1-B41940DDC883}"/>
            </c:ext>
          </c:extLst>
        </c:ser>
        <c:ser>
          <c:idx val="1"/>
          <c:order val="1"/>
          <c:spPr>
            <a:solidFill>
              <a:srgbClr val="000000"/>
            </a:solidFill>
            <a:ln>
              <a:noFill/>
            </a:ln>
            <a:effectLst/>
          </c:spPr>
          <c:invertIfNegative val="0"/>
          <c:val>
            <c:numRef>
              <c:f>Fiscalis2020!$L$7</c:f>
              <c:numCache>
                <c:formatCode>0%</c:formatCode>
                <c:ptCount val="1"/>
                <c:pt idx="0">
                  <c:v>0</c:v>
                </c:pt>
              </c:numCache>
            </c:numRef>
          </c:val>
          <c:extLst>
            <c:ext xmlns:c16="http://schemas.microsoft.com/office/drawing/2014/chart" uri="{C3380CC4-5D6E-409C-BE32-E72D297353CC}">
              <c16:uniqueId val="{00000001-1123-4480-A2B1-B41940DDC883}"/>
            </c:ext>
          </c:extLst>
        </c:ser>
        <c:ser>
          <c:idx val="2"/>
          <c:order val="2"/>
          <c:spPr>
            <a:solidFill>
              <a:srgbClr val="DCE6F2"/>
            </a:solidFill>
            <a:ln>
              <a:noFill/>
            </a:ln>
            <a:effectLst/>
          </c:spPr>
          <c:invertIfNegative val="0"/>
          <c:val>
            <c:numRef>
              <c:f>Fiscalis2020!$M$7</c:f>
              <c:numCache>
                <c:formatCode>0%</c:formatCode>
                <c:ptCount val="1"/>
                <c:pt idx="0">
                  <c:v>0</c:v>
                </c:pt>
              </c:numCache>
            </c:numRef>
          </c:val>
          <c:extLst>
            <c:ext xmlns:c16="http://schemas.microsoft.com/office/drawing/2014/chart" uri="{C3380CC4-5D6E-409C-BE32-E72D297353CC}">
              <c16:uniqueId val="{00000002-1123-4480-A2B1-B41940DDC883}"/>
            </c:ext>
          </c:extLst>
        </c:ser>
        <c:ser>
          <c:idx val="3"/>
          <c:order val="3"/>
          <c:spPr>
            <a:solidFill>
              <a:srgbClr val="00ADDC"/>
            </a:solidFill>
            <a:ln>
              <a:noFill/>
            </a:ln>
            <a:effectLst/>
          </c:spPr>
          <c:invertIfNegative val="0"/>
          <c:val>
            <c:numRef>
              <c:f>Fiscalis2020!$N$7</c:f>
              <c:numCache>
                <c:formatCode>0%</c:formatCode>
                <c:ptCount val="1"/>
                <c:pt idx="0">
                  <c:v>0</c:v>
                </c:pt>
              </c:numCache>
            </c:numRef>
          </c:val>
          <c:extLst>
            <c:ext xmlns:c16="http://schemas.microsoft.com/office/drawing/2014/chart" uri="{C3380CC4-5D6E-409C-BE32-E72D297353CC}">
              <c16:uniqueId val="{00000003-1123-4480-A2B1-B41940DDC883}"/>
            </c:ext>
          </c:extLst>
        </c:ser>
        <c:ser>
          <c:idx val="4"/>
          <c:order val="4"/>
          <c:spPr>
            <a:solidFill>
              <a:srgbClr val="000000"/>
            </a:solidFill>
            <a:ln>
              <a:noFill/>
            </a:ln>
            <a:effectLst/>
          </c:spPr>
          <c:invertIfNegative val="0"/>
          <c:val>
            <c:numRef>
              <c:f>Fiscalis2020!$O$7</c:f>
              <c:numCache>
                <c:formatCode>0%</c:formatCode>
                <c:ptCount val="1"/>
                <c:pt idx="0">
                  <c:v>0</c:v>
                </c:pt>
              </c:numCache>
            </c:numRef>
          </c:val>
          <c:extLst>
            <c:ext xmlns:c16="http://schemas.microsoft.com/office/drawing/2014/chart" uri="{C3380CC4-5D6E-409C-BE32-E72D297353CC}">
              <c16:uniqueId val="{00000004-1123-4480-A2B1-B41940DDC883}"/>
            </c:ext>
          </c:extLst>
        </c:ser>
        <c:ser>
          <c:idx val="5"/>
          <c:order val="5"/>
          <c:spPr>
            <a:solidFill>
              <a:srgbClr val="00ADDC"/>
            </a:solidFill>
            <a:ln>
              <a:noFill/>
            </a:ln>
            <a:effectLst/>
          </c:spPr>
          <c:invertIfNegative val="0"/>
          <c:val>
            <c:numRef>
              <c:f>Fiscalis2020!$P$7</c:f>
              <c:numCache>
                <c:formatCode>0%</c:formatCode>
                <c:ptCount val="1"/>
                <c:pt idx="0">
                  <c:v>0</c:v>
                </c:pt>
              </c:numCache>
            </c:numRef>
          </c:val>
          <c:extLst>
            <c:ext xmlns:c16="http://schemas.microsoft.com/office/drawing/2014/chart" uri="{C3380CC4-5D6E-409C-BE32-E72D297353CC}">
              <c16:uniqueId val="{00000005-1123-4480-A2B1-B41940DDC883}"/>
            </c:ext>
          </c:extLst>
        </c:ser>
        <c:ser>
          <c:idx val="6"/>
          <c:order val="6"/>
          <c:spPr>
            <a:solidFill>
              <a:srgbClr val="28296E"/>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23-4480-A2B1-B41940DDC883}"/>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Fiscalis2020!$Q$7</c:f>
              <c:numCache>
                <c:formatCode>0%</c:formatCode>
                <c:ptCount val="1"/>
                <c:pt idx="0">
                  <c:v>1</c:v>
                </c:pt>
              </c:numCache>
            </c:numRef>
          </c:val>
          <c:extLst>
            <c:ext xmlns:c16="http://schemas.microsoft.com/office/drawing/2014/chart" uri="{C3380CC4-5D6E-409C-BE32-E72D297353CC}">
              <c16:uniqueId val="{00000007-1123-4480-A2B1-B41940DDC883}"/>
            </c:ext>
          </c:extLst>
        </c:ser>
        <c:ser>
          <c:idx val="7"/>
          <c:order val="7"/>
          <c:spPr>
            <a:solidFill>
              <a:srgbClr val="000000"/>
            </a:solidFill>
            <a:ln>
              <a:noFill/>
            </a:ln>
            <a:effectLst/>
          </c:spPr>
          <c:invertIfNegative val="0"/>
          <c:val>
            <c:numRef>
              <c:f>Fiscalis2020!$R$7</c:f>
              <c:numCache>
                <c:formatCode>0%</c:formatCode>
                <c:ptCount val="1"/>
                <c:pt idx="0">
                  <c:v>0</c:v>
                </c:pt>
              </c:numCache>
            </c:numRef>
          </c:val>
          <c:extLst>
            <c:ext xmlns:c16="http://schemas.microsoft.com/office/drawing/2014/chart" uri="{C3380CC4-5D6E-409C-BE32-E72D297353CC}">
              <c16:uniqueId val="{00000008-1123-4480-A2B1-B41940DDC883}"/>
            </c:ext>
          </c:extLst>
        </c:ser>
        <c:ser>
          <c:idx val="8"/>
          <c:order val="8"/>
          <c:spPr>
            <a:solidFill>
              <a:srgbClr val="28296E"/>
            </a:solidFill>
            <a:ln>
              <a:noFill/>
            </a:ln>
            <a:effectLst/>
          </c:spPr>
          <c:invertIfNegative val="0"/>
          <c:val>
            <c:numRef>
              <c:f>Fiscalis2020!$S$7</c:f>
              <c:numCache>
                <c:formatCode>0%</c:formatCode>
                <c:ptCount val="1"/>
                <c:pt idx="0">
                  <c:v>0</c:v>
                </c:pt>
              </c:numCache>
            </c:numRef>
          </c:val>
          <c:extLst>
            <c:ext xmlns:c16="http://schemas.microsoft.com/office/drawing/2014/chart" uri="{C3380CC4-5D6E-409C-BE32-E72D297353CC}">
              <c16:uniqueId val="{00000009-1123-4480-A2B1-B41940DDC883}"/>
            </c:ext>
          </c:extLst>
        </c:ser>
        <c:dLbls>
          <c:showLegendKey val="0"/>
          <c:showVal val="0"/>
          <c:showCatName val="0"/>
          <c:showSerName val="0"/>
          <c:showPercent val="0"/>
          <c:showBubbleSize val="0"/>
        </c:dLbls>
        <c:gapWidth val="0"/>
        <c:overlap val="100"/>
        <c:axId val="116032640"/>
        <c:axId val="116034176"/>
      </c:barChart>
      <c:catAx>
        <c:axId val="116032640"/>
        <c:scaling>
          <c:orientation val="minMax"/>
        </c:scaling>
        <c:delete val="1"/>
        <c:axPos val="l"/>
        <c:majorTickMark val="none"/>
        <c:minorTickMark val="none"/>
        <c:tickLblPos val="nextTo"/>
        <c:crossAx val="116034176"/>
        <c:crosses val="autoZero"/>
        <c:auto val="1"/>
        <c:lblAlgn val="ctr"/>
        <c:lblOffset val="100"/>
        <c:noMultiLvlLbl val="0"/>
      </c:catAx>
      <c:valAx>
        <c:axId val="116034176"/>
        <c:scaling>
          <c:orientation val="minMax"/>
          <c:max val="1"/>
        </c:scaling>
        <c:delete val="1"/>
        <c:axPos val="b"/>
        <c:numFmt formatCode="0%" sourceLinked="1"/>
        <c:majorTickMark val="none"/>
        <c:minorTickMark val="none"/>
        <c:tickLblPos val="nextTo"/>
        <c:crossAx val="116032640"/>
        <c:crosses val="autoZero"/>
        <c:crossBetween val="between"/>
      </c:valAx>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00ADDC"/>
              </a:solidFill>
              <a:ln w="19050">
                <a:solidFill>
                  <a:schemeClr val="lt1"/>
                </a:solidFill>
              </a:ln>
              <a:effectLst/>
            </c:spPr>
            <c:extLst>
              <c:ext xmlns:c16="http://schemas.microsoft.com/office/drawing/2014/chart" uri="{C3380CC4-5D6E-409C-BE32-E72D297353CC}">
                <c16:uniqueId val="{00000001-5699-4D9F-A681-BAFA98B26A05}"/>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5699-4D9F-A681-BAFA98B26A05}"/>
              </c:ext>
            </c:extLst>
          </c:dPt>
          <c:cat>
            <c:strRef>
              <c:f>Sheet1!$A$2:$A$3</c:f>
              <c:strCache>
                <c:ptCount val="2"/>
                <c:pt idx="0">
                  <c:v>1st Qtr</c:v>
                </c:pt>
                <c:pt idx="1">
                  <c:v>2nd Qtr</c:v>
                </c:pt>
              </c:strCache>
            </c:strRef>
          </c:cat>
          <c:val>
            <c:numRef>
              <c:f>Sheet1!$B$2:$B$3</c:f>
              <c:numCache>
                <c:formatCode>0%</c:formatCode>
                <c:ptCount val="2"/>
                <c:pt idx="0">
                  <c:v>0.56000000000000005</c:v>
                </c:pt>
                <c:pt idx="1">
                  <c:v>0.44</c:v>
                </c:pt>
              </c:numCache>
            </c:numRef>
          </c:val>
          <c:extLst>
            <c:ext xmlns:c16="http://schemas.microsoft.com/office/drawing/2014/chart" uri="{C3380CC4-5D6E-409C-BE32-E72D297353CC}">
              <c16:uniqueId val="{00000004-5699-4D9F-A681-BAFA98B26A05}"/>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28296E"/>
              </a:solidFill>
              <a:ln w="19050">
                <a:noFill/>
              </a:ln>
              <a:effectLst/>
            </c:spPr>
            <c:extLst>
              <c:ext xmlns:c16="http://schemas.microsoft.com/office/drawing/2014/chart" uri="{C3380CC4-5D6E-409C-BE32-E72D297353CC}">
                <c16:uniqueId val="{00000001-1DBE-4A51-A79C-6454FD3A4E70}"/>
              </c:ext>
            </c:extLst>
          </c:dPt>
          <c:dPt>
            <c:idx val="1"/>
            <c:bubble3D val="0"/>
            <c:spPr>
              <a:noFill/>
              <a:ln w="19050">
                <a:noFill/>
              </a:ln>
              <a:effectLst/>
            </c:spPr>
            <c:extLst>
              <c:ext xmlns:c16="http://schemas.microsoft.com/office/drawing/2014/chart" uri="{C3380CC4-5D6E-409C-BE32-E72D297353CC}">
                <c16:uniqueId val="{00000003-1DBE-4A51-A79C-6454FD3A4E70}"/>
              </c:ext>
            </c:extLst>
          </c:dPt>
          <c:cat>
            <c:strRef>
              <c:f>Sheet1!$A$2:$A$3</c:f>
              <c:strCache>
                <c:ptCount val="2"/>
                <c:pt idx="0">
                  <c:v>1st Qtr</c:v>
                </c:pt>
                <c:pt idx="1">
                  <c:v>2nd Qtr</c:v>
                </c:pt>
              </c:strCache>
            </c:strRef>
          </c:cat>
          <c:val>
            <c:numRef>
              <c:f>Sheet1!$B$2:$B$3</c:f>
              <c:numCache>
                <c:formatCode>0%</c:formatCode>
                <c:ptCount val="2"/>
                <c:pt idx="0">
                  <c:v>0.84</c:v>
                </c:pt>
                <c:pt idx="1">
                  <c:v>0.16</c:v>
                </c:pt>
              </c:numCache>
            </c:numRef>
          </c:val>
          <c:extLst>
            <c:ext xmlns:c16="http://schemas.microsoft.com/office/drawing/2014/chart" uri="{C3380CC4-5D6E-409C-BE32-E72D297353CC}">
              <c16:uniqueId val="{00000004-1DBE-4A51-A79C-6454FD3A4E70}"/>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'Hercules III'!$K$4</c:f>
              <c:numCache>
                <c:formatCode>0%</c:formatCode>
                <c:ptCount val="1"/>
                <c:pt idx="0">
                  <c:v>1</c:v>
                </c:pt>
              </c:numCache>
            </c:numRef>
          </c:val>
          <c:extLst>
            <c:ext xmlns:c16="http://schemas.microsoft.com/office/drawing/2014/chart" uri="{C3380CC4-5D6E-409C-BE32-E72D297353CC}">
              <c16:uniqueId val="{00000000-3362-42C1-8CF6-1371D516D17C}"/>
            </c:ext>
          </c:extLst>
        </c:ser>
        <c:ser>
          <c:idx val="1"/>
          <c:order val="1"/>
          <c:spPr>
            <a:solidFill>
              <a:srgbClr val="000000"/>
            </a:solidFill>
            <a:ln>
              <a:noFill/>
            </a:ln>
            <a:effectLst/>
          </c:spPr>
          <c:invertIfNegative val="0"/>
          <c:val>
            <c:numRef>
              <c:f>'Hercules III'!$L$4</c:f>
              <c:numCache>
                <c:formatCode>0%</c:formatCode>
                <c:ptCount val="1"/>
                <c:pt idx="0">
                  <c:v>0</c:v>
                </c:pt>
              </c:numCache>
            </c:numRef>
          </c:val>
          <c:extLst>
            <c:ext xmlns:c16="http://schemas.microsoft.com/office/drawing/2014/chart" uri="{C3380CC4-5D6E-409C-BE32-E72D297353CC}">
              <c16:uniqueId val="{00000001-3362-42C1-8CF6-1371D516D17C}"/>
            </c:ext>
          </c:extLst>
        </c:ser>
        <c:ser>
          <c:idx val="2"/>
          <c:order val="2"/>
          <c:spPr>
            <a:solidFill>
              <a:srgbClr val="DCE6F2"/>
            </a:solidFill>
            <a:ln>
              <a:noFill/>
            </a:ln>
            <a:effectLst/>
          </c:spPr>
          <c:invertIfNegative val="0"/>
          <c:val>
            <c:numRef>
              <c:f>'Hercules III'!$M$4</c:f>
              <c:numCache>
                <c:formatCode>0%</c:formatCode>
                <c:ptCount val="1"/>
                <c:pt idx="0">
                  <c:v>0</c:v>
                </c:pt>
              </c:numCache>
            </c:numRef>
          </c:val>
          <c:extLst>
            <c:ext xmlns:c16="http://schemas.microsoft.com/office/drawing/2014/chart" uri="{C3380CC4-5D6E-409C-BE32-E72D297353CC}">
              <c16:uniqueId val="{00000002-3362-42C1-8CF6-1371D516D17C}"/>
            </c:ext>
          </c:extLst>
        </c:ser>
        <c:ser>
          <c:idx val="3"/>
          <c:order val="3"/>
          <c:spPr>
            <a:solidFill>
              <a:srgbClr val="00ADDC"/>
            </a:solidFill>
            <a:ln>
              <a:noFill/>
            </a:ln>
            <a:effectLst/>
          </c:spPr>
          <c:invertIfNegative val="0"/>
          <c:val>
            <c:numRef>
              <c:f>'Hercules III'!$N$4</c:f>
              <c:numCache>
                <c:formatCode>0%</c:formatCode>
                <c:ptCount val="1"/>
                <c:pt idx="0">
                  <c:v>0</c:v>
                </c:pt>
              </c:numCache>
            </c:numRef>
          </c:val>
          <c:extLst>
            <c:ext xmlns:c16="http://schemas.microsoft.com/office/drawing/2014/chart" uri="{C3380CC4-5D6E-409C-BE32-E72D297353CC}">
              <c16:uniqueId val="{00000003-3362-42C1-8CF6-1371D516D17C}"/>
            </c:ext>
          </c:extLst>
        </c:ser>
        <c:ser>
          <c:idx val="4"/>
          <c:order val="4"/>
          <c:spPr>
            <a:solidFill>
              <a:srgbClr val="000000"/>
            </a:solidFill>
            <a:ln>
              <a:noFill/>
            </a:ln>
            <a:effectLst/>
          </c:spPr>
          <c:invertIfNegative val="0"/>
          <c:val>
            <c:numRef>
              <c:f>'Hercules III'!$O$4</c:f>
              <c:numCache>
                <c:formatCode>0%</c:formatCode>
                <c:ptCount val="1"/>
                <c:pt idx="0">
                  <c:v>0</c:v>
                </c:pt>
              </c:numCache>
            </c:numRef>
          </c:val>
          <c:extLst>
            <c:ext xmlns:c16="http://schemas.microsoft.com/office/drawing/2014/chart" uri="{C3380CC4-5D6E-409C-BE32-E72D297353CC}">
              <c16:uniqueId val="{00000004-3362-42C1-8CF6-1371D516D17C}"/>
            </c:ext>
          </c:extLst>
        </c:ser>
        <c:ser>
          <c:idx val="5"/>
          <c:order val="5"/>
          <c:spPr>
            <a:solidFill>
              <a:srgbClr val="00ADDC"/>
            </a:solidFill>
            <a:ln>
              <a:noFill/>
            </a:ln>
            <a:effectLst/>
          </c:spPr>
          <c:invertIfNegative val="0"/>
          <c:val>
            <c:numRef>
              <c:f>'Hercules III'!$P$4</c:f>
              <c:numCache>
                <c:formatCode>0%</c:formatCode>
                <c:ptCount val="1"/>
                <c:pt idx="0">
                  <c:v>0</c:v>
                </c:pt>
              </c:numCache>
            </c:numRef>
          </c:val>
          <c:extLst>
            <c:ext xmlns:c16="http://schemas.microsoft.com/office/drawing/2014/chart" uri="{C3380CC4-5D6E-409C-BE32-E72D297353CC}">
              <c16:uniqueId val="{00000005-3362-42C1-8CF6-1371D516D17C}"/>
            </c:ext>
          </c:extLst>
        </c:ser>
        <c:ser>
          <c:idx val="6"/>
          <c:order val="6"/>
          <c:spPr>
            <a:solidFill>
              <a:srgbClr val="28296E"/>
            </a:solidFill>
            <a:ln>
              <a:noFill/>
            </a:ln>
            <a:effectLst/>
          </c:spPr>
          <c:invertIfNegative val="0"/>
          <c:dLbls>
            <c:dLbl>
              <c:idx val="0"/>
              <c:tx>
                <c:rich>
                  <a:bodyPr/>
                  <a:lstStyle/>
                  <a:p>
                    <a:r>
                      <a:rPr lang="en-US"/>
                      <a:t>&gt;100%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362-42C1-8CF6-1371D516D17C}"/>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'Hercules III'!$Q$4</c:f>
              <c:numCache>
                <c:formatCode>0%</c:formatCode>
                <c:ptCount val="1"/>
                <c:pt idx="0">
                  <c:v>1</c:v>
                </c:pt>
              </c:numCache>
            </c:numRef>
          </c:val>
          <c:extLst>
            <c:ext xmlns:c16="http://schemas.microsoft.com/office/drawing/2014/chart" uri="{C3380CC4-5D6E-409C-BE32-E72D297353CC}">
              <c16:uniqueId val="{00000007-3362-42C1-8CF6-1371D516D17C}"/>
            </c:ext>
          </c:extLst>
        </c:ser>
        <c:ser>
          <c:idx val="7"/>
          <c:order val="7"/>
          <c:spPr>
            <a:solidFill>
              <a:srgbClr val="000000"/>
            </a:solidFill>
            <a:ln>
              <a:noFill/>
            </a:ln>
            <a:effectLst/>
          </c:spPr>
          <c:invertIfNegative val="0"/>
          <c:val>
            <c:numRef>
              <c:f>'Hercules III'!$R$4</c:f>
              <c:numCache>
                <c:formatCode>0%</c:formatCode>
                <c:ptCount val="1"/>
                <c:pt idx="0">
                  <c:v>0</c:v>
                </c:pt>
              </c:numCache>
            </c:numRef>
          </c:val>
          <c:extLst>
            <c:ext xmlns:c16="http://schemas.microsoft.com/office/drawing/2014/chart" uri="{C3380CC4-5D6E-409C-BE32-E72D297353CC}">
              <c16:uniqueId val="{00000008-3362-42C1-8CF6-1371D516D17C}"/>
            </c:ext>
          </c:extLst>
        </c:ser>
        <c:ser>
          <c:idx val="8"/>
          <c:order val="8"/>
          <c:spPr>
            <a:solidFill>
              <a:srgbClr val="28296E"/>
            </a:solidFill>
            <a:ln>
              <a:noFill/>
            </a:ln>
            <a:effectLst/>
          </c:spPr>
          <c:invertIfNegative val="0"/>
          <c:val>
            <c:numRef>
              <c:f>'Hercules III'!$S$4</c:f>
              <c:numCache>
                <c:formatCode>0%</c:formatCode>
                <c:ptCount val="1"/>
                <c:pt idx="0">
                  <c:v>0</c:v>
                </c:pt>
              </c:numCache>
            </c:numRef>
          </c:val>
          <c:extLst>
            <c:ext xmlns:c16="http://schemas.microsoft.com/office/drawing/2014/chart" uri="{C3380CC4-5D6E-409C-BE32-E72D297353CC}">
              <c16:uniqueId val="{00000009-3362-42C1-8CF6-1371D516D17C}"/>
            </c:ext>
          </c:extLst>
        </c:ser>
        <c:dLbls>
          <c:showLegendKey val="0"/>
          <c:showVal val="0"/>
          <c:showCatName val="0"/>
          <c:showSerName val="0"/>
          <c:showPercent val="0"/>
          <c:showBubbleSize val="0"/>
        </c:dLbls>
        <c:gapWidth val="0"/>
        <c:overlap val="100"/>
        <c:axId val="117036160"/>
        <c:axId val="117037696"/>
      </c:barChart>
      <c:catAx>
        <c:axId val="117036160"/>
        <c:scaling>
          <c:orientation val="minMax"/>
        </c:scaling>
        <c:delete val="1"/>
        <c:axPos val="l"/>
        <c:majorTickMark val="none"/>
        <c:minorTickMark val="none"/>
        <c:tickLblPos val="nextTo"/>
        <c:crossAx val="117037696"/>
        <c:crosses val="autoZero"/>
        <c:auto val="1"/>
        <c:lblAlgn val="ctr"/>
        <c:lblOffset val="100"/>
        <c:noMultiLvlLbl val="0"/>
      </c:catAx>
      <c:valAx>
        <c:axId val="117037696"/>
        <c:scaling>
          <c:orientation val="minMax"/>
          <c:max val="1"/>
        </c:scaling>
        <c:delete val="1"/>
        <c:axPos val="b"/>
        <c:numFmt formatCode="0%" sourceLinked="1"/>
        <c:majorTickMark val="none"/>
        <c:minorTickMark val="none"/>
        <c:tickLblPos val="nextTo"/>
        <c:crossAx val="11703616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'Hercules III'!$K$5</c:f>
              <c:numCache>
                <c:formatCode>0%</c:formatCode>
                <c:ptCount val="1"/>
                <c:pt idx="0">
                  <c:v>1</c:v>
                </c:pt>
              </c:numCache>
            </c:numRef>
          </c:val>
          <c:extLst>
            <c:ext xmlns:c16="http://schemas.microsoft.com/office/drawing/2014/chart" uri="{C3380CC4-5D6E-409C-BE32-E72D297353CC}">
              <c16:uniqueId val="{00000000-8B65-47D7-AC57-BFA12C51B280}"/>
            </c:ext>
          </c:extLst>
        </c:ser>
        <c:ser>
          <c:idx val="1"/>
          <c:order val="1"/>
          <c:spPr>
            <a:solidFill>
              <a:srgbClr val="000000"/>
            </a:solidFill>
            <a:ln>
              <a:noFill/>
            </a:ln>
            <a:effectLst/>
          </c:spPr>
          <c:invertIfNegative val="0"/>
          <c:val>
            <c:numRef>
              <c:f>'Hercules III'!$L$5</c:f>
              <c:numCache>
                <c:formatCode>0%</c:formatCode>
                <c:ptCount val="1"/>
                <c:pt idx="0">
                  <c:v>0</c:v>
                </c:pt>
              </c:numCache>
            </c:numRef>
          </c:val>
          <c:extLst>
            <c:ext xmlns:c16="http://schemas.microsoft.com/office/drawing/2014/chart" uri="{C3380CC4-5D6E-409C-BE32-E72D297353CC}">
              <c16:uniqueId val="{00000001-8B65-47D7-AC57-BFA12C51B280}"/>
            </c:ext>
          </c:extLst>
        </c:ser>
        <c:ser>
          <c:idx val="2"/>
          <c:order val="2"/>
          <c:spPr>
            <a:solidFill>
              <a:srgbClr val="DCE6F2"/>
            </a:solidFill>
            <a:ln>
              <a:noFill/>
            </a:ln>
            <a:effectLst/>
          </c:spPr>
          <c:invertIfNegative val="0"/>
          <c:val>
            <c:numRef>
              <c:f>'Hercules III'!$M$5</c:f>
              <c:numCache>
                <c:formatCode>0%</c:formatCode>
                <c:ptCount val="1"/>
                <c:pt idx="0">
                  <c:v>0</c:v>
                </c:pt>
              </c:numCache>
            </c:numRef>
          </c:val>
          <c:extLst>
            <c:ext xmlns:c16="http://schemas.microsoft.com/office/drawing/2014/chart" uri="{C3380CC4-5D6E-409C-BE32-E72D297353CC}">
              <c16:uniqueId val="{00000002-8B65-47D7-AC57-BFA12C51B280}"/>
            </c:ext>
          </c:extLst>
        </c:ser>
        <c:ser>
          <c:idx val="3"/>
          <c:order val="3"/>
          <c:spPr>
            <a:solidFill>
              <a:srgbClr val="00ADDC"/>
            </a:solidFill>
            <a:ln>
              <a:noFill/>
            </a:ln>
            <a:effectLst/>
          </c:spPr>
          <c:invertIfNegative val="0"/>
          <c:val>
            <c:numRef>
              <c:f>'Hercules III'!$N$5</c:f>
              <c:numCache>
                <c:formatCode>0%</c:formatCode>
                <c:ptCount val="1"/>
                <c:pt idx="0">
                  <c:v>0</c:v>
                </c:pt>
              </c:numCache>
            </c:numRef>
          </c:val>
          <c:extLst>
            <c:ext xmlns:c16="http://schemas.microsoft.com/office/drawing/2014/chart" uri="{C3380CC4-5D6E-409C-BE32-E72D297353CC}">
              <c16:uniqueId val="{00000003-8B65-47D7-AC57-BFA12C51B280}"/>
            </c:ext>
          </c:extLst>
        </c:ser>
        <c:ser>
          <c:idx val="4"/>
          <c:order val="4"/>
          <c:spPr>
            <a:solidFill>
              <a:srgbClr val="000000"/>
            </a:solidFill>
            <a:ln>
              <a:noFill/>
            </a:ln>
            <a:effectLst/>
          </c:spPr>
          <c:invertIfNegative val="0"/>
          <c:val>
            <c:numRef>
              <c:f>'Hercules III'!$O$5</c:f>
              <c:numCache>
                <c:formatCode>0%</c:formatCode>
                <c:ptCount val="1"/>
                <c:pt idx="0">
                  <c:v>0</c:v>
                </c:pt>
              </c:numCache>
            </c:numRef>
          </c:val>
          <c:extLst>
            <c:ext xmlns:c16="http://schemas.microsoft.com/office/drawing/2014/chart" uri="{C3380CC4-5D6E-409C-BE32-E72D297353CC}">
              <c16:uniqueId val="{00000004-8B65-47D7-AC57-BFA12C51B280}"/>
            </c:ext>
          </c:extLst>
        </c:ser>
        <c:ser>
          <c:idx val="5"/>
          <c:order val="5"/>
          <c:spPr>
            <a:solidFill>
              <a:srgbClr val="00ADDC"/>
            </a:solidFill>
            <a:ln>
              <a:noFill/>
            </a:ln>
            <a:effectLst/>
          </c:spPr>
          <c:invertIfNegative val="0"/>
          <c:val>
            <c:numRef>
              <c:f>'Hercules III'!$P$5</c:f>
              <c:numCache>
                <c:formatCode>0%</c:formatCode>
                <c:ptCount val="1"/>
                <c:pt idx="0">
                  <c:v>0</c:v>
                </c:pt>
              </c:numCache>
            </c:numRef>
          </c:val>
          <c:extLst>
            <c:ext xmlns:c16="http://schemas.microsoft.com/office/drawing/2014/chart" uri="{C3380CC4-5D6E-409C-BE32-E72D297353CC}">
              <c16:uniqueId val="{00000005-8B65-47D7-AC57-BFA12C51B280}"/>
            </c:ext>
          </c:extLst>
        </c:ser>
        <c:ser>
          <c:idx val="6"/>
          <c:order val="6"/>
          <c:spPr>
            <a:solidFill>
              <a:srgbClr val="28296E"/>
            </a:solidFill>
            <a:ln>
              <a:noFill/>
            </a:ln>
            <a:effectLst/>
          </c:spPr>
          <c:invertIfNegative val="0"/>
          <c:dLbls>
            <c:dLbl>
              <c:idx val="0"/>
              <c:tx>
                <c:rich>
                  <a:bodyPr/>
                  <a:lstStyle/>
                  <a:p>
                    <a:r>
                      <a:rPr lang="en-US"/>
                      <a:t>&gt;100%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B65-47D7-AC57-BFA12C51B280}"/>
                </c:ext>
              </c:extLst>
            </c:dLbl>
            <c:spPr>
              <a:noFill/>
              <a:ln>
                <a:noFill/>
              </a:ln>
              <a:effectLst/>
            </c:spPr>
            <c:txPr>
              <a:bodyPr rot="0" spcFirstLastPara="1" vertOverflow="ellipsis" horzOverflow="clip" vert="horz" wrap="square" lIns="0" tIns="0" rIns="38100" bIns="19050" anchor="ctr" anchorCtr="1">
                <a:spAutoFit/>
              </a:bodyPr>
              <a:lstStyle/>
              <a:p>
                <a:pPr>
                  <a:defRPr sz="800" b="0" i="0" u="none" strike="noStrike" kern="1200" baseline="0">
                    <a:solidFill>
                      <a:srgbClr val="FFFFFF"/>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val>
            <c:numRef>
              <c:f>'Hercules III'!$Q$5</c:f>
              <c:numCache>
                <c:formatCode>0%</c:formatCode>
                <c:ptCount val="1"/>
                <c:pt idx="0">
                  <c:v>1</c:v>
                </c:pt>
              </c:numCache>
            </c:numRef>
          </c:val>
          <c:extLst>
            <c:ext xmlns:c16="http://schemas.microsoft.com/office/drawing/2014/chart" uri="{C3380CC4-5D6E-409C-BE32-E72D297353CC}">
              <c16:uniqueId val="{00000007-8B65-47D7-AC57-BFA12C51B280}"/>
            </c:ext>
          </c:extLst>
        </c:ser>
        <c:ser>
          <c:idx val="7"/>
          <c:order val="7"/>
          <c:spPr>
            <a:solidFill>
              <a:srgbClr val="000000"/>
            </a:solidFill>
            <a:ln>
              <a:noFill/>
            </a:ln>
            <a:effectLst/>
          </c:spPr>
          <c:invertIfNegative val="0"/>
          <c:val>
            <c:numRef>
              <c:f>'Hercules III'!$R$5</c:f>
              <c:numCache>
                <c:formatCode>0%</c:formatCode>
                <c:ptCount val="1"/>
                <c:pt idx="0">
                  <c:v>0</c:v>
                </c:pt>
              </c:numCache>
            </c:numRef>
          </c:val>
          <c:extLst>
            <c:ext xmlns:c16="http://schemas.microsoft.com/office/drawing/2014/chart" uri="{C3380CC4-5D6E-409C-BE32-E72D297353CC}">
              <c16:uniqueId val="{00000008-8B65-47D7-AC57-BFA12C51B280}"/>
            </c:ext>
          </c:extLst>
        </c:ser>
        <c:ser>
          <c:idx val="8"/>
          <c:order val="8"/>
          <c:spPr>
            <a:solidFill>
              <a:srgbClr val="28296E"/>
            </a:solidFill>
            <a:ln>
              <a:noFill/>
            </a:ln>
            <a:effectLst/>
          </c:spPr>
          <c:invertIfNegative val="0"/>
          <c:val>
            <c:numRef>
              <c:f>'Hercules III'!$S$5</c:f>
              <c:numCache>
                <c:formatCode>0%</c:formatCode>
                <c:ptCount val="1"/>
                <c:pt idx="0">
                  <c:v>0</c:v>
                </c:pt>
              </c:numCache>
            </c:numRef>
          </c:val>
          <c:extLst>
            <c:ext xmlns:c16="http://schemas.microsoft.com/office/drawing/2014/chart" uri="{C3380CC4-5D6E-409C-BE32-E72D297353CC}">
              <c16:uniqueId val="{00000009-8B65-47D7-AC57-BFA12C51B280}"/>
            </c:ext>
          </c:extLst>
        </c:ser>
        <c:dLbls>
          <c:showLegendKey val="0"/>
          <c:showVal val="0"/>
          <c:showCatName val="0"/>
          <c:showSerName val="0"/>
          <c:showPercent val="0"/>
          <c:showBubbleSize val="0"/>
        </c:dLbls>
        <c:gapWidth val="0"/>
        <c:overlap val="100"/>
        <c:axId val="117686656"/>
        <c:axId val="117688192"/>
      </c:barChart>
      <c:catAx>
        <c:axId val="117686656"/>
        <c:scaling>
          <c:orientation val="minMax"/>
        </c:scaling>
        <c:delete val="1"/>
        <c:axPos val="l"/>
        <c:majorTickMark val="none"/>
        <c:minorTickMark val="none"/>
        <c:tickLblPos val="nextTo"/>
        <c:crossAx val="117688192"/>
        <c:crosses val="autoZero"/>
        <c:auto val="1"/>
        <c:lblAlgn val="ctr"/>
        <c:lblOffset val="100"/>
        <c:noMultiLvlLbl val="0"/>
      </c:catAx>
      <c:valAx>
        <c:axId val="117688192"/>
        <c:scaling>
          <c:orientation val="minMax"/>
          <c:max val="1"/>
        </c:scaling>
        <c:delete val="1"/>
        <c:axPos val="b"/>
        <c:numFmt formatCode="0%" sourceLinked="1"/>
        <c:majorTickMark val="none"/>
        <c:minorTickMark val="none"/>
        <c:tickLblPos val="nextTo"/>
        <c:crossAx val="11768665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3">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00ADDC"/>
              </a:solidFill>
              <a:ln w="19050">
                <a:solidFill>
                  <a:schemeClr val="lt1"/>
                </a:solidFill>
              </a:ln>
              <a:effectLst/>
            </c:spPr>
            <c:extLst>
              <c:ext xmlns:c16="http://schemas.microsoft.com/office/drawing/2014/chart" uri="{C3380CC4-5D6E-409C-BE32-E72D297353CC}">
                <c16:uniqueId val="{00000001-7E5D-4EC5-86DF-72AE47976E41}"/>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7E5D-4EC5-86DF-72AE47976E41}"/>
              </c:ext>
            </c:extLst>
          </c:dPt>
          <c:cat>
            <c:strRef>
              <c:f>Sheet1!$A$2:$A$3</c:f>
              <c:strCache>
                <c:ptCount val="2"/>
                <c:pt idx="0">
                  <c:v>1st Qtr</c:v>
                </c:pt>
                <c:pt idx="1">
                  <c:v>2nd Qtr</c:v>
                </c:pt>
              </c:strCache>
            </c:strRef>
          </c:cat>
          <c:val>
            <c:numRef>
              <c:f>Sheet1!$B$2:$B$3</c:f>
              <c:numCache>
                <c:formatCode>0%</c:formatCode>
                <c:ptCount val="2"/>
                <c:pt idx="0">
                  <c:v>0.59</c:v>
                </c:pt>
                <c:pt idx="1">
                  <c:v>0.41</c:v>
                </c:pt>
              </c:numCache>
            </c:numRef>
          </c:val>
          <c:extLst>
            <c:ext xmlns:c16="http://schemas.microsoft.com/office/drawing/2014/chart" uri="{C3380CC4-5D6E-409C-BE32-E72D297353CC}">
              <c16:uniqueId val="{00000004-7E5D-4EC5-86DF-72AE47976E41}"/>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28296E"/>
              </a:solidFill>
              <a:ln w="19050">
                <a:noFill/>
              </a:ln>
              <a:effectLst/>
            </c:spPr>
            <c:extLst>
              <c:ext xmlns:c16="http://schemas.microsoft.com/office/drawing/2014/chart" uri="{C3380CC4-5D6E-409C-BE32-E72D297353CC}">
                <c16:uniqueId val="{00000001-2AEF-4414-96F3-573C999E9CBA}"/>
              </c:ext>
            </c:extLst>
          </c:dPt>
          <c:dPt>
            <c:idx val="1"/>
            <c:bubble3D val="0"/>
            <c:spPr>
              <a:noFill/>
              <a:ln w="19050">
                <a:noFill/>
              </a:ln>
              <a:effectLst/>
            </c:spPr>
            <c:extLst>
              <c:ext xmlns:c16="http://schemas.microsoft.com/office/drawing/2014/chart" uri="{C3380CC4-5D6E-409C-BE32-E72D297353CC}">
                <c16:uniqueId val="{00000003-2AEF-4414-96F3-573C999E9CBA}"/>
              </c:ext>
            </c:extLst>
          </c:dPt>
          <c:cat>
            <c:strRef>
              <c:f>Sheet1!$A$2:$A$3</c:f>
              <c:strCache>
                <c:ptCount val="2"/>
                <c:pt idx="0">
                  <c:v>1st Qtr</c:v>
                </c:pt>
                <c:pt idx="1">
                  <c:v>2nd Qtr</c:v>
                </c:pt>
              </c:strCache>
            </c:strRef>
          </c:cat>
          <c:val>
            <c:numRef>
              <c:f>Sheet1!$B$2:$B$3</c:f>
              <c:numCache>
                <c:formatCode>0%</c:formatCode>
                <c:ptCount val="2"/>
                <c:pt idx="0">
                  <c:v>0.82</c:v>
                </c:pt>
                <c:pt idx="1">
                  <c:v>0.18</c:v>
                </c:pt>
              </c:numCache>
            </c:numRef>
          </c:val>
          <c:extLst>
            <c:ext xmlns:c16="http://schemas.microsoft.com/office/drawing/2014/chart" uri="{C3380CC4-5D6E-409C-BE32-E72D297353CC}">
              <c16:uniqueId val="{00000004-2AEF-4414-96F3-573C999E9CBA}"/>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Pericles!$K$4</c:f>
              <c:numCache>
                <c:formatCode>0%</c:formatCode>
                <c:ptCount val="1"/>
                <c:pt idx="0">
                  <c:v>1</c:v>
                </c:pt>
              </c:numCache>
            </c:numRef>
          </c:val>
          <c:extLst>
            <c:ext xmlns:c16="http://schemas.microsoft.com/office/drawing/2014/chart" uri="{C3380CC4-5D6E-409C-BE32-E72D297353CC}">
              <c16:uniqueId val="{00000000-13C6-4549-9BA8-10F9CD3A1FF5}"/>
            </c:ext>
          </c:extLst>
        </c:ser>
        <c:ser>
          <c:idx val="1"/>
          <c:order val="1"/>
          <c:spPr>
            <a:solidFill>
              <a:srgbClr val="000000"/>
            </a:solidFill>
            <a:ln>
              <a:noFill/>
            </a:ln>
            <a:effectLst/>
          </c:spPr>
          <c:invertIfNegative val="0"/>
          <c:val>
            <c:numRef>
              <c:f>Pericles!$L$4</c:f>
              <c:numCache>
                <c:formatCode>0%</c:formatCode>
                <c:ptCount val="1"/>
                <c:pt idx="0">
                  <c:v>0</c:v>
                </c:pt>
              </c:numCache>
            </c:numRef>
          </c:val>
          <c:extLst>
            <c:ext xmlns:c16="http://schemas.microsoft.com/office/drawing/2014/chart" uri="{C3380CC4-5D6E-409C-BE32-E72D297353CC}">
              <c16:uniqueId val="{00000001-13C6-4549-9BA8-10F9CD3A1FF5}"/>
            </c:ext>
          </c:extLst>
        </c:ser>
        <c:ser>
          <c:idx val="2"/>
          <c:order val="2"/>
          <c:spPr>
            <a:solidFill>
              <a:srgbClr val="DCE6F2"/>
            </a:solidFill>
            <a:ln>
              <a:noFill/>
            </a:ln>
            <a:effectLst/>
          </c:spPr>
          <c:invertIfNegative val="0"/>
          <c:val>
            <c:numRef>
              <c:f>Pericles!$M$4</c:f>
              <c:numCache>
                <c:formatCode>0%</c:formatCode>
                <c:ptCount val="1"/>
                <c:pt idx="0">
                  <c:v>0</c:v>
                </c:pt>
              </c:numCache>
            </c:numRef>
          </c:val>
          <c:extLst>
            <c:ext xmlns:c16="http://schemas.microsoft.com/office/drawing/2014/chart" uri="{C3380CC4-5D6E-409C-BE32-E72D297353CC}">
              <c16:uniqueId val="{00000002-13C6-4549-9BA8-10F9CD3A1FF5}"/>
            </c:ext>
          </c:extLst>
        </c:ser>
        <c:ser>
          <c:idx val="3"/>
          <c:order val="3"/>
          <c:spPr>
            <a:solidFill>
              <a:srgbClr val="00ADDC"/>
            </a:solidFill>
            <a:ln>
              <a:noFill/>
            </a:ln>
            <a:effectLst/>
          </c:spPr>
          <c:invertIfNegative val="0"/>
          <c:val>
            <c:numRef>
              <c:f>Pericles!$N$4</c:f>
              <c:numCache>
                <c:formatCode>0%</c:formatCode>
                <c:ptCount val="1"/>
                <c:pt idx="0">
                  <c:v>0</c:v>
                </c:pt>
              </c:numCache>
            </c:numRef>
          </c:val>
          <c:extLst>
            <c:ext xmlns:c16="http://schemas.microsoft.com/office/drawing/2014/chart" uri="{C3380CC4-5D6E-409C-BE32-E72D297353CC}">
              <c16:uniqueId val="{00000003-13C6-4549-9BA8-10F9CD3A1FF5}"/>
            </c:ext>
          </c:extLst>
        </c:ser>
        <c:ser>
          <c:idx val="4"/>
          <c:order val="4"/>
          <c:spPr>
            <a:solidFill>
              <a:srgbClr val="000000"/>
            </a:solidFill>
            <a:ln>
              <a:noFill/>
            </a:ln>
            <a:effectLst/>
          </c:spPr>
          <c:invertIfNegative val="0"/>
          <c:val>
            <c:numRef>
              <c:f>Pericles!$O$4</c:f>
              <c:numCache>
                <c:formatCode>0%</c:formatCode>
                <c:ptCount val="1"/>
                <c:pt idx="0">
                  <c:v>0</c:v>
                </c:pt>
              </c:numCache>
            </c:numRef>
          </c:val>
          <c:extLst>
            <c:ext xmlns:c16="http://schemas.microsoft.com/office/drawing/2014/chart" uri="{C3380CC4-5D6E-409C-BE32-E72D297353CC}">
              <c16:uniqueId val="{00000004-13C6-4549-9BA8-10F9CD3A1FF5}"/>
            </c:ext>
          </c:extLst>
        </c:ser>
        <c:ser>
          <c:idx val="5"/>
          <c:order val="5"/>
          <c:spPr>
            <a:solidFill>
              <a:srgbClr val="00ADDC"/>
            </a:solidFill>
            <a:ln>
              <a:noFill/>
            </a:ln>
            <a:effectLst/>
          </c:spPr>
          <c:invertIfNegative val="0"/>
          <c:val>
            <c:numRef>
              <c:f>Pericles!$P$4</c:f>
              <c:numCache>
                <c:formatCode>0%</c:formatCode>
                <c:ptCount val="1"/>
                <c:pt idx="0">
                  <c:v>0</c:v>
                </c:pt>
              </c:numCache>
            </c:numRef>
          </c:val>
          <c:extLst>
            <c:ext xmlns:c16="http://schemas.microsoft.com/office/drawing/2014/chart" uri="{C3380CC4-5D6E-409C-BE32-E72D297353CC}">
              <c16:uniqueId val="{00000005-13C6-4549-9BA8-10F9CD3A1FF5}"/>
            </c:ext>
          </c:extLst>
        </c:ser>
        <c:ser>
          <c:idx val="6"/>
          <c:order val="6"/>
          <c:spPr>
            <a:solidFill>
              <a:srgbClr val="28296E"/>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3C6-4549-9BA8-10F9CD3A1FF5}"/>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Pericles!$Q$4</c:f>
              <c:numCache>
                <c:formatCode>0%</c:formatCode>
                <c:ptCount val="1"/>
                <c:pt idx="0">
                  <c:v>1</c:v>
                </c:pt>
              </c:numCache>
            </c:numRef>
          </c:val>
          <c:extLst>
            <c:ext xmlns:c16="http://schemas.microsoft.com/office/drawing/2014/chart" uri="{C3380CC4-5D6E-409C-BE32-E72D297353CC}">
              <c16:uniqueId val="{00000007-13C6-4549-9BA8-10F9CD3A1FF5}"/>
            </c:ext>
          </c:extLst>
        </c:ser>
        <c:ser>
          <c:idx val="7"/>
          <c:order val="7"/>
          <c:spPr>
            <a:solidFill>
              <a:srgbClr val="000000"/>
            </a:solidFill>
            <a:ln>
              <a:noFill/>
            </a:ln>
            <a:effectLst/>
          </c:spPr>
          <c:invertIfNegative val="0"/>
          <c:val>
            <c:numRef>
              <c:f>Pericles!$R$4</c:f>
              <c:numCache>
                <c:formatCode>0%</c:formatCode>
                <c:ptCount val="1"/>
                <c:pt idx="0">
                  <c:v>0</c:v>
                </c:pt>
              </c:numCache>
            </c:numRef>
          </c:val>
          <c:extLst>
            <c:ext xmlns:c16="http://schemas.microsoft.com/office/drawing/2014/chart" uri="{C3380CC4-5D6E-409C-BE32-E72D297353CC}">
              <c16:uniqueId val="{00000008-13C6-4549-9BA8-10F9CD3A1FF5}"/>
            </c:ext>
          </c:extLst>
        </c:ser>
        <c:ser>
          <c:idx val="8"/>
          <c:order val="8"/>
          <c:spPr>
            <a:solidFill>
              <a:srgbClr val="28296E"/>
            </a:solidFill>
            <a:ln>
              <a:noFill/>
            </a:ln>
            <a:effectLst/>
          </c:spPr>
          <c:invertIfNegative val="0"/>
          <c:val>
            <c:numRef>
              <c:f>Pericles!$S$4</c:f>
              <c:numCache>
                <c:formatCode>0%</c:formatCode>
                <c:ptCount val="1"/>
                <c:pt idx="0">
                  <c:v>0</c:v>
                </c:pt>
              </c:numCache>
            </c:numRef>
          </c:val>
          <c:extLst>
            <c:ext xmlns:c16="http://schemas.microsoft.com/office/drawing/2014/chart" uri="{C3380CC4-5D6E-409C-BE32-E72D297353CC}">
              <c16:uniqueId val="{00000009-13C6-4549-9BA8-10F9CD3A1FF5}"/>
            </c:ext>
          </c:extLst>
        </c:ser>
        <c:dLbls>
          <c:showLegendKey val="0"/>
          <c:showVal val="0"/>
          <c:showCatName val="0"/>
          <c:showSerName val="0"/>
          <c:showPercent val="0"/>
          <c:showBubbleSize val="0"/>
        </c:dLbls>
        <c:gapWidth val="0"/>
        <c:overlap val="100"/>
        <c:axId val="117461760"/>
        <c:axId val="117463296"/>
      </c:barChart>
      <c:catAx>
        <c:axId val="117461760"/>
        <c:scaling>
          <c:orientation val="minMax"/>
        </c:scaling>
        <c:delete val="1"/>
        <c:axPos val="l"/>
        <c:majorTickMark val="none"/>
        <c:minorTickMark val="none"/>
        <c:tickLblPos val="nextTo"/>
        <c:crossAx val="117463296"/>
        <c:crosses val="autoZero"/>
        <c:auto val="1"/>
        <c:lblAlgn val="ctr"/>
        <c:lblOffset val="100"/>
        <c:noMultiLvlLbl val="0"/>
      </c:catAx>
      <c:valAx>
        <c:axId val="117463296"/>
        <c:scaling>
          <c:orientation val="minMax"/>
          <c:max val="1"/>
        </c:scaling>
        <c:delete val="1"/>
        <c:axPos val="b"/>
        <c:numFmt formatCode="0%" sourceLinked="1"/>
        <c:majorTickMark val="none"/>
        <c:minorTickMark val="none"/>
        <c:tickLblPos val="nextTo"/>
        <c:crossAx val="11746176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Pericles!$K$5</c:f>
              <c:numCache>
                <c:formatCode>0%</c:formatCode>
                <c:ptCount val="1"/>
                <c:pt idx="0">
                  <c:v>1</c:v>
                </c:pt>
              </c:numCache>
            </c:numRef>
          </c:val>
          <c:extLst>
            <c:ext xmlns:c16="http://schemas.microsoft.com/office/drawing/2014/chart" uri="{C3380CC4-5D6E-409C-BE32-E72D297353CC}">
              <c16:uniqueId val="{00000000-3CB5-4B98-8E36-D7CE645448FC}"/>
            </c:ext>
          </c:extLst>
        </c:ser>
        <c:ser>
          <c:idx val="1"/>
          <c:order val="1"/>
          <c:spPr>
            <a:solidFill>
              <a:srgbClr val="000000"/>
            </a:solidFill>
            <a:ln>
              <a:noFill/>
            </a:ln>
            <a:effectLst/>
          </c:spPr>
          <c:invertIfNegative val="0"/>
          <c:val>
            <c:numRef>
              <c:f>Pericles!$L$5</c:f>
              <c:numCache>
                <c:formatCode>0%</c:formatCode>
                <c:ptCount val="1"/>
                <c:pt idx="0">
                  <c:v>0</c:v>
                </c:pt>
              </c:numCache>
            </c:numRef>
          </c:val>
          <c:extLst>
            <c:ext xmlns:c16="http://schemas.microsoft.com/office/drawing/2014/chart" uri="{C3380CC4-5D6E-409C-BE32-E72D297353CC}">
              <c16:uniqueId val="{00000001-3CB5-4B98-8E36-D7CE645448FC}"/>
            </c:ext>
          </c:extLst>
        </c:ser>
        <c:ser>
          <c:idx val="2"/>
          <c:order val="2"/>
          <c:spPr>
            <a:solidFill>
              <a:srgbClr val="DCE6F2"/>
            </a:solidFill>
            <a:ln>
              <a:noFill/>
            </a:ln>
            <a:effectLst/>
          </c:spPr>
          <c:invertIfNegative val="0"/>
          <c:val>
            <c:numRef>
              <c:f>Pericles!$M$5</c:f>
              <c:numCache>
                <c:formatCode>0%</c:formatCode>
                <c:ptCount val="1"/>
                <c:pt idx="0">
                  <c:v>0</c:v>
                </c:pt>
              </c:numCache>
            </c:numRef>
          </c:val>
          <c:extLst>
            <c:ext xmlns:c16="http://schemas.microsoft.com/office/drawing/2014/chart" uri="{C3380CC4-5D6E-409C-BE32-E72D297353CC}">
              <c16:uniqueId val="{00000002-3CB5-4B98-8E36-D7CE645448FC}"/>
            </c:ext>
          </c:extLst>
        </c:ser>
        <c:ser>
          <c:idx val="3"/>
          <c:order val="3"/>
          <c:spPr>
            <a:solidFill>
              <a:srgbClr val="00ADDC"/>
            </a:solidFill>
            <a:ln>
              <a:noFill/>
            </a:ln>
            <a:effectLst/>
          </c:spPr>
          <c:invertIfNegative val="0"/>
          <c:val>
            <c:numRef>
              <c:f>Pericles!$N$5</c:f>
              <c:numCache>
                <c:formatCode>0%</c:formatCode>
                <c:ptCount val="1"/>
                <c:pt idx="0">
                  <c:v>0</c:v>
                </c:pt>
              </c:numCache>
            </c:numRef>
          </c:val>
          <c:extLst>
            <c:ext xmlns:c16="http://schemas.microsoft.com/office/drawing/2014/chart" uri="{C3380CC4-5D6E-409C-BE32-E72D297353CC}">
              <c16:uniqueId val="{00000003-3CB5-4B98-8E36-D7CE645448FC}"/>
            </c:ext>
          </c:extLst>
        </c:ser>
        <c:ser>
          <c:idx val="4"/>
          <c:order val="4"/>
          <c:spPr>
            <a:solidFill>
              <a:srgbClr val="000000"/>
            </a:solidFill>
            <a:ln>
              <a:noFill/>
            </a:ln>
            <a:effectLst/>
          </c:spPr>
          <c:invertIfNegative val="0"/>
          <c:val>
            <c:numRef>
              <c:f>Pericles!$O$5</c:f>
              <c:numCache>
                <c:formatCode>0%</c:formatCode>
                <c:ptCount val="1"/>
                <c:pt idx="0">
                  <c:v>0</c:v>
                </c:pt>
              </c:numCache>
            </c:numRef>
          </c:val>
          <c:extLst>
            <c:ext xmlns:c16="http://schemas.microsoft.com/office/drawing/2014/chart" uri="{C3380CC4-5D6E-409C-BE32-E72D297353CC}">
              <c16:uniqueId val="{00000004-3CB5-4B98-8E36-D7CE645448FC}"/>
            </c:ext>
          </c:extLst>
        </c:ser>
        <c:ser>
          <c:idx val="5"/>
          <c:order val="5"/>
          <c:spPr>
            <a:solidFill>
              <a:srgbClr val="00ADDC"/>
            </a:solidFill>
            <a:ln>
              <a:noFill/>
            </a:ln>
            <a:effectLst/>
          </c:spPr>
          <c:invertIfNegative val="0"/>
          <c:val>
            <c:numRef>
              <c:f>Pericles!$P$5</c:f>
              <c:numCache>
                <c:formatCode>0%</c:formatCode>
                <c:ptCount val="1"/>
                <c:pt idx="0">
                  <c:v>0</c:v>
                </c:pt>
              </c:numCache>
            </c:numRef>
          </c:val>
          <c:extLst>
            <c:ext xmlns:c16="http://schemas.microsoft.com/office/drawing/2014/chart" uri="{C3380CC4-5D6E-409C-BE32-E72D297353CC}">
              <c16:uniqueId val="{00000005-3CB5-4B98-8E36-D7CE645448FC}"/>
            </c:ext>
          </c:extLst>
        </c:ser>
        <c:ser>
          <c:idx val="6"/>
          <c:order val="6"/>
          <c:spPr>
            <a:solidFill>
              <a:srgbClr val="28296E"/>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CB5-4B98-8E36-D7CE645448FC}"/>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Pericles!$Q$5</c:f>
              <c:numCache>
                <c:formatCode>0%</c:formatCode>
                <c:ptCount val="1"/>
                <c:pt idx="0">
                  <c:v>1</c:v>
                </c:pt>
              </c:numCache>
            </c:numRef>
          </c:val>
          <c:extLst>
            <c:ext xmlns:c16="http://schemas.microsoft.com/office/drawing/2014/chart" uri="{C3380CC4-5D6E-409C-BE32-E72D297353CC}">
              <c16:uniqueId val="{00000007-3CB5-4B98-8E36-D7CE645448FC}"/>
            </c:ext>
          </c:extLst>
        </c:ser>
        <c:ser>
          <c:idx val="7"/>
          <c:order val="7"/>
          <c:spPr>
            <a:solidFill>
              <a:srgbClr val="000000"/>
            </a:solidFill>
            <a:ln>
              <a:noFill/>
            </a:ln>
            <a:effectLst/>
          </c:spPr>
          <c:invertIfNegative val="0"/>
          <c:val>
            <c:numRef>
              <c:f>Pericles!$R$5</c:f>
              <c:numCache>
                <c:formatCode>0%</c:formatCode>
                <c:ptCount val="1"/>
                <c:pt idx="0">
                  <c:v>0</c:v>
                </c:pt>
              </c:numCache>
            </c:numRef>
          </c:val>
          <c:extLst>
            <c:ext xmlns:c16="http://schemas.microsoft.com/office/drawing/2014/chart" uri="{C3380CC4-5D6E-409C-BE32-E72D297353CC}">
              <c16:uniqueId val="{00000008-3CB5-4B98-8E36-D7CE645448FC}"/>
            </c:ext>
          </c:extLst>
        </c:ser>
        <c:ser>
          <c:idx val="8"/>
          <c:order val="8"/>
          <c:spPr>
            <a:solidFill>
              <a:srgbClr val="28296E"/>
            </a:solidFill>
            <a:ln>
              <a:noFill/>
            </a:ln>
            <a:effectLst/>
          </c:spPr>
          <c:invertIfNegative val="0"/>
          <c:val>
            <c:numRef>
              <c:f>Pericles!$S$5</c:f>
              <c:numCache>
                <c:formatCode>0%</c:formatCode>
                <c:ptCount val="1"/>
                <c:pt idx="0">
                  <c:v>0</c:v>
                </c:pt>
              </c:numCache>
            </c:numRef>
          </c:val>
          <c:extLst>
            <c:ext xmlns:c16="http://schemas.microsoft.com/office/drawing/2014/chart" uri="{C3380CC4-5D6E-409C-BE32-E72D297353CC}">
              <c16:uniqueId val="{00000009-3CB5-4B98-8E36-D7CE645448FC}"/>
            </c:ext>
          </c:extLst>
        </c:ser>
        <c:dLbls>
          <c:showLegendKey val="0"/>
          <c:showVal val="0"/>
          <c:showCatName val="0"/>
          <c:showSerName val="0"/>
          <c:showPercent val="0"/>
          <c:showBubbleSize val="0"/>
        </c:dLbls>
        <c:gapWidth val="0"/>
        <c:overlap val="100"/>
        <c:axId val="118166272"/>
        <c:axId val="118167808"/>
      </c:barChart>
      <c:catAx>
        <c:axId val="118166272"/>
        <c:scaling>
          <c:orientation val="minMax"/>
        </c:scaling>
        <c:delete val="1"/>
        <c:axPos val="l"/>
        <c:majorTickMark val="none"/>
        <c:minorTickMark val="none"/>
        <c:tickLblPos val="nextTo"/>
        <c:crossAx val="118167808"/>
        <c:crosses val="autoZero"/>
        <c:auto val="1"/>
        <c:lblAlgn val="ctr"/>
        <c:lblOffset val="100"/>
        <c:noMultiLvlLbl val="0"/>
      </c:catAx>
      <c:valAx>
        <c:axId val="118167808"/>
        <c:scaling>
          <c:orientation val="minMax"/>
          <c:max val="1"/>
        </c:scaling>
        <c:delete val="1"/>
        <c:axPos val="b"/>
        <c:numFmt formatCode="0%" sourceLinked="1"/>
        <c:majorTickMark val="none"/>
        <c:minorTickMark val="none"/>
        <c:tickLblPos val="nextTo"/>
        <c:crossAx val="11816627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Pericles!$K$6</c:f>
              <c:numCache>
                <c:formatCode>0%</c:formatCode>
                <c:ptCount val="1"/>
                <c:pt idx="0">
                  <c:v>1</c:v>
                </c:pt>
              </c:numCache>
            </c:numRef>
          </c:val>
          <c:extLst>
            <c:ext xmlns:c16="http://schemas.microsoft.com/office/drawing/2014/chart" uri="{C3380CC4-5D6E-409C-BE32-E72D297353CC}">
              <c16:uniqueId val="{00000000-2110-4B9D-B4BB-F76B3AE45E72}"/>
            </c:ext>
          </c:extLst>
        </c:ser>
        <c:ser>
          <c:idx val="1"/>
          <c:order val="1"/>
          <c:spPr>
            <a:solidFill>
              <a:srgbClr val="000000"/>
            </a:solidFill>
            <a:ln>
              <a:noFill/>
            </a:ln>
            <a:effectLst/>
          </c:spPr>
          <c:invertIfNegative val="0"/>
          <c:val>
            <c:numRef>
              <c:f>Pericles!$L$6</c:f>
              <c:numCache>
                <c:formatCode>0%</c:formatCode>
                <c:ptCount val="1"/>
                <c:pt idx="0">
                  <c:v>0</c:v>
                </c:pt>
              </c:numCache>
            </c:numRef>
          </c:val>
          <c:extLst>
            <c:ext xmlns:c16="http://schemas.microsoft.com/office/drawing/2014/chart" uri="{C3380CC4-5D6E-409C-BE32-E72D297353CC}">
              <c16:uniqueId val="{00000001-2110-4B9D-B4BB-F76B3AE45E72}"/>
            </c:ext>
          </c:extLst>
        </c:ser>
        <c:ser>
          <c:idx val="2"/>
          <c:order val="2"/>
          <c:spPr>
            <a:solidFill>
              <a:srgbClr val="DCE6F2"/>
            </a:solidFill>
            <a:ln>
              <a:noFill/>
            </a:ln>
            <a:effectLst/>
          </c:spPr>
          <c:invertIfNegative val="0"/>
          <c:val>
            <c:numRef>
              <c:f>Pericles!$M$6</c:f>
              <c:numCache>
                <c:formatCode>0%</c:formatCode>
                <c:ptCount val="1"/>
                <c:pt idx="0">
                  <c:v>0</c:v>
                </c:pt>
              </c:numCache>
            </c:numRef>
          </c:val>
          <c:extLst>
            <c:ext xmlns:c16="http://schemas.microsoft.com/office/drawing/2014/chart" uri="{C3380CC4-5D6E-409C-BE32-E72D297353CC}">
              <c16:uniqueId val="{00000002-2110-4B9D-B4BB-F76B3AE45E72}"/>
            </c:ext>
          </c:extLst>
        </c:ser>
        <c:ser>
          <c:idx val="3"/>
          <c:order val="3"/>
          <c:spPr>
            <a:solidFill>
              <a:srgbClr val="00ADDC"/>
            </a:solidFill>
            <a:ln>
              <a:noFill/>
            </a:ln>
            <a:effectLst/>
          </c:spPr>
          <c:invertIfNegative val="0"/>
          <c:val>
            <c:numRef>
              <c:f>Pericles!$N$6</c:f>
              <c:numCache>
                <c:formatCode>0%</c:formatCode>
                <c:ptCount val="1"/>
                <c:pt idx="0">
                  <c:v>0</c:v>
                </c:pt>
              </c:numCache>
            </c:numRef>
          </c:val>
          <c:extLst>
            <c:ext xmlns:c16="http://schemas.microsoft.com/office/drawing/2014/chart" uri="{C3380CC4-5D6E-409C-BE32-E72D297353CC}">
              <c16:uniqueId val="{00000003-2110-4B9D-B4BB-F76B3AE45E72}"/>
            </c:ext>
          </c:extLst>
        </c:ser>
        <c:ser>
          <c:idx val="4"/>
          <c:order val="4"/>
          <c:spPr>
            <a:solidFill>
              <a:srgbClr val="000000"/>
            </a:solidFill>
            <a:ln>
              <a:noFill/>
            </a:ln>
            <a:effectLst/>
          </c:spPr>
          <c:invertIfNegative val="0"/>
          <c:val>
            <c:numRef>
              <c:f>Pericles!$O$6</c:f>
              <c:numCache>
                <c:formatCode>0%</c:formatCode>
                <c:ptCount val="1"/>
                <c:pt idx="0">
                  <c:v>0</c:v>
                </c:pt>
              </c:numCache>
            </c:numRef>
          </c:val>
          <c:extLst>
            <c:ext xmlns:c16="http://schemas.microsoft.com/office/drawing/2014/chart" uri="{C3380CC4-5D6E-409C-BE32-E72D297353CC}">
              <c16:uniqueId val="{00000004-2110-4B9D-B4BB-F76B3AE45E72}"/>
            </c:ext>
          </c:extLst>
        </c:ser>
        <c:ser>
          <c:idx val="5"/>
          <c:order val="5"/>
          <c:spPr>
            <a:solidFill>
              <a:srgbClr val="00ADDC"/>
            </a:solidFill>
            <a:ln>
              <a:noFill/>
            </a:ln>
            <a:effectLst/>
          </c:spPr>
          <c:invertIfNegative val="0"/>
          <c:val>
            <c:numRef>
              <c:f>Pericles!$P$6</c:f>
              <c:numCache>
                <c:formatCode>0%</c:formatCode>
                <c:ptCount val="1"/>
                <c:pt idx="0">
                  <c:v>0</c:v>
                </c:pt>
              </c:numCache>
            </c:numRef>
          </c:val>
          <c:extLst>
            <c:ext xmlns:c16="http://schemas.microsoft.com/office/drawing/2014/chart" uri="{C3380CC4-5D6E-409C-BE32-E72D297353CC}">
              <c16:uniqueId val="{00000005-2110-4B9D-B4BB-F76B3AE45E72}"/>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Pericles!$Q$6</c:f>
              <c:numCache>
                <c:formatCode>0%</c:formatCode>
                <c:ptCount val="1"/>
                <c:pt idx="0">
                  <c:v>0.60851063829787233</c:v>
                </c:pt>
              </c:numCache>
            </c:numRef>
          </c:val>
          <c:extLst>
            <c:ext xmlns:c16="http://schemas.microsoft.com/office/drawing/2014/chart" uri="{C3380CC4-5D6E-409C-BE32-E72D297353CC}">
              <c16:uniqueId val="{00000006-2110-4B9D-B4BB-F76B3AE45E72}"/>
            </c:ext>
          </c:extLst>
        </c:ser>
        <c:ser>
          <c:idx val="7"/>
          <c:order val="7"/>
          <c:spPr>
            <a:solidFill>
              <a:srgbClr val="000000"/>
            </a:solidFill>
            <a:ln>
              <a:noFill/>
            </a:ln>
            <a:effectLst/>
          </c:spPr>
          <c:invertIfNegative val="0"/>
          <c:val>
            <c:numRef>
              <c:f>Pericles!$R$6</c:f>
              <c:numCache>
                <c:formatCode>0%</c:formatCode>
                <c:ptCount val="1"/>
                <c:pt idx="0">
                  <c:v>0</c:v>
                </c:pt>
              </c:numCache>
            </c:numRef>
          </c:val>
          <c:extLst>
            <c:ext xmlns:c16="http://schemas.microsoft.com/office/drawing/2014/chart" uri="{C3380CC4-5D6E-409C-BE32-E72D297353CC}">
              <c16:uniqueId val="{00000007-2110-4B9D-B4BB-F76B3AE45E72}"/>
            </c:ext>
          </c:extLst>
        </c:ser>
        <c:ser>
          <c:idx val="8"/>
          <c:order val="8"/>
          <c:spPr>
            <a:solidFill>
              <a:srgbClr val="28296E"/>
            </a:solidFill>
            <a:ln>
              <a:noFill/>
            </a:ln>
            <a:effectLst/>
          </c:spPr>
          <c:invertIfNegative val="0"/>
          <c:val>
            <c:numRef>
              <c:f>Pericles!$S$6</c:f>
              <c:numCache>
                <c:formatCode>0%</c:formatCode>
                <c:ptCount val="1"/>
                <c:pt idx="0">
                  <c:v>0</c:v>
                </c:pt>
              </c:numCache>
            </c:numRef>
          </c:val>
          <c:extLst>
            <c:ext xmlns:c16="http://schemas.microsoft.com/office/drawing/2014/chart" uri="{C3380CC4-5D6E-409C-BE32-E72D297353CC}">
              <c16:uniqueId val="{00000008-2110-4B9D-B4BB-F76B3AE45E72}"/>
            </c:ext>
          </c:extLst>
        </c:ser>
        <c:dLbls>
          <c:showLegendKey val="0"/>
          <c:showVal val="0"/>
          <c:showCatName val="0"/>
          <c:showSerName val="0"/>
          <c:showPercent val="0"/>
          <c:showBubbleSize val="0"/>
        </c:dLbls>
        <c:gapWidth val="0"/>
        <c:overlap val="100"/>
        <c:axId val="118222848"/>
        <c:axId val="118224384"/>
      </c:barChart>
      <c:catAx>
        <c:axId val="118222848"/>
        <c:scaling>
          <c:orientation val="minMax"/>
        </c:scaling>
        <c:delete val="1"/>
        <c:axPos val="l"/>
        <c:majorTickMark val="none"/>
        <c:minorTickMark val="none"/>
        <c:tickLblPos val="nextTo"/>
        <c:crossAx val="118224384"/>
        <c:crosses val="autoZero"/>
        <c:auto val="1"/>
        <c:lblAlgn val="ctr"/>
        <c:lblOffset val="100"/>
        <c:noMultiLvlLbl val="0"/>
      </c:catAx>
      <c:valAx>
        <c:axId val="118224384"/>
        <c:scaling>
          <c:orientation val="minMax"/>
          <c:max val="1"/>
        </c:scaling>
        <c:delete val="1"/>
        <c:axPos val="b"/>
        <c:numFmt formatCode="0%" sourceLinked="1"/>
        <c:majorTickMark val="none"/>
        <c:minorTickMark val="none"/>
        <c:tickLblPos val="nextTo"/>
        <c:crossAx val="11822284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ITER!$K$5</c:f>
              <c:numCache>
                <c:formatCode>0%</c:formatCode>
                <c:ptCount val="1"/>
                <c:pt idx="0">
                  <c:v>1</c:v>
                </c:pt>
              </c:numCache>
            </c:numRef>
          </c:val>
          <c:extLst>
            <c:ext xmlns:c16="http://schemas.microsoft.com/office/drawing/2014/chart" uri="{C3380CC4-5D6E-409C-BE32-E72D297353CC}">
              <c16:uniqueId val="{00000000-9A2A-4E2C-954C-19AF71D8A58E}"/>
            </c:ext>
          </c:extLst>
        </c:ser>
        <c:ser>
          <c:idx val="1"/>
          <c:order val="1"/>
          <c:spPr>
            <a:solidFill>
              <a:srgbClr val="000000"/>
            </a:solidFill>
            <a:ln>
              <a:noFill/>
            </a:ln>
            <a:effectLst/>
          </c:spPr>
          <c:invertIfNegative val="0"/>
          <c:val>
            <c:numRef>
              <c:f>ITER!$L$5</c:f>
              <c:numCache>
                <c:formatCode>0%</c:formatCode>
                <c:ptCount val="1"/>
                <c:pt idx="0">
                  <c:v>0</c:v>
                </c:pt>
              </c:numCache>
            </c:numRef>
          </c:val>
          <c:extLst>
            <c:ext xmlns:c16="http://schemas.microsoft.com/office/drawing/2014/chart" uri="{C3380CC4-5D6E-409C-BE32-E72D297353CC}">
              <c16:uniqueId val="{00000001-9A2A-4E2C-954C-19AF71D8A58E}"/>
            </c:ext>
          </c:extLst>
        </c:ser>
        <c:ser>
          <c:idx val="2"/>
          <c:order val="2"/>
          <c:spPr>
            <a:solidFill>
              <a:srgbClr val="DCE6F2"/>
            </a:solidFill>
            <a:ln>
              <a:noFill/>
            </a:ln>
            <a:effectLst/>
          </c:spPr>
          <c:invertIfNegative val="0"/>
          <c:val>
            <c:numRef>
              <c:f>ITER!$M$5</c:f>
              <c:numCache>
                <c:formatCode>0%</c:formatCode>
                <c:ptCount val="1"/>
                <c:pt idx="0">
                  <c:v>0</c:v>
                </c:pt>
              </c:numCache>
            </c:numRef>
          </c:val>
          <c:extLst>
            <c:ext xmlns:c16="http://schemas.microsoft.com/office/drawing/2014/chart" uri="{C3380CC4-5D6E-409C-BE32-E72D297353CC}">
              <c16:uniqueId val="{00000002-9A2A-4E2C-954C-19AF71D8A58E}"/>
            </c:ext>
          </c:extLst>
        </c:ser>
        <c:ser>
          <c:idx val="3"/>
          <c:order val="3"/>
          <c:spPr>
            <a:solidFill>
              <a:srgbClr val="00ADDC"/>
            </a:solidFill>
            <a:ln>
              <a:noFill/>
            </a:ln>
            <a:effectLst/>
          </c:spPr>
          <c:invertIfNegative val="0"/>
          <c:val>
            <c:numRef>
              <c:f>ITER!$N$5</c:f>
              <c:numCache>
                <c:formatCode>0%</c:formatCode>
                <c:ptCount val="1"/>
                <c:pt idx="0">
                  <c:v>0</c:v>
                </c:pt>
              </c:numCache>
            </c:numRef>
          </c:val>
          <c:extLst>
            <c:ext xmlns:c16="http://schemas.microsoft.com/office/drawing/2014/chart" uri="{C3380CC4-5D6E-409C-BE32-E72D297353CC}">
              <c16:uniqueId val="{00000003-9A2A-4E2C-954C-19AF71D8A58E}"/>
            </c:ext>
          </c:extLst>
        </c:ser>
        <c:ser>
          <c:idx val="4"/>
          <c:order val="4"/>
          <c:spPr>
            <a:solidFill>
              <a:srgbClr val="000000"/>
            </a:solidFill>
            <a:ln>
              <a:noFill/>
            </a:ln>
            <a:effectLst/>
          </c:spPr>
          <c:invertIfNegative val="0"/>
          <c:val>
            <c:numRef>
              <c:f>ITER!$O$5</c:f>
              <c:numCache>
                <c:formatCode>0%</c:formatCode>
                <c:ptCount val="1"/>
                <c:pt idx="0">
                  <c:v>0</c:v>
                </c:pt>
              </c:numCache>
            </c:numRef>
          </c:val>
          <c:extLst>
            <c:ext xmlns:c16="http://schemas.microsoft.com/office/drawing/2014/chart" uri="{C3380CC4-5D6E-409C-BE32-E72D297353CC}">
              <c16:uniqueId val="{00000004-9A2A-4E2C-954C-19AF71D8A58E}"/>
            </c:ext>
          </c:extLst>
        </c:ser>
        <c:ser>
          <c:idx val="5"/>
          <c:order val="5"/>
          <c:spPr>
            <a:solidFill>
              <a:srgbClr val="00ADDC"/>
            </a:solidFill>
            <a:ln>
              <a:noFill/>
            </a:ln>
            <a:effectLst/>
          </c:spPr>
          <c:invertIfNegative val="0"/>
          <c:val>
            <c:numRef>
              <c:f>ITER!$P$5</c:f>
              <c:numCache>
                <c:formatCode>0%</c:formatCode>
                <c:ptCount val="1"/>
                <c:pt idx="0">
                  <c:v>0</c:v>
                </c:pt>
              </c:numCache>
            </c:numRef>
          </c:val>
          <c:extLst>
            <c:ext xmlns:c16="http://schemas.microsoft.com/office/drawing/2014/chart" uri="{C3380CC4-5D6E-409C-BE32-E72D297353CC}">
              <c16:uniqueId val="{00000005-9A2A-4E2C-954C-19AF71D8A58E}"/>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ITER!$Q$5</c:f>
              <c:numCache>
                <c:formatCode>0%</c:formatCode>
                <c:ptCount val="1"/>
                <c:pt idx="0">
                  <c:v>0.78</c:v>
                </c:pt>
              </c:numCache>
            </c:numRef>
          </c:val>
          <c:extLst>
            <c:ext xmlns:c16="http://schemas.microsoft.com/office/drawing/2014/chart" uri="{C3380CC4-5D6E-409C-BE32-E72D297353CC}">
              <c16:uniqueId val="{00000006-9A2A-4E2C-954C-19AF71D8A58E}"/>
            </c:ext>
          </c:extLst>
        </c:ser>
        <c:ser>
          <c:idx val="7"/>
          <c:order val="7"/>
          <c:spPr>
            <a:solidFill>
              <a:srgbClr val="000000"/>
            </a:solidFill>
            <a:ln>
              <a:noFill/>
            </a:ln>
            <a:effectLst/>
          </c:spPr>
          <c:invertIfNegative val="0"/>
          <c:val>
            <c:numRef>
              <c:f>ITER!$R$5</c:f>
              <c:numCache>
                <c:formatCode>0%</c:formatCode>
                <c:ptCount val="1"/>
                <c:pt idx="0">
                  <c:v>0</c:v>
                </c:pt>
              </c:numCache>
            </c:numRef>
          </c:val>
          <c:extLst>
            <c:ext xmlns:c16="http://schemas.microsoft.com/office/drawing/2014/chart" uri="{C3380CC4-5D6E-409C-BE32-E72D297353CC}">
              <c16:uniqueId val="{00000007-9A2A-4E2C-954C-19AF71D8A58E}"/>
            </c:ext>
          </c:extLst>
        </c:ser>
        <c:ser>
          <c:idx val="8"/>
          <c:order val="8"/>
          <c:spPr>
            <a:solidFill>
              <a:srgbClr val="28296E"/>
            </a:solidFill>
            <a:ln>
              <a:noFill/>
            </a:ln>
            <a:effectLst/>
          </c:spPr>
          <c:invertIfNegative val="0"/>
          <c:val>
            <c:numRef>
              <c:f>ITER!$S$5</c:f>
              <c:numCache>
                <c:formatCode>0%</c:formatCode>
                <c:ptCount val="1"/>
                <c:pt idx="0">
                  <c:v>0</c:v>
                </c:pt>
              </c:numCache>
            </c:numRef>
          </c:val>
          <c:extLst>
            <c:ext xmlns:c16="http://schemas.microsoft.com/office/drawing/2014/chart" uri="{C3380CC4-5D6E-409C-BE32-E72D297353CC}">
              <c16:uniqueId val="{00000008-9A2A-4E2C-954C-19AF71D8A58E}"/>
            </c:ext>
          </c:extLst>
        </c:ser>
        <c:dLbls>
          <c:showLegendKey val="0"/>
          <c:showVal val="0"/>
          <c:showCatName val="0"/>
          <c:showSerName val="0"/>
          <c:showPercent val="0"/>
          <c:showBubbleSize val="0"/>
        </c:dLbls>
        <c:gapWidth val="0"/>
        <c:overlap val="100"/>
        <c:axId val="103067648"/>
        <c:axId val="103069184"/>
      </c:barChart>
      <c:catAx>
        <c:axId val="103067648"/>
        <c:scaling>
          <c:orientation val="minMax"/>
        </c:scaling>
        <c:delete val="1"/>
        <c:axPos val="l"/>
        <c:majorTickMark val="none"/>
        <c:minorTickMark val="none"/>
        <c:tickLblPos val="nextTo"/>
        <c:crossAx val="103069184"/>
        <c:crosses val="autoZero"/>
        <c:auto val="1"/>
        <c:lblAlgn val="ctr"/>
        <c:lblOffset val="100"/>
        <c:noMultiLvlLbl val="0"/>
      </c:catAx>
      <c:valAx>
        <c:axId val="103069184"/>
        <c:scaling>
          <c:orientation val="minMax"/>
          <c:max val="1"/>
        </c:scaling>
        <c:delete val="1"/>
        <c:axPos val="b"/>
        <c:numFmt formatCode="0%" sourceLinked="1"/>
        <c:majorTickMark val="none"/>
        <c:minorTickMark val="none"/>
        <c:tickLblPos val="nextTo"/>
        <c:crossAx val="10306764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Pericles!$K$7</c:f>
              <c:numCache>
                <c:formatCode>0%</c:formatCode>
                <c:ptCount val="1"/>
                <c:pt idx="0">
                  <c:v>1</c:v>
                </c:pt>
              </c:numCache>
            </c:numRef>
          </c:val>
          <c:extLst>
            <c:ext xmlns:c16="http://schemas.microsoft.com/office/drawing/2014/chart" uri="{C3380CC4-5D6E-409C-BE32-E72D297353CC}">
              <c16:uniqueId val="{00000000-3A14-4A20-BC3F-9162F407449B}"/>
            </c:ext>
          </c:extLst>
        </c:ser>
        <c:ser>
          <c:idx val="1"/>
          <c:order val="1"/>
          <c:spPr>
            <a:solidFill>
              <a:srgbClr val="000000"/>
            </a:solidFill>
            <a:ln>
              <a:noFill/>
            </a:ln>
            <a:effectLst/>
          </c:spPr>
          <c:invertIfNegative val="0"/>
          <c:val>
            <c:numRef>
              <c:f>Pericles!$L$7</c:f>
              <c:numCache>
                <c:formatCode>0%</c:formatCode>
                <c:ptCount val="1"/>
                <c:pt idx="0">
                  <c:v>0</c:v>
                </c:pt>
              </c:numCache>
            </c:numRef>
          </c:val>
          <c:extLst>
            <c:ext xmlns:c16="http://schemas.microsoft.com/office/drawing/2014/chart" uri="{C3380CC4-5D6E-409C-BE32-E72D297353CC}">
              <c16:uniqueId val="{00000001-3A14-4A20-BC3F-9162F407449B}"/>
            </c:ext>
          </c:extLst>
        </c:ser>
        <c:ser>
          <c:idx val="2"/>
          <c:order val="2"/>
          <c:spPr>
            <a:solidFill>
              <a:srgbClr val="DCE6F2"/>
            </a:solidFill>
            <a:ln>
              <a:noFill/>
            </a:ln>
            <a:effectLst/>
          </c:spPr>
          <c:invertIfNegative val="0"/>
          <c:val>
            <c:numRef>
              <c:f>Pericles!$M$7</c:f>
              <c:numCache>
                <c:formatCode>0%</c:formatCode>
                <c:ptCount val="1"/>
                <c:pt idx="0">
                  <c:v>0</c:v>
                </c:pt>
              </c:numCache>
            </c:numRef>
          </c:val>
          <c:extLst>
            <c:ext xmlns:c16="http://schemas.microsoft.com/office/drawing/2014/chart" uri="{C3380CC4-5D6E-409C-BE32-E72D297353CC}">
              <c16:uniqueId val="{00000002-3A14-4A20-BC3F-9162F407449B}"/>
            </c:ext>
          </c:extLst>
        </c:ser>
        <c:ser>
          <c:idx val="3"/>
          <c:order val="3"/>
          <c:spPr>
            <a:solidFill>
              <a:srgbClr val="00ADDC"/>
            </a:solidFill>
            <a:ln>
              <a:noFill/>
            </a:ln>
            <a:effectLst/>
          </c:spPr>
          <c:invertIfNegative val="0"/>
          <c:val>
            <c:numRef>
              <c:f>Pericles!$N$7</c:f>
              <c:numCache>
                <c:formatCode>0%</c:formatCode>
                <c:ptCount val="1"/>
                <c:pt idx="0">
                  <c:v>0</c:v>
                </c:pt>
              </c:numCache>
            </c:numRef>
          </c:val>
          <c:extLst>
            <c:ext xmlns:c16="http://schemas.microsoft.com/office/drawing/2014/chart" uri="{C3380CC4-5D6E-409C-BE32-E72D297353CC}">
              <c16:uniqueId val="{00000003-3A14-4A20-BC3F-9162F407449B}"/>
            </c:ext>
          </c:extLst>
        </c:ser>
        <c:ser>
          <c:idx val="4"/>
          <c:order val="4"/>
          <c:spPr>
            <a:solidFill>
              <a:srgbClr val="000000"/>
            </a:solidFill>
            <a:ln>
              <a:noFill/>
            </a:ln>
            <a:effectLst/>
          </c:spPr>
          <c:invertIfNegative val="0"/>
          <c:val>
            <c:numRef>
              <c:f>Pericles!$O$7</c:f>
              <c:numCache>
                <c:formatCode>0%</c:formatCode>
                <c:ptCount val="1"/>
                <c:pt idx="0">
                  <c:v>0</c:v>
                </c:pt>
              </c:numCache>
            </c:numRef>
          </c:val>
          <c:extLst>
            <c:ext xmlns:c16="http://schemas.microsoft.com/office/drawing/2014/chart" uri="{C3380CC4-5D6E-409C-BE32-E72D297353CC}">
              <c16:uniqueId val="{00000004-3A14-4A20-BC3F-9162F407449B}"/>
            </c:ext>
          </c:extLst>
        </c:ser>
        <c:ser>
          <c:idx val="5"/>
          <c:order val="5"/>
          <c:spPr>
            <a:solidFill>
              <a:srgbClr val="00ADDC"/>
            </a:solidFill>
            <a:ln>
              <a:noFill/>
            </a:ln>
            <a:effectLst/>
          </c:spPr>
          <c:invertIfNegative val="0"/>
          <c:val>
            <c:numRef>
              <c:f>Pericles!$P$7</c:f>
              <c:numCache>
                <c:formatCode>0%</c:formatCode>
                <c:ptCount val="1"/>
                <c:pt idx="0">
                  <c:v>0</c:v>
                </c:pt>
              </c:numCache>
            </c:numRef>
          </c:val>
          <c:extLst>
            <c:ext xmlns:c16="http://schemas.microsoft.com/office/drawing/2014/chart" uri="{C3380CC4-5D6E-409C-BE32-E72D297353CC}">
              <c16:uniqueId val="{00000005-3A14-4A20-BC3F-9162F407449B}"/>
            </c:ext>
          </c:extLst>
        </c:ser>
        <c:ser>
          <c:idx val="6"/>
          <c:order val="6"/>
          <c:spPr>
            <a:solidFill>
              <a:srgbClr val="28296E"/>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14-4A20-BC3F-9162F407449B}"/>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Pericles!$Q$7</c:f>
              <c:numCache>
                <c:formatCode>0%</c:formatCode>
                <c:ptCount val="1"/>
                <c:pt idx="0">
                  <c:v>1</c:v>
                </c:pt>
              </c:numCache>
            </c:numRef>
          </c:val>
          <c:extLst>
            <c:ext xmlns:c16="http://schemas.microsoft.com/office/drawing/2014/chart" uri="{C3380CC4-5D6E-409C-BE32-E72D297353CC}">
              <c16:uniqueId val="{00000007-3A14-4A20-BC3F-9162F407449B}"/>
            </c:ext>
          </c:extLst>
        </c:ser>
        <c:ser>
          <c:idx val="7"/>
          <c:order val="7"/>
          <c:spPr>
            <a:solidFill>
              <a:srgbClr val="000000"/>
            </a:solidFill>
            <a:ln>
              <a:noFill/>
            </a:ln>
            <a:effectLst/>
          </c:spPr>
          <c:invertIfNegative val="0"/>
          <c:val>
            <c:numRef>
              <c:f>Pericles!$R$7</c:f>
              <c:numCache>
                <c:formatCode>0%</c:formatCode>
                <c:ptCount val="1"/>
                <c:pt idx="0">
                  <c:v>0</c:v>
                </c:pt>
              </c:numCache>
            </c:numRef>
          </c:val>
          <c:extLst>
            <c:ext xmlns:c16="http://schemas.microsoft.com/office/drawing/2014/chart" uri="{C3380CC4-5D6E-409C-BE32-E72D297353CC}">
              <c16:uniqueId val="{00000008-3A14-4A20-BC3F-9162F407449B}"/>
            </c:ext>
          </c:extLst>
        </c:ser>
        <c:ser>
          <c:idx val="8"/>
          <c:order val="8"/>
          <c:spPr>
            <a:solidFill>
              <a:srgbClr val="28296E"/>
            </a:solidFill>
            <a:ln>
              <a:noFill/>
            </a:ln>
            <a:effectLst/>
          </c:spPr>
          <c:invertIfNegative val="0"/>
          <c:val>
            <c:numRef>
              <c:f>Pericles!$S$7</c:f>
              <c:numCache>
                <c:formatCode>0%</c:formatCode>
                <c:ptCount val="1"/>
                <c:pt idx="0">
                  <c:v>0</c:v>
                </c:pt>
              </c:numCache>
            </c:numRef>
          </c:val>
          <c:extLst>
            <c:ext xmlns:c16="http://schemas.microsoft.com/office/drawing/2014/chart" uri="{C3380CC4-5D6E-409C-BE32-E72D297353CC}">
              <c16:uniqueId val="{00000009-3A14-4A20-BC3F-9162F407449B}"/>
            </c:ext>
          </c:extLst>
        </c:ser>
        <c:dLbls>
          <c:showLegendKey val="0"/>
          <c:showVal val="0"/>
          <c:showCatName val="0"/>
          <c:showSerName val="0"/>
          <c:showPercent val="0"/>
          <c:showBubbleSize val="0"/>
        </c:dLbls>
        <c:gapWidth val="0"/>
        <c:overlap val="100"/>
        <c:axId val="118291072"/>
        <c:axId val="118636928"/>
      </c:barChart>
      <c:catAx>
        <c:axId val="118291072"/>
        <c:scaling>
          <c:orientation val="minMax"/>
        </c:scaling>
        <c:delete val="1"/>
        <c:axPos val="l"/>
        <c:majorTickMark val="none"/>
        <c:minorTickMark val="none"/>
        <c:tickLblPos val="nextTo"/>
        <c:crossAx val="118636928"/>
        <c:crosses val="autoZero"/>
        <c:auto val="1"/>
        <c:lblAlgn val="ctr"/>
        <c:lblOffset val="100"/>
        <c:noMultiLvlLbl val="0"/>
      </c:catAx>
      <c:valAx>
        <c:axId val="118636928"/>
        <c:scaling>
          <c:orientation val="minMax"/>
          <c:max val="1"/>
        </c:scaling>
        <c:delete val="1"/>
        <c:axPos val="b"/>
        <c:numFmt formatCode="0%" sourceLinked="1"/>
        <c:majorTickMark val="none"/>
        <c:minorTickMark val="none"/>
        <c:tickLblPos val="nextTo"/>
        <c:crossAx val="11829107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00ADDC"/>
              </a:solidFill>
              <a:ln w="19050">
                <a:solidFill>
                  <a:schemeClr val="lt1"/>
                </a:solidFill>
              </a:ln>
              <a:effectLst/>
            </c:spPr>
            <c:extLst>
              <c:ext xmlns:c16="http://schemas.microsoft.com/office/drawing/2014/chart" uri="{C3380CC4-5D6E-409C-BE32-E72D297353CC}">
                <c16:uniqueId val="{00000001-0207-432F-BF58-F0558A68C6EB}"/>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0207-432F-BF58-F0558A68C6EB}"/>
              </c:ext>
            </c:extLst>
          </c:dPt>
          <c:cat>
            <c:strRef>
              <c:f>Sheet1!$A$2:$A$3</c:f>
              <c:strCache>
                <c:ptCount val="2"/>
                <c:pt idx="0">
                  <c:v>1st Qtr</c:v>
                </c:pt>
                <c:pt idx="1">
                  <c:v>2nd Qtr</c:v>
                </c:pt>
              </c:strCache>
            </c:strRef>
          </c:cat>
          <c:val>
            <c:numRef>
              <c:f>Sheet1!$B$2:$B$3</c:f>
              <c:numCache>
                <c:formatCode>0%</c:formatCode>
                <c:ptCount val="2"/>
                <c:pt idx="0">
                  <c:v>0.71</c:v>
                </c:pt>
                <c:pt idx="1">
                  <c:v>0.28999999999999998</c:v>
                </c:pt>
              </c:numCache>
            </c:numRef>
          </c:val>
          <c:extLst>
            <c:ext xmlns:c16="http://schemas.microsoft.com/office/drawing/2014/chart" uri="{C3380CC4-5D6E-409C-BE32-E72D297353CC}">
              <c16:uniqueId val="{00000004-0207-432F-BF58-F0558A68C6EB}"/>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28296E"/>
              </a:solidFill>
              <a:ln w="19050">
                <a:noFill/>
              </a:ln>
              <a:effectLst/>
            </c:spPr>
            <c:extLst>
              <c:ext xmlns:c16="http://schemas.microsoft.com/office/drawing/2014/chart" uri="{C3380CC4-5D6E-409C-BE32-E72D297353CC}">
                <c16:uniqueId val="{00000001-C367-456F-83F2-597DF0D69680}"/>
              </c:ext>
            </c:extLst>
          </c:dPt>
          <c:dPt>
            <c:idx val="1"/>
            <c:bubble3D val="0"/>
            <c:spPr>
              <a:noFill/>
              <a:ln w="19050">
                <a:noFill/>
              </a:ln>
              <a:effectLst/>
            </c:spPr>
            <c:extLst>
              <c:ext xmlns:c16="http://schemas.microsoft.com/office/drawing/2014/chart" uri="{C3380CC4-5D6E-409C-BE32-E72D297353CC}">
                <c16:uniqueId val="{00000003-C367-456F-83F2-597DF0D69680}"/>
              </c:ext>
            </c:extLst>
          </c:dPt>
          <c:cat>
            <c:strRef>
              <c:f>Sheet1!$A$2:$A$3</c:f>
              <c:strCache>
                <c:ptCount val="2"/>
                <c:pt idx="0">
                  <c:v>1st Qtr</c:v>
                </c:pt>
                <c:pt idx="1">
                  <c:v>2nd Qtr</c:v>
                </c:pt>
              </c:strCache>
            </c:strRef>
          </c:cat>
          <c:val>
            <c:numRef>
              <c:f>Sheet1!$B$2:$B$3</c:f>
              <c:numCache>
                <c:formatCode>0%</c:formatCode>
                <c:ptCount val="2"/>
                <c:pt idx="0">
                  <c:v>0.84</c:v>
                </c:pt>
                <c:pt idx="1">
                  <c:v>0.16</c:v>
                </c:pt>
              </c:numCache>
            </c:numRef>
          </c:val>
          <c:extLst>
            <c:ext xmlns:c16="http://schemas.microsoft.com/office/drawing/2014/chart" uri="{C3380CC4-5D6E-409C-BE32-E72D297353CC}">
              <c16:uniqueId val="{00000004-C367-456F-83F2-597DF0D69680}"/>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AFIS!$K$4</c:f>
              <c:numCache>
                <c:formatCode>0%</c:formatCode>
                <c:ptCount val="1"/>
                <c:pt idx="0">
                  <c:v>1</c:v>
                </c:pt>
              </c:numCache>
            </c:numRef>
          </c:val>
          <c:extLst>
            <c:ext xmlns:c16="http://schemas.microsoft.com/office/drawing/2014/chart" uri="{C3380CC4-5D6E-409C-BE32-E72D297353CC}">
              <c16:uniqueId val="{00000000-FFA6-447A-95F3-DBB8FDD9013D}"/>
            </c:ext>
          </c:extLst>
        </c:ser>
        <c:ser>
          <c:idx val="1"/>
          <c:order val="1"/>
          <c:spPr>
            <a:solidFill>
              <a:srgbClr val="000000"/>
            </a:solidFill>
            <a:ln>
              <a:noFill/>
            </a:ln>
            <a:effectLst/>
          </c:spPr>
          <c:invertIfNegative val="0"/>
          <c:val>
            <c:numRef>
              <c:f>AFIS!$L$4</c:f>
              <c:numCache>
                <c:formatCode>0%</c:formatCode>
                <c:ptCount val="1"/>
                <c:pt idx="0">
                  <c:v>0</c:v>
                </c:pt>
              </c:numCache>
            </c:numRef>
          </c:val>
          <c:extLst>
            <c:ext xmlns:c16="http://schemas.microsoft.com/office/drawing/2014/chart" uri="{C3380CC4-5D6E-409C-BE32-E72D297353CC}">
              <c16:uniqueId val="{00000001-FFA6-447A-95F3-DBB8FDD9013D}"/>
            </c:ext>
          </c:extLst>
        </c:ser>
        <c:ser>
          <c:idx val="2"/>
          <c:order val="2"/>
          <c:spPr>
            <a:solidFill>
              <a:srgbClr val="DCE6F2"/>
            </a:solidFill>
            <a:ln>
              <a:noFill/>
            </a:ln>
            <a:effectLst/>
          </c:spPr>
          <c:invertIfNegative val="0"/>
          <c:val>
            <c:numRef>
              <c:f>AFIS!$M$4</c:f>
              <c:numCache>
                <c:formatCode>0%</c:formatCode>
                <c:ptCount val="1"/>
                <c:pt idx="0">
                  <c:v>0</c:v>
                </c:pt>
              </c:numCache>
            </c:numRef>
          </c:val>
          <c:extLst>
            <c:ext xmlns:c16="http://schemas.microsoft.com/office/drawing/2014/chart" uri="{C3380CC4-5D6E-409C-BE32-E72D297353CC}">
              <c16:uniqueId val="{00000002-FFA6-447A-95F3-DBB8FDD9013D}"/>
            </c:ext>
          </c:extLst>
        </c:ser>
        <c:ser>
          <c:idx val="3"/>
          <c:order val="3"/>
          <c:spPr>
            <a:solidFill>
              <a:srgbClr val="00ADDC"/>
            </a:solidFill>
            <a:ln>
              <a:noFill/>
            </a:ln>
            <a:effectLst/>
          </c:spPr>
          <c:invertIfNegative val="0"/>
          <c:val>
            <c:numRef>
              <c:f>AFIS!$N$4</c:f>
              <c:numCache>
                <c:formatCode>0%</c:formatCode>
                <c:ptCount val="1"/>
                <c:pt idx="0">
                  <c:v>0</c:v>
                </c:pt>
              </c:numCache>
            </c:numRef>
          </c:val>
          <c:extLst>
            <c:ext xmlns:c16="http://schemas.microsoft.com/office/drawing/2014/chart" uri="{C3380CC4-5D6E-409C-BE32-E72D297353CC}">
              <c16:uniqueId val="{00000003-FFA6-447A-95F3-DBB8FDD9013D}"/>
            </c:ext>
          </c:extLst>
        </c:ser>
        <c:ser>
          <c:idx val="4"/>
          <c:order val="4"/>
          <c:spPr>
            <a:solidFill>
              <a:srgbClr val="000000"/>
            </a:solidFill>
            <a:ln>
              <a:noFill/>
            </a:ln>
            <a:effectLst/>
          </c:spPr>
          <c:invertIfNegative val="0"/>
          <c:val>
            <c:numRef>
              <c:f>AFIS!$O$4</c:f>
              <c:numCache>
                <c:formatCode>0%</c:formatCode>
                <c:ptCount val="1"/>
                <c:pt idx="0">
                  <c:v>0</c:v>
                </c:pt>
              </c:numCache>
            </c:numRef>
          </c:val>
          <c:extLst>
            <c:ext xmlns:c16="http://schemas.microsoft.com/office/drawing/2014/chart" uri="{C3380CC4-5D6E-409C-BE32-E72D297353CC}">
              <c16:uniqueId val="{00000004-FFA6-447A-95F3-DBB8FDD9013D}"/>
            </c:ext>
          </c:extLst>
        </c:ser>
        <c:ser>
          <c:idx val="5"/>
          <c:order val="5"/>
          <c:spPr>
            <a:solidFill>
              <a:srgbClr val="00ADDC"/>
            </a:solidFill>
            <a:ln>
              <a:noFill/>
            </a:ln>
            <a:effectLst/>
          </c:spPr>
          <c:invertIfNegative val="0"/>
          <c:val>
            <c:numRef>
              <c:f>AFIS!$P$4</c:f>
              <c:numCache>
                <c:formatCode>0%</c:formatCode>
                <c:ptCount val="1"/>
                <c:pt idx="0">
                  <c:v>0</c:v>
                </c:pt>
              </c:numCache>
            </c:numRef>
          </c:val>
          <c:extLst>
            <c:ext xmlns:c16="http://schemas.microsoft.com/office/drawing/2014/chart" uri="{C3380CC4-5D6E-409C-BE32-E72D297353CC}">
              <c16:uniqueId val="{00000005-FFA6-447A-95F3-DBB8FDD9013D}"/>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AFIS!$Q$4</c:f>
              <c:numCache>
                <c:formatCode>0%</c:formatCode>
                <c:ptCount val="1"/>
                <c:pt idx="0">
                  <c:v>0.66493749999999996</c:v>
                </c:pt>
              </c:numCache>
            </c:numRef>
          </c:val>
          <c:extLst>
            <c:ext xmlns:c16="http://schemas.microsoft.com/office/drawing/2014/chart" uri="{C3380CC4-5D6E-409C-BE32-E72D297353CC}">
              <c16:uniqueId val="{00000006-FFA6-447A-95F3-DBB8FDD9013D}"/>
            </c:ext>
          </c:extLst>
        </c:ser>
        <c:ser>
          <c:idx val="7"/>
          <c:order val="7"/>
          <c:spPr>
            <a:solidFill>
              <a:srgbClr val="000000"/>
            </a:solidFill>
            <a:ln>
              <a:noFill/>
            </a:ln>
            <a:effectLst/>
          </c:spPr>
          <c:invertIfNegative val="0"/>
          <c:val>
            <c:numRef>
              <c:f>AFIS!$R$4</c:f>
              <c:numCache>
                <c:formatCode>0%</c:formatCode>
                <c:ptCount val="1"/>
                <c:pt idx="0">
                  <c:v>0</c:v>
                </c:pt>
              </c:numCache>
            </c:numRef>
          </c:val>
          <c:extLst>
            <c:ext xmlns:c16="http://schemas.microsoft.com/office/drawing/2014/chart" uri="{C3380CC4-5D6E-409C-BE32-E72D297353CC}">
              <c16:uniqueId val="{00000007-FFA6-447A-95F3-DBB8FDD9013D}"/>
            </c:ext>
          </c:extLst>
        </c:ser>
        <c:ser>
          <c:idx val="8"/>
          <c:order val="8"/>
          <c:spPr>
            <a:solidFill>
              <a:srgbClr val="28296E"/>
            </a:solidFill>
            <a:ln>
              <a:noFill/>
            </a:ln>
            <a:effectLst/>
          </c:spPr>
          <c:invertIfNegative val="0"/>
          <c:val>
            <c:numRef>
              <c:f>AFIS!$S$4</c:f>
              <c:numCache>
                <c:formatCode>0%</c:formatCode>
                <c:ptCount val="1"/>
                <c:pt idx="0">
                  <c:v>0</c:v>
                </c:pt>
              </c:numCache>
            </c:numRef>
          </c:val>
          <c:extLst>
            <c:ext xmlns:c16="http://schemas.microsoft.com/office/drawing/2014/chart" uri="{C3380CC4-5D6E-409C-BE32-E72D297353CC}">
              <c16:uniqueId val="{00000008-FFA6-447A-95F3-DBB8FDD9013D}"/>
            </c:ext>
          </c:extLst>
        </c:ser>
        <c:dLbls>
          <c:showLegendKey val="0"/>
          <c:showVal val="0"/>
          <c:showCatName val="0"/>
          <c:showSerName val="0"/>
          <c:showPercent val="0"/>
          <c:showBubbleSize val="0"/>
        </c:dLbls>
        <c:gapWidth val="0"/>
        <c:overlap val="100"/>
        <c:axId val="118602368"/>
        <c:axId val="118608256"/>
      </c:barChart>
      <c:catAx>
        <c:axId val="118602368"/>
        <c:scaling>
          <c:orientation val="minMax"/>
        </c:scaling>
        <c:delete val="1"/>
        <c:axPos val="l"/>
        <c:majorTickMark val="none"/>
        <c:minorTickMark val="none"/>
        <c:tickLblPos val="nextTo"/>
        <c:crossAx val="118608256"/>
        <c:crosses val="autoZero"/>
        <c:auto val="1"/>
        <c:lblAlgn val="ctr"/>
        <c:lblOffset val="100"/>
        <c:noMultiLvlLbl val="0"/>
      </c:catAx>
      <c:valAx>
        <c:axId val="118608256"/>
        <c:scaling>
          <c:orientation val="minMax"/>
          <c:max val="1"/>
        </c:scaling>
        <c:delete val="1"/>
        <c:axPos val="b"/>
        <c:numFmt formatCode="0%" sourceLinked="1"/>
        <c:majorTickMark val="none"/>
        <c:minorTickMark val="none"/>
        <c:tickLblPos val="nextTo"/>
        <c:crossAx val="11860236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2">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AFIS!$K$5</c:f>
              <c:numCache>
                <c:formatCode>0%</c:formatCode>
                <c:ptCount val="1"/>
                <c:pt idx="0">
                  <c:v>1</c:v>
                </c:pt>
              </c:numCache>
            </c:numRef>
          </c:val>
          <c:extLst>
            <c:ext xmlns:c16="http://schemas.microsoft.com/office/drawing/2014/chart" uri="{C3380CC4-5D6E-409C-BE32-E72D297353CC}">
              <c16:uniqueId val="{00000000-78B1-4BE9-AC92-F2B3B2C31247}"/>
            </c:ext>
          </c:extLst>
        </c:ser>
        <c:ser>
          <c:idx val="1"/>
          <c:order val="1"/>
          <c:spPr>
            <a:solidFill>
              <a:srgbClr val="000000"/>
            </a:solidFill>
            <a:ln>
              <a:noFill/>
            </a:ln>
            <a:effectLst/>
          </c:spPr>
          <c:invertIfNegative val="0"/>
          <c:val>
            <c:numRef>
              <c:f>AFIS!$L$5</c:f>
              <c:numCache>
                <c:formatCode>0%</c:formatCode>
                <c:ptCount val="1"/>
                <c:pt idx="0">
                  <c:v>0</c:v>
                </c:pt>
              </c:numCache>
            </c:numRef>
          </c:val>
          <c:extLst>
            <c:ext xmlns:c16="http://schemas.microsoft.com/office/drawing/2014/chart" uri="{C3380CC4-5D6E-409C-BE32-E72D297353CC}">
              <c16:uniqueId val="{00000001-78B1-4BE9-AC92-F2B3B2C31247}"/>
            </c:ext>
          </c:extLst>
        </c:ser>
        <c:ser>
          <c:idx val="2"/>
          <c:order val="2"/>
          <c:spPr>
            <a:solidFill>
              <a:srgbClr val="DCE6F2"/>
            </a:solidFill>
            <a:ln>
              <a:noFill/>
            </a:ln>
            <a:effectLst/>
          </c:spPr>
          <c:invertIfNegative val="0"/>
          <c:val>
            <c:numRef>
              <c:f>AFIS!$M$5</c:f>
              <c:numCache>
                <c:formatCode>0%</c:formatCode>
                <c:ptCount val="1"/>
                <c:pt idx="0">
                  <c:v>0</c:v>
                </c:pt>
              </c:numCache>
            </c:numRef>
          </c:val>
          <c:extLst>
            <c:ext xmlns:c16="http://schemas.microsoft.com/office/drawing/2014/chart" uri="{C3380CC4-5D6E-409C-BE32-E72D297353CC}">
              <c16:uniqueId val="{00000002-78B1-4BE9-AC92-F2B3B2C31247}"/>
            </c:ext>
          </c:extLst>
        </c:ser>
        <c:ser>
          <c:idx val="3"/>
          <c:order val="3"/>
          <c:spPr>
            <a:solidFill>
              <a:srgbClr val="00ADDC"/>
            </a:solidFill>
            <a:ln>
              <a:noFill/>
            </a:ln>
            <a:effectLst/>
          </c:spPr>
          <c:invertIfNegative val="0"/>
          <c:val>
            <c:numRef>
              <c:f>AFIS!$N$5</c:f>
              <c:numCache>
                <c:formatCode>0%</c:formatCode>
                <c:ptCount val="1"/>
                <c:pt idx="0">
                  <c:v>0</c:v>
                </c:pt>
              </c:numCache>
            </c:numRef>
          </c:val>
          <c:extLst>
            <c:ext xmlns:c16="http://schemas.microsoft.com/office/drawing/2014/chart" uri="{C3380CC4-5D6E-409C-BE32-E72D297353CC}">
              <c16:uniqueId val="{00000003-78B1-4BE9-AC92-F2B3B2C31247}"/>
            </c:ext>
          </c:extLst>
        </c:ser>
        <c:ser>
          <c:idx val="4"/>
          <c:order val="4"/>
          <c:spPr>
            <a:solidFill>
              <a:srgbClr val="000000"/>
            </a:solidFill>
            <a:ln>
              <a:noFill/>
            </a:ln>
            <a:effectLst/>
          </c:spPr>
          <c:invertIfNegative val="0"/>
          <c:val>
            <c:numRef>
              <c:f>AFIS!$O$5</c:f>
              <c:numCache>
                <c:formatCode>0%</c:formatCode>
                <c:ptCount val="1"/>
                <c:pt idx="0">
                  <c:v>0</c:v>
                </c:pt>
              </c:numCache>
            </c:numRef>
          </c:val>
          <c:extLst>
            <c:ext xmlns:c16="http://schemas.microsoft.com/office/drawing/2014/chart" uri="{C3380CC4-5D6E-409C-BE32-E72D297353CC}">
              <c16:uniqueId val="{00000004-78B1-4BE9-AC92-F2B3B2C31247}"/>
            </c:ext>
          </c:extLst>
        </c:ser>
        <c:ser>
          <c:idx val="5"/>
          <c:order val="5"/>
          <c:spPr>
            <a:solidFill>
              <a:srgbClr val="00ADDC"/>
            </a:solidFill>
            <a:ln>
              <a:noFill/>
            </a:ln>
            <a:effectLst/>
          </c:spPr>
          <c:invertIfNegative val="0"/>
          <c:val>
            <c:numRef>
              <c:f>AFIS!$P$5</c:f>
              <c:numCache>
                <c:formatCode>0%</c:formatCode>
                <c:ptCount val="1"/>
                <c:pt idx="0">
                  <c:v>0</c:v>
                </c:pt>
              </c:numCache>
            </c:numRef>
          </c:val>
          <c:extLst>
            <c:ext xmlns:c16="http://schemas.microsoft.com/office/drawing/2014/chart" uri="{C3380CC4-5D6E-409C-BE32-E72D297353CC}">
              <c16:uniqueId val="{00000005-78B1-4BE9-AC92-F2B3B2C31247}"/>
            </c:ext>
          </c:extLst>
        </c:ser>
        <c:ser>
          <c:idx val="6"/>
          <c:order val="6"/>
          <c:spPr>
            <a:solidFill>
              <a:srgbClr val="28296E"/>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B1-4BE9-AC92-F2B3B2C31247}"/>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AFIS!$Q$5</c:f>
              <c:numCache>
                <c:formatCode>0%</c:formatCode>
                <c:ptCount val="1"/>
                <c:pt idx="0">
                  <c:v>1</c:v>
                </c:pt>
              </c:numCache>
            </c:numRef>
          </c:val>
          <c:extLst>
            <c:ext xmlns:c16="http://schemas.microsoft.com/office/drawing/2014/chart" uri="{C3380CC4-5D6E-409C-BE32-E72D297353CC}">
              <c16:uniqueId val="{00000007-78B1-4BE9-AC92-F2B3B2C31247}"/>
            </c:ext>
          </c:extLst>
        </c:ser>
        <c:ser>
          <c:idx val="7"/>
          <c:order val="7"/>
          <c:spPr>
            <a:solidFill>
              <a:srgbClr val="000000"/>
            </a:solidFill>
            <a:ln>
              <a:noFill/>
            </a:ln>
            <a:effectLst/>
          </c:spPr>
          <c:invertIfNegative val="0"/>
          <c:val>
            <c:numRef>
              <c:f>AFIS!$R$5</c:f>
              <c:numCache>
                <c:formatCode>0%</c:formatCode>
                <c:ptCount val="1"/>
                <c:pt idx="0">
                  <c:v>0</c:v>
                </c:pt>
              </c:numCache>
            </c:numRef>
          </c:val>
          <c:extLst>
            <c:ext xmlns:c16="http://schemas.microsoft.com/office/drawing/2014/chart" uri="{C3380CC4-5D6E-409C-BE32-E72D297353CC}">
              <c16:uniqueId val="{00000008-78B1-4BE9-AC92-F2B3B2C31247}"/>
            </c:ext>
          </c:extLst>
        </c:ser>
        <c:ser>
          <c:idx val="8"/>
          <c:order val="8"/>
          <c:spPr>
            <a:solidFill>
              <a:srgbClr val="28296E"/>
            </a:solidFill>
            <a:ln>
              <a:noFill/>
            </a:ln>
            <a:effectLst/>
          </c:spPr>
          <c:invertIfNegative val="0"/>
          <c:val>
            <c:numRef>
              <c:f>AFIS!$S$5</c:f>
              <c:numCache>
                <c:formatCode>0%</c:formatCode>
                <c:ptCount val="1"/>
                <c:pt idx="0">
                  <c:v>0</c:v>
                </c:pt>
              </c:numCache>
            </c:numRef>
          </c:val>
          <c:extLst>
            <c:ext xmlns:c16="http://schemas.microsoft.com/office/drawing/2014/chart" uri="{C3380CC4-5D6E-409C-BE32-E72D297353CC}">
              <c16:uniqueId val="{00000009-78B1-4BE9-AC92-F2B3B2C31247}"/>
            </c:ext>
          </c:extLst>
        </c:ser>
        <c:dLbls>
          <c:showLegendKey val="0"/>
          <c:showVal val="0"/>
          <c:showCatName val="0"/>
          <c:showSerName val="0"/>
          <c:showPercent val="0"/>
          <c:showBubbleSize val="0"/>
        </c:dLbls>
        <c:gapWidth val="0"/>
        <c:overlap val="100"/>
        <c:axId val="119634176"/>
        <c:axId val="119644160"/>
      </c:barChart>
      <c:catAx>
        <c:axId val="119634176"/>
        <c:scaling>
          <c:orientation val="minMax"/>
        </c:scaling>
        <c:delete val="1"/>
        <c:axPos val="l"/>
        <c:majorTickMark val="none"/>
        <c:minorTickMark val="none"/>
        <c:tickLblPos val="nextTo"/>
        <c:crossAx val="119644160"/>
        <c:crosses val="autoZero"/>
        <c:auto val="1"/>
        <c:lblAlgn val="ctr"/>
        <c:lblOffset val="100"/>
        <c:noMultiLvlLbl val="0"/>
      </c:catAx>
      <c:valAx>
        <c:axId val="119644160"/>
        <c:scaling>
          <c:orientation val="minMax"/>
          <c:max val="1"/>
        </c:scaling>
        <c:delete val="1"/>
        <c:axPos val="b"/>
        <c:numFmt formatCode="0%" sourceLinked="1"/>
        <c:majorTickMark val="none"/>
        <c:minorTickMark val="none"/>
        <c:tickLblPos val="nextTo"/>
        <c:crossAx val="11963417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204190215705"/>
          <c:y val="4.998040092150053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00ADDC"/>
              </a:solidFill>
              <a:ln w="19050">
                <a:solidFill>
                  <a:schemeClr val="lt1"/>
                </a:solidFill>
              </a:ln>
              <a:effectLst/>
            </c:spPr>
            <c:extLst>
              <c:ext xmlns:c16="http://schemas.microsoft.com/office/drawing/2014/chart" uri="{C3380CC4-5D6E-409C-BE32-E72D297353CC}">
                <c16:uniqueId val="{00000001-B8BD-45C9-85CC-6B73FBBD8088}"/>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B8BD-45C9-85CC-6B73FBBD8088}"/>
              </c:ext>
            </c:extLst>
          </c:dPt>
          <c:cat>
            <c:strRef>
              <c:f>Sheet1!$A$2:$A$3</c:f>
              <c:strCache>
                <c:ptCount val="2"/>
                <c:pt idx="0">
                  <c:v>1st Qtr</c:v>
                </c:pt>
                <c:pt idx="1">
                  <c:v>2nd Qtr</c:v>
                </c:pt>
              </c:strCache>
            </c:strRef>
          </c:cat>
          <c:val>
            <c:numRef>
              <c:f>Sheet1!$B$2:$B$3</c:f>
              <c:numCache>
                <c:formatCode>0%</c:formatCode>
                <c:ptCount val="2"/>
                <c:pt idx="0">
                  <c:v>0.31</c:v>
                </c:pt>
                <c:pt idx="1">
                  <c:v>0.69</c:v>
                </c:pt>
              </c:numCache>
            </c:numRef>
          </c:val>
          <c:extLst>
            <c:ext xmlns:c16="http://schemas.microsoft.com/office/drawing/2014/chart" uri="{C3380CC4-5D6E-409C-BE32-E72D297353CC}">
              <c16:uniqueId val="{00000004-B8BD-45C9-85CC-6B73FBBD8088}"/>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28296E"/>
              </a:solidFill>
              <a:ln w="19050">
                <a:noFill/>
              </a:ln>
              <a:effectLst/>
            </c:spPr>
            <c:extLst>
              <c:ext xmlns:c16="http://schemas.microsoft.com/office/drawing/2014/chart" uri="{C3380CC4-5D6E-409C-BE32-E72D297353CC}">
                <c16:uniqueId val="{00000001-3915-4749-B0F3-8F3818DDE5E3}"/>
              </c:ext>
            </c:extLst>
          </c:dPt>
          <c:dPt>
            <c:idx val="1"/>
            <c:bubble3D val="0"/>
            <c:spPr>
              <a:noFill/>
              <a:ln w="19050">
                <a:noFill/>
              </a:ln>
              <a:effectLst/>
            </c:spPr>
            <c:extLst>
              <c:ext xmlns:c16="http://schemas.microsoft.com/office/drawing/2014/chart" uri="{C3380CC4-5D6E-409C-BE32-E72D297353CC}">
                <c16:uniqueId val="{00000003-3915-4749-B0F3-8F3818DDE5E3}"/>
              </c:ext>
            </c:extLst>
          </c:dPt>
          <c:cat>
            <c:strRef>
              <c:f>Sheet1!$A$2:$A$3</c:f>
              <c:strCache>
                <c:ptCount val="2"/>
                <c:pt idx="0">
                  <c:v>1st Qtr</c:v>
                </c:pt>
                <c:pt idx="1">
                  <c:v>2nd Qtr</c:v>
                </c:pt>
              </c:strCache>
            </c:strRef>
          </c:cat>
          <c:val>
            <c:numRef>
              <c:f>Sheet1!$B$2:$B$3</c:f>
              <c:numCache>
                <c:formatCode>0%</c:formatCode>
                <c:ptCount val="2"/>
                <c:pt idx="0">
                  <c:v>0.78</c:v>
                </c:pt>
                <c:pt idx="1">
                  <c:v>0.22</c:v>
                </c:pt>
              </c:numCache>
            </c:numRef>
          </c:val>
          <c:extLst>
            <c:ext xmlns:c16="http://schemas.microsoft.com/office/drawing/2014/chart" uri="{C3380CC4-5D6E-409C-BE32-E72D297353CC}">
              <c16:uniqueId val="{00000004-3915-4749-B0F3-8F3818DDE5E3}"/>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28296E"/>
              </a:solidFill>
              <a:ln>
                <a:noFill/>
              </a:ln>
              <a:effectLst/>
            </c:spPr>
            <c:extLst>
              <c:ext xmlns:c16="http://schemas.microsoft.com/office/drawing/2014/chart" uri="{C3380CC4-5D6E-409C-BE32-E72D297353CC}">
                <c16:uniqueId val="{00000001-75D2-4A37-9C2D-28E420CAE815}"/>
              </c:ext>
            </c:extLst>
          </c:dPt>
          <c:dPt>
            <c:idx val="1"/>
            <c:invertIfNegative val="0"/>
            <c:bubble3D val="0"/>
            <c:spPr>
              <a:solidFill>
                <a:srgbClr val="28296E"/>
              </a:solidFill>
              <a:ln>
                <a:noFill/>
              </a:ln>
              <a:effectLst/>
            </c:spPr>
            <c:extLst>
              <c:ext xmlns:c16="http://schemas.microsoft.com/office/drawing/2014/chart" uri="{C3380CC4-5D6E-409C-BE32-E72D297353CC}">
                <c16:uniqueId val="{00000003-75D2-4A37-9C2D-28E420CAE815}"/>
              </c:ext>
            </c:extLst>
          </c:dPt>
          <c:dPt>
            <c:idx val="2"/>
            <c:invertIfNegative val="0"/>
            <c:bubble3D val="0"/>
            <c:spPr>
              <a:solidFill>
                <a:srgbClr val="28296E"/>
              </a:solidFill>
              <a:ln>
                <a:noFill/>
              </a:ln>
              <a:effectLst/>
            </c:spPr>
            <c:extLst>
              <c:ext xmlns:c16="http://schemas.microsoft.com/office/drawing/2014/chart" uri="{C3380CC4-5D6E-409C-BE32-E72D297353CC}">
                <c16:uniqueId val="{00000005-75D2-4A37-9C2D-28E420CAE815}"/>
              </c:ext>
            </c:extLst>
          </c:dPt>
          <c:dLbls>
            <c:dLbl>
              <c:idx val="0"/>
              <c:layout>
                <c:manualLayout>
                  <c:x val="-1.7762260752395634E-2"/>
                  <c:y val="2.2466908998420958E-4"/>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25671004591053581"/>
                      <c:h val="0.32597577388963661"/>
                    </c:manualLayout>
                  </c15:layout>
                </c:ext>
                <c:ext xmlns:c16="http://schemas.microsoft.com/office/drawing/2014/chart" uri="{C3380CC4-5D6E-409C-BE32-E72D297353CC}">
                  <c16:uniqueId val="{00000001-75D2-4A37-9C2D-28E420CAE815}"/>
                </c:ext>
              </c:extLst>
            </c:dLbl>
            <c:dLbl>
              <c:idx val="1"/>
              <c:layout>
                <c:manualLayout>
                  <c:x val="-1.1761246692149369E-2"/>
                  <c:y val="6.1686142488387587E-17"/>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25671004591053581"/>
                      <c:h val="0.32597577388963661"/>
                    </c:manualLayout>
                  </c15:layout>
                </c:ext>
                <c:ext xmlns:c16="http://schemas.microsoft.com/office/drawing/2014/chart" uri="{C3380CC4-5D6E-409C-BE32-E72D297353CC}">
                  <c16:uniqueId val="{00000003-75D2-4A37-9C2D-28E420CAE81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CEF!$C$8:$C$10</c:f>
              <c:numCache>
                <c:formatCode>#,##0.0,,</c:formatCode>
                <c:ptCount val="3"/>
                <c:pt idx="0">
                  <c:v>2464160327.9400001</c:v>
                </c:pt>
                <c:pt idx="1">
                  <c:v>2747540384.8899999</c:v>
                </c:pt>
                <c:pt idx="2">
                  <c:v>3758747693.3299999</c:v>
                </c:pt>
              </c:numCache>
            </c:numRef>
          </c:val>
          <c:extLst>
            <c:ext xmlns:c16="http://schemas.microsoft.com/office/drawing/2014/chart" uri="{C3380CC4-5D6E-409C-BE32-E72D297353CC}">
              <c16:uniqueId val="{00000006-75D2-4A37-9C2D-28E420CAE815}"/>
            </c:ext>
          </c:extLst>
        </c:ser>
        <c:dLbls>
          <c:dLblPos val="outEnd"/>
          <c:showLegendKey val="0"/>
          <c:showVal val="1"/>
          <c:showCatName val="0"/>
          <c:showSerName val="0"/>
          <c:showPercent val="0"/>
          <c:showBubbleSize val="0"/>
        </c:dLbls>
        <c:gapWidth val="70"/>
        <c:axId val="119581312"/>
        <c:axId val="119597696"/>
      </c:barChart>
      <c:catAx>
        <c:axId val="119581312"/>
        <c:scaling>
          <c:orientation val="maxMin"/>
        </c:scaling>
        <c:delete val="1"/>
        <c:axPos val="r"/>
        <c:numFmt formatCode="General" sourceLinked="1"/>
        <c:majorTickMark val="out"/>
        <c:minorTickMark val="none"/>
        <c:tickLblPos val="nextTo"/>
        <c:crossAx val="119597696"/>
        <c:crosses val="autoZero"/>
        <c:auto val="1"/>
        <c:lblAlgn val="ctr"/>
        <c:lblOffset val="100"/>
        <c:noMultiLvlLbl val="0"/>
      </c:catAx>
      <c:valAx>
        <c:axId val="119597696"/>
        <c:scaling>
          <c:orientation val="maxMin"/>
          <c:max val="4500000000"/>
          <c:min val="0"/>
        </c:scaling>
        <c:delete val="1"/>
        <c:axPos val="t"/>
        <c:numFmt formatCode="#,##0.0,," sourceLinked="1"/>
        <c:majorTickMark val="out"/>
        <c:minorTickMark val="none"/>
        <c:tickLblPos val="nextTo"/>
        <c:crossAx val="11958131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00ADDC"/>
              </a:solidFill>
              <a:ln w="19050">
                <a:solidFill>
                  <a:schemeClr val="lt1"/>
                </a:solidFill>
              </a:ln>
              <a:effectLst/>
            </c:spPr>
            <c:extLst>
              <c:ext xmlns:c16="http://schemas.microsoft.com/office/drawing/2014/chart" uri="{C3380CC4-5D6E-409C-BE32-E72D297353CC}">
                <c16:uniqueId val="{00000001-7FC8-435F-813D-713C68532292}"/>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7FC8-435F-813D-713C68532292}"/>
              </c:ext>
            </c:extLst>
          </c:dPt>
          <c:cat>
            <c:strRef>
              <c:f>Sheet1!$A$2:$A$3</c:f>
              <c:strCache>
                <c:ptCount val="2"/>
                <c:pt idx="0">
                  <c:v>1st Qtr</c:v>
                </c:pt>
                <c:pt idx="1">
                  <c:v>2nd Qtr</c:v>
                </c:pt>
              </c:strCache>
            </c:strRef>
          </c:cat>
          <c:val>
            <c:numRef>
              <c:f>Sheet1!$B$2:$B$3</c:f>
              <c:numCache>
                <c:formatCode>0%</c:formatCode>
                <c:ptCount val="2"/>
                <c:pt idx="0">
                  <c:v>0.73</c:v>
                </c:pt>
                <c:pt idx="1">
                  <c:v>0.27</c:v>
                </c:pt>
              </c:numCache>
            </c:numRef>
          </c:val>
          <c:extLst>
            <c:ext xmlns:c16="http://schemas.microsoft.com/office/drawing/2014/chart" uri="{C3380CC4-5D6E-409C-BE32-E72D297353CC}">
              <c16:uniqueId val="{00000004-7FC8-435F-813D-713C68532292}"/>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3.1345364126134946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28296E"/>
              </a:solidFill>
              <a:ln w="19050">
                <a:noFill/>
              </a:ln>
              <a:effectLst/>
            </c:spPr>
            <c:extLst>
              <c:ext xmlns:c16="http://schemas.microsoft.com/office/drawing/2014/chart" uri="{C3380CC4-5D6E-409C-BE32-E72D297353CC}">
                <c16:uniqueId val="{00000001-CBAF-4223-AEFC-EF1F6B21B9C7}"/>
              </c:ext>
            </c:extLst>
          </c:dPt>
          <c:dPt>
            <c:idx val="1"/>
            <c:bubble3D val="0"/>
            <c:spPr>
              <a:noFill/>
              <a:ln w="19050">
                <a:noFill/>
              </a:ln>
              <a:effectLst/>
            </c:spPr>
            <c:extLst>
              <c:ext xmlns:c16="http://schemas.microsoft.com/office/drawing/2014/chart" uri="{C3380CC4-5D6E-409C-BE32-E72D297353CC}">
                <c16:uniqueId val="{00000003-CBAF-4223-AEFC-EF1F6B21B9C7}"/>
              </c:ext>
            </c:extLst>
          </c:dPt>
          <c:cat>
            <c:strRef>
              <c:f>Sheet1!$A$2:$A$3</c:f>
              <c:strCache>
                <c:ptCount val="2"/>
                <c:pt idx="0">
                  <c:v>1st Qtr</c:v>
                </c:pt>
                <c:pt idx="1">
                  <c:v>2nd Qtr</c:v>
                </c:pt>
              </c:strCache>
            </c:strRef>
          </c:cat>
          <c:val>
            <c:numRef>
              <c:f>Sheet1!$B$2:$B$3</c:f>
              <c:numCache>
                <c:formatCode>0%</c:formatCode>
                <c:ptCount val="2"/>
                <c:pt idx="0">
                  <c:v>0.85</c:v>
                </c:pt>
                <c:pt idx="1">
                  <c:v>0.15</c:v>
                </c:pt>
              </c:numCache>
            </c:numRef>
          </c:val>
          <c:extLst>
            <c:ext xmlns:c16="http://schemas.microsoft.com/office/drawing/2014/chart" uri="{C3380CC4-5D6E-409C-BE32-E72D297353CC}">
              <c16:uniqueId val="{00000004-CBAF-4223-AEFC-EF1F6B21B9C7}"/>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Copernicus!$K$4</c:f>
              <c:numCache>
                <c:formatCode>0%</c:formatCode>
                <c:ptCount val="1"/>
                <c:pt idx="0">
                  <c:v>1</c:v>
                </c:pt>
              </c:numCache>
            </c:numRef>
          </c:val>
          <c:extLst>
            <c:ext xmlns:c16="http://schemas.microsoft.com/office/drawing/2014/chart" uri="{C3380CC4-5D6E-409C-BE32-E72D297353CC}">
              <c16:uniqueId val="{00000000-F38C-43BB-83BA-935F2FFE9F84}"/>
            </c:ext>
          </c:extLst>
        </c:ser>
        <c:ser>
          <c:idx val="1"/>
          <c:order val="1"/>
          <c:spPr>
            <a:solidFill>
              <a:srgbClr val="000000"/>
            </a:solidFill>
            <a:ln>
              <a:noFill/>
            </a:ln>
            <a:effectLst/>
          </c:spPr>
          <c:invertIfNegative val="0"/>
          <c:val>
            <c:numRef>
              <c:f>Copernicus!$L$4</c:f>
              <c:numCache>
                <c:formatCode>0%</c:formatCode>
                <c:ptCount val="1"/>
                <c:pt idx="0">
                  <c:v>0</c:v>
                </c:pt>
              </c:numCache>
            </c:numRef>
          </c:val>
          <c:extLst>
            <c:ext xmlns:c16="http://schemas.microsoft.com/office/drawing/2014/chart" uri="{C3380CC4-5D6E-409C-BE32-E72D297353CC}">
              <c16:uniqueId val="{00000001-F38C-43BB-83BA-935F2FFE9F84}"/>
            </c:ext>
          </c:extLst>
        </c:ser>
        <c:ser>
          <c:idx val="2"/>
          <c:order val="2"/>
          <c:spPr>
            <a:solidFill>
              <a:srgbClr val="DCE6F2"/>
            </a:solidFill>
            <a:ln>
              <a:noFill/>
            </a:ln>
            <a:effectLst/>
          </c:spPr>
          <c:invertIfNegative val="0"/>
          <c:val>
            <c:numRef>
              <c:f>Copernicus!$M$4</c:f>
              <c:numCache>
                <c:formatCode>0%</c:formatCode>
                <c:ptCount val="1"/>
                <c:pt idx="0">
                  <c:v>0</c:v>
                </c:pt>
              </c:numCache>
            </c:numRef>
          </c:val>
          <c:extLst>
            <c:ext xmlns:c16="http://schemas.microsoft.com/office/drawing/2014/chart" uri="{C3380CC4-5D6E-409C-BE32-E72D297353CC}">
              <c16:uniqueId val="{00000002-F38C-43BB-83BA-935F2FFE9F84}"/>
            </c:ext>
          </c:extLst>
        </c:ser>
        <c:ser>
          <c:idx val="3"/>
          <c:order val="3"/>
          <c:spPr>
            <a:solidFill>
              <a:srgbClr val="00ADDC"/>
            </a:solidFill>
            <a:ln>
              <a:noFill/>
            </a:ln>
            <a:effectLst/>
          </c:spPr>
          <c:invertIfNegative val="0"/>
          <c:val>
            <c:numRef>
              <c:f>Copernicus!$N$4</c:f>
              <c:numCache>
                <c:formatCode>0%</c:formatCode>
                <c:ptCount val="1"/>
                <c:pt idx="0">
                  <c:v>0</c:v>
                </c:pt>
              </c:numCache>
            </c:numRef>
          </c:val>
          <c:extLst>
            <c:ext xmlns:c16="http://schemas.microsoft.com/office/drawing/2014/chart" uri="{C3380CC4-5D6E-409C-BE32-E72D297353CC}">
              <c16:uniqueId val="{00000003-F38C-43BB-83BA-935F2FFE9F84}"/>
            </c:ext>
          </c:extLst>
        </c:ser>
        <c:ser>
          <c:idx val="4"/>
          <c:order val="4"/>
          <c:spPr>
            <a:solidFill>
              <a:srgbClr val="000000"/>
            </a:solidFill>
            <a:ln>
              <a:noFill/>
            </a:ln>
            <a:effectLst/>
          </c:spPr>
          <c:invertIfNegative val="0"/>
          <c:val>
            <c:numRef>
              <c:f>Copernicus!$O$4</c:f>
              <c:numCache>
                <c:formatCode>0%</c:formatCode>
                <c:ptCount val="1"/>
                <c:pt idx="0">
                  <c:v>0</c:v>
                </c:pt>
              </c:numCache>
            </c:numRef>
          </c:val>
          <c:extLst>
            <c:ext xmlns:c16="http://schemas.microsoft.com/office/drawing/2014/chart" uri="{C3380CC4-5D6E-409C-BE32-E72D297353CC}">
              <c16:uniqueId val="{00000004-F38C-43BB-83BA-935F2FFE9F84}"/>
            </c:ext>
          </c:extLst>
        </c:ser>
        <c:ser>
          <c:idx val="5"/>
          <c:order val="5"/>
          <c:spPr>
            <a:solidFill>
              <a:srgbClr val="00ADDC"/>
            </a:solidFill>
            <a:ln>
              <a:noFill/>
            </a:ln>
            <a:effectLst/>
          </c:spPr>
          <c:invertIfNegative val="0"/>
          <c:val>
            <c:numRef>
              <c:f>Copernicus!$P$4</c:f>
              <c:numCache>
                <c:formatCode>0%</c:formatCode>
                <c:ptCount val="1"/>
                <c:pt idx="0">
                  <c:v>0</c:v>
                </c:pt>
              </c:numCache>
            </c:numRef>
          </c:val>
          <c:extLst>
            <c:ext xmlns:c16="http://schemas.microsoft.com/office/drawing/2014/chart" uri="{C3380CC4-5D6E-409C-BE32-E72D297353CC}">
              <c16:uniqueId val="{00000005-F38C-43BB-83BA-935F2FFE9F84}"/>
            </c:ext>
          </c:extLst>
        </c:ser>
        <c:ser>
          <c:idx val="6"/>
          <c:order val="6"/>
          <c:spPr>
            <a:solidFill>
              <a:srgbClr val="28296E"/>
            </a:solidFill>
            <a:ln>
              <a:noFill/>
            </a:ln>
            <a:effectLst/>
          </c:spPr>
          <c:invertIfNegative val="0"/>
          <c:dLbls>
            <c:spPr>
              <a:noFill/>
              <a:ln>
                <a:noFill/>
              </a:ln>
              <a:effectLst/>
            </c:spPr>
            <c:txPr>
              <a:bodyPr rot="0" spcFirstLastPara="1" vertOverflow="ellipsis" vert="horz" wrap="square" lIns="0" tIns="0" rIns="38100" bIns="19050" anchor="ctr" anchorCtr="1">
                <a:spAutoFit/>
              </a:bodyPr>
              <a:lstStyle/>
              <a:p>
                <a:pPr>
                  <a:defRPr sz="800" b="0" i="0" u="none" strike="noStrike" kern="1200" baseline="0">
                    <a:solidFill>
                      <a:srgbClr val="FFFFFF"/>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Copernicus!$Q$4</c:f>
              <c:numCache>
                <c:formatCode>0%</c:formatCode>
                <c:ptCount val="1"/>
                <c:pt idx="0">
                  <c:v>1</c:v>
                </c:pt>
              </c:numCache>
            </c:numRef>
          </c:val>
          <c:extLst>
            <c:ext xmlns:c16="http://schemas.microsoft.com/office/drawing/2014/chart" uri="{C3380CC4-5D6E-409C-BE32-E72D297353CC}">
              <c16:uniqueId val="{00000006-F38C-43BB-83BA-935F2FFE9F84}"/>
            </c:ext>
          </c:extLst>
        </c:ser>
        <c:ser>
          <c:idx val="7"/>
          <c:order val="7"/>
          <c:spPr>
            <a:solidFill>
              <a:srgbClr val="000000"/>
            </a:solidFill>
            <a:ln>
              <a:noFill/>
            </a:ln>
            <a:effectLst/>
          </c:spPr>
          <c:invertIfNegative val="0"/>
          <c:val>
            <c:numRef>
              <c:f>Copernicus!$R$4</c:f>
              <c:numCache>
                <c:formatCode>0%</c:formatCode>
                <c:ptCount val="1"/>
                <c:pt idx="0">
                  <c:v>0</c:v>
                </c:pt>
              </c:numCache>
            </c:numRef>
          </c:val>
          <c:extLst>
            <c:ext xmlns:c16="http://schemas.microsoft.com/office/drawing/2014/chart" uri="{C3380CC4-5D6E-409C-BE32-E72D297353CC}">
              <c16:uniqueId val="{00000007-F38C-43BB-83BA-935F2FFE9F84}"/>
            </c:ext>
          </c:extLst>
        </c:ser>
        <c:ser>
          <c:idx val="8"/>
          <c:order val="8"/>
          <c:spPr>
            <a:solidFill>
              <a:srgbClr val="28296E"/>
            </a:solidFill>
            <a:ln>
              <a:noFill/>
            </a:ln>
            <a:effectLst/>
          </c:spPr>
          <c:invertIfNegative val="0"/>
          <c:val>
            <c:numRef>
              <c:f>Copernicus!$S$4</c:f>
              <c:numCache>
                <c:formatCode>0%</c:formatCode>
                <c:ptCount val="1"/>
                <c:pt idx="0">
                  <c:v>0</c:v>
                </c:pt>
              </c:numCache>
            </c:numRef>
          </c:val>
          <c:extLst>
            <c:ext xmlns:c16="http://schemas.microsoft.com/office/drawing/2014/chart" uri="{C3380CC4-5D6E-409C-BE32-E72D297353CC}">
              <c16:uniqueId val="{00000008-F38C-43BB-83BA-935F2FFE9F84}"/>
            </c:ext>
          </c:extLst>
        </c:ser>
        <c:dLbls>
          <c:showLegendKey val="0"/>
          <c:showVal val="0"/>
          <c:showCatName val="0"/>
          <c:showSerName val="0"/>
          <c:showPercent val="0"/>
          <c:showBubbleSize val="0"/>
        </c:dLbls>
        <c:gapWidth val="0"/>
        <c:overlap val="100"/>
        <c:axId val="103992320"/>
        <c:axId val="104014592"/>
      </c:barChart>
      <c:catAx>
        <c:axId val="103992320"/>
        <c:scaling>
          <c:orientation val="minMax"/>
        </c:scaling>
        <c:delete val="1"/>
        <c:axPos val="l"/>
        <c:majorTickMark val="none"/>
        <c:minorTickMark val="none"/>
        <c:tickLblPos val="nextTo"/>
        <c:crossAx val="104014592"/>
        <c:crosses val="autoZero"/>
        <c:auto val="1"/>
        <c:lblAlgn val="ctr"/>
        <c:lblOffset val="100"/>
        <c:noMultiLvlLbl val="0"/>
      </c:catAx>
      <c:valAx>
        <c:axId val="104014592"/>
        <c:scaling>
          <c:orientation val="minMax"/>
          <c:max val="1"/>
        </c:scaling>
        <c:delete val="1"/>
        <c:axPos val="b"/>
        <c:numFmt formatCode="0%" sourceLinked="1"/>
        <c:majorTickMark val="none"/>
        <c:minorTickMark val="none"/>
        <c:tickLblPos val="nextTo"/>
        <c:crossAx val="10399232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Copernicus!$K$5</c:f>
              <c:numCache>
                <c:formatCode>0%</c:formatCode>
                <c:ptCount val="1"/>
                <c:pt idx="0">
                  <c:v>1</c:v>
                </c:pt>
              </c:numCache>
            </c:numRef>
          </c:val>
          <c:extLst>
            <c:ext xmlns:c16="http://schemas.microsoft.com/office/drawing/2014/chart" uri="{C3380CC4-5D6E-409C-BE32-E72D297353CC}">
              <c16:uniqueId val="{00000000-0C09-4F49-AC92-520FDC2BD922}"/>
            </c:ext>
          </c:extLst>
        </c:ser>
        <c:ser>
          <c:idx val="1"/>
          <c:order val="1"/>
          <c:spPr>
            <a:solidFill>
              <a:srgbClr val="000000"/>
            </a:solidFill>
            <a:ln>
              <a:noFill/>
            </a:ln>
            <a:effectLst/>
          </c:spPr>
          <c:invertIfNegative val="0"/>
          <c:val>
            <c:numRef>
              <c:f>Copernicus!$L$5</c:f>
              <c:numCache>
                <c:formatCode>0%</c:formatCode>
                <c:ptCount val="1"/>
                <c:pt idx="0">
                  <c:v>0</c:v>
                </c:pt>
              </c:numCache>
            </c:numRef>
          </c:val>
          <c:extLst>
            <c:ext xmlns:c16="http://schemas.microsoft.com/office/drawing/2014/chart" uri="{C3380CC4-5D6E-409C-BE32-E72D297353CC}">
              <c16:uniqueId val="{00000001-0C09-4F49-AC92-520FDC2BD922}"/>
            </c:ext>
          </c:extLst>
        </c:ser>
        <c:ser>
          <c:idx val="2"/>
          <c:order val="2"/>
          <c:spPr>
            <a:solidFill>
              <a:srgbClr val="DCE6F2"/>
            </a:solidFill>
            <a:ln>
              <a:noFill/>
            </a:ln>
            <a:effectLst/>
          </c:spPr>
          <c:invertIfNegative val="0"/>
          <c:val>
            <c:numRef>
              <c:f>Copernicus!$M$5</c:f>
              <c:numCache>
                <c:formatCode>0%</c:formatCode>
                <c:ptCount val="1"/>
                <c:pt idx="0">
                  <c:v>0</c:v>
                </c:pt>
              </c:numCache>
            </c:numRef>
          </c:val>
          <c:extLst>
            <c:ext xmlns:c16="http://schemas.microsoft.com/office/drawing/2014/chart" uri="{C3380CC4-5D6E-409C-BE32-E72D297353CC}">
              <c16:uniqueId val="{00000002-0C09-4F49-AC92-520FDC2BD922}"/>
            </c:ext>
          </c:extLst>
        </c:ser>
        <c:ser>
          <c:idx val="3"/>
          <c:order val="3"/>
          <c:spPr>
            <a:solidFill>
              <a:srgbClr val="00ADDC"/>
            </a:solidFill>
            <a:ln>
              <a:noFill/>
            </a:ln>
            <a:effectLst/>
          </c:spPr>
          <c:invertIfNegative val="0"/>
          <c:val>
            <c:numRef>
              <c:f>Copernicus!$N$5</c:f>
              <c:numCache>
                <c:formatCode>0%</c:formatCode>
                <c:ptCount val="1"/>
                <c:pt idx="0">
                  <c:v>0</c:v>
                </c:pt>
              </c:numCache>
            </c:numRef>
          </c:val>
          <c:extLst>
            <c:ext xmlns:c16="http://schemas.microsoft.com/office/drawing/2014/chart" uri="{C3380CC4-5D6E-409C-BE32-E72D297353CC}">
              <c16:uniqueId val="{00000003-0C09-4F49-AC92-520FDC2BD922}"/>
            </c:ext>
          </c:extLst>
        </c:ser>
        <c:ser>
          <c:idx val="4"/>
          <c:order val="4"/>
          <c:spPr>
            <a:solidFill>
              <a:srgbClr val="000000"/>
            </a:solidFill>
            <a:ln>
              <a:noFill/>
            </a:ln>
            <a:effectLst/>
          </c:spPr>
          <c:invertIfNegative val="0"/>
          <c:val>
            <c:numRef>
              <c:f>Copernicus!$O$5</c:f>
              <c:numCache>
                <c:formatCode>0%</c:formatCode>
                <c:ptCount val="1"/>
                <c:pt idx="0">
                  <c:v>0</c:v>
                </c:pt>
              </c:numCache>
            </c:numRef>
          </c:val>
          <c:extLst>
            <c:ext xmlns:c16="http://schemas.microsoft.com/office/drawing/2014/chart" uri="{C3380CC4-5D6E-409C-BE32-E72D297353CC}">
              <c16:uniqueId val="{00000004-0C09-4F49-AC92-520FDC2BD922}"/>
            </c:ext>
          </c:extLst>
        </c:ser>
        <c:ser>
          <c:idx val="5"/>
          <c:order val="5"/>
          <c:spPr>
            <a:solidFill>
              <a:srgbClr val="00ADDC"/>
            </a:solidFill>
            <a:ln>
              <a:noFill/>
            </a:ln>
            <a:effectLst/>
          </c:spPr>
          <c:invertIfNegative val="0"/>
          <c:val>
            <c:numRef>
              <c:f>Copernicus!$P$5</c:f>
              <c:numCache>
                <c:formatCode>0%</c:formatCode>
                <c:ptCount val="1"/>
                <c:pt idx="0">
                  <c:v>0</c:v>
                </c:pt>
              </c:numCache>
            </c:numRef>
          </c:val>
          <c:extLst>
            <c:ext xmlns:c16="http://schemas.microsoft.com/office/drawing/2014/chart" uri="{C3380CC4-5D6E-409C-BE32-E72D297353CC}">
              <c16:uniqueId val="{00000005-0C09-4F49-AC92-520FDC2BD922}"/>
            </c:ext>
          </c:extLst>
        </c:ser>
        <c:ser>
          <c:idx val="6"/>
          <c:order val="6"/>
          <c:spPr>
            <a:solidFill>
              <a:srgbClr val="28296E"/>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C09-4F49-AC92-520FDC2BD922}"/>
                </c:ext>
              </c:extLst>
            </c:dLbl>
            <c:spPr>
              <a:noFill/>
              <a:ln>
                <a:noFill/>
              </a:ln>
              <a:effectLst/>
            </c:spPr>
            <c:txPr>
              <a:bodyPr rot="0" spcFirstLastPara="1" vertOverflow="ellipsis" vert="horz" wrap="square" lIns="0" tIns="0" rIns="38100" bIns="19050" anchor="ctr" anchorCtr="1">
                <a:spAutoFit/>
              </a:bodyPr>
              <a:lstStyle/>
              <a:p>
                <a:pPr>
                  <a:defRPr sz="800" b="0" i="0" u="none" strike="noStrike" kern="1200" baseline="0">
                    <a:solidFill>
                      <a:srgbClr val="FFFFFF"/>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Copernicus!$Q$5</c:f>
              <c:numCache>
                <c:formatCode>0%</c:formatCode>
                <c:ptCount val="1"/>
                <c:pt idx="0">
                  <c:v>1</c:v>
                </c:pt>
              </c:numCache>
            </c:numRef>
          </c:val>
          <c:extLst>
            <c:ext xmlns:c16="http://schemas.microsoft.com/office/drawing/2014/chart" uri="{C3380CC4-5D6E-409C-BE32-E72D297353CC}">
              <c16:uniqueId val="{00000007-0C09-4F49-AC92-520FDC2BD922}"/>
            </c:ext>
          </c:extLst>
        </c:ser>
        <c:ser>
          <c:idx val="7"/>
          <c:order val="7"/>
          <c:spPr>
            <a:solidFill>
              <a:srgbClr val="000000"/>
            </a:solidFill>
            <a:ln>
              <a:noFill/>
            </a:ln>
            <a:effectLst/>
          </c:spPr>
          <c:invertIfNegative val="0"/>
          <c:val>
            <c:numRef>
              <c:f>Copernicus!$R$5</c:f>
              <c:numCache>
                <c:formatCode>0%</c:formatCode>
                <c:ptCount val="1"/>
                <c:pt idx="0">
                  <c:v>0</c:v>
                </c:pt>
              </c:numCache>
            </c:numRef>
          </c:val>
          <c:extLst>
            <c:ext xmlns:c16="http://schemas.microsoft.com/office/drawing/2014/chart" uri="{C3380CC4-5D6E-409C-BE32-E72D297353CC}">
              <c16:uniqueId val="{00000008-0C09-4F49-AC92-520FDC2BD922}"/>
            </c:ext>
          </c:extLst>
        </c:ser>
        <c:ser>
          <c:idx val="8"/>
          <c:order val="8"/>
          <c:spPr>
            <a:solidFill>
              <a:srgbClr val="28296E"/>
            </a:solidFill>
            <a:ln>
              <a:noFill/>
            </a:ln>
            <a:effectLst/>
          </c:spPr>
          <c:invertIfNegative val="0"/>
          <c:val>
            <c:numRef>
              <c:f>Copernicus!$S$5</c:f>
              <c:numCache>
                <c:formatCode>0%</c:formatCode>
                <c:ptCount val="1"/>
                <c:pt idx="0">
                  <c:v>0</c:v>
                </c:pt>
              </c:numCache>
            </c:numRef>
          </c:val>
          <c:extLst>
            <c:ext xmlns:c16="http://schemas.microsoft.com/office/drawing/2014/chart" uri="{C3380CC4-5D6E-409C-BE32-E72D297353CC}">
              <c16:uniqueId val="{00000009-0C09-4F49-AC92-520FDC2BD922}"/>
            </c:ext>
          </c:extLst>
        </c:ser>
        <c:dLbls>
          <c:showLegendKey val="0"/>
          <c:showVal val="0"/>
          <c:showCatName val="0"/>
          <c:showSerName val="0"/>
          <c:showPercent val="0"/>
          <c:showBubbleSize val="0"/>
        </c:dLbls>
        <c:gapWidth val="0"/>
        <c:overlap val="100"/>
        <c:axId val="104061568"/>
        <c:axId val="103678336"/>
      </c:barChart>
      <c:catAx>
        <c:axId val="104061568"/>
        <c:scaling>
          <c:orientation val="minMax"/>
        </c:scaling>
        <c:delete val="1"/>
        <c:axPos val="l"/>
        <c:majorTickMark val="none"/>
        <c:minorTickMark val="none"/>
        <c:tickLblPos val="nextTo"/>
        <c:crossAx val="103678336"/>
        <c:crosses val="autoZero"/>
        <c:auto val="1"/>
        <c:lblAlgn val="ctr"/>
        <c:lblOffset val="100"/>
        <c:noMultiLvlLbl val="0"/>
      </c:catAx>
      <c:valAx>
        <c:axId val="103678336"/>
        <c:scaling>
          <c:orientation val="minMax"/>
          <c:max val="1"/>
        </c:scaling>
        <c:delete val="1"/>
        <c:axPos val="b"/>
        <c:numFmt formatCode="0%" sourceLinked="1"/>
        <c:majorTickMark val="none"/>
        <c:minorTickMark val="none"/>
        <c:tickLblPos val="nextTo"/>
        <c:crossAx val="10406156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Copernicus!$K$6</c:f>
              <c:numCache>
                <c:formatCode>0%</c:formatCode>
                <c:ptCount val="1"/>
                <c:pt idx="0">
                  <c:v>1</c:v>
                </c:pt>
              </c:numCache>
            </c:numRef>
          </c:val>
          <c:extLst>
            <c:ext xmlns:c16="http://schemas.microsoft.com/office/drawing/2014/chart" uri="{C3380CC4-5D6E-409C-BE32-E72D297353CC}">
              <c16:uniqueId val="{00000000-01EF-4AF7-AE3F-6A4AD12CD77C}"/>
            </c:ext>
          </c:extLst>
        </c:ser>
        <c:ser>
          <c:idx val="1"/>
          <c:order val="1"/>
          <c:spPr>
            <a:solidFill>
              <a:srgbClr val="000000"/>
            </a:solidFill>
            <a:ln>
              <a:noFill/>
            </a:ln>
            <a:effectLst/>
          </c:spPr>
          <c:invertIfNegative val="0"/>
          <c:val>
            <c:numRef>
              <c:f>Copernicus!$L$6</c:f>
              <c:numCache>
                <c:formatCode>0%</c:formatCode>
                <c:ptCount val="1"/>
                <c:pt idx="0">
                  <c:v>0</c:v>
                </c:pt>
              </c:numCache>
            </c:numRef>
          </c:val>
          <c:extLst>
            <c:ext xmlns:c16="http://schemas.microsoft.com/office/drawing/2014/chart" uri="{C3380CC4-5D6E-409C-BE32-E72D297353CC}">
              <c16:uniqueId val="{00000001-01EF-4AF7-AE3F-6A4AD12CD77C}"/>
            </c:ext>
          </c:extLst>
        </c:ser>
        <c:ser>
          <c:idx val="2"/>
          <c:order val="2"/>
          <c:spPr>
            <a:solidFill>
              <a:srgbClr val="DCE6F2"/>
            </a:solidFill>
            <a:ln>
              <a:noFill/>
            </a:ln>
            <a:effectLst/>
          </c:spPr>
          <c:invertIfNegative val="0"/>
          <c:val>
            <c:numRef>
              <c:f>Copernicus!$M$6</c:f>
              <c:numCache>
                <c:formatCode>0%</c:formatCode>
                <c:ptCount val="1"/>
                <c:pt idx="0">
                  <c:v>0</c:v>
                </c:pt>
              </c:numCache>
            </c:numRef>
          </c:val>
          <c:extLst>
            <c:ext xmlns:c16="http://schemas.microsoft.com/office/drawing/2014/chart" uri="{C3380CC4-5D6E-409C-BE32-E72D297353CC}">
              <c16:uniqueId val="{00000002-01EF-4AF7-AE3F-6A4AD12CD77C}"/>
            </c:ext>
          </c:extLst>
        </c:ser>
        <c:ser>
          <c:idx val="3"/>
          <c:order val="3"/>
          <c:spPr>
            <a:solidFill>
              <a:srgbClr val="00ADDC"/>
            </a:solidFill>
            <a:ln>
              <a:noFill/>
            </a:ln>
            <a:effectLst/>
          </c:spPr>
          <c:invertIfNegative val="0"/>
          <c:val>
            <c:numRef>
              <c:f>Copernicus!$N$6</c:f>
              <c:numCache>
                <c:formatCode>0%</c:formatCode>
                <c:ptCount val="1"/>
                <c:pt idx="0">
                  <c:v>0</c:v>
                </c:pt>
              </c:numCache>
            </c:numRef>
          </c:val>
          <c:extLst>
            <c:ext xmlns:c16="http://schemas.microsoft.com/office/drawing/2014/chart" uri="{C3380CC4-5D6E-409C-BE32-E72D297353CC}">
              <c16:uniqueId val="{00000003-01EF-4AF7-AE3F-6A4AD12CD77C}"/>
            </c:ext>
          </c:extLst>
        </c:ser>
        <c:ser>
          <c:idx val="4"/>
          <c:order val="4"/>
          <c:spPr>
            <a:solidFill>
              <a:srgbClr val="000000"/>
            </a:solidFill>
            <a:ln>
              <a:noFill/>
            </a:ln>
            <a:effectLst/>
          </c:spPr>
          <c:invertIfNegative val="0"/>
          <c:val>
            <c:numRef>
              <c:f>Copernicus!$O$6</c:f>
              <c:numCache>
                <c:formatCode>0%</c:formatCode>
                <c:ptCount val="1"/>
                <c:pt idx="0">
                  <c:v>0</c:v>
                </c:pt>
              </c:numCache>
            </c:numRef>
          </c:val>
          <c:extLst>
            <c:ext xmlns:c16="http://schemas.microsoft.com/office/drawing/2014/chart" uri="{C3380CC4-5D6E-409C-BE32-E72D297353CC}">
              <c16:uniqueId val="{00000004-01EF-4AF7-AE3F-6A4AD12CD77C}"/>
            </c:ext>
          </c:extLst>
        </c:ser>
        <c:ser>
          <c:idx val="5"/>
          <c:order val="5"/>
          <c:spPr>
            <a:solidFill>
              <a:srgbClr val="00ADDC"/>
            </a:solidFill>
            <a:ln>
              <a:noFill/>
            </a:ln>
            <a:effectLst/>
          </c:spPr>
          <c:invertIfNegative val="0"/>
          <c:val>
            <c:numRef>
              <c:f>Copernicus!$P$6</c:f>
              <c:numCache>
                <c:formatCode>0%</c:formatCode>
                <c:ptCount val="1"/>
                <c:pt idx="0">
                  <c:v>0</c:v>
                </c:pt>
              </c:numCache>
            </c:numRef>
          </c:val>
          <c:extLst>
            <c:ext xmlns:c16="http://schemas.microsoft.com/office/drawing/2014/chart" uri="{C3380CC4-5D6E-409C-BE32-E72D297353CC}">
              <c16:uniqueId val="{00000005-01EF-4AF7-AE3F-6A4AD12CD77C}"/>
            </c:ext>
          </c:extLst>
        </c:ser>
        <c:ser>
          <c:idx val="6"/>
          <c:order val="6"/>
          <c:spPr>
            <a:solidFill>
              <a:srgbClr val="28296E"/>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1EF-4AF7-AE3F-6A4AD12CD77C}"/>
                </c:ext>
              </c:extLst>
            </c:dLbl>
            <c:spPr>
              <a:noFill/>
              <a:ln>
                <a:noFill/>
              </a:ln>
              <a:effectLst/>
            </c:spPr>
            <c:txPr>
              <a:bodyPr rot="0" spcFirstLastPara="1" vertOverflow="ellipsis" vert="horz" wrap="square" lIns="0" tIns="0" rIns="38100" bIns="19050" anchor="ctr" anchorCtr="1">
                <a:spAutoFit/>
              </a:bodyPr>
              <a:lstStyle/>
              <a:p>
                <a:pPr>
                  <a:defRPr sz="800" b="0" i="0" u="none" strike="noStrike" kern="1200" baseline="0">
                    <a:solidFill>
                      <a:srgbClr val="FFFFFF"/>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Copernicus!$Q$6</c:f>
              <c:numCache>
                <c:formatCode>0%</c:formatCode>
                <c:ptCount val="1"/>
                <c:pt idx="0">
                  <c:v>1</c:v>
                </c:pt>
              </c:numCache>
            </c:numRef>
          </c:val>
          <c:extLst>
            <c:ext xmlns:c16="http://schemas.microsoft.com/office/drawing/2014/chart" uri="{C3380CC4-5D6E-409C-BE32-E72D297353CC}">
              <c16:uniqueId val="{00000007-01EF-4AF7-AE3F-6A4AD12CD77C}"/>
            </c:ext>
          </c:extLst>
        </c:ser>
        <c:ser>
          <c:idx val="7"/>
          <c:order val="7"/>
          <c:spPr>
            <a:solidFill>
              <a:srgbClr val="000000"/>
            </a:solidFill>
            <a:ln>
              <a:noFill/>
            </a:ln>
            <a:effectLst/>
          </c:spPr>
          <c:invertIfNegative val="0"/>
          <c:val>
            <c:numRef>
              <c:f>Copernicus!$R$6</c:f>
              <c:numCache>
                <c:formatCode>0%</c:formatCode>
                <c:ptCount val="1"/>
                <c:pt idx="0">
                  <c:v>0</c:v>
                </c:pt>
              </c:numCache>
            </c:numRef>
          </c:val>
          <c:extLst>
            <c:ext xmlns:c16="http://schemas.microsoft.com/office/drawing/2014/chart" uri="{C3380CC4-5D6E-409C-BE32-E72D297353CC}">
              <c16:uniqueId val="{00000008-01EF-4AF7-AE3F-6A4AD12CD77C}"/>
            </c:ext>
          </c:extLst>
        </c:ser>
        <c:ser>
          <c:idx val="8"/>
          <c:order val="8"/>
          <c:spPr>
            <a:solidFill>
              <a:srgbClr val="28296E"/>
            </a:solidFill>
            <a:ln>
              <a:noFill/>
            </a:ln>
            <a:effectLst/>
          </c:spPr>
          <c:invertIfNegative val="0"/>
          <c:val>
            <c:numRef>
              <c:f>Copernicus!$S$6</c:f>
              <c:numCache>
                <c:formatCode>0%</c:formatCode>
                <c:ptCount val="1"/>
                <c:pt idx="0">
                  <c:v>0</c:v>
                </c:pt>
              </c:numCache>
            </c:numRef>
          </c:val>
          <c:extLst>
            <c:ext xmlns:c16="http://schemas.microsoft.com/office/drawing/2014/chart" uri="{C3380CC4-5D6E-409C-BE32-E72D297353CC}">
              <c16:uniqueId val="{00000009-01EF-4AF7-AE3F-6A4AD12CD77C}"/>
            </c:ext>
          </c:extLst>
        </c:ser>
        <c:dLbls>
          <c:showLegendKey val="0"/>
          <c:showVal val="0"/>
          <c:showCatName val="0"/>
          <c:showSerName val="0"/>
          <c:showPercent val="0"/>
          <c:showBubbleSize val="0"/>
        </c:dLbls>
        <c:gapWidth val="0"/>
        <c:overlap val="100"/>
        <c:axId val="103737600"/>
        <c:axId val="103809024"/>
      </c:barChart>
      <c:catAx>
        <c:axId val="103737600"/>
        <c:scaling>
          <c:orientation val="minMax"/>
        </c:scaling>
        <c:delete val="1"/>
        <c:axPos val="l"/>
        <c:majorTickMark val="none"/>
        <c:minorTickMark val="none"/>
        <c:tickLblPos val="nextTo"/>
        <c:crossAx val="103809024"/>
        <c:crosses val="autoZero"/>
        <c:auto val="1"/>
        <c:lblAlgn val="ctr"/>
        <c:lblOffset val="100"/>
        <c:noMultiLvlLbl val="0"/>
      </c:catAx>
      <c:valAx>
        <c:axId val="103809024"/>
        <c:scaling>
          <c:orientation val="minMax"/>
          <c:max val="1"/>
        </c:scaling>
        <c:delete val="1"/>
        <c:axPos val="b"/>
        <c:numFmt formatCode="0%" sourceLinked="1"/>
        <c:majorTickMark val="none"/>
        <c:minorTickMark val="none"/>
        <c:tickLblPos val="nextTo"/>
        <c:crossAx val="10373760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Copernicus!$K$7</c:f>
              <c:numCache>
                <c:formatCode>0%</c:formatCode>
                <c:ptCount val="1"/>
                <c:pt idx="0">
                  <c:v>1</c:v>
                </c:pt>
              </c:numCache>
            </c:numRef>
          </c:val>
          <c:extLst>
            <c:ext xmlns:c16="http://schemas.microsoft.com/office/drawing/2014/chart" uri="{C3380CC4-5D6E-409C-BE32-E72D297353CC}">
              <c16:uniqueId val="{00000000-82AD-415E-9A14-A3230BF53F6D}"/>
            </c:ext>
          </c:extLst>
        </c:ser>
        <c:ser>
          <c:idx val="1"/>
          <c:order val="1"/>
          <c:spPr>
            <a:solidFill>
              <a:srgbClr val="000000"/>
            </a:solidFill>
            <a:ln>
              <a:noFill/>
            </a:ln>
            <a:effectLst/>
          </c:spPr>
          <c:invertIfNegative val="0"/>
          <c:val>
            <c:numRef>
              <c:f>Copernicus!$L$7</c:f>
              <c:numCache>
                <c:formatCode>0%</c:formatCode>
                <c:ptCount val="1"/>
                <c:pt idx="0">
                  <c:v>0</c:v>
                </c:pt>
              </c:numCache>
            </c:numRef>
          </c:val>
          <c:extLst>
            <c:ext xmlns:c16="http://schemas.microsoft.com/office/drawing/2014/chart" uri="{C3380CC4-5D6E-409C-BE32-E72D297353CC}">
              <c16:uniqueId val="{00000001-82AD-415E-9A14-A3230BF53F6D}"/>
            </c:ext>
          </c:extLst>
        </c:ser>
        <c:ser>
          <c:idx val="2"/>
          <c:order val="2"/>
          <c:spPr>
            <a:solidFill>
              <a:srgbClr val="DCE6F2"/>
            </a:solidFill>
            <a:ln>
              <a:noFill/>
            </a:ln>
            <a:effectLst/>
          </c:spPr>
          <c:invertIfNegative val="0"/>
          <c:val>
            <c:numRef>
              <c:f>Copernicus!$M$7</c:f>
              <c:numCache>
                <c:formatCode>0%</c:formatCode>
                <c:ptCount val="1"/>
                <c:pt idx="0">
                  <c:v>0</c:v>
                </c:pt>
              </c:numCache>
            </c:numRef>
          </c:val>
          <c:extLst>
            <c:ext xmlns:c16="http://schemas.microsoft.com/office/drawing/2014/chart" uri="{C3380CC4-5D6E-409C-BE32-E72D297353CC}">
              <c16:uniqueId val="{00000002-82AD-415E-9A14-A3230BF53F6D}"/>
            </c:ext>
          </c:extLst>
        </c:ser>
        <c:ser>
          <c:idx val="3"/>
          <c:order val="3"/>
          <c:spPr>
            <a:solidFill>
              <a:srgbClr val="00ADDC"/>
            </a:solidFill>
            <a:ln>
              <a:noFill/>
            </a:ln>
            <a:effectLst/>
          </c:spPr>
          <c:invertIfNegative val="0"/>
          <c:val>
            <c:numRef>
              <c:f>Copernicus!$N$7</c:f>
              <c:numCache>
                <c:formatCode>0%</c:formatCode>
                <c:ptCount val="1"/>
                <c:pt idx="0">
                  <c:v>0</c:v>
                </c:pt>
              </c:numCache>
            </c:numRef>
          </c:val>
          <c:extLst>
            <c:ext xmlns:c16="http://schemas.microsoft.com/office/drawing/2014/chart" uri="{C3380CC4-5D6E-409C-BE32-E72D297353CC}">
              <c16:uniqueId val="{00000003-82AD-415E-9A14-A3230BF53F6D}"/>
            </c:ext>
          </c:extLst>
        </c:ser>
        <c:ser>
          <c:idx val="4"/>
          <c:order val="4"/>
          <c:spPr>
            <a:solidFill>
              <a:srgbClr val="000000"/>
            </a:solidFill>
            <a:ln>
              <a:noFill/>
            </a:ln>
            <a:effectLst/>
          </c:spPr>
          <c:invertIfNegative val="0"/>
          <c:val>
            <c:numRef>
              <c:f>Copernicus!$O$7</c:f>
              <c:numCache>
                <c:formatCode>0%</c:formatCode>
                <c:ptCount val="1"/>
                <c:pt idx="0">
                  <c:v>0</c:v>
                </c:pt>
              </c:numCache>
            </c:numRef>
          </c:val>
          <c:extLst>
            <c:ext xmlns:c16="http://schemas.microsoft.com/office/drawing/2014/chart" uri="{C3380CC4-5D6E-409C-BE32-E72D297353CC}">
              <c16:uniqueId val="{00000004-82AD-415E-9A14-A3230BF53F6D}"/>
            </c:ext>
          </c:extLst>
        </c:ser>
        <c:ser>
          <c:idx val="5"/>
          <c:order val="5"/>
          <c:spPr>
            <a:solidFill>
              <a:srgbClr val="00ADDC"/>
            </a:solidFill>
            <a:ln>
              <a:noFill/>
            </a:ln>
            <a:effectLst/>
          </c:spPr>
          <c:invertIfNegative val="0"/>
          <c:val>
            <c:numRef>
              <c:f>Copernicus!$P$7</c:f>
              <c:numCache>
                <c:formatCode>0%</c:formatCode>
                <c:ptCount val="1"/>
                <c:pt idx="0">
                  <c:v>0</c:v>
                </c:pt>
              </c:numCache>
            </c:numRef>
          </c:val>
          <c:extLst>
            <c:ext xmlns:c16="http://schemas.microsoft.com/office/drawing/2014/chart" uri="{C3380CC4-5D6E-409C-BE32-E72D297353CC}">
              <c16:uniqueId val="{00000005-82AD-415E-9A14-A3230BF53F6D}"/>
            </c:ext>
          </c:extLst>
        </c:ser>
        <c:ser>
          <c:idx val="6"/>
          <c:order val="6"/>
          <c:spPr>
            <a:solidFill>
              <a:srgbClr val="28296E"/>
            </a:solidFill>
            <a:ln>
              <a:noFill/>
            </a:ln>
            <a:effectLst/>
          </c:spPr>
          <c:invertIfNegative val="0"/>
          <c:dLbls>
            <c:spPr>
              <a:noFill/>
              <a:ln>
                <a:noFill/>
              </a:ln>
              <a:effectLst/>
            </c:spPr>
            <c:txPr>
              <a:bodyPr rot="0" spcFirstLastPara="1" vertOverflow="ellipsis" vert="horz" wrap="square" lIns="0" tIns="0" rIns="38100" bIns="19050" anchor="ctr" anchorCtr="1">
                <a:spAutoFit/>
              </a:bodyPr>
              <a:lstStyle/>
              <a:p>
                <a:pPr>
                  <a:defRPr sz="800" b="0" i="0" u="none" strike="noStrike" kern="1200" baseline="0">
                    <a:solidFill>
                      <a:srgbClr val="FFFFFF"/>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Copernicus!$Q$7</c:f>
              <c:numCache>
                <c:formatCode>0%</c:formatCode>
                <c:ptCount val="1"/>
                <c:pt idx="0">
                  <c:v>0.875</c:v>
                </c:pt>
              </c:numCache>
            </c:numRef>
          </c:val>
          <c:extLst>
            <c:ext xmlns:c16="http://schemas.microsoft.com/office/drawing/2014/chart" uri="{C3380CC4-5D6E-409C-BE32-E72D297353CC}">
              <c16:uniqueId val="{00000006-82AD-415E-9A14-A3230BF53F6D}"/>
            </c:ext>
          </c:extLst>
        </c:ser>
        <c:ser>
          <c:idx val="7"/>
          <c:order val="7"/>
          <c:spPr>
            <a:solidFill>
              <a:srgbClr val="000000"/>
            </a:solidFill>
            <a:ln>
              <a:noFill/>
            </a:ln>
            <a:effectLst/>
          </c:spPr>
          <c:invertIfNegative val="0"/>
          <c:val>
            <c:numRef>
              <c:f>Copernicus!$R$7</c:f>
              <c:numCache>
                <c:formatCode>0%</c:formatCode>
                <c:ptCount val="1"/>
                <c:pt idx="0">
                  <c:v>0</c:v>
                </c:pt>
              </c:numCache>
            </c:numRef>
          </c:val>
          <c:extLst>
            <c:ext xmlns:c16="http://schemas.microsoft.com/office/drawing/2014/chart" uri="{C3380CC4-5D6E-409C-BE32-E72D297353CC}">
              <c16:uniqueId val="{00000007-82AD-415E-9A14-A3230BF53F6D}"/>
            </c:ext>
          </c:extLst>
        </c:ser>
        <c:ser>
          <c:idx val="8"/>
          <c:order val="8"/>
          <c:spPr>
            <a:solidFill>
              <a:srgbClr val="28296E"/>
            </a:solidFill>
            <a:ln>
              <a:noFill/>
            </a:ln>
            <a:effectLst/>
          </c:spPr>
          <c:invertIfNegative val="0"/>
          <c:val>
            <c:numRef>
              <c:f>Copernicus!$S$7</c:f>
              <c:numCache>
                <c:formatCode>0%</c:formatCode>
                <c:ptCount val="1"/>
                <c:pt idx="0">
                  <c:v>0</c:v>
                </c:pt>
              </c:numCache>
            </c:numRef>
          </c:val>
          <c:extLst>
            <c:ext xmlns:c16="http://schemas.microsoft.com/office/drawing/2014/chart" uri="{C3380CC4-5D6E-409C-BE32-E72D297353CC}">
              <c16:uniqueId val="{00000008-82AD-415E-9A14-A3230BF53F6D}"/>
            </c:ext>
          </c:extLst>
        </c:ser>
        <c:dLbls>
          <c:showLegendKey val="0"/>
          <c:showVal val="0"/>
          <c:showCatName val="0"/>
          <c:showSerName val="0"/>
          <c:showPercent val="0"/>
          <c:showBubbleSize val="0"/>
        </c:dLbls>
        <c:gapWidth val="0"/>
        <c:overlap val="100"/>
        <c:axId val="103843328"/>
        <c:axId val="103844864"/>
      </c:barChart>
      <c:catAx>
        <c:axId val="103843328"/>
        <c:scaling>
          <c:orientation val="minMax"/>
        </c:scaling>
        <c:delete val="1"/>
        <c:axPos val="l"/>
        <c:majorTickMark val="none"/>
        <c:minorTickMark val="none"/>
        <c:tickLblPos val="nextTo"/>
        <c:crossAx val="103844864"/>
        <c:crosses val="autoZero"/>
        <c:auto val="1"/>
        <c:lblAlgn val="ctr"/>
        <c:lblOffset val="100"/>
        <c:noMultiLvlLbl val="0"/>
      </c:catAx>
      <c:valAx>
        <c:axId val="103844864"/>
        <c:scaling>
          <c:orientation val="minMax"/>
          <c:max val="1"/>
        </c:scaling>
        <c:delete val="1"/>
        <c:axPos val="b"/>
        <c:numFmt formatCode="0%" sourceLinked="1"/>
        <c:majorTickMark val="none"/>
        <c:minorTickMark val="none"/>
        <c:tickLblPos val="nextTo"/>
        <c:crossAx val="10384332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Copernicus!$K$8</c:f>
              <c:numCache>
                <c:formatCode>0%</c:formatCode>
                <c:ptCount val="1"/>
                <c:pt idx="0">
                  <c:v>1</c:v>
                </c:pt>
              </c:numCache>
            </c:numRef>
          </c:val>
          <c:extLst>
            <c:ext xmlns:c16="http://schemas.microsoft.com/office/drawing/2014/chart" uri="{C3380CC4-5D6E-409C-BE32-E72D297353CC}">
              <c16:uniqueId val="{00000000-9CEE-40AF-AA2D-1ADBB0712E49}"/>
            </c:ext>
          </c:extLst>
        </c:ser>
        <c:ser>
          <c:idx val="1"/>
          <c:order val="1"/>
          <c:spPr>
            <a:solidFill>
              <a:srgbClr val="000000"/>
            </a:solidFill>
            <a:ln>
              <a:noFill/>
            </a:ln>
            <a:effectLst/>
          </c:spPr>
          <c:invertIfNegative val="0"/>
          <c:val>
            <c:numRef>
              <c:f>Copernicus!$L$8</c:f>
              <c:numCache>
                <c:formatCode>0%</c:formatCode>
                <c:ptCount val="1"/>
                <c:pt idx="0">
                  <c:v>0</c:v>
                </c:pt>
              </c:numCache>
            </c:numRef>
          </c:val>
          <c:extLst>
            <c:ext xmlns:c16="http://schemas.microsoft.com/office/drawing/2014/chart" uri="{C3380CC4-5D6E-409C-BE32-E72D297353CC}">
              <c16:uniqueId val="{00000001-9CEE-40AF-AA2D-1ADBB0712E49}"/>
            </c:ext>
          </c:extLst>
        </c:ser>
        <c:ser>
          <c:idx val="2"/>
          <c:order val="2"/>
          <c:spPr>
            <a:solidFill>
              <a:srgbClr val="DCE6F2"/>
            </a:solidFill>
            <a:ln>
              <a:noFill/>
            </a:ln>
            <a:effectLst/>
          </c:spPr>
          <c:invertIfNegative val="0"/>
          <c:val>
            <c:numRef>
              <c:f>Copernicus!$M$8</c:f>
              <c:numCache>
                <c:formatCode>0%</c:formatCode>
                <c:ptCount val="1"/>
                <c:pt idx="0">
                  <c:v>0</c:v>
                </c:pt>
              </c:numCache>
            </c:numRef>
          </c:val>
          <c:extLst>
            <c:ext xmlns:c16="http://schemas.microsoft.com/office/drawing/2014/chart" uri="{C3380CC4-5D6E-409C-BE32-E72D297353CC}">
              <c16:uniqueId val="{00000002-9CEE-40AF-AA2D-1ADBB0712E49}"/>
            </c:ext>
          </c:extLst>
        </c:ser>
        <c:ser>
          <c:idx val="3"/>
          <c:order val="3"/>
          <c:spPr>
            <a:solidFill>
              <a:srgbClr val="00ADDC"/>
            </a:solidFill>
            <a:ln>
              <a:noFill/>
            </a:ln>
            <a:effectLst/>
          </c:spPr>
          <c:invertIfNegative val="0"/>
          <c:val>
            <c:numRef>
              <c:f>Copernicus!$N$8</c:f>
              <c:numCache>
                <c:formatCode>0%</c:formatCode>
                <c:ptCount val="1"/>
                <c:pt idx="0">
                  <c:v>0</c:v>
                </c:pt>
              </c:numCache>
            </c:numRef>
          </c:val>
          <c:extLst>
            <c:ext xmlns:c16="http://schemas.microsoft.com/office/drawing/2014/chart" uri="{C3380CC4-5D6E-409C-BE32-E72D297353CC}">
              <c16:uniqueId val="{00000003-9CEE-40AF-AA2D-1ADBB0712E49}"/>
            </c:ext>
          </c:extLst>
        </c:ser>
        <c:ser>
          <c:idx val="4"/>
          <c:order val="4"/>
          <c:spPr>
            <a:solidFill>
              <a:srgbClr val="000000"/>
            </a:solidFill>
            <a:ln>
              <a:noFill/>
            </a:ln>
            <a:effectLst/>
          </c:spPr>
          <c:invertIfNegative val="0"/>
          <c:val>
            <c:numRef>
              <c:f>Copernicus!$O$8</c:f>
              <c:numCache>
                <c:formatCode>0%</c:formatCode>
                <c:ptCount val="1"/>
                <c:pt idx="0">
                  <c:v>0</c:v>
                </c:pt>
              </c:numCache>
            </c:numRef>
          </c:val>
          <c:extLst>
            <c:ext xmlns:c16="http://schemas.microsoft.com/office/drawing/2014/chart" uri="{C3380CC4-5D6E-409C-BE32-E72D297353CC}">
              <c16:uniqueId val="{00000004-9CEE-40AF-AA2D-1ADBB0712E49}"/>
            </c:ext>
          </c:extLst>
        </c:ser>
        <c:ser>
          <c:idx val="5"/>
          <c:order val="5"/>
          <c:spPr>
            <a:solidFill>
              <a:srgbClr val="00ADDC"/>
            </a:solidFill>
            <a:ln>
              <a:noFill/>
            </a:ln>
            <a:effectLst/>
          </c:spPr>
          <c:invertIfNegative val="0"/>
          <c:val>
            <c:numRef>
              <c:f>Copernicus!$P$8</c:f>
              <c:numCache>
                <c:formatCode>0%</c:formatCode>
                <c:ptCount val="1"/>
                <c:pt idx="0">
                  <c:v>0</c:v>
                </c:pt>
              </c:numCache>
            </c:numRef>
          </c:val>
          <c:extLst>
            <c:ext xmlns:c16="http://schemas.microsoft.com/office/drawing/2014/chart" uri="{C3380CC4-5D6E-409C-BE32-E72D297353CC}">
              <c16:uniqueId val="{00000005-9CEE-40AF-AA2D-1ADBB0712E49}"/>
            </c:ext>
          </c:extLst>
        </c:ser>
        <c:ser>
          <c:idx val="6"/>
          <c:order val="6"/>
          <c:spPr>
            <a:solidFill>
              <a:srgbClr val="28296E"/>
            </a:solidFill>
            <a:ln>
              <a:noFill/>
            </a:ln>
            <a:effectLst/>
          </c:spPr>
          <c:invertIfNegative val="0"/>
          <c:dLbls>
            <c:spPr>
              <a:noFill/>
              <a:ln>
                <a:noFill/>
              </a:ln>
              <a:effectLst/>
            </c:spPr>
            <c:txPr>
              <a:bodyPr rot="0" spcFirstLastPara="1" vertOverflow="ellipsis" vert="horz" wrap="square" lIns="0" tIns="0" rIns="38100" bIns="19050" anchor="ctr" anchorCtr="1">
                <a:spAutoFit/>
              </a:bodyPr>
              <a:lstStyle/>
              <a:p>
                <a:pPr>
                  <a:defRPr sz="800" b="0" i="0" u="none" strike="noStrike" kern="1200" baseline="0">
                    <a:solidFill>
                      <a:srgbClr val="FFFFFF"/>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Copernicus!$Q$8</c:f>
              <c:numCache>
                <c:formatCode>0%</c:formatCode>
                <c:ptCount val="1"/>
                <c:pt idx="0">
                  <c:v>1</c:v>
                </c:pt>
              </c:numCache>
            </c:numRef>
          </c:val>
          <c:extLst>
            <c:ext xmlns:c16="http://schemas.microsoft.com/office/drawing/2014/chart" uri="{C3380CC4-5D6E-409C-BE32-E72D297353CC}">
              <c16:uniqueId val="{00000006-9CEE-40AF-AA2D-1ADBB0712E49}"/>
            </c:ext>
          </c:extLst>
        </c:ser>
        <c:ser>
          <c:idx val="7"/>
          <c:order val="7"/>
          <c:spPr>
            <a:solidFill>
              <a:srgbClr val="000000"/>
            </a:solidFill>
            <a:ln>
              <a:noFill/>
            </a:ln>
            <a:effectLst/>
          </c:spPr>
          <c:invertIfNegative val="0"/>
          <c:val>
            <c:numRef>
              <c:f>Copernicus!$R$8</c:f>
              <c:numCache>
                <c:formatCode>0%</c:formatCode>
                <c:ptCount val="1"/>
                <c:pt idx="0">
                  <c:v>0</c:v>
                </c:pt>
              </c:numCache>
            </c:numRef>
          </c:val>
          <c:extLst>
            <c:ext xmlns:c16="http://schemas.microsoft.com/office/drawing/2014/chart" uri="{C3380CC4-5D6E-409C-BE32-E72D297353CC}">
              <c16:uniqueId val="{00000007-9CEE-40AF-AA2D-1ADBB0712E49}"/>
            </c:ext>
          </c:extLst>
        </c:ser>
        <c:ser>
          <c:idx val="8"/>
          <c:order val="8"/>
          <c:spPr>
            <a:solidFill>
              <a:srgbClr val="28296E"/>
            </a:solidFill>
            <a:ln>
              <a:noFill/>
            </a:ln>
            <a:effectLst/>
          </c:spPr>
          <c:invertIfNegative val="0"/>
          <c:val>
            <c:numRef>
              <c:f>Copernicus!$S$8</c:f>
              <c:numCache>
                <c:formatCode>0%</c:formatCode>
                <c:ptCount val="1"/>
                <c:pt idx="0">
                  <c:v>0</c:v>
                </c:pt>
              </c:numCache>
            </c:numRef>
          </c:val>
          <c:extLst>
            <c:ext xmlns:c16="http://schemas.microsoft.com/office/drawing/2014/chart" uri="{C3380CC4-5D6E-409C-BE32-E72D297353CC}">
              <c16:uniqueId val="{00000008-9CEE-40AF-AA2D-1ADBB0712E49}"/>
            </c:ext>
          </c:extLst>
        </c:ser>
        <c:dLbls>
          <c:showLegendKey val="0"/>
          <c:showVal val="0"/>
          <c:showCatName val="0"/>
          <c:showSerName val="0"/>
          <c:showPercent val="0"/>
          <c:showBubbleSize val="0"/>
        </c:dLbls>
        <c:gapWidth val="0"/>
        <c:overlap val="100"/>
        <c:axId val="104428672"/>
        <c:axId val="104430208"/>
      </c:barChart>
      <c:catAx>
        <c:axId val="104428672"/>
        <c:scaling>
          <c:orientation val="minMax"/>
        </c:scaling>
        <c:delete val="1"/>
        <c:axPos val="l"/>
        <c:majorTickMark val="none"/>
        <c:minorTickMark val="none"/>
        <c:tickLblPos val="nextTo"/>
        <c:crossAx val="104430208"/>
        <c:crosses val="autoZero"/>
        <c:auto val="1"/>
        <c:lblAlgn val="ctr"/>
        <c:lblOffset val="100"/>
        <c:noMultiLvlLbl val="0"/>
      </c:catAx>
      <c:valAx>
        <c:axId val="104430208"/>
        <c:scaling>
          <c:orientation val="minMax"/>
          <c:max val="1"/>
        </c:scaling>
        <c:delete val="1"/>
        <c:axPos val="b"/>
        <c:numFmt formatCode="0%" sourceLinked="1"/>
        <c:majorTickMark val="none"/>
        <c:minorTickMark val="none"/>
        <c:tickLblPos val="nextTo"/>
        <c:crossAx val="10442867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00ADDC"/>
              </a:solidFill>
              <a:ln w="19050">
                <a:solidFill>
                  <a:schemeClr val="lt1"/>
                </a:solidFill>
              </a:ln>
              <a:effectLst/>
            </c:spPr>
            <c:extLst>
              <c:ext xmlns:c16="http://schemas.microsoft.com/office/drawing/2014/chart" uri="{C3380CC4-5D6E-409C-BE32-E72D297353CC}">
                <c16:uniqueId val="{00000001-7501-4F4D-B804-90D0C5417AD6}"/>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7501-4F4D-B804-90D0C5417AD6}"/>
              </c:ext>
            </c:extLst>
          </c:dPt>
          <c:cat>
            <c:strRef>
              <c:f>Sheet1!$A$2:$A$3</c:f>
              <c:strCache>
                <c:ptCount val="2"/>
                <c:pt idx="0">
                  <c:v>1st Qtr</c:v>
                </c:pt>
                <c:pt idx="1">
                  <c:v>2nd Qtr</c:v>
                </c:pt>
              </c:strCache>
            </c:strRef>
          </c:cat>
          <c:val>
            <c:numRef>
              <c:f>Sheet1!$B$2:$B$3</c:f>
              <c:numCache>
                <c:formatCode>0%</c:formatCode>
                <c:ptCount val="2"/>
                <c:pt idx="0">
                  <c:v>0.76</c:v>
                </c:pt>
                <c:pt idx="1">
                  <c:v>0.24</c:v>
                </c:pt>
              </c:numCache>
            </c:numRef>
          </c:val>
          <c:extLst>
            <c:ext xmlns:c16="http://schemas.microsoft.com/office/drawing/2014/chart" uri="{C3380CC4-5D6E-409C-BE32-E72D297353CC}">
              <c16:uniqueId val="{00000004-7501-4F4D-B804-90D0C5417AD6}"/>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28296E"/>
              </a:solidFill>
              <a:ln w="19050">
                <a:noFill/>
              </a:ln>
              <a:effectLst/>
            </c:spPr>
            <c:extLst>
              <c:ext xmlns:c16="http://schemas.microsoft.com/office/drawing/2014/chart" uri="{C3380CC4-5D6E-409C-BE32-E72D297353CC}">
                <c16:uniqueId val="{00000001-208D-4146-A96B-1F8587D57634}"/>
              </c:ext>
            </c:extLst>
          </c:dPt>
          <c:dPt>
            <c:idx val="1"/>
            <c:bubble3D val="0"/>
            <c:spPr>
              <a:noFill/>
              <a:ln w="19050">
                <a:noFill/>
              </a:ln>
              <a:effectLst/>
            </c:spPr>
            <c:extLst>
              <c:ext xmlns:c16="http://schemas.microsoft.com/office/drawing/2014/chart" uri="{C3380CC4-5D6E-409C-BE32-E72D297353CC}">
                <c16:uniqueId val="{00000003-208D-4146-A96B-1F8587D57634}"/>
              </c:ext>
            </c:extLst>
          </c:dPt>
          <c:cat>
            <c:strRef>
              <c:f>Sheet1!$A$2:$A$3</c:f>
              <c:strCache>
                <c:ptCount val="2"/>
                <c:pt idx="0">
                  <c:v>1st Qtr</c:v>
                </c:pt>
                <c:pt idx="1">
                  <c:v>2nd Qtr</c:v>
                </c:pt>
              </c:strCache>
            </c:strRef>
          </c:cat>
          <c:val>
            <c:numRef>
              <c:f>Sheet1!$B$2:$B$3</c:f>
              <c:numCache>
                <c:formatCode>0%</c:formatCode>
                <c:ptCount val="2"/>
                <c:pt idx="0">
                  <c:v>0.82</c:v>
                </c:pt>
                <c:pt idx="1">
                  <c:v>0.18</c:v>
                </c:pt>
              </c:numCache>
            </c:numRef>
          </c:val>
          <c:extLst>
            <c:ext xmlns:c16="http://schemas.microsoft.com/office/drawing/2014/chart" uri="{C3380CC4-5D6E-409C-BE32-E72D297353CC}">
              <c16:uniqueId val="{00000004-208D-4146-A96B-1F8587D57634}"/>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28296E"/>
              </a:solidFill>
              <a:ln w="19050">
                <a:noFill/>
              </a:ln>
              <a:effectLst/>
            </c:spPr>
            <c:extLst>
              <c:ext xmlns:c16="http://schemas.microsoft.com/office/drawing/2014/chart" uri="{C3380CC4-5D6E-409C-BE32-E72D297353CC}">
                <c16:uniqueId val="{00000001-574E-43F6-B9FE-32654F0B1877}"/>
              </c:ext>
            </c:extLst>
          </c:dPt>
          <c:dPt>
            <c:idx val="1"/>
            <c:bubble3D val="0"/>
            <c:spPr>
              <a:noFill/>
              <a:ln w="19050">
                <a:noFill/>
              </a:ln>
              <a:effectLst/>
            </c:spPr>
            <c:extLst>
              <c:ext xmlns:c16="http://schemas.microsoft.com/office/drawing/2014/chart" uri="{C3380CC4-5D6E-409C-BE32-E72D297353CC}">
                <c16:uniqueId val="{00000003-574E-43F6-B9FE-32654F0B1877}"/>
              </c:ext>
            </c:extLst>
          </c:dPt>
          <c:cat>
            <c:strRef>
              <c:f>Sheet1!$A$2:$A$3</c:f>
              <c:strCache>
                <c:ptCount val="2"/>
                <c:pt idx="0">
                  <c:v>1st Qtr</c:v>
                </c:pt>
                <c:pt idx="1">
                  <c:v>2nd Qtr</c:v>
                </c:pt>
              </c:strCache>
            </c:strRef>
          </c:cat>
          <c:val>
            <c:numRef>
              <c:f>Sheet1!$B$2:$B$3</c:f>
              <c:numCache>
                <c:formatCode>0%</c:formatCode>
                <c:ptCount val="2"/>
                <c:pt idx="0">
                  <c:v>0.98</c:v>
                </c:pt>
                <c:pt idx="1">
                  <c:v>0.02</c:v>
                </c:pt>
              </c:numCache>
            </c:numRef>
          </c:val>
          <c:extLst>
            <c:ext xmlns:c16="http://schemas.microsoft.com/office/drawing/2014/chart" uri="{C3380CC4-5D6E-409C-BE32-E72D297353CC}">
              <c16:uniqueId val="{00000004-574E-43F6-B9FE-32654F0B1877}"/>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EFSI!$K$4</c:f>
              <c:numCache>
                <c:formatCode>0%</c:formatCode>
                <c:ptCount val="1"/>
                <c:pt idx="0">
                  <c:v>1</c:v>
                </c:pt>
              </c:numCache>
            </c:numRef>
          </c:val>
          <c:extLst>
            <c:ext xmlns:c16="http://schemas.microsoft.com/office/drawing/2014/chart" uri="{C3380CC4-5D6E-409C-BE32-E72D297353CC}">
              <c16:uniqueId val="{00000000-8749-4943-8787-52204BFD6A09}"/>
            </c:ext>
          </c:extLst>
        </c:ser>
        <c:ser>
          <c:idx val="1"/>
          <c:order val="1"/>
          <c:spPr>
            <a:solidFill>
              <a:srgbClr val="000000"/>
            </a:solidFill>
            <a:ln>
              <a:noFill/>
            </a:ln>
            <a:effectLst/>
          </c:spPr>
          <c:invertIfNegative val="0"/>
          <c:val>
            <c:numRef>
              <c:f>EFSI!$L$4</c:f>
              <c:numCache>
                <c:formatCode>0%</c:formatCode>
                <c:ptCount val="1"/>
                <c:pt idx="0">
                  <c:v>0</c:v>
                </c:pt>
              </c:numCache>
            </c:numRef>
          </c:val>
          <c:extLst>
            <c:ext xmlns:c16="http://schemas.microsoft.com/office/drawing/2014/chart" uri="{C3380CC4-5D6E-409C-BE32-E72D297353CC}">
              <c16:uniqueId val="{00000001-8749-4943-8787-52204BFD6A09}"/>
            </c:ext>
          </c:extLst>
        </c:ser>
        <c:ser>
          <c:idx val="2"/>
          <c:order val="2"/>
          <c:spPr>
            <a:solidFill>
              <a:srgbClr val="DCE6F2"/>
            </a:solidFill>
            <a:ln>
              <a:noFill/>
            </a:ln>
            <a:effectLst/>
          </c:spPr>
          <c:invertIfNegative val="0"/>
          <c:val>
            <c:numRef>
              <c:f>EFSI!$M$4</c:f>
              <c:numCache>
                <c:formatCode>0%</c:formatCode>
                <c:ptCount val="1"/>
                <c:pt idx="0">
                  <c:v>0</c:v>
                </c:pt>
              </c:numCache>
            </c:numRef>
          </c:val>
          <c:extLst>
            <c:ext xmlns:c16="http://schemas.microsoft.com/office/drawing/2014/chart" uri="{C3380CC4-5D6E-409C-BE32-E72D297353CC}">
              <c16:uniqueId val="{00000002-8749-4943-8787-52204BFD6A09}"/>
            </c:ext>
          </c:extLst>
        </c:ser>
        <c:ser>
          <c:idx val="3"/>
          <c:order val="3"/>
          <c:spPr>
            <a:solidFill>
              <a:srgbClr val="00ADDC"/>
            </a:solidFill>
            <a:ln>
              <a:noFill/>
            </a:ln>
            <a:effectLst/>
          </c:spPr>
          <c:invertIfNegative val="0"/>
          <c:val>
            <c:numRef>
              <c:f>EFSI!$N$4</c:f>
              <c:numCache>
                <c:formatCode>0%</c:formatCode>
                <c:ptCount val="1"/>
                <c:pt idx="0">
                  <c:v>0</c:v>
                </c:pt>
              </c:numCache>
            </c:numRef>
          </c:val>
          <c:extLst>
            <c:ext xmlns:c16="http://schemas.microsoft.com/office/drawing/2014/chart" uri="{C3380CC4-5D6E-409C-BE32-E72D297353CC}">
              <c16:uniqueId val="{00000003-8749-4943-8787-52204BFD6A09}"/>
            </c:ext>
          </c:extLst>
        </c:ser>
        <c:ser>
          <c:idx val="4"/>
          <c:order val="4"/>
          <c:spPr>
            <a:solidFill>
              <a:srgbClr val="000000"/>
            </a:solidFill>
            <a:ln>
              <a:noFill/>
            </a:ln>
            <a:effectLst/>
          </c:spPr>
          <c:invertIfNegative val="0"/>
          <c:val>
            <c:numRef>
              <c:f>EFSI!$O$4</c:f>
              <c:numCache>
                <c:formatCode>0%</c:formatCode>
                <c:ptCount val="1"/>
                <c:pt idx="0">
                  <c:v>0</c:v>
                </c:pt>
              </c:numCache>
            </c:numRef>
          </c:val>
          <c:extLst>
            <c:ext xmlns:c16="http://schemas.microsoft.com/office/drawing/2014/chart" uri="{C3380CC4-5D6E-409C-BE32-E72D297353CC}">
              <c16:uniqueId val="{00000004-8749-4943-8787-52204BFD6A09}"/>
            </c:ext>
          </c:extLst>
        </c:ser>
        <c:ser>
          <c:idx val="5"/>
          <c:order val="5"/>
          <c:spPr>
            <a:solidFill>
              <a:srgbClr val="00ADDC"/>
            </a:solidFill>
            <a:ln>
              <a:noFill/>
            </a:ln>
            <a:effectLst/>
          </c:spPr>
          <c:invertIfNegative val="0"/>
          <c:val>
            <c:numRef>
              <c:f>EFSI!$P$4</c:f>
              <c:numCache>
                <c:formatCode>0%</c:formatCode>
                <c:ptCount val="1"/>
                <c:pt idx="0">
                  <c:v>0</c:v>
                </c:pt>
              </c:numCache>
            </c:numRef>
          </c:val>
          <c:extLst>
            <c:ext xmlns:c16="http://schemas.microsoft.com/office/drawing/2014/chart" uri="{C3380CC4-5D6E-409C-BE32-E72D297353CC}">
              <c16:uniqueId val="{00000005-8749-4943-8787-52204BFD6A09}"/>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EFSI!$Q$4</c:f>
              <c:numCache>
                <c:formatCode>0%</c:formatCode>
                <c:ptCount val="1"/>
                <c:pt idx="0">
                  <c:v>0.91600000000000004</c:v>
                </c:pt>
              </c:numCache>
            </c:numRef>
          </c:val>
          <c:extLst>
            <c:ext xmlns:c16="http://schemas.microsoft.com/office/drawing/2014/chart" uri="{C3380CC4-5D6E-409C-BE32-E72D297353CC}">
              <c16:uniqueId val="{00000006-8749-4943-8787-52204BFD6A09}"/>
            </c:ext>
          </c:extLst>
        </c:ser>
        <c:ser>
          <c:idx val="7"/>
          <c:order val="7"/>
          <c:spPr>
            <a:solidFill>
              <a:srgbClr val="000000"/>
            </a:solidFill>
            <a:ln>
              <a:noFill/>
            </a:ln>
            <a:effectLst/>
          </c:spPr>
          <c:invertIfNegative val="0"/>
          <c:val>
            <c:numRef>
              <c:f>EFSI!$R$4</c:f>
              <c:numCache>
                <c:formatCode>0%</c:formatCode>
                <c:ptCount val="1"/>
                <c:pt idx="0">
                  <c:v>0</c:v>
                </c:pt>
              </c:numCache>
            </c:numRef>
          </c:val>
          <c:extLst>
            <c:ext xmlns:c16="http://schemas.microsoft.com/office/drawing/2014/chart" uri="{C3380CC4-5D6E-409C-BE32-E72D297353CC}">
              <c16:uniqueId val="{00000007-8749-4943-8787-52204BFD6A09}"/>
            </c:ext>
          </c:extLst>
        </c:ser>
        <c:ser>
          <c:idx val="8"/>
          <c:order val="8"/>
          <c:spPr>
            <a:solidFill>
              <a:srgbClr val="28296E"/>
            </a:solidFill>
            <a:ln>
              <a:noFill/>
            </a:ln>
            <a:effectLst/>
          </c:spPr>
          <c:invertIfNegative val="0"/>
          <c:val>
            <c:numRef>
              <c:f>EFSI!$S$4</c:f>
              <c:numCache>
                <c:formatCode>0%</c:formatCode>
                <c:ptCount val="1"/>
                <c:pt idx="0">
                  <c:v>0</c:v>
                </c:pt>
              </c:numCache>
            </c:numRef>
          </c:val>
          <c:extLst>
            <c:ext xmlns:c16="http://schemas.microsoft.com/office/drawing/2014/chart" uri="{C3380CC4-5D6E-409C-BE32-E72D297353CC}">
              <c16:uniqueId val="{00000008-8749-4943-8787-52204BFD6A09}"/>
            </c:ext>
          </c:extLst>
        </c:ser>
        <c:dLbls>
          <c:showLegendKey val="0"/>
          <c:showVal val="0"/>
          <c:showCatName val="0"/>
          <c:showSerName val="0"/>
          <c:showPercent val="0"/>
          <c:showBubbleSize val="0"/>
        </c:dLbls>
        <c:gapWidth val="0"/>
        <c:overlap val="100"/>
        <c:axId val="104744832"/>
        <c:axId val="104746368"/>
      </c:barChart>
      <c:catAx>
        <c:axId val="104744832"/>
        <c:scaling>
          <c:orientation val="minMax"/>
        </c:scaling>
        <c:delete val="1"/>
        <c:axPos val="l"/>
        <c:majorTickMark val="none"/>
        <c:minorTickMark val="none"/>
        <c:tickLblPos val="nextTo"/>
        <c:crossAx val="104746368"/>
        <c:crosses val="autoZero"/>
        <c:auto val="1"/>
        <c:lblAlgn val="ctr"/>
        <c:lblOffset val="100"/>
        <c:noMultiLvlLbl val="0"/>
      </c:catAx>
      <c:valAx>
        <c:axId val="104746368"/>
        <c:scaling>
          <c:orientation val="minMax"/>
          <c:max val="1"/>
        </c:scaling>
        <c:delete val="1"/>
        <c:axPos val="b"/>
        <c:numFmt formatCode="0%" sourceLinked="1"/>
        <c:majorTickMark val="none"/>
        <c:minorTickMark val="none"/>
        <c:tickLblPos val="nextTo"/>
        <c:crossAx val="10474483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EFSI!$K$5</c:f>
              <c:numCache>
                <c:formatCode>0%</c:formatCode>
                <c:ptCount val="1"/>
                <c:pt idx="0">
                  <c:v>1</c:v>
                </c:pt>
              </c:numCache>
            </c:numRef>
          </c:val>
          <c:extLst>
            <c:ext xmlns:c16="http://schemas.microsoft.com/office/drawing/2014/chart" uri="{C3380CC4-5D6E-409C-BE32-E72D297353CC}">
              <c16:uniqueId val="{00000000-4DCA-451A-A01E-3ADBA9A2DCAB}"/>
            </c:ext>
          </c:extLst>
        </c:ser>
        <c:ser>
          <c:idx val="1"/>
          <c:order val="1"/>
          <c:spPr>
            <a:solidFill>
              <a:srgbClr val="000000"/>
            </a:solidFill>
            <a:ln>
              <a:noFill/>
            </a:ln>
            <a:effectLst/>
          </c:spPr>
          <c:invertIfNegative val="0"/>
          <c:val>
            <c:numRef>
              <c:f>EFSI!$L$5</c:f>
              <c:numCache>
                <c:formatCode>0%</c:formatCode>
                <c:ptCount val="1"/>
                <c:pt idx="0">
                  <c:v>0</c:v>
                </c:pt>
              </c:numCache>
            </c:numRef>
          </c:val>
          <c:extLst>
            <c:ext xmlns:c16="http://schemas.microsoft.com/office/drawing/2014/chart" uri="{C3380CC4-5D6E-409C-BE32-E72D297353CC}">
              <c16:uniqueId val="{00000001-4DCA-451A-A01E-3ADBA9A2DCAB}"/>
            </c:ext>
          </c:extLst>
        </c:ser>
        <c:ser>
          <c:idx val="2"/>
          <c:order val="2"/>
          <c:spPr>
            <a:solidFill>
              <a:srgbClr val="DCE6F2"/>
            </a:solidFill>
            <a:ln>
              <a:noFill/>
            </a:ln>
            <a:effectLst/>
          </c:spPr>
          <c:invertIfNegative val="0"/>
          <c:val>
            <c:numRef>
              <c:f>EFSI!$M$5</c:f>
              <c:numCache>
                <c:formatCode>0%</c:formatCode>
                <c:ptCount val="1"/>
                <c:pt idx="0">
                  <c:v>0</c:v>
                </c:pt>
              </c:numCache>
            </c:numRef>
          </c:val>
          <c:extLst>
            <c:ext xmlns:c16="http://schemas.microsoft.com/office/drawing/2014/chart" uri="{C3380CC4-5D6E-409C-BE32-E72D297353CC}">
              <c16:uniqueId val="{00000002-4DCA-451A-A01E-3ADBA9A2DCAB}"/>
            </c:ext>
          </c:extLst>
        </c:ser>
        <c:ser>
          <c:idx val="3"/>
          <c:order val="3"/>
          <c:spPr>
            <a:solidFill>
              <a:srgbClr val="00ADDC"/>
            </a:solidFill>
            <a:ln>
              <a:noFill/>
            </a:ln>
            <a:effectLst/>
          </c:spPr>
          <c:invertIfNegative val="0"/>
          <c:val>
            <c:numRef>
              <c:f>EFSI!$N$5</c:f>
              <c:numCache>
                <c:formatCode>0%</c:formatCode>
                <c:ptCount val="1"/>
                <c:pt idx="0">
                  <c:v>0</c:v>
                </c:pt>
              </c:numCache>
            </c:numRef>
          </c:val>
          <c:extLst>
            <c:ext xmlns:c16="http://schemas.microsoft.com/office/drawing/2014/chart" uri="{C3380CC4-5D6E-409C-BE32-E72D297353CC}">
              <c16:uniqueId val="{00000003-4DCA-451A-A01E-3ADBA9A2DCAB}"/>
            </c:ext>
          </c:extLst>
        </c:ser>
        <c:ser>
          <c:idx val="4"/>
          <c:order val="4"/>
          <c:spPr>
            <a:solidFill>
              <a:srgbClr val="000000"/>
            </a:solidFill>
            <a:ln>
              <a:noFill/>
            </a:ln>
            <a:effectLst/>
          </c:spPr>
          <c:invertIfNegative val="0"/>
          <c:val>
            <c:numRef>
              <c:f>EFSI!$O$5</c:f>
              <c:numCache>
                <c:formatCode>0%</c:formatCode>
                <c:ptCount val="1"/>
                <c:pt idx="0">
                  <c:v>0</c:v>
                </c:pt>
              </c:numCache>
            </c:numRef>
          </c:val>
          <c:extLst>
            <c:ext xmlns:c16="http://schemas.microsoft.com/office/drawing/2014/chart" uri="{C3380CC4-5D6E-409C-BE32-E72D297353CC}">
              <c16:uniqueId val="{00000004-4DCA-451A-A01E-3ADBA9A2DCAB}"/>
            </c:ext>
          </c:extLst>
        </c:ser>
        <c:ser>
          <c:idx val="5"/>
          <c:order val="5"/>
          <c:spPr>
            <a:solidFill>
              <a:srgbClr val="00ADDC"/>
            </a:solidFill>
            <a:ln>
              <a:noFill/>
            </a:ln>
            <a:effectLst/>
          </c:spPr>
          <c:invertIfNegative val="0"/>
          <c:val>
            <c:numRef>
              <c:f>EFSI!$P$5</c:f>
              <c:numCache>
                <c:formatCode>0%</c:formatCode>
                <c:ptCount val="1"/>
                <c:pt idx="0">
                  <c:v>0</c:v>
                </c:pt>
              </c:numCache>
            </c:numRef>
          </c:val>
          <c:extLst>
            <c:ext xmlns:c16="http://schemas.microsoft.com/office/drawing/2014/chart" uri="{C3380CC4-5D6E-409C-BE32-E72D297353CC}">
              <c16:uniqueId val="{00000005-4DCA-451A-A01E-3ADBA9A2DCAB}"/>
            </c:ext>
          </c:extLst>
        </c:ser>
        <c:ser>
          <c:idx val="6"/>
          <c:order val="6"/>
          <c:spPr>
            <a:solidFill>
              <a:srgbClr val="28296E"/>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DCA-451A-A01E-3ADBA9A2DCAB}"/>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EFSI!$Q$5</c:f>
              <c:numCache>
                <c:formatCode>0%</c:formatCode>
                <c:ptCount val="1"/>
                <c:pt idx="0">
                  <c:v>1</c:v>
                </c:pt>
              </c:numCache>
            </c:numRef>
          </c:val>
          <c:extLst>
            <c:ext xmlns:c16="http://schemas.microsoft.com/office/drawing/2014/chart" uri="{C3380CC4-5D6E-409C-BE32-E72D297353CC}">
              <c16:uniqueId val="{00000007-4DCA-451A-A01E-3ADBA9A2DCAB}"/>
            </c:ext>
          </c:extLst>
        </c:ser>
        <c:ser>
          <c:idx val="7"/>
          <c:order val="7"/>
          <c:spPr>
            <a:solidFill>
              <a:srgbClr val="000000"/>
            </a:solidFill>
            <a:ln>
              <a:noFill/>
            </a:ln>
            <a:effectLst/>
          </c:spPr>
          <c:invertIfNegative val="0"/>
          <c:val>
            <c:numRef>
              <c:f>EFSI!$R$5</c:f>
              <c:numCache>
                <c:formatCode>0%</c:formatCode>
                <c:ptCount val="1"/>
                <c:pt idx="0">
                  <c:v>0</c:v>
                </c:pt>
              </c:numCache>
            </c:numRef>
          </c:val>
          <c:extLst>
            <c:ext xmlns:c16="http://schemas.microsoft.com/office/drawing/2014/chart" uri="{C3380CC4-5D6E-409C-BE32-E72D297353CC}">
              <c16:uniqueId val="{00000008-4DCA-451A-A01E-3ADBA9A2DCAB}"/>
            </c:ext>
          </c:extLst>
        </c:ser>
        <c:ser>
          <c:idx val="8"/>
          <c:order val="8"/>
          <c:spPr>
            <a:solidFill>
              <a:srgbClr val="28296E"/>
            </a:solidFill>
            <a:ln>
              <a:noFill/>
            </a:ln>
            <a:effectLst/>
          </c:spPr>
          <c:invertIfNegative val="0"/>
          <c:val>
            <c:numRef>
              <c:f>EFSI!$S$5</c:f>
              <c:numCache>
                <c:formatCode>0%</c:formatCode>
                <c:ptCount val="1"/>
                <c:pt idx="0">
                  <c:v>0</c:v>
                </c:pt>
              </c:numCache>
            </c:numRef>
          </c:val>
          <c:extLst>
            <c:ext xmlns:c16="http://schemas.microsoft.com/office/drawing/2014/chart" uri="{C3380CC4-5D6E-409C-BE32-E72D297353CC}">
              <c16:uniqueId val="{00000009-4DCA-451A-A01E-3ADBA9A2DCAB}"/>
            </c:ext>
          </c:extLst>
        </c:ser>
        <c:dLbls>
          <c:showLegendKey val="0"/>
          <c:showVal val="0"/>
          <c:showCatName val="0"/>
          <c:showSerName val="0"/>
          <c:showPercent val="0"/>
          <c:showBubbleSize val="0"/>
        </c:dLbls>
        <c:gapWidth val="0"/>
        <c:overlap val="100"/>
        <c:axId val="104809600"/>
        <c:axId val="104811136"/>
      </c:barChart>
      <c:catAx>
        <c:axId val="104809600"/>
        <c:scaling>
          <c:orientation val="minMax"/>
        </c:scaling>
        <c:delete val="1"/>
        <c:axPos val="l"/>
        <c:majorTickMark val="none"/>
        <c:minorTickMark val="none"/>
        <c:tickLblPos val="nextTo"/>
        <c:crossAx val="104811136"/>
        <c:crosses val="autoZero"/>
        <c:auto val="1"/>
        <c:lblAlgn val="ctr"/>
        <c:lblOffset val="100"/>
        <c:noMultiLvlLbl val="0"/>
      </c:catAx>
      <c:valAx>
        <c:axId val="104811136"/>
        <c:scaling>
          <c:orientation val="minMax"/>
          <c:max val="1"/>
        </c:scaling>
        <c:delete val="1"/>
        <c:axPos val="b"/>
        <c:numFmt formatCode="0%" sourceLinked="1"/>
        <c:majorTickMark val="none"/>
        <c:minorTickMark val="none"/>
        <c:tickLblPos val="nextTo"/>
        <c:crossAx val="10480960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EFSI!$K$6</c:f>
              <c:numCache>
                <c:formatCode>0%</c:formatCode>
                <c:ptCount val="1"/>
                <c:pt idx="0">
                  <c:v>1</c:v>
                </c:pt>
              </c:numCache>
            </c:numRef>
          </c:val>
          <c:extLst>
            <c:ext xmlns:c16="http://schemas.microsoft.com/office/drawing/2014/chart" uri="{C3380CC4-5D6E-409C-BE32-E72D297353CC}">
              <c16:uniqueId val="{00000000-A47B-45AC-A53D-0A82CCC5B168}"/>
            </c:ext>
          </c:extLst>
        </c:ser>
        <c:ser>
          <c:idx val="1"/>
          <c:order val="1"/>
          <c:spPr>
            <a:solidFill>
              <a:srgbClr val="000000"/>
            </a:solidFill>
            <a:ln>
              <a:noFill/>
            </a:ln>
            <a:effectLst/>
          </c:spPr>
          <c:invertIfNegative val="0"/>
          <c:val>
            <c:numRef>
              <c:f>EFSI!$L$6</c:f>
              <c:numCache>
                <c:formatCode>0%</c:formatCode>
                <c:ptCount val="1"/>
                <c:pt idx="0">
                  <c:v>0</c:v>
                </c:pt>
              </c:numCache>
            </c:numRef>
          </c:val>
          <c:extLst>
            <c:ext xmlns:c16="http://schemas.microsoft.com/office/drawing/2014/chart" uri="{C3380CC4-5D6E-409C-BE32-E72D297353CC}">
              <c16:uniqueId val="{00000001-A47B-45AC-A53D-0A82CCC5B168}"/>
            </c:ext>
          </c:extLst>
        </c:ser>
        <c:ser>
          <c:idx val="2"/>
          <c:order val="2"/>
          <c:spPr>
            <a:solidFill>
              <a:srgbClr val="DCE6F2"/>
            </a:solidFill>
            <a:ln>
              <a:noFill/>
            </a:ln>
            <a:effectLst/>
          </c:spPr>
          <c:invertIfNegative val="0"/>
          <c:val>
            <c:numRef>
              <c:f>EFSI!$M$6</c:f>
              <c:numCache>
                <c:formatCode>0%</c:formatCode>
                <c:ptCount val="1"/>
                <c:pt idx="0">
                  <c:v>0</c:v>
                </c:pt>
              </c:numCache>
            </c:numRef>
          </c:val>
          <c:extLst>
            <c:ext xmlns:c16="http://schemas.microsoft.com/office/drawing/2014/chart" uri="{C3380CC4-5D6E-409C-BE32-E72D297353CC}">
              <c16:uniqueId val="{00000002-A47B-45AC-A53D-0A82CCC5B168}"/>
            </c:ext>
          </c:extLst>
        </c:ser>
        <c:ser>
          <c:idx val="3"/>
          <c:order val="3"/>
          <c:spPr>
            <a:solidFill>
              <a:srgbClr val="00ADDC"/>
            </a:solidFill>
            <a:ln>
              <a:noFill/>
            </a:ln>
            <a:effectLst/>
          </c:spPr>
          <c:invertIfNegative val="0"/>
          <c:val>
            <c:numRef>
              <c:f>EFSI!$N$6</c:f>
              <c:numCache>
                <c:formatCode>0%</c:formatCode>
                <c:ptCount val="1"/>
                <c:pt idx="0">
                  <c:v>0</c:v>
                </c:pt>
              </c:numCache>
            </c:numRef>
          </c:val>
          <c:extLst>
            <c:ext xmlns:c16="http://schemas.microsoft.com/office/drawing/2014/chart" uri="{C3380CC4-5D6E-409C-BE32-E72D297353CC}">
              <c16:uniqueId val="{00000003-A47B-45AC-A53D-0A82CCC5B168}"/>
            </c:ext>
          </c:extLst>
        </c:ser>
        <c:ser>
          <c:idx val="4"/>
          <c:order val="4"/>
          <c:spPr>
            <a:solidFill>
              <a:srgbClr val="000000"/>
            </a:solidFill>
            <a:ln>
              <a:noFill/>
            </a:ln>
            <a:effectLst/>
          </c:spPr>
          <c:invertIfNegative val="0"/>
          <c:val>
            <c:numRef>
              <c:f>EFSI!$O$6</c:f>
              <c:numCache>
                <c:formatCode>0%</c:formatCode>
                <c:ptCount val="1"/>
                <c:pt idx="0">
                  <c:v>0</c:v>
                </c:pt>
              </c:numCache>
            </c:numRef>
          </c:val>
          <c:extLst>
            <c:ext xmlns:c16="http://schemas.microsoft.com/office/drawing/2014/chart" uri="{C3380CC4-5D6E-409C-BE32-E72D297353CC}">
              <c16:uniqueId val="{00000004-A47B-45AC-A53D-0A82CCC5B168}"/>
            </c:ext>
          </c:extLst>
        </c:ser>
        <c:ser>
          <c:idx val="5"/>
          <c:order val="5"/>
          <c:spPr>
            <a:solidFill>
              <a:srgbClr val="00ADDC"/>
            </a:solidFill>
            <a:ln>
              <a:noFill/>
            </a:ln>
            <a:effectLst/>
          </c:spPr>
          <c:invertIfNegative val="0"/>
          <c:val>
            <c:numRef>
              <c:f>EFSI!$P$6</c:f>
              <c:numCache>
                <c:formatCode>0%</c:formatCode>
                <c:ptCount val="1"/>
                <c:pt idx="0">
                  <c:v>0</c:v>
                </c:pt>
              </c:numCache>
            </c:numRef>
          </c:val>
          <c:extLst>
            <c:ext xmlns:c16="http://schemas.microsoft.com/office/drawing/2014/chart" uri="{C3380CC4-5D6E-409C-BE32-E72D297353CC}">
              <c16:uniqueId val="{00000005-A47B-45AC-A53D-0A82CCC5B168}"/>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EFSI!$Q$6</c:f>
              <c:numCache>
                <c:formatCode>0%</c:formatCode>
                <c:ptCount val="1"/>
                <c:pt idx="0">
                  <c:v>1</c:v>
                </c:pt>
              </c:numCache>
            </c:numRef>
          </c:val>
          <c:extLst>
            <c:ext xmlns:c16="http://schemas.microsoft.com/office/drawing/2014/chart" uri="{C3380CC4-5D6E-409C-BE32-E72D297353CC}">
              <c16:uniqueId val="{00000006-A47B-45AC-A53D-0A82CCC5B168}"/>
            </c:ext>
          </c:extLst>
        </c:ser>
        <c:ser>
          <c:idx val="7"/>
          <c:order val="7"/>
          <c:spPr>
            <a:solidFill>
              <a:srgbClr val="000000"/>
            </a:solidFill>
            <a:ln>
              <a:noFill/>
            </a:ln>
            <a:effectLst/>
          </c:spPr>
          <c:invertIfNegative val="0"/>
          <c:val>
            <c:numRef>
              <c:f>EFSI!$R$6</c:f>
              <c:numCache>
                <c:formatCode>0%</c:formatCode>
                <c:ptCount val="1"/>
                <c:pt idx="0">
                  <c:v>0</c:v>
                </c:pt>
              </c:numCache>
            </c:numRef>
          </c:val>
          <c:extLst>
            <c:ext xmlns:c16="http://schemas.microsoft.com/office/drawing/2014/chart" uri="{C3380CC4-5D6E-409C-BE32-E72D297353CC}">
              <c16:uniqueId val="{00000007-A47B-45AC-A53D-0A82CCC5B168}"/>
            </c:ext>
          </c:extLst>
        </c:ser>
        <c:ser>
          <c:idx val="8"/>
          <c:order val="8"/>
          <c:spPr>
            <a:solidFill>
              <a:srgbClr val="28296E"/>
            </a:solidFill>
            <a:ln>
              <a:noFill/>
            </a:ln>
            <a:effectLst/>
          </c:spPr>
          <c:invertIfNegative val="0"/>
          <c:val>
            <c:numRef>
              <c:f>EFSI!$S$6</c:f>
              <c:numCache>
                <c:formatCode>0%</c:formatCode>
                <c:ptCount val="1"/>
                <c:pt idx="0">
                  <c:v>0</c:v>
                </c:pt>
              </c:numCache>
            </c:numRef>
          </c:val>
          <c:extLst>
            <c:ext xmlns:c16="http://schemas.microsoft.com/office/drawing/2014/chart" uri="{C3380CC4-5D6E-409C-BE32-E72D297353CC}">
              <c16:uniqueId val="{00000008-A47B-45AC-A53D-0A82CCC5B168}"/>
            </c:ext>
          </c:extLst>
        </c:ser>
        <c:dLbls>
          <c:showLegendKey val="0"/>
          <c:showVal val="0"/>
          <c:showCatName val="0"/>
          <c:showSerName val="0"/>
          <c:showPercent val="0"/>
          <c:showBubbleSize val="0"/>
        </c:dLbls>
        <c:gapWidth val="0"/>
        <c:overlap val="100"/>
        <c:axId val="104882560"/>
        <c:axId val="104884096"/>
      </c:barChart>
      <c:catAx>
        <c:axId val="104882560"/>
        <c:scaling>
          <c:orientation val="minMax"/>
        </c:scaling>
        <c:delete val="1"/>
        <c:axPos val="l"/>
        <c:majorTickMark val="none"/>
        <c:minorTickMark val="none"/>
        <c:tickLblPos val="nextTo"/>
        <c:crossAx val="104884096"/>
        <c:crosses val="autoZero"/>
        <c:auto val="1"/>
        <c:lblAlgn val="ctr"/>
        <c:lblOffset val="100"/>
        <c:noMultiLvlLbl val="0"/>
      </c:catAx>
      <c:valAx>
        <c:axId val="104884096"/>
        <c:scaling>
          <c:orientation val="minMax"/>
          <c:max val="1"/>
        </c:scaling>
        <c:delete val="1"/>
        <c:axPos val="b"/>
        <c:numFmt formatCode="0%" sourceLinked="1"/>
        <c:majorTickMark val="none"/>
        <c:minorTickMark val="none"/>
        <c:tickLblPos val="nextTo"/>
        <c:crossAx val="10488256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EFSI!$K$7</c:f>
              <c:numCache>
                <c:formatCode>0%</c:formatCode>
                <c:ptCount val="1"/>
                <c:pt idx="0">
                  <c:v>1</c:v>
                </c:pt>
              </c:numCache>
            </c:numRef>
          </c:val>
          <c:extLst>
            <c:ext xmlns:c16="http://schemas.microsoft.com/office/drawing/2014/chart" uri="{C3380CC4-5D6E-409C-BE32-E72D297353CC}">
              <c16:uniqueId val="{00000000-D3FE-41D6-A299-7FBC425A7C0F}"/>
            </c:ext>
          </c:extLst>
        </c:ser>
        <c:ser>
          <c:idx val="1"/>
          <c:order val="1"/>
          <c:spPr>
            <a:solidFill>
              <a:srgbClr val="000000"/>
            </a:solidFill>
            <a:ln>
              <a:noFill/>
            </a:ln>
            <a:effectLst/>
          </c:spPr>
          <c:invertIfNegative val="0"/>
          <c:val>
            <c:numRef>
              <c:f>EFSI!$L$7</c:f>
              <c:numCache>
                <c:formatCode>0%</c:formatCode>
                <c:ptCount val="1"/>
                <c:pt idx="0">
                  <c:v>0</c:v>
                </c:pt>
              </c:numCache>
            </c:numRef>
          </c:val>
          <c:extLst>
            <c:ext xmlns:c16="http://schemas.microsoft.com/office/drawing/2014/chart" uri="{C3380CC4-5D6E-409C-BE32-E72D297353CC}">
              <c16:uniqueId val="{00000001-D3FE-41D6-A299-7FBC425A7C0F}"/>
            </c:ext>
          </c:extLst>
        </c:ser>
        <c:ser>
          <c:idx val="2"/>
          <c:order val="2"/>
          <c:spPr>
            <a:solidFill>
              <a:srgbClr val="DCE6F2"/>
            </a:solidFill>
            <a:ln>
              <a:noFill/>
            </a:ln>
            <a:effectLst/>
          </c:spPr>
          <c:invertIfNegative val="0"/>
          <c:val>
            <c:numRef>
              <c:f>EFSI!$M$7</c:f>
              <c:numCache>
                <c:formatCode>0%</c:formatCode>
                <c:ptCount val="1"/>
                <c:pt idx="0">
                  <c:v>0</c:v>
                </c:pt>
              </c:numCache>
            </c:numRef>
          </c:val>
          <c:extLst>
            <c:ext xmlns:c16="http://schemas.microsoft.com/office/drawing/2014/chart" uri="{C3380CC4-5D6E-409C-BE32-E72D297353CC}">
              <c16:uniqueId val="{00000002-D3FE-41D6-A299-7FBC425A7C0F}"/>
            </c:ext>
          </c:extLst>
        </c:ser>
        <c:ser>
          <c:idx val="3"/>
          <c:order val="3"/>
          <c:spPr>
            <a:solidFill>
              <a:srgbClr val="00ADDC"/>
            </a:solidFill>
            <a:ln>
              <a:noFill/>
            </a:ln>
            <a:effectLst/>
          </c:spPr>
          <c:invertIfNegative val="0"/>
          <c:val>
            <c:numRef>
              <c:f>EFSI!$N$7</c:f>
              <c:numCache>
                <c:formatCode>0%</c:formatCode>
                <c:ptCount val="1"/>
                <c:pt idx="0">
                  <c:v>0</c:v>
                </c:pt>
              </c:numCache>
            </c:numRef>
          </c:val>
          <c:extLst>
            <c:ext xmlns:c16="http://schemas.microsoft.com/office/drawing/2014/chart" uri="{C3380CC4-5D6E-409C-BE32-E72D297353CC}">
              <c16:uniqueId val="{00000003-D3FE-41D6-A299-7FBC425A7C0F}"/>
            </c:ext>
          </c:extLst>
        </c:ser>
        <c:ser>
          <c:idx val="4"/>
          <c:order val="4"/>
          <c:spPr>
            <a:solidFill>
              <a:srgbClr val="000000"/>
            </a:solidFill>
            <a:ln>
              <a:noFill/>
            </a:ln>
            <a:effectLst/>
          </c:spPr>
          <c:invertIfNegative val="0"/>
          <c:val>
            <c:numRef>
              <c:f>EFSI!$O$7</c:f>
              <c:numCache>
                <c:formatCode>0%</c:formatCode>
                <c:ptCount val="1"/>
                <c:pt idx="0">
                  <c:v>0</c:v>
                </c:pt>
              </c:numCache>
            </c:numRef>
          </c:val>
          <c:extLst>
            <c:ext xmlns:c16="http://schemas.microsoft.com/office/drawing/2014/chart" uri="{C3380CC4-5D6E-409C-BE32-E72D297353CC}">
              <c16:uniqueId val="{00000004-D3FE-41D6-A299-7FBC425A7C0F}"/>
            </c:ext>
          </c:extLst>
        </c:ser>
        <c:ser>
          <c:idx val="5"/>
          <c:order val="5"/>
          <c:spPr>
            <a:solidFill>
              <a:srgbClr val="00ADDC"/>
            </a:solidFill>
            <a:ln>
              <a:noFill/>
            </a:ln>
            <a:effectLst/>
          </c:spPr>
          <c:invertIfNegative val="0"/>
          <c:val>
            <c:numRef>
              <c:f>EFSI!$P$7</c:f>
              <c:numCache>
                <c:formatCode>0%</c:formatCode>
                <c:ptCount val="1"/>
                <c:pt idx="0">
                  <c:v>0</c:v>
                </c:pt>
              </c:numCache>
            </c:numRef>
          </c:val>
          <c:extLst>
            <c:ext xmlns:c16="http://schemas.microsoft.com/office/drawing/2014/chart" uri="{C3380CC4-5D6E-409C-BE32-E72D297353CC}">
              <c16:uniqueId val="{00000005-D3FE-41D6-A299-7FBC425A7C0F}"/>
            </c:ext>
          </c:extLst>
        </c:ser>
        <c:ser>
          <c:idx val="6"/>
          <c:order val="6"/>
          <c:spPr>
            <a:solidFill>
              <a:srgbClr val="28296E"/>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FE-41D6-A299-7FBC425A7C0F}"/>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EFSI!$Q$7</c:f>
              <c:numCache>
                <c:formatCode>0%</c:formatCode>
                <c:ptCount val="1"/>
                <c:pt idx="0">
                  <c:v>1</c:v>
                </c:pt>
              </c:numCache>
            </c:numRef>
          </c:val>
          <c:extLst>
            <c:ext xmlns:c16="http://schemas.microsoft.com/office/drawing/2014/chart" uri="{C3380CC4-5D6E-409C-BE32-E72D297353CC}">
              <c16:uniqueId val="{00000007-D3FE-41D6-A299-7FBC425A7C0F}"/>
            </c:ext>
          </c:extLst>
        </c:ser>
        <c:ser>
          <c:idx val="7"/>
          <c:order val="7"/>
          <c:spPr>
            <a:solidFill>
              <a:srgbClr val="000000"/>
            </a:solidFill>
            <a:ln>
              <a:noFill/>
            </a:ln>
            <a:effectLst/>
          </c:spPr>
          <c:invertIfNegative val="0"/>
          <c:val>
            <c:numRef>
              <c:f>EFSI!$R$7</c:f>
              <c:numCache>
                <c:formatCode>0%</c:formatCode>
                <c:ptCount val="1"/>
                <c:pt idx="0">
                  <c:v>0</c:v>
                </c:pt>
              </c:numCache>
            </c:numRef>
          </c:val>
          <c:extLst>
            <c:ext xmlns:c16="http://schemas.microsoft.com/office/drawing/2014/chart" uri="{C3380CC4-5D6E-409C-BE32-E72D297353CC}">
              <c16:uniqueId val="{00000008-D3FE-41D6-A299-7FBC425A7C0F}"/>
            </c:ext>
          </c:extLst>
        </c:ser>
        <c:ser>
          <c:idx val="8"/>
          <c:order val="8"/>
          <c:spPr>
            <a:solidFill>
              <a:srgbClr val="28296E"/>
            </a:solidFill>
            <a:ln>
              <a:noFill/>
            </a:ln>
            <a:effectLst/>
          </c:spPr>
          <c:invertIfNegative val="0"/>
          <c:val>
            <c:numRef>
              <c:f>EFSI!$S$7</c:f>
              <c:numCache>
                <c:formatCode>0%</c:formatCode>
                <c:ptCount val="1"/>
                <c:pt idx="0">
                  <c:v>0</c:v>
                </c:pt>
              </c:numCache>
            </c:numRef>
          </c:val>
          <c:extLst>
            <c:ext xmlns:c16="http://schemas.microsoft.com/office/drawing/2014/chart" uri="{C3380CC4-5D6E-409C-BE32-E72D297353CC}">
              <c16:uniqueId val="{00000009-D3FE-41D6-A299-7FBC425A7C0F}"/>
            </c:ext>
          </c:extLst>
        </c:ser>
        <c:dLbls>
          <c:showLegendKey val="0"/>
          <c:showVal val="0"/>
          <c:showCatName val="0"/>
          <c:showSerName val="0"/>
          <c:showPercent val="0"/>
          <c:showBubbleSize val="0"/>
        </c:dLbls>
        <c:gapWidth val="0"/>
        <c:overlap val="100"/>
        <c:axId val="104996864"/>
        <c:axId val="104998400"/>
      </c:barChart>
      <c:catAx>
        <c:axId val="104996864"/>
        <c:scaling>
          <c:orientation val="minMax"/>
        </c:scaling>
        <c:delete val="1"/>
        <c:axPos val="l"/>
        <c:majorTickMark val="none"/>
        <c:minorTickMark val="none"/>
        <c:tickLblPos val="nextTo"/>
        <c:crossAx val="104998400"/>
        <c:crosses val="autoZero"/>
        <c:auto val="1"/>
        <c:lblAlgn val="ctr"/>
        <c:lblOffset val="100"/>
        <c:noMultiLvlLbl val="0"/>
      </c:catAx>
      <c:valAx>
        <c:axId val="104998400"/>
        <c:scaling>
          <c:orientation val="minMax"/>
          <c:max val="1"/>
        </c:scaling>
        <c:delete val="1"/>
        <c:axPos val="b"/>
        <c:numFmt formatCode="0%" sourceLinked="1"/>
        <c:majorTickMark val="none"/>
        <c:minorTickMark val="none"/>
        <c:tickLblPos val="nextTo"/>
        <c:crossAx val="10499686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EFSI!$K$8</c:f>
              <c:numCache>
                <c:formatCode>0%</c:formatCode>
                <c:ptCount val="1"/>
                <c:pt idx="0">
                  <c:v>1</c:v>
                </c:pt>
              </c:numCache>
            </c:numRef>
          </c:val>
          <c:extLst>
            <c:ext xmlns:c16="http://schemas.microsoft.com/office/drawing/2014/chart" uri="{C3380CC4-5D6E-409C-BE32-E72D297353CC}">
              <c16:uniqueId val="{00000000-E395-47E6-9203-880141DC6E76}"/>
            </c:ext>
          </c:extLst>
        </c:ser>
        <c:ser>
          <c:idx val="1"/>
          <c:order val="1"/>
          <c:spPr>
            <a:solidFill>
              <a:srgbClr val="000000"/>
            </a:solidFill>
            <a:ln>
              <a:noFill/>
            </a:ln>
            <a:effectLst/>
          </c:spPr>
          <c:invertIfNegative val="0"/>
          <c:val>
            <c:numRef>
              <c:f>EFSI!$L$8</c:f>
              <c:numCache>
                <c:formatCode>0%</c:formatCode>
                <c:ptCount val="1"/>
                <c:pt idx="0">
                  <c:v>0</c:v>
                </c:pt>
              </c:numCache>
            </c:numRef>
          </c:val>
          <c:extLst>
            <c:ext xmlns:c16="http://schemas.microsoft.com/office/drawing/2014/chart" uri="{C3380CC4-5D6E-409C-BE32-E72D297353CC}">
              <c16:uniqueId val="{00000001-E395-47E6-9203-880141DC6E76}"/>
            </c:ext>
          </c:extLst>
        </c:ser>
        <c:ser>
          <c:idx val="2"/>
          <c:order val="2"/>
          <c:spPr>
            <a:solidFill>
              <a:srgbClr val="DCE6F2"/>
            </a:solidFill>
            <a:ln>
              <a:noFill/>
            </a:ln>
            <a:effectLst/>
          </c:spPr>
          <c:invertIfNegative val="0"/>
          <c:val>
            <c:numRef>
              <c:f>EFSI!$M$8</c:f>
              <c:numCache>
                <c:formatCode>0%</c:formatCode>
                <c:ptCount val="1"/>
                <c:pt idx="0">
                  <c:v>0</c:v>
                </c:pt>
              </c:numCache>
            </c:numRef>
          </c:val>
          <c:extLst>
            <c:ext xmlns:c16="http://schemas.microsoft.com/office/drawing/2014/chart" uri="{C3380CC4-5D6E-409C-BE32-E72D297353CC}">
              <c16:uniqueId val="{00000002-E395-47E6-9203-880141DC6E76}"/>
            </c:ext>
          </c:extLst>
        </c:ser>
        <c:ser>
          <c:idx val="3"/>
          <c:order val="3"/>
          <c:spPr>
            <a:solidFill>
              <a:srgbClr val="00ADDC"/>
            </a:solidFill>
            <a:ln>
              <a:noFill/>
            </a:ln>
            <a:effectLst/>
          </c:spPr>
          <c:invertIfNegative val="0"/>
          <c:val>
            <c:numRef>
              <c:f>EFSI!$N$8</c:f>
              <c:numCache>
                <c:formatCode>0%</c:formatCode>
                <c:ptCount val="1"/>
                <c:pt idx="0">
                  <c:v>0</c:v>
                </c:pt>
              </c:numCache>
            </c:numRef>
          </c:val>
          <c:extLst>
            <c:ext xmlns:c16="http://schemas.microsoft.com/office/drawing/2014/chart" uri="{C3380CC4-5D6E-409C-BE32-E72D297353CC}">
              <c16:uniqueId val="{00000003-E395-47E6-9203-880141DC6E76}"/>
            </c:ext>
          </c:extLst>
        </c:ser>
        <c:ser>
          <c:idx val="4"/>
          <c:order val="4"/>
          <c:spPr>
            <a:solidFill>
              <a:srgbClr val="000000"/>
            </a:solidFill>
            <a:ln>
              <a:noFill/>
            </a:ln>
            <a:effectLst/>
          </c:spPr>
          <c:invertIfNegative val="0"/>
          <c:val>
            <c:numRef>
              <c:f>EFSI!$O$8</c:f>
              <c:numCache>
                <c:formatCode>0%</c:formatCode>
                <c:ptCount val="1"/>
                <c:pt idx="0">
                  <c:v>0</c:v>
                </c:pt>
              </c:numCache>
            </c:numRef>
          </c:val>
          <c:extLst>
            <c:ext xmlns:c16="http://schemas.microsoft.com/office/drawing/2014/chart" uri="{C3380CC4-5D6E-409C-BE32-E72D297353CC}">
              <c16:uniqueId val="{00000004-E395-47E6-9203-880141DC6E76}"/>
            </c:ext>
          </c:extLst>
        </c:ser>
        <c:ser>
          <c:idx val="5"/>
          <c:order val="5"/>
          <c:spPr>
            <a:solidFill>
              <a:srgbClr val="00ADDC"/>
            </a:solidFill>
            <a:ln>
              <a:noFill/>
            </a:ln>
            <a:effectLst/>
          </c:spPr>
          <c:invertIfNegative val="0"/>
          <c:val>
            <c:numRef>
              <c:f>EFSI!$P$8</c:f>
              <c:numCache>
                <c:formatCode>0%</c:formatCode>
                <c:ptCount val="1"/>
                <c:pt idx="0">
                  <c:v>0</c:v>
                </c:pt>
              </c:numCache>
            </c:numRef>
          </c:val>
          <c:extLst>
            <c:ext xmlns:c16="http://schemas.microsoft.com/office/drawing/2014/chart" uri="{C3380CC4-5D6E-409C-BE32-E72D297353CC}">
              <c16:uniqueId val="{00000005-E395-47E6-9203-880141DC6E76}"/>
            </c:ext>
          </c:extLst>
        </c:ser>
        <c:ser>
          <c:idx val="6"/>
          <c:order val="6"/>
          <c:spPr>
            <a:solidFill>
              <a:srgbClr val="28296E"/>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95-47E6-9203-880141DC6E76}"/>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EFSI!$Q$8</c:f>
              <c:numCache>
                <c:formatCode>0%</c:formatCode>
                <c:ptCount val="1"/>
                <c:pt idx="0">
                  <c:v>1</c:v>
                </c:pt>
              </c:numCache>
            </c:numRef>
          </c:val>
          <c:extLst>
            <c:ext xmlns:c16="http://schemas.microsoft.com/office/drawing/2014/chart" uri="{C3380CC4-5D6E-409C-BE32-E72D297353CC}">
              <c16:uniqueId val="{00000007-E395-47E6-9203-880141DC6E76}"/>
            </c:ext>
          </c:extLst>
        </c:ser>
        <c:ser>
          <c:idx val="7"/>
          <c:order val="7"/>
          <c:spPr>
            <a:solidFill>
              <a:srgbClr val="000000"/>
            </a:solidFill>
            <a:ln>
              <a:noFill/>
            </a:ln>
            <a:effectLst/>
          </c:spPr>
          <c:invertIfNegative val="0"/>
          <c:val>
            <c:numRef>
              <c:f>EFSI!$R$8</c:f>
              <c:numCache>
                <c:formatCode>0%</c:formatCode>
                <c:ptCount val="1"/>
                <c:pt idx="0">
                  <c:v>0</c:v>
                </c:pt>
              </c:numCache>
            </c:numRef>
          </c:val>
          <c:extLst>
            <c:ext xmlns:c16="http://schemas.microsoft.com/office/drawing/2014/chart" uri="{C3380CC4-5D6E-409C-BE32-E72D297353CC}">
              <c16:uniqueId val="{00000008-E395-47E6-9203-880141DC6E76}"/>
            </c:ext>
          </c:extLst>
        </c:ser>
        <c:ser>
          <c:idx val="8"/>
          <c:order val="8"/>
          <c:spPr>
            <a:solidFill>
              <a:srgbClr val="28296E"/>
            </a:solidFill>
            <a:ln>
              <a:noFill/>
            </a:ln>
            <a:effectLst/>
          </c:spPr>
          <c:invertIfNegative val="0"/>
          <c:val>
            <c:numRef>
              <c:f>EFSI!$S$8</c:f>
              <c:numCache>
                <c:formatCode>0%</c:formatCode>
                <c:ptCount val="1"/>
                <c:pt idx="0">
                  <c:v>0</c:v>
                </c:pt>
              </c:numCache>
            </c:numRef>
          </c:val>
          <c:extLst>
            <c:ext xmlns:c16="http://schemas.microsoft.com/office/drawing/2014/chart" uri="{C3380CC4-5D6E-409C-BE32-E72D297353CC}">
              <c16:uniqueId val="{00000009-E395-47E6-9203-880141DC6E76}"/>
            </c:ext>
          </c:extLst>
        </c:ser>
        <c:dLbls>
          <c:showLegendKey val="0"/>
          <c:showVal val="0"/>
          <c:showCatName val="0"/>
          <c:showSerName val="0"/>
          <c:showPercent val="0"/>
          <c:showBubbleSize val="0"/>
        </c:dLbls>
        <c:gapWidth val="0"/>
        <c:overlap val="100"/>
        <c:axId val="105061760"/>
        <c:axId val="105071744"/>
      </c:barChart>
      <c:catAx>
        <c:axId val="105061760"/>
        <c:scaling>
          <c:orientation val="minMax"/>
        </c:scaling>
        <c:delete val="1"/>
        <c:axPos val="l"/>
        <c:majorTickMark val="none"/>
        <c:minorTickMark val="none"/>
        <c:tickLblPos val="nextTo"/>
        <c:crossAx val="105071744"/>
        <c:crosses val="autoZero"/>
        <c:auto val="1"/>
        <c:lblAlgn val="ctr"/>
        <c:lblOffset val="100"/>
        <c:noMultiLvlLbl val="0"/>
      </c:catAx>
      <c:valAx>
        <c:axId val="105071744"/>
        <c:scaling>
          <c:orientation val="minMax"/>
          <c:max val="1"/>
        </c:scaling>
        <c:delete val="1"/>
        <c:axPos val="b"/>
        <c:numFmt formatCode="0%" sourceLinked="1"/>
        <c:majorTickMark val="none"/>
        <c:minorTickMark val="none"/>
        <c:tickLblPos val="nextTo"/>
        <c:crossAx val="10506176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EFSI!$K$9</c:f>
              <c:numCache>
                <c:formatCode>0%</c:formatCode>
                <c:ptCount val="1"/>
                <c:pt idx="0">
                  <c:v>1</c:v>
                </c:pt>
              </c:numCache>
            </c:numRef>
          </c:val>
          <c:extLst>
            <c:ext xmlns:c16="http://schemas.microsoft.com/office/drawing/2014/chart" uri="{C3380CC4-5D6E-409C-BE32-E72D297353CC}">
              <c16:uniqueId val="{00000000-8D9E-407E-A3C2-B55EA2F9C76F}"/>
            </c:ext>
          </c:extLst>
        </c:ser>
        <c:ser>
          <c:idx val="1"/>
          <c:order val="1"/>
          <c:spPr>
            <a:solidFill>
              <a:srgbClr val="000000"/>
            </a:solidFill>
            <a:ln>
              <a:noFill/>
            </a:ln>
            <a:effectLst/>
          </c:spPr>
          <c:invertIfNegative val="0"/>
          <c:val>
            <c:numRef>
              <c:f>EFSI!$L$9</c:f>
              <c:numCache>
                <c:formatCode>0%</c:formatCode>
                <c:ptCount val="1"/>
                <c:pt idx="0">
                  <c:v>0</c:v>
                </c:pt>
              </c:numCache>
            </c:numRef>
          </c:val>
          <c:extLst>
            <c:ext xmlns:c16="http://schemas.microsoft.com/office/drawing/2014/chart" uri="{C3380CC4-5D6E-409C-BE32-E72D297353CC}">
              <c16:uniqueId val="{00000001-8D9E-407E-A3C2-B55EA2F9C76F}"/>
            </c:ext>
          </c:extLst>
        </c:ser>
        <c:ser>
          <c:idx val="2"/>
          <c:order val="2"/>
          <c:spPr>
            <a:solidFill>
              <a:srgbClr val="DCE6F2"/>
            </a:solidFill>
            <a:ln>
              <a:noFill/>
            </a:ln>
            <a:effectLst/>
          </c:spPr>
          <c:invertIfNegative val="0"/>
          <c:val>
            <c:numRef>
              <c:f>EFSI!$M$9</c:f>
              <c:numCache>
                <c:formatCode>0%</c:formatCode>
                <c:ptCount val="1"/>
                <c:pt idx="0">
                  <c:v>0</c:v>
                </c:pt>
              </c:numCache>
            </c:numRef>
          </c:val>
          <c:extLst>
            <c:ext xmlns:c16="http://schemas.microsoft.com/office/drawing/2014/chart" uri="{C3380CC4-5D6E-409C-BE32-E72D297353CC}">
              <c16:uniqueId val="{00000002-8D9E-407E-A3C2-B55EA2F9C76F}"/>
            </c:ext>
          </c:extLst>
        </c:ser>
        <c:ser>
          <c:idx val="3"/>
          <c:order val="3"/>
          <c:spPr>
            <a:solidFill>
              <a:srgbClr val="00ADDC"/>
            </a:solidFill>
            <a:ln>
              <a:noFill/>
            </a:ln>
            <a:effectLst/>
          </c:spPr>
          <c:invertIfNegative val="0"/>
          <c:val>
            <c:numRef>
              <c:f>EFSI!$N$9</c:f>
              <c:numCache>
                <c:formatCode>0%</c:formatCode>
                <c:ptCount val="1"/>
                <c:pt idx="0">
                  <c:v>0</c:v>
                </c:pt>
              </c:numCache>
            </c:numRef>
          </c:val>
          <c:extLst>
            <c:ext xmlns:c16="http://schemas.microsoft.com/office/drawing/2014/chart" uri="{C3380CC4-5D6E-409C-BE32-E72D297353CC}">
              <c16:uniqueId val="{00000003-8D9E-407E-A3C2-B55EA2F9C76F}"/>
            </c:ext>
          </c:extLst>
        </c:ser>
        <c:ser>
          <c:idx val="4"/>
          <c:order val="4"/>
          <c:spPr>
            <a:solidFill>
              <a:srgbClr val="000000"/>
            </a:solidFill>
            <a:ln>
              <a:noFill/>
            </a:ln>
            <a:effectLst/>
          </c:spPr>
          <c:invertIfNegative val="0"/>
          <c:val>
            <c:numRef>
              <c:f>EFSI!$O$9</c:f>
              <c:numCache>
                <c:formatCode>0%</c:formatCode>
                <c:ptCount val="1"/>
                <c:pt idx="0">
                  <c:v>0</c:v>
                </c:pt>
              </c:numCache>
            </c:numRef>
          </c:val>
          <c:extLst>
            <c:ext xmlns:c16="http://schemas.microsoft.com/office/drawing/2014/chart" uri="{C3380CC4-5D6E-409C-BE32-E72D297353CC}">
              <c16:uniqueId val="{00000004-8D9E-407E-A3C2-B55EA2F9C76F}"/>
            </c:ext>
          </c:extLst>
        </c:ser>
        <c:ser>
          <c:idx val="5"/>
          <c:order val="5"/>
          <c:spPr>
            <a:solidFill>
              <a:srgbClr val="00ADDC"/>
            </a:solidFill>
            <a:ln>
              <a:noFill/>
            </a:ln>
            <a:effectLst/>
          </c:spPr>
          <c:invertIfNegative val="0"/>
          <c:val>
            <c:numRef>
              <c:f>EFSI!$P$9</c:f>
              <c:numCache>
                <c:formatCode>0%</c:formatCode>
                <c:ptCount val="1"/>
                <c:pt idx="0">
                  <c:v>0</c:v>
                </c:pt>
              </c:numCache>
            </c:numRef>
          </c:val>
          <c:extLst>
            <c:ext xmlns:c16="http://schemas.microsoft.com/office/drawing/2014/chart" uri="{C3380CC4-5D6E-409C-BE32-E72D297353CC}">
              <c16:uniqueId val="{00000005-8D9E-407E-A3C2-B55EA2F9C76F}"/>
            </c:ext>
          </c:extLst>
        </c:ser>
        <c:ser>
          <c:idx val="6"/>
          <c:order val="6"/>
          <c:spPr>
            <a:solidFill>
              <a:srgbClr val="28296E"/>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9E-407E-A3C2-B55EA2F9C76F}"/>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EFSI!$Q$9</c:f>
              <c:numCache>
                <c:formatCode>0%</c:formatCode>
                <c:ptCount val="1"/>
                <c:pt idx="0">
                  <c:v>1</c:v>
                </c:pt>
              </c:numCache>
            </c:numRef>
          </c:val>
          <c:extLst>
            <c:ext xmlns:c16="http://schemas.microsoft.com/office/drawing/2014/chart" uri="{C3380CC4-5D6E-409C-BE32-E72D297353CC}">
              <c16:uniqueId val="{00000007-8D9E-407E-A3C2-B55EA2F9C76F}"/>
            </c:ext>
          </c:extLst>
        </c:ser>
        <c:ser>
          <c:idx val="7"/>
          <c:order val="7"/>
          <c:spPr>
            <a:solidFill>
              <a:srgbClr val="000000"/>
            </a:solidFill>
            <a:ln>
              <a:noFill/>
            </a:ln>
            <a:effectLst/>
          </c:spPr>
          <c:invertIfNegative val="0"/>
          <c:val>
            <c:numRef>
              <c:f>EFSI!$R$9</c:f>
              <c:numCache>
                <c:formatCode>0%</c:formatCode>
                <c:ptCount val="1"/>
                <c:pt idx="0">
                  <c:v>0</c:v>
                </c:pt>
              </c:numCache>
            </c:numRef>
          </c:val>
          <c:extLst>
            <c:ext xmlns:c16="http://schemas.microsoft.com/office/drawing/2014/chart" uri="{C3380CC4-5D6E-409C-BE32-E72D297353CC}">
              <c16:uniqueId val="{00000008-8D9E-407E-A3C2-B55EA2F9C76F}"/>
            </c:ext>
          </c:extLst>
        </c:ser>
        <c:ser>
          <c:idx val="8"/>
          <c:order val="8"/>
          <c:spPr>
            <a:solidFill>
              <a:srgbClr val="28296E"/>
            </a:solidFill>
            <a:ln>
              <a:noFill/>
            </a:ln>
            <a:effectLst/>
          </c:spPr>
          <c:invertIfNegative val="0"/>
          <c:val>
            <c:numRef>
              <c:f>EFSI!$S$9</c:f>
              <c:numCache>
                <c:formatCode>0%</c:formatCode>
                <c:ptCount val="1"/>
                <c:pt idx="0">
                  <c:v>0</c:v>
                </c:pt>
              </c:numCache>
            </c:numRef>
          </c:val>
          <c:extLst>
            <c:ext xmlns:c16="http://schemas.microsoft.com/office/drawing/2014/chart" uri="{C3380CC4-5D6E-409C-BE32-E72D297353CC}">
              <c16:uniqueId val="{00000009-8D9E-407E-A3C2-B55EA2F9C76F}"/>
            </c:ext>
          </c:extLst>
        </c:ser>
        <c:dLbls>
          <c:showLegendKey val="0"/>
          <c:showVal val="0"/>
          <c:showCatName val="0"/>
          <c:showSerName val="0"/>
          <c:showPercent val="0"/>
          <c:showBubbleSize val="0"/>
        </c:dLbls>
        <c:gapWidth val="0"/>
        <c:overlap val="100"/>
        <c:axId val="105098624"/>
        <c:axId val="105104512"/>
      </c:barChart>
      <c:catAx>
        <c:axId val="105098624"/>
        <c:scaling>
          <c:orientation val="minMax"/>
        </c:scaling>
        <c:delete val="1"/>
        <c:axPos val="l"/>
        <c:majorTickMark val="none"/>
        <c:minorTickMark val="none"/>
        <c:tickLblPos val="nextTo"/>
        <c:crossAx val="105104512"/>
        <c:crosses val="autoZero"/>
        <c:auto val="1"/>
        <c:lblAlgn val="ctr"/>
        <c:lblOffset val="100"/>
        <c:noMultiLvlLbl val="0"/>
      </c:catAx>
      <c:valAx>
        <c:axId val="105104512"/>
        <c:scaling>
          <c:orientation val="minMax"/>
          <c:max val="1"/>
        </c:scaling>
        <c:delete val="1"/>
        <c:axPos val="b"/>
        <c:numFmt formatCode="0%" sourceLinked="1"/>
        <c:majorTickMark val="none"/>
        <c:minorTickMark val="none"/>
        <c:tickLblPos val="nextTo"/>
        <c:crossAx val="10509862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EFSI!$K$9</c:f>
              <c:numCache>
                <c:formatCode>0%</c:formatCode>
                <c:ptCount val="1"/>
                <c:pt idx="0">
                  <c:v>1</c:v>
                </c:pt>
              </c:numCache>
            </c:numRef>
          </c:val>
          <c:extLst>
            <c:ext xmlns:c16="http://schemas.microsoft.com/office/drawing/2014/chart" uri="{C3380CC4-5D6E-409C-BE32-E72D297353CC}">
              <c16:uniqueId val="{00000000-306A-4F54-B02B-DD8A759D5A39}"/>
            </c:ext>
          </c:extLst>
        </c:ser>
        <c:ser>
          <c:idx val="1"/>
          <c:order val="1"/>
          <c:spPr>
            <a:solidFill>
              <a:srgbClr val="000000"/>
            </a:solidFill>
            <a:ln>
              <a:noFill/>
            </a:ln>
            <a:effectLst/>
          </c:spPr>
          <c:invertIfNegative val="0"/>
          <c:val>
            <c:numRef>
              <c:f>EFSI!$L$9</c:f>
              <c:numCache>
                <c:formatCode>0%</c:formatCode>
                <c:ptCount val="1"/>
                <c:pt idx="0">
                  <c:v>0</c:v>
                </c:pt>
              </c:numCache>
            </c:numRef>
          </c:val>
          <c:extLst>
            <c:ext xmlns:c16="http://schemas.microsoft.com/office/drawing/2014/chart" uri="{C3380CC4-5D6E-409C-BE32-E72D297353CC}">
              <c16:uniqueId val="{00000001-306A-4F54-B02B-DD8A759D5A39}"/>
            </c:ext>
          </c:extLst>
        </c:ser>
        <c:ser>
          <c:idx val="2"/>
          <c:order val="2"/>
          <c:spPr>
            <a:solidFill>
              <a:srgbClr val="DCE6F2"/>
            </a:solidFill>
            <a:ln>
              <a:noFill/>
            </a:ln>
            <a:effectLst/>
          </c:spPr>
          <c:invertIfNegative val="0"/>
          <c:val>
            <c:numRef>
              <c:f>EFSI!$M$9</c:f>
              <c:numCache>
                <c:formatCode>0%</c:formatCode>
                <c:ptCount val="1"/>
                <c:pt idx="0">
                  <c:v>0</c:v>
                </c:pt>
              </c:numCache>
            </c:numRef>
          </c:val>
          <c:extLst>
            <c:ext xmlns:c16="http://schemas.microsoft.com/office/drawing/2014/chart" uri="{C3380CC4-5D6E-409C-BE32-E72D297353CC}">
              <c16:uniqueId val="{00000002-306A-4F54-B02B-DD8A759D5A39}"/>
            </c:ext>
          </c:extLst>
        </c:ser>
        <c:ser>
          <c:idx val="3"/>
          <c:order val="3"/>
          <c:spPr>
            <a:solidFill>
              <a:srgbClr val="00ADDC"/>
            </a:solidFill>
            <a:ln>
              <a:noFill/>
            </a:ln>
            <a:effectLst/>
          </c:spPr>
          <c:invertIfNegative val="0"/>
          <c:val>
            <c:numRef>
              <c:f>EFSI!$N$9</c:f>
              <c:numCache>
                <c:formatCode>0%</c:formatCode>
                <c:ptCount val="1"/>
                <c:pt idx="0">
                  <c:v>0</c:v>
                </c:pt>
              </c:numCache>
            </c:numRef>
          </c:val>
          <c:extLst>
            <c:ext xmlns:c16="http://schemas.microsoft.com/office/drawing/2014/chart" uri="{C3380CC4-5D6E-409C-BE32-E72D297353CC}">
              <c16:uniqueId val="{00000003-306A-4F54-B02B-DD8A759D5A39}"/>
            </c:ext>
          </c:extLst>
        </c:ser>
        <c:ser>
          <c:idx val="4"/>
          <c:order val="4"/>
          <c:spPr>
            <a:solidFill>
              <a:srgbClr val="000000"/>
            </a:solidFill>
            <a:ln>
              <a:noFill/>
            </a:ln>
            <a:effectLst/>
          </c:spPr>
          <c:invertIfNegative val="0"/>
          <c:val>
            <c:numRef>
              <c:f>EFSI!$O$9</c:f>
              <c:numCache>
                <c:formatCode>0%</c:formatCode>
                <c:ptCount val="1"/>
                <c:pt idx="0">
                  <c:v>0</c:v>
                </c:pt>
              </c:numCache>
            </c:numRef>
          </c:val>
          <c:extLst>
            <c:ext xmlns:c16="http://schemas.microsoft.com/office/drawing/2014/chart" uri="{C3380CC4-5D6E-409C-BE32-E72D297353CC}">
              <c16:uniqueId val="{00000004-306A-4F54-B02B-DD8A759D5A39}"/>
            </c:ext>
          </c:extLst>
        </c:ser>
        <c:ser>
          <c:idx val="5"/>
          <c:order val="5"/>
          <c:spPr>
            <a:solidFill>
              <a:srgbClr val="00ADDC"/>
            </a:solidFill>
            <a:ln>
              <a:noFill/>
            </a:ln>
            <a:effectLst/>
          </c:spPr>
          <c:invertIfNegative val="0"/>
          <c:val>
            <c:numRef>
              <c:f>EFSI!$P$9</c:f>
              <c:numCache>
                <c:formatCode>0%</c:formatCode>
                <c:ptCount val="1"/>
                <c:pt idx="0">
                  <c:v>0</c:v>
                </c:pt>
              </c:numCache>
            </c:numRef>
          </c:val>
          <c:extLst>
            <c:ext xmlns:c16="http://schemas.microsoft.com/office/drawing/2014/chart" uri="{C3380CC4-5D6E-409C-BE32-E72D297353CC}">
              <c16:uniqueId val="{00000005-306A-4F54-B02B-DD8A759D5A39}"/>
            </c:ext>
          </c:extLst>
        </c:ser>
        <c:ser>
          <c:idx val="6"/>
          <c:order val="6"/>
          <c:spPr>
            <a:solidFill>
              <a:srgbClr val="28296E"/>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6A-4F54-B02B-DD8A759D5A39}"/>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EFSI!$Q$9</c:f>
              <c:numCache>
                <c:formatCode>0%</c:formatCode>
                <c:ptCount val="1"/>
                <c:pt idx="0">
                  <c:v>1</c:v>
                </c:pt>
              </c:numCache>
            </c:numRef>
          </c:val>
          <c:extLst>
            <c:ext xmlns:c16="http://schemas.microsoft.com/office/drawing/2014/chart" uri="{C3380CC4-5D6E-409C-BE32-E72D297353CC}">
              <c16:uniqueId val="{00000007-306A-4F54-B02B-DD8A759D5A39}"/>
            </c:ext>
          </c:extLst>
        </c:ser>
        <c:ser>
          <c:idx val="7"/>
          <c:order val="7"/>
          <c:spPr>
            <a:solidFill>
              <a:srgbClr val="000000"/>
            </a:solidFill>
            <a:ln>
              <a:noFill/>
            </a:ln>
            <a:effectLst/>
          </c:spPr>
          <c:invertIfNegative val="0"/>
          <c:val>
            <c:numRef>
              <c:f>EFSI!$R$9</c:f>
              <c:numCache>
                <c:formatCode>0%</c:formatCode>
                <c:ptCount val="1"/>
                <c:pt idx="0">
                  <c:v>0</c:v>
                </c:pt>
              </c:numCache>
            </c:numRef>
          </c:val>
          <c:extLst>
            <c:ext xmlns:c16="http://schemas.microsoft.com/office/drawing/2014/chart" uri="{C3380CC4-5D6E-409C-BE32-E72D297353CC}">
              <c16:uniqueId val="{00000008-306A-4F54-B02B-DD8A759D5A39}"/>
            </c:ext>
          </c:extLst>
        </c:ser>
        <c:ser>
          <c:idx val="8"/>
          <c:order val="8"/>
          <c:spPr>
            <a:solidFill>
              <a:srgbClr val="28296E"/>
            </a:solidFill>
            <a:ln>
              <a:noFill/>
            </a:ln>
            <a:effectLst/>
          </c:spPr>
          <c:invertIfNegative val="0"/>
          <c:val>
            <c:numRef>
              <c:f>EFSI!$S$9</c:f>
              <c:numCache>
                <c:formatCode>0%</c:formatCode>
                <c:ptCount val="1"/>
                <c:pt idx="0">
                  <c:v>0</c:v>
                </c:pt>
              </c:numCache>
            </c:numRef>
          </c:val>
          <c:extLst>
            <c:ext xmlns:c16="http://schemas.microsoft.com/office/drawing/2014/chart" uri="{C3380CC4-5D6E-409C-BE32-E72D297353CC}">
              <c16:uniqueId val="{00000009-306A-4F54-B02B-DD8A759D5A39}"/>
            </c:ext>
          </c:extLst>
        </c:ser>
        <c:dLbls>
          <c:showLegendKey val="0"/>
          <c:showVal val="0"/>
          <c:showCatName val="0"/>
          <c:showSerName val="0"/>
          <c:showPercent val="0"/>
          <c:showBubbleSize val="0"/>
        </c:dLbls>
        <c:gapWidth val="0"/>
        <c:overlap val="100"/>
        <c:axId val="105167872"/>
        <c:axId val="105181952"/>
      </c:barChart>
      <c:catAx>
        <c:axId val="105167872"/>
        <c:scaling>
          <c:orientation val="minMax"/>
        </c:scaling>
        <c:delete val="1"/>
        <c:axPos val="l"/>
        <c:majorTickMark val="none"/>
        <c:minorTickMark val="none"/>
        <c:tickLblPos val="nextTo"/>
        <c:crossAx val="105181952"/>
        <c:crosses val="autoZero"/>
        <c:auto val="1"/>
        <c:lblAlgn val="ctr"/>
        <c:lblOffset val="100"/>
        <c:noMultiLvlLbl val="0"/>
      </c:catAx>
      <c:valAx>
        <c:axId val="105181952"/>
        <c:scaling>
          <c:orientation val="minMax"/>
          <c:max val="1"/>
        </c:scaling>
        <c:delete val="1"/>
        <c:axPos val="b"/>
        <c:numFmt formatCode="0%" sourceLinked="1"/>
        <c:majorTickMark val="none"/>
        <c:minorTickMark val="none"/>
        <c:tickLblPos val="nextTo"/>
        <c:crossAx val="10516787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EFSI!$K$10</c:f>
              <c:numCache>
                <c:formatCode>0%</c:formatCode>
                <c:ptCount val="1"/>
                <c:pt idx="0">
                  <c:v>1</c:v>
                </c:pt>
              </c:numCache>
            </c:numRef>
          </c:val>
          <c:extLst>
            <c:ext xmlns:c16="http://schemas.microsoft.com/office/drawing/2014/chart" uri="{C3380CC4-5D6E-409C-BE32-E72D297353CC}">
              <c16:uniqueId val="{00000000-BEC6-4AE1-B78B-8BA706789E90}"/>
            </c:ext>
          </c:extLst>
        </c:ser>
        <c:ser>
          <c:idx val="1"/>
          <c:order val="1"/>
          <c:spPr>
            <a:solidFill>
              <a:srgbClr val="000000"/>
            </a:solidFill>
            <a:ln>
              <a:noFill/>
            </a:ln>
            <a:effectLst/>
          </c:spPr>
          <c:invertIfNegative val="0"/>
          <c:val>
            <c:numRef>
              <c:f>EFSI!$L$10</c:f>
              <c:numCache>
                <c:formatCode>0%</c:formatCode>
                <c:ptCount val="1"/>
                <c:pt idx="0">
                  <c:v>0</c:v>
                </c:pt>
              </c:numCache>
            </c:numRef>
          </c:val>
          <c:extLst>
            <c:ext xmlns:c16="http://schemas.microsoft.com/office/drawing/2014/chart" uri="{C3380CC4-5D6E-409C-BE32-E72D297353CC}">
              <c16:uniqueId val="{00000001-BEC6-4AE1-B78B-8BA706789E90}"/>
            </c:ext>
          </c:extLst>
        </c:ser>
        <c:ser>
          <c:idx val="2"/>
          <c:order val="2"/>
          <c:spPr>
            <a:solidFill>
              <a:srgbClr val="DCE6F2"/>
            </a:solidFill>
            <a:ln>
              <a:noFill/>
            </a:ln>
            <a:effectLst/>
          </c:spPr>
          <c:invertIfNegative val="0"/>
          <c:val>
            <c:numRef>
              <c:f>EFSI!$M$10</c:f>
              <c:numCache>
                <c:formatCode>0%</c:formatCode>
                <c:ptCount val="1"/>
                <c:pt idx="0">
                  <c:v>0</c:v>
                </c:pt>
              </c:numCache>
            </c:numRef>
          </c:val>
          <c:extLst>
            <c:ext xmlns:c16="http://schemas.microsoft.com/office/drawing/2014/chart" uri="{C3380CC4-5D6E-409C-BE32-E72D297353CC}">
              <c16:uniqueId val="{00000002-BEC6-4AE1-B78B-8BA706789E90}"/>
            </c:ext>
          </c:extLst>
        </c:ser>
        <c:ser>
          <c:idx val="3"/>
          <c:order val="3"/>
          <c:spPr>
            <a:solidFill>
              <a:srgbClr val="00ADDC"/>
            </a:solidFill>
            <a:ln>
              <a:noFill/>
            </a:ln>
            <a:effectLst/>
          </c:spPr>
          <c:invertIfNegative val="0"/>
          <c:val>
            <c:numRef>
              <c:f>EFSI!$N$10</c:f>
              <c:numCache>
                <c:formatCode>0%</c:formatCode>
                <c:ptCount val="1"/>
                <c:pt idx="0">
                  <c:v>0</c:v>
                </c:pt>
              </c:numCache>
            </c:numRef>
          </c:val>
          <c:extLst>
            <c:ext xmlns:c16="http://schemas.microsoft.com/office/drawing/2014/chart" uri="{C3380CC4-5D6E-409C-BE32-E72D297353CC}">
              <c16:uniqueId val="{00000003-BEC6-4AE1-B78B-8BA706789E90}"/>
            </c:ext>
          </c:extLst>
        </c:ser>
        <c:ser>
          <c:idx val="4"/>
          <c:order val="4"/>
          <c:spPr>
            <a:solidFill>
              <a:srgbClr val="000000"/>
            </a:solidFill>
            <a:ln>
              <a:noFill/>
            </a:ln>
            <a:effectLst/>
          </c:spPr>
          <c:invertIfNegative val="0"/>
          <c:val>
            <c:numRef>
              <c:f>EFSI!$O$10</c:f>
              <c:numCache>
                <c:formatCode>0%</c:formatCode>
                <c:ptCount val="1"/>
                <c:pt idx="0">
                  <c:v>0</c:v>
                </c:pt>
              </c:numCache>
            </c:numRef>
          </c:val>
          <c:extLst>
            <c:ext xmlns:c16="http://schemas.microsoft.com/office/drawing/2014/chart" uri="{C3380CC4-5D6E-409C-BE32-E72D297353CC}">
              <c16:uniqueId val="{00000004-BEC6-4AE1-B78B-8BA706789E90}"/>
            </c:ext>
          </c:extLst>
        </c:ser>
        <c:ser>
          <c:idx val="5"/>
          <c:order val="5"/>
          <c:spPr>
            <a:solidFill>
              <a:srgbClr val="00ADDC"/>
            </a:solidFill>
            <a:ln>
              <a:noFill/>
            </a:ln>
            <a:effectLst/>
          </c:spPr>
          <c:invertIfNegative val="0"/>
          <c:val>
            <c:numRef>
              <c:f>EFSI!$P$10</c:f>
              <c:numCache>
                <c:formatCode>0%</c:formatCode>
                <c:ptCount val="1"/>
                <c:pt idx="0">
                  <c:v>0</c:v>
                </c:pt>
              </c:numCache>
            </c:numRef>
          </c:val>
          <c:extLst>
            <c:ext xmlns:c16="http://schemas.microsoft.com/office/drawing/2014/chart" uri="{C3380CC4-5D6E-409C-BE32-E72D297353CC}">
              <c16:uniqueId val="{00000005-BEC6-4AE1-B78B-8BA706789E90}"/>
            </c:ext>
          </c:extLst>
        </c:ser>
        <c:ser>
          <c:idx val="6"/>
          <c:order val="6"/>
          <c:spPr>
            <a:solidFill>
              <a:srgbClr val="28296E"/>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EC6-4AE1-B78B-8BA706789E90}"/>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EFSI!$Q$10</c:f>
              <c:numCache>
                <c:formatCode>0%</c:formatCode>
                <c:ptCount val="1"/>
                <c:pt idx="0">
                  <c:v>1</c:v>
                </c:pt>
              </c:numCache>
            </c:numRef>
          </c:val>
          <c:extLst>
            <c:ext xmlns:c16="http://schemas.microsoft.com/office/drawing/2014/chart" uri="{C3380CC4-5D6E-409C-BE32-E72D297353CC}">
              <c16:uniqueId val="{00000007-BEC6-4AE1-B78B-8BA706789E90}"/>
            </c:ext>
          </c:extLst>
        </c:ser>
        <c:ser>
          <c:idx val="7"/>
          <c:order val="7"/>
          <c:spPr>
            <a:solidFill>
              <a:srgbClr val="000000"/>
            </a:solidFill>
            <a:ln>
              <a:noFill/>
            </a:ln>
            <a:effectLst/>
          </c:spPr>
          <c:invertIfNegative val="0"/>
          <c:val>
            <c:numRef>
              <c:f>EFSI!$R$10</c:f>
              <c:numCache>
                <c:formatCode>0%</c:formatCode>
                <c:ptCount val="1"/>
                <c:pt idx="0">
                  <c:v>0</c:v>
                </c:pt>
              </c:numCache>
            </c:numRef>
          </c:val>
          <c:extLst>
            <c:ext xmlns:c16="http://schemas.microsoft.com/office/drawing/2014/chart" uri="{C3380CC4-5D6E-409C-BE32-E72D297353CC}">
              <c16:uniqueId val="{00000008-BEC6-4AE1-B78B-8BA706789E90}"/>
            </c:ext>
          </c:extLst>
        </c:ser>
        <c:ser>
          <c:idx val="8"/>
          <c:order val="8"/>
          <c:spPr>
            <a:solidFill>
              <a:srgbClr val="28296E"/>
            </a:solidFill>
            <a:ln>
              <a:noFill/>
            </a:ln>
            <a:effectLst/>
          </c:spPr>
          <c:invertIfNegative val="0"/>
          <c:val>
            <c:numRef>
              <c:f>EFSI!$S$10</c:f>
              <c:numCache>
                <c:formatCode>0%</c:formatCode>
                <c:ptCount val="1"/>
                <c:pt idx="0">
                  <c:v>0</c:v>
                </c:pt>
              </c:numCache>
            </c:numRef>
          </c:val>
          <c:extLst>
            <c:ext xmlns:c16="http://schemas.microsoft.com/office/drawing/2014/chart" uri="{C3380CC4-5D6E-409C-BE32-E72D297353CC}">
              <c16:uniqueId val="{00000009-BEC6-4AE1-B78B-8BA706789E90}"/>
            </c:ext>
          </c:extLst>
        </c:ser>
        <c:dLbls>
          <c:showLegendKey val="0"/>
          <c:showVal val="0"/>
          <c:showCatName val="0"/>
          <c:showSerName val="0"/>
          <c:showPercent val="0"/>
          <c:showBubbleSize val="0"/>
        </c:dLbls>
        <c:gapWidth val="0"/>
        <c:overlap val="100"/>
        <c:axId val="105233024"/>
        <c:axId val="105247104"/>
      </c:barChart>
      <c:catAx>
        <c:axId val="105233024"/>
        <c:scaling>
          <c:orientation val="minMax"/>
        </c:scaling>
        <c:delete val="1"/>
        <c:axPos val="l"/>
        <c:majorTickMark val="none"/>
        <c:minorTickMark val="none"/>
        <c:tickLblPos val="nextTo"/>
        <c:crossAx val="105247104"/>
        <c:crosses val="autoZero"/>
        <c:auto val="1"/>
        <c:lblAlgn val="ctr"/>
        <c:lblOffset val="100"/>
        <c:noMultiLvlLbl val="0"/>
      </c:catAx>
      <c:valAx>
        <c:axId val="105247104"/>
        <c:scaling>
          <c:orientation val="minMax"/>
          <c:max val="1"/>
        </c:scaling>
        <c:delete val="1"/>
        <c:axPos val="b"/>
        <c:numFmt formatCode="0%" sourceLinked="1"/>
        <c:majorTickMark val="none"/>
        <c:minorTickMark val="none"/>
        <c:tickLblPos val="nextTo"/>
        <c:crossAx val="10523302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EFSI!$K$12</c:f>
              <c:numCache>
                <c:formatCode>0%</c:formatCode>
                <c:ptCount val="1"/>
                <c:pt idx="0">
                  <c:v>1</c:v>
                </c:pt>
              </c:numCache>
            </c:numRef>
          </c:val>
          <c:extLst>
            <c:ext xmlns:c16="http://schemas.microsoft.com/office/drawing/2014/chart" uri="{C3380CC4-5D6E-409C-BE32-E72D297353CC}">
              <c16:uniqueId val="{00000000-0D1C-4101-8986-28FCE5177C3A}"/>
            </c:ext>
          </c:extLst>
        </c:ser>
        <c:ser>
          <c:idx val="1"/>
          <c:order val="1"/>
          <c:spPr>
            <a:solidFill>
              <a:srgbClr val="000000"/>
            </a:solidFill>
            <a:ln>
              <a:noFill/>
            </a:ln>
            <a:effectLst/>
          </c:spPr>
          <c:invertIfNegative val="0"/>
          <c:val>
            <c:numRef>
              <c:f>EFSI!$L$12</c:f>
              <c:numCache>
                <c:formatCode>0%</c:formatCode>
                <c:ptCount val="1"/>
                <c:pt idx="0">
                  <c:v>0</c:v>
                </c:pt>
              </c:numCache>
            </c:numRef>
          </c:val>
          <c:extLst>
            <c:ext xmlns:c16="http://schemas.microsoft.com/office/drawing/2014/chart" uri="{C3380CC4-5D6E-409C-BE32-E72D297353CC}">
              <c16:uniqueId val="{00000001-0D1C-4101-8986-28FCE5177C3A}"/>
            </c:ext>
          </c:extLst>
        </c:ser>
        <c:ser>
          <c:idx val="2"/>
          <c:order val="2"/>
          <c:spPr>
            <a:solidFill>
              <a:srgbClr val="DCE6F2"/>
            </a:solidFill>
            <a:ln>
              <a:noFill/>
            </a:ln>
            <a:effectLst/>
          </c:spPr>
          <c:invertIfNegative val="0"/>
          <c:val>
            <c:numRef>
              <c:f>EFSI!$M$12</c:f>
              <c:numCache>
                <c:formatCode>0%</c:formatCode>
                <c:ptCount val="1"/>
                <c:pt idx="0">
                  <c:v>0</c:v>
                </c:pt>
              </c:numCache>
            </c:numRef>
          </c:val>
          <c:extLst>
            <c:ext xmlns:c16="http://schemas.microsoft.com/office/drawing/2014/chart" uri="{C3380CC4-5D6E-409C-BE32-E72D297353CC}">
              <c16:uniqueId val="{00000002-0D1C-4101-8986-28FCE5177C3A}"/>
            </c:ext>
          </c:extLst>
        </c:ser>
        <c:ser>
          <c:idx val="3"/>
          <c:order val="3"/>
          <c:spPr>
            <a:solidFill>
              <a:srgbClr val="00ADDC"/>
            </a:solidFill>
            <a:ln>
              <a:noFill/>
            </a:ln>
            <a:effectLst/>
          </c:spPr>
          <c:invertIfNegative val="0"/>
          <c:val>
            <c:numRef>
              <c:f>EFSI!$N$12</c:f>
              <c:numCache>
                <c:formatCode>0%</c:formatCode>
                <c:ptCount val="1"/>
                <c:pt idx="0">
                  <c:v>0</c:v>
                </c:pt>
              </c:numCache>
            </c:numRef>
          </c:val>
          <c:extLst>
            <c:ext xmlns:c16="http://schemas.microsoft.com/office/drawing/2014/chart" uri="{C3380CC4-5D6E-409C-BE32-E72D297353CC}">
              <c16:uniqueId val="{00000003-0D1C-4101-8986-28FCE5177C3A}"/>
            </c:ext>
          </c:extLst>
        </c:ser>
        <c:ser>
          <c:idx val="4"/>
          <c:order val="4"/>
          <c:spPr>
            <a:solidFill>
              <a:srgbClr val="000000"/>
            </a:solidFill>
            <a:ln>
              <a:noFill/>
            </a:ln>
            <a:effectLst/>
          </c:spPr>
          <c:invertIfNegative val="0"/>
          <c:val>
            <c:numRef>
              <c:f>EFSI!$O$12</c:f>
              <c:numCache>
                <c:formatCode>0%</c:formatCode>
                <c:ptCount val="1"/>
                <c:pt idx="0">
                  <c:v>0</c:v>
                </c:pt>
              </c:numCache>
            </c:numRef>
          </c:val>
          <c:extLst>
            <c:ext xmlns:c16="http://schemas.microsoft.com/office/drawing/2014/chart" uri="{C3380CC4-5D6E-409C-BE32-E72D297353CC}">
              <c16:uniqueId val="{00000004-0D1C-4101-8986-28FCE5177C3A}"/>
            </c:ext>
          </c:extLst>
        </c:ser>
        <c:ser>
          <c:idx val="5"/>
          <c:order val="5"/>
          <c:spPr>
            <a:solidFill>
              <a:srgbClr val="00ADDC"/>
            </a:solidFill>
            <a:ln>
              <a:noFill/>
            </a:ln>
            <a:effectLst/>
          </c:spPr>
          <c:invertIfNegative val="0"/>
          <c:val>
            <c:numRef>
              <c:f>EFSI!$P$12</c:f>
              <c:numCache>
                <c:formatCode>0%</c:formatCode>
                <c:ptCount val="1"/>
                <c:pt idx="0">
                  <c:v>0</c:v>
                </c:pt>
              </c:numCache>
            </c:numRef>
          </c:val>
          <c:extLst>
            <c:ext xmlns:c16="http://schemas.microsoft.com/office/drawing/2014/chart" uri="{C3380CC4-5D6E-409C-BE32-E72D297353CC}">
              <c16:uniqueId val="{00000005-0D1C-4101-8986-28FCE5177C3A}"/>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EFSI!$Q$12</c:f>
              <c:numCache>
                <c:formatCode>0%</c:formatCode>
                <c:ptCount val="1"/>
                <c:pt idx="0">
                  <c:v>1</c:v>
                </c:pt>
              </c:numCache>
            </c:numRef>
          </c:val>
          <c:extLst>
            <c:ext xmlns:c16="http://schemas.microsoft.com/office/drawing/2014/chart" uri="{C3380CC4-5D6E-409C-BE32-E72D297353CC}">
              <c16:uniqueId val="{00000006-0D1C-4101-8986-28FCE5177C3A}"/>
            </c:ext>
          </c:extLst>
        </c:ser>
        <c:ser>
          <c:idx val="7"/>
          <c:order val="7"/>
          <c:spPr>
            <a:solidFill>
              <a:srgbClr val="000000"/>
            </a:solidFill>
            <a:ln>
              <a:noFill/>
            </a:ln>
            <a:effectLst/>
          </c:spPr>
          <c:invertIfNegative val="0"/>
          <c:val>
            <c:numRef>
              <c:f>EFSI!$R$12</c:f>
              <c:numCache>
                <c:formatCode>0%</c:formatCode>
                <c:ptCount val="1"/>
                <c:pt idx="0">
                  <c:v>0</c:v>
                </c:pt>
              </c:numCache>
            </c:numRef>
          </c:val>
          <c:extLst>
            <c:ext xmlns:c16="http://schemas.microsoft.com/office/drawing/2014/chart" uri="{C3380CC4-5D6E-409C-BE32-E72D297353CC}">
              <c16:uniqueId val="{00000007-0D1C-4101-8986-28FCE5177C3A}"/>
            </c:ext>
          </c:extLst>
        </c:ser>
        <c:ser>
          <c:idx val="8"/>
          <c:order val="8"/>
          <c:spPr>
            <a:solidFill>
              <a:srgbClr val="28296E"/>
            </a:solidFill>
            <a:ln>
              <a:noFill/>
            </a:ln>
            <a:effectLst/>
          </c:spPr>
          <c:invertIfNegative val="0"/>
          <c:val>
            <c:numRef>
              <c:f>EFSI!$S$12</c:f>
              <c:numCache>
                <c:formatCode>0%</c:formatCode>
                <c:ptCount val="1"/>
                <c:pt idx="0">
                  <c:v>0</c:v>
                </c:pt>
              </c:numCache>
            </c:numRef>
          </c:val>
          <c:extLst>
            <c:ext xmlns:c16="http://schemas.microsoft.com/office/drawing/2014/chart" uri="{C3380CC4-5D6E-409C-BE32-E72D297353CC}">
              <c16:uniqueId val="{00000008-0D1C-4101-8986-28FCE5177C3A}"/>
            </c:ext>
          </c:extLst>
        </c:ser>
        <c:dLbls>
          <c:showLegendKey val="0"/>
          <c:showVal val="0"/>
          <c:showCatName val="0"/>
          <c:showSerName val="0"/>
          <c:showPercent val="0"/>
          <c:showBubbleSize val="0"/>
        </c:dLbls>
        <c:gapWidth val="0"/>
        <c:overlap val="100"/>
        <c:axId val="105424768"/>
        <c:axId val="105426304"/>
      </c:barChart>
      <c:catAx>
        <c:axId val="105424768"/>
        <c:scaling>
          <c:orientation val="minMax"/>
        </c:scaling>
        <c:delete val="1"/>
        <c:axPos val="l"/>
        <c:majorTickMark val="none"/>
        <c:minorTickMark val="none"/>
        <c:tickLblPos val="nextTo"/>
        <c:crossAx val="105426304"/>
        <c:crosses val="autoZero"/>
        <c:auto val="1"/>
        <c:lblAlgn val="ctr"/>
        <c:lblOffset val="100"/>
        <c:noMultiLvlLbl val="0"/>
      </c:catAx>
      <c:valAx>
        <c:axId val="105426304"/>
        <c:scaling>
          <c:orientation val="minMax"/>
          <c:max val="1"/>
        </c:scaling>
        <c:delete val="1"/>
        <c:axPos val="b"/>
        <c:numFmt formatCode="0%" sourceLinked="1"/>
        <c:majorTickMark val="none"/>
        <c:minorTickMark val="none"/>
        <c:tickLblPos val="nextTo"/>
        <c:crossAx val="10542476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Galileo!$K$4</c:f>
              <c:numCache>
                <c:formatCode>0%</c:formatCode>
                <c:ptCount val="1"/>
                <c:pt idx="0">
                  <c:v>1</c:v>
                </c:pt>
              </c:numCache>
            </c:numRef>
          </c:val>
          <c:extLst>
            <c:ext xmlns:c16="http://schemas.microsoft.com/office/drawing/2014/chart" uri="{C3380CC4-5D6E-409C-BE32-E72D297353CC}">
              <c16:uniqueId val="{00000000-12B3-4592-8F77-326A73FA94B5}"/>
            </c:ext>
          </c:extLst>
        </c:ser>
        <c:ser>
          <c:idx val="1"/>
          <c:order val="1"/>
          <c:spPr>
            <a:solidFill>
              <a:srgbClr val="000000"/>
            </a:solidFill>
            <a:ln>
              <a:noFill/>
            </a:ln>
            <a:effectLst/>
          </c:spPr>
          <c:invertIfNegative val="0"/>
          <c:val>
            <c:numRef>
              <c:f>Galileo!$L$4</c:f>
              <c:numCache>
                <c:formatCode>0%</c:formatCode>
                <c:ptCount val="1"/>
                <c:pt idx="0">
                  <c:v>0</c:v>
                </c:pt>
              </c:numCache>
            </c:numRef>
          </c:val>
          <c:extLst>
            <c:ext xmlns:c16="http://schemas.microsoft.com/office/drawing/2014/chart" uri="{C3380CC4-5D6E-409C-BE32-E72D297353CC}">
              <c16:uniqueId val="{00000001-12B3-4592-8F77-326A73FA94B5}"/>
            </c:ext>
          </c:extLst>
        </c:ser>
        <c:ser>
          <c:idx val="2"/>
          <c:order val="2"/>
          <c:spPr>
            <a:solidFill>
              <a:srgbClr val="DCE6F2"/>
            </a:solidFill>
            <a:ln>
              <a:noFill/>
            </a:ln>
            <a:effectLst/>
          </c:spPr>
          <c:invertIfNegative val="0"/>
          <c:val>
            <c:numRef>
              <c:f>Galileo!$M$4</c:f>
              <c:numCache>
                <c:formatCode>0%</c:formatCode>
                <c:ptCount val="1"/>
                <c:pt idx="0">
                  <c:v>0</c:v>
                </c:pt>
              </c:numCache>
            </c:numRef>
          </c:val>
          <c:extLst>
            <c:ext xmlns:c16="http://schemas.microsoft.com/office/drawing/2014/chart" uri="{C3380CC4-5D6E-409C-BE32-E72D297353CC}">
              <c16:uniqueId val="{00000002-12B3-4592-8F77-326A73FA94B5}"/>
            </c:ext>
          </c:extLst>
        </c:ser>
        <c:ser>
          <c:idx val="3"/>
          <c:order val="3"/>
          <c:spPr>
            <a:solidFill>
              <a:srgbClr val="00ADDC"/>
            </a:solidFill>
            <a:ln>
              <a:noFill/>
            </a:ln>
            <a:effectLst/>
          </c:spPr>
          <c:invertIfNegative val="0"/>
          <c:val>
            <c:numRef>
              <c:f>Galileo!$N$4</c:f>
              <c:numCache>
                <c:formatCode>0%</c:formatCode>
                <c:ptCount val="1"/>
                <c:pt idx="0">
                  <c:v>0</c:v>
                </c:pt>
              </c:numCache>
            </c:numRef>
          </c:val>
          <c:extLst>
            <c:ext xmlns:c16="http://schemas.microsoft.com/office/drawing/2014/chart" uri="{C3380CC4-5D6E-409C-BE32-E72D297353CC}">
              <c16:uniqueId val="{00000003-12B3-4592-8F77-326A73FA94B5}"/>
            </c:ext>
          </c:extLst>
        </c:ser>
        <c:ser>
          <c:idx val="4"/>
          <c:order val="4"/>
          <c:spPr>
            <a:solidFill>
              <a:srgbClr val="000000"/>
            </a:solidFill>
            <a:ln>
              <a:noFill/>
            </a:ln>
            <a:effectLst/>
          </c:spPr>
          <c:invertIfNegative val="0"/>
          <c:val>
            <c:numRef>
              <c:f>Galileo!$O$4</c:f>
              <c:numCache>
                <c:formatCode>0%</c:formatCode>
                <c:ptCount val="1"/>
                <c:pt idx="0">
                  <c:v>0</c:v>
                </c:pt>
              </c:numCache>
            </c:numRef>
          </c:val>
          <c:extLst>
            <c:ext xmlns:c16="http://schemas.microsoft.com/office/drawing/2014/chart" uri="{C3380CC4-5D6E-409C-BE32-E72D297353CC}">
              <c16:uniqueId val="{00000004-12B3-4592-8F77-326A73FA94B5}"/>
            </c:ext>
          </c:extLst>
        </c:ser>
        <c:ser>
          <c:idx val="5"/>
          <c:order val="5"/>
          <c:spPr>
            <a:solidFill>
              <a:srgbClr val="00ADDC"/>
            </a:solidFill>
            <a:ln>
              <a:noFill/>
            </a:ln>
            <a:effectLst/>
          </c:spPr>
          <c:invertIfNegative val="0"/>
          <c:val>
            <c:numRef>
              <c:f>Galileo!$P$4</c:f>
              <c:numCache>
                <c:formatCode>0%</c:formatCode>
                <c:ptCount val="1"/>
                <c:pt idx="0">
                  <c:v>0</c:v>
                </c:pt>
              </c:numCache>
            </c:numRef>
          </c:val>
          <c:extLst>
            <c:ext xmlns:c16="http://schemas.microsoft.com/office/drawing/2014/chart" uri="{C3380CC4-5D6E-409C-BE32-E72D297353CC}">
              <c16:uniqueId val="{00000005-12B3-4592-8F77-326A73FA94B5}"/>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Galileo!$Q$4</c:f>
              <c:numCache>
                <c:formatCode>0%</c:formatCode>
                <c:ptCount val="1"/>
                <c:pt idx="0">
                  <c:v>0.22727272727272751</c:v>
                </c:pt>
              </c:numCache>
            </c:numRef>
          </c:val>
          <c:extLst>
            <c:ext xmlns:c16="http://schemas.microsoft.com/office/drawing/2014/chart" uri="{C3380CC4-5D6E-409C-BE32-E72D297353CC}">
              <c16:uniqueId val="{00000006-12B3-4592-8F77-326A73FA94B5}"/>
            </c:ext>
          </c:extLst>
        </c:ser>
        <c:ser>
          <c:idx val="7"/>
          <c:order val="7"/>
          <c:spPr>
            <a:solidFill>
              <a:srgbClr val="000000"/>
            </a:solidFill>
            <a:ln>
              <a:noFill/>
            </a:ln>
            <a:effectLst/>
          </c:spPr>
          <c:invertIfNegative val="0"/>
          <c:val>
            <c:numRef>
              <c:f>Galileo!$R$4</c:f>
              <c:numCache>
                <c:formatCode>0%</c:formatCode>
                <c:ptCount val="1"/>
                <c:pt idx="0">
                  <c:v>0</c:v>
                </c:pt>
              </c:numCache>
            </c:numRef>
          </c:val>
          <c:extLst>
            <c:ext xmlns:c16="http://schemas.microsoft.com/office/drawing/2014/chart" uri="{C3380CC4-5D6E-409C-BE32-E72D297353CC}">
              <c16:uniqueId val="{00000007-12B3-4592-8F77-326A73FA94B5}"/>
            </c:ext>
          </c:extLst>
        </c:ser>
        <c:ser>
          <c:idx val="8"/>
          <c:order val="8"/>
          <c:spPr>
            <a:solidFill>
              <a:srgbClr val="28296E"/>
            </a:solidFill>
            <a:ln>
              <a:noFill/>
            </a:ln>
            <a:effectLst/>
          </c:spPr>
          <c:invertIfNegative val="0"/>
          <c:val>
            <c:numRef>
              <c:f>Galileo!$S$4</c:f>
              <c:numCache>
                <c:formatCode>0%</c:formatCode>
                <c:ptCount val="1"/>
                <c:pt idx="0">
                  <c:v>0</c:v>
                </c:pt>
              </c:numCache>
            </c:numRef>
          </c:val>
          <c:extLst>
            <c:ext xmlns:c16="http://schemas.microsoft.com/office/drawing/2014/chart" uri="{C3380CC4-5D6E-409C-BE32-E72D297353CC}">
              <c16:uniqueId val="{00000008-12B3-4592-8F77-326A73FA94B5}"/>
            </c:ext>
          </c:extLst>
        </c:ser>
        <c:dLbls>
          <c:showLegendKey val="0"/>
          <c:showVal val="0"/>
          <c:showCatName val="0"/>
          <c:showSerName val="0"/>
          <c:showPercent val="0"/>
          <c:showBubbleSize val="0"/>
        </c:dLbls>
        <c:gapWidth val="0"/>
        <c:overlap val="100"/>
        <c:axId val="101482880"/>
        <c:axId val="101484416"/>
      </c:barChart>
      <c:catAx>
        <c:axId val="101482880"/>
        <c:scaling>
          <c:orientation val="minMax"/>
        </c:scaling>
        <c:delete val="1"/>
        <c:axPos val="l"/>
        <c:majorTickMark val="none"/>
        <c:minorTickMark val="none"/>
        <c:tickLblPos val="nextTo"/>
        <c:crossAx val="101484416"/>
        <c:crosses val="autoZero"/>
        <c:auto val="1"/>
        <c:lblAlgn val="ctr"/>
        <c:lblOffset val="100"/>
        <c:noMultiLvlLbl val="0"/>
      </c:catAx>
      <c:valAx>
        <c:axId val="101484416"/>
        <c:scaling>
          <c:orientation val="minMax"/>
          <c:max val="1"/>
        </c:scaling>
        <c:delete val="1"/>
        <c:axPos val="b"/>
        <c:numFmt formatCode="0%" sourceLinked="1"/>
        <c:majorTickMark val="none"/>
        <c:minorTickMark val="none"/>
        <c:tickLblPos val="nextTo"/>
        <c:crossAx val="10148288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00ADDC"/>
              </a:solidFill>
              <a:ln w="19050">
                <a:solidFill>
                  <a:schemeClr val="lt1"/>
                </a:solidFill>
              </a:ln>
              <a:effectLst/>
            </c:spPr>
            <c:extLst>
              <c:ext xmlns:c16="http://schemas.microsoft.com/office/drawing/2014/chart" uri="{C3380CC4-5D6E-409C-BE32-E72D297353CC}">
                <c16:uniqueId val="{00000001-25C9-4E17-ADCA-E8F1D86835B2}"/>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25C9-4E17-ADCA-E8F1D86835B2}"/>
              </c:ext>
            </c:extLst>
          </c:dPt>
          <c:cat>
            <c:strRef>
              <c:f>Sheet1!$A$2:$A$3</c:f>
              <c:strCache>
                <c:ptCount val="2"/>
                <c:pt idx="0">
                  <c:v>1st Qtr</c:v>
                </c:pt>
                <c:pt idx="1">
                  <c:v>2nd Qtr</c:v>
                </c:pt>
              </c:strCache>
            </c:strRef>
          </c:cat>
          <c:val>
            <c:numRef>
              <c:f>Sheet1!$B$2:$B$3</c:f>
              <c:numCache>
                <c:formatCode>0%</c:formatCode>
                <c:ptCount val="2"/>
                <c:pt idx="0">
                  <c:v>0.44</c:v>
                </c:pt>
                <c:pt idx="1">
                  <c:v>0.56000000000000005</c:v>
                </c:pt>
              </c:numCache>
            </c:numRef>
          </c:val>
          <c:extLst>
            <c:ext xmlns:c16="http://schemas.microsoft.com/office/drawing/2014/chart" uri="{C3380CC4-5D6E-409C-BE32-E72D297353CC}">
              <c16:uniqueId val="{00000004-25C9-4E17-ADCA-E8F1D86835B2}"/>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28296E"/>
              </a:solidFill>
              <a:ln w="19050">
                <a:noFill/>
              </a:ln>
              <a:effectLst/>
            </c:spPr>
            <c:extLst>
              <c:ext xmlns:c16="http://schemas.microsoft.com/office/drawing/2014/chart" uri="{C3380CC4-5D6E-409C-BE32-E72D297353CC}">
                <c16:uniqueId val="{00000001-EEFD-4D2D-B5AF-568586D71F84}"/>
              </c:ext>
            </c:extLst>
          </c:dPt>
          <c:dPt>
            <c:idx val="1"/>
            <c:bubble3D val="0"/>
            <c:spPr>
              <a:noFill/>
              <a:ln w="19050">
                <a:noFill/>
              </a:ln>
              <a:effectLst/>
            </c:spPr>
            <c:extLst>
              <c:ext xmlns:c16="http://schemas.microsoft.com/office/drawing/2014/chart" uri="{C3380CC4-5D6E-409C-BE32-E72D297353CC}">
                <c16:uniqueId val="{00000003-EEFD-4D2D-B5AF-568586D71F84}"/>
              </c:ext>
            </c:extLst>
          </c:dPt>
          <c:cat>
            <c:strRef>
              <c:f>Sheet1!$A$2:$A$3</c:f>
              <c:strCache>
                <c:ptCount val="2"/>
                <c:pt idx="0">
                  <c:v>1st Qtr</c:v>
                </c:pt>
                <c:pt idx="1">
                  <c:v>2nd Qtr</c:v>
                </c:pt>
              </c:strCache>
            </c:strRef>
          </c:cat>
          <c:val>
            <c:numRef>
              <c:f>Sheet1!$B$2:$B$3</c:f>
              <c:numCache>
                <c:formatCode>0%</c:formatCode>
                <c:ptCount val="2"/>
                <c:pt idx="0">
                  <c:v>0.85</c:v>
                </c:pt>
                <c:pt idx="1">
                  <c:v>0.15</c:v>
                </c:pt>
              </c:numCache>
            </c:numRef>
          </c:val>
          <c:extLst>
            <c:ext xmlns:c16="http://schemas.microsoft.com/office/drawing/2014/chart" uri="{C3380CC4-5D6E-409C-BE32-E72D297353CC}">
              <c16:uniqueId val="{00000004-EEFD-4D2D-B5AF-568586D71F84}"/>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'Nuclear Decomissioning BG SK'!$K$4</c:f>
              <c:numCache>
                <c:formatCode>0%</c:formatCode>
                <c:ptCount val="1"/>
                <c:pt idx="0">
                  <c:v>1</c:v>
                </c:pt>
              </c:numCache>
            </c:numRef>
          </c:val>
          <c:extLst>
            <c:ext xmlns:c16="http://schemas.microsoft.com/office/drawing/2014/chart" uri="{C3380CC4-5D6E-409C-BE32-E72D297353CC}">
              <c16:uniqueId val="{00000000-EDF7-414E-9FEC-0F7258C54B08}"/>
            </c:ext>
          </c:extLst>
        </c:ser>
        <c:ser>
          <c:idx val="1"/>
          <c:order val="1"/>
          <c:spPr>
            <a:solidFill>
              <a:srgbClr val="000000"/>
            </a:solidFill>
            <a:ln>
              <a:noFill/>
            </a:ln>
            <a:effectLst/>
          </c:spPr>
          <c:invertIfNegative val="0"/>
          <c:val>
            <c:numRef>
              <c:f>'Nuclear Decomissioning BG SK'!$L$4</c:f>
              <c:numCache>
                <c:formatCode>0%</c:formatCode>
                <c:ptCount val="1"/>
                <c:pt idx="0">
                  <c:v>0</c:v>
                </c:pt>
              </c:numCache>
            </c:numRef>
          </c:val>
          <c:extLst>
            <c:ext xmlns:c16="http://schemas.microsoft.com/office/drawing/2014/chart" uri="{C3380CC4-5D6E-409C-BE32-E72D297353CC}">
              <c16:uniqueId val="{00000001-EDF7-414E-9FEC-0F7258C54B08}"/>
            </c:ext>
          </c:extLst>
        </c:ser>
        <c:ser>
          <c:idx val="2"/>
          <c:order val="2"/>
          <c:spPr>
            <a:solidFill>
              <a:srgbClr val="DCE6F2"/>
            </a:solidFill>
            <a:ln>
              <a:noFill/>
            </a:ln>
            <a:effectLst/>
          </c:spPr>
          <c:invertIfNegative val="0"/>
          <c:val>
            <c:numRef>
              <c:f>'Nuclear Decomissioning BG SK'!$M$4</c:f>
              <c:numCache>
                <c:formatCode>0%</c:formatCode>
                <c:ptCount val="1"/>
                <c:pt idx="0">
                  <c:v>0</c:v>
                </c:pt>
              </c:numCache>
            </c:numRef>
          </c:val>
          <c:extLst>
            <c:ext xmlns:c16="http://schemas.microsoft.com/office/drawing/2014/chart" uri="{C3380CC4-5D6E-409C-BE32-E72D297353CC}">
              <c16:uniqueId val="{00000002-EDF7-414E-9FEC-0F7258C54B08}"/>
            </c:ext>
          </c:extLst>
        </c:ser>
        <c:ser>
          <c:idx val="3"/>
          <c:order val="3"/>
          <c:spPr>
            <a:solidFill>
              <a:srgbClr val="00ADDC"/>
            </a:solidFill>
            <a:ln>
              <a:noFill/>
            </a:ln>
            <a:effectLst/>
          </c:spPr>
          <c:invertIfNegative val="0"/>
          <c:val>
            <c:numRef>
              <c:f>'Nuclear Decomissioning BG SK'!$N$4</c:f>
              <c:numCache>
                <c:formatCode>0%</c:formatCode>
                <c:ptCount val="1"/>
                <c:pt idx="0">
                  <c:v>0</c:v>
                </c:pt>
              </c:numCache>
            </c:numRef>
          </c:val>
          <c:extLst>
            <c:ext xmlns:c16="http://schemas.microsoft.com/office/drawing/2014/chart" uri="{C3380CC4-5D6E-409C-BE32-E72D297353CC}">
              <c16:uniqueId val="{00000003-EDF7-414E-9FEC-0F7258C54B08}"/>
            </c:ext>
          </c:extLst>
        </c:ser>
        <c:ser>
          <c:idx val="4"/>
          <c:order val="4"/>
          <c:spPr>
            <a:solidFill>
              <a:srgbClr val="000000"/>
            </a:solidFill>
            <a:ln>
              <a:noFill/>
            </a:ln>
            <a:effectLst/>
          </c:spPr>
          <c:invertIfNegative val="0"/>
          <c:val>
            <c:numRef>
              <c:f>'Nuclear Decomissioning BG SK'!$O$4</c:f>
              <c:numCache>
                <c:formatCode>0%</c:formatCode>
                <c:ptCount val="1"/>
                <c:pt idx="0">
                  <c:v>0</c:v>
                </c:pt>
              </c:numCache>
            </c:numRef>
          </c:val>
          <c:extLst>
            <c:ext xmlns:c16="http://schemas.microsoft.com/office/drawing/2014/chart" uri="{C3380CC4-5D6E-409C-BE32-E72D297353CC}">
              <c16:uniqueId val="{00000004-EDF7-414E-9FEC-0F7258C54B08}"/>
            </c:ext>
          </c:extLst>
        </c:ser>
        <c:ser>
          <c:idx val="5"/>
          <c:order val="5"/>
          <c:spPr>
            <a:solidFill>
              <a:srgbClr val="00ADDC"/>
            </a:solidFill>
            <a:ln>
              <a:noFill/>
            </a:ln>
            <a:effectLst/>
          </c:spPr>
          <c:invertIfNegative val="0"/>
          <c:val>
            <c:numRef>
              <c:f>'Nuclear Decomissioning BG SK'!$P$4</c:f>
              <c:numCache>
                <c:formatCode>0%</c:formatCode>
                <c:ptCount val="1"/>
                <c:pt idx="0">
                  <c:v>0</c:v>
                </c:pt>
              </c:numCache>
            </c:numRef>
          </c:val>
          <c:extLst>
            <c:ext xmlns:c16="http://schemas.microsoft.com/office/drawing/2014/chart" uri="{C3380CC4-5D6E-409C-BE32-E72D297353CC}">
              <c16:uniqueId val="{00000005-EDF7-414E-9FEC-0F7258C54B08}"/>
            </c:ext>
          </c:extLst>
        </c:ser>
        <c:ser>
          <c:idx val="6"/>
          <c:order val="6"/>
          <c:spPr>
            <a:solidFill>
              <a:srgbClr val="28296E"/>
            </a:solidFill>
            <a:ln>
              <a:noFill/>
            </a:ln>
            <a:effectLst/>
          </c:spPr>
          <c:invertIfNegative val="0"/>
          <c:dLbls>
            <c:spPr>
              <a:noFill/>
              <a:ln>
                <a:noFill/>
              </a:ln>
              <a:effectLst/>
            </c:spPr>
            <c:txPr>
              <a:bodyPr rot="0" spcFirstLastPara="1" vertOverflow="ellipsis" vert="horz" wrap="square" lIns="0" tIns="0" rIns="38100" bIns="19050" anchor="ctr" anchorCtr="1">
                <a:spAutoFit/>
              </a:bodyPr>
              <a:lstStyle/>
              <a:p>
                <a:pPr>
                  <a:defRPr sz="800" b="0" i="0" u="none" strike="noStrike" kern="1200" baseline="0">
                    <a:solidFill>
                      <a:srgbClr val="FFFFFF"/>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'Nuclear Decomissioning BG SK'!$Q$4</c:f>
              <c:numCache>
                <c:formatCode>0%</c:formatCode>
                <c:ptCount val="1"/>
                <c:pt idx="0">
                  <c:v>0.60233333333333328</c:v>
                </c:pt>
              </c:numCache>
            </c:numRef>
          </c:val>
          <c:extLst>
            <c:ext xmlns:c16="http://schemas.microsoft.com/office/drawing/2014/chart" uri="{C3380CC4-5D6E-409C-BE32-E72D297353CC}">
              <c16:uniqueId val="{00000006-EDF7-414E-9FEC-0F7258C54B08}"/>
            </c:ext>
          </c:extLst>
        </c:ser>
        <c:ser>
          <c:idx val="7"/>
          <c:order val="7"/>
          <c:spPr>
            <a:solidFill>
              <a:srgbClr val="000000"/>
            </a:solidFill>
            <a:ln>
              <a:noFill/>
            </a:ln>
            <a:effectLst/>
          </c:spPr>
          <c:invertIfNegative val="0"/>
          <c:val>
            <c:numRef>
              <c:f>'Nuclear Decomissioning BG SK'!$R$4</c:f>
              <c:numCache>
                <c:formatCode>0%</c:formatCode>
                <c:ptCount val="1"/>
                <c:pt idx="0">
                  <c:v>0</c:v>
                </c:pt>
              </c:numCache>
            </c:numRef>
          </c:val>
          <c:extLst>
            <c:ext xmlns:c16="http://schemas.microsoft.com/office/drawing/2014/chart" uri="{C3380CC4-5D6E-409C-BE32-E72D297353CC}">
              <c16:uniqueId val="{00000007-EDF7-414E-9FEC-0F7258C54B08}"/>
            </c:ext>
          </c:extLst>
        </c:ser>
        <c:ser>
          <c:idx val="8"/>
          <c:order val="8"/>
          <c:spPr>
            <a:solidFill>
              <a:srgbClr val="28296E"/>
            </a:solidFill>
            <a:ln>
              <a:noFill/>
            </a:ln>
            <a:effectLst/>
          </c:spPr>
          <c:invertIfNegative val="0"/>
          <c:val>
            <c:numRef>
              <c:f>'Nuclear Decomissioning BG SK'!$S$4</c:f>
              <c:numCache>
                <c:formatCode>0%</c:formatCode>
                <c:ptCount val="1"/>
                <c:pt idx="0">
                  <c:v>0</c:v>
                </c:pt>
              </c:numCache>
            </c:numRef>
          </c:val>
          <c:extLst>
            <c:ext xmlns:c16="http://schemas.microsoft.com/office/drawing/2014/chart" uri="{C3380CC4-5D6E-409C-BE32-E72D297353CC}">
              <c16:uniqueId val="{00000008-EDF7-414E-9FEC-0F7258C54B08}"/>
            </c:ext>
          </c:extLst>
        </c:ser>
        <c:dLbls>
          <c:showLegendKey val="0"/>
          <c:showVal val="0"/>
          <c:showCatName val="0"/>
          <c:showSerName val="0"/>
          <c:showPercent val="0"/>
          <c:showBubbleSize val="0"/>
        </c:dLbls>
        <c:gapWidth val="0"/>
        <c:overlap val="100"/>
        <c:axId val="106895232"/>
        <c:axId val="106896768"/>
      </c:barChart>
      <c:catAx>
        <c:axId val="106895232"/>
        <c:scaling>
          <c:orientation val="minMax"/>
        </c:scaling>
        <c:delete val="1"/>
        <c:axPos val="l"/>
        <c:majorTickMark val="none"/>
        <c:minorTickMark val="none"/>
        <c:tickLblPos val="nextTo"/>
        <c:crossAx val="106896768"/>
        <c:crosses val="autoZero"/>
        <c:auto val="1"/>
        <c:lblAlgn val="ctr"/>
        <c:lblOffset val="100"/>
        <c:noMultiLvlLbl val="0"/>
      </c:catAx>
      <c:valAx>
        <c:axId val="106896768"/>
        <c:scaling>
          <c:orientation val="minMax"/>
          <c:max val="1"/>
        </c:scaling>
        <c:delete val="1"/>
        <c:axPos val="b"/>
        <c:numFmt formatCode="0%" sourceLinked="1"/>
        <c:majorTickMark val="none"/>
        <c:minorTickMark val="none"/>
        <c:tickLblPos val="nextTo"/>
        <c:crossAx val="10689523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'Nuclear Decomissioning BG SK'!$K$5</c:f>
              <c:numCache>
                <c:formatCode>0%</c:formatCode>
                <c:ptCount val="1"/>
                <c:pt idx="0">
                  <c:v>1</c:v>
                </c:pt>
              </c:numCache>
            </c:numRef>
          </c:val>
          <c:extLst>
            <c:ext xmlns:c16="http://schemas.microsoft.com/office/drawing/2014/chart" uri="{C3380CC4-5D6E-409C-BE32-E72D297353CC}">
              <c16:uniqueId val="{00000000-6FBE-46A6-9038-528FB9E1159B}"/>
            </c:ext>
          </c:extLst>
        </c:ser>
        <c:ser>
          <c:idx val="1"/>
          <c:order val="1"/>
          <c:spPr>
            <a:solidFill>
              <a:srgbClr val="000000"/>
            </a:solidFill>
            <a:ln>
              <a:noFill/>
            </a:ln>
            <a:effectLst/>
          </c:spPr>
          <c:invertIfNegative val="0"/>
          <c:val>
            <c:numRef>
              <c:f>'Nuclear Decomissioning BG SK'!$L$5</c:f>
              <c:numCache>
                <c:formatCode>0%</c:formatCode>
                <c:ptCount val="1"/>
                <c:pt idx="0">
                  <c:v>0</c:v>
                </c:pt>
              </c:numCache>
            </c:numRef>
          </c:val>
          <c:extLst>
            <c:ext xmlns:c16="http://schemas.microsoft.com/office/drawing/2014/chart" uri="{C3380CC4-5D6E-409C-BE32-E72D297353CC}">
              <c16:uniqueId val="{00000001-6FBE-46A6-9038-528FB9E1159B}"/>
            </c:ext>
          </c:extLst>
        </c:ser>
        <c:ser>
          <c:idx val="2"/>
          <c:order val="2"/>
          <c:spPr>
            <a:solidFill>
              <a:srgbClr val="DCE6F2"/>
            </a:solidFill>
            <a:ln>
              <a:noFill/>
            </a:ln>
            <a:effectLst/>
          </c:spPr>
          <c:invertIfNegative val="0"/>
          <c:val>
            <c:numRef>
              <c:f>'Nuclear Decomissioning BG SK'!$M$5</c:f>
              <c:numCache>
                <c:formatCode>0%</c:formatCode>
                <c:ptCount val="1"/>
                <c:pt idx="0">
                  <c:v>0</c:v>
                </c:pt>
              </c:numCache>
            </c:numRef>
          </c:val>
          <c:extLst>
            <c:ext xmlns:c16="http://schemas.microsoft.com/office/drawing/2014/chart" uri="{C3380CC4-5D6E-409C-BE32-E72D297353CC}">
              <c16:uniqueId val="{00000002-6FBE-46A6-9038-528FB9E1159B}"/>
            </c:ext>
          </c:extLst>
        </c:ser>
        <c:ser>
          <c:idx val="3"/>
          <c:order val="3"/>
          <c:spPr>
            <a:solidFill>
              <a:srgbClr val="00ADDC"/>
            </a:solidFill>
            <a:ln>
              <a:noFill/>
            </a:ln>
            <a:effectLst/>
          </c:spPr>
          <c:invertIfNegative val="0"/>
          <c:val>
            <c:numRef>
              <c:f>'Nuclear Decomissioning BG SK'!$N$5</c:f>
              <c:numCache>
                <c:formatCode>0%</c:formatCode>
                <c:ptCount val="1"/>
                <c:pt idx="0">
                  <c:v>0</c:v>
                </c:pt>
              </c:numCache>
            </c:numRef>
          </c:val>
          <c:extLst>
            <c:ext xmlns:c16="http://schemas.microsoft.com/office/drawing/2014/chart" uri="{C3380CC4-5D6E-409C-BE32-E72D297353CC}">
              <c16:uniqueId val="{00000003-6FBE-46A6-9038-528FB9E1159B}"/>
            </c:ext>
          </c:extLst>
        </c:ser>
        <c:ser>
          <c:idx val="4"/>
          <c:order val="4"/>
          <c:spPr>
            <a:solidFill>
              <a:srgbClr val="000000"/>
            </a:solidFill>
            <a:ln>
              <a:noFill/>
            </a:ln>
            <a:effectLst/>
          </c:spPr>
          <c:invertIfNegative val="0"/>
          <c:val>
            <c:numRef>
              <c:f>'Nuclear Decomissioning BG SK'!$O$5</c:f>
              <c:numCache>
                <c:formatCode>0%</c:formatCode>
                <c:ptCount val="1"/>
                <c:pt idx="0">
                  <c:v>0</c:v>
                </c:pt>
              </c:numCache>
            </c:numRef>
          </c:val>
          <c:extLst>
            <c:ext xmlns:c16="http://schemas.microsoft.com/office/drawing/2014/chart" uri="{C3380CC4-5D6E-409C-BE32-E72D297353CC}">
              <c16:uniqueId val="{00000004-6FBE-46A6-9038-528FB9E1159B}"/>
            </c:ext>
          </c:extLst>
        </c:ser>
        <c:ser>
          <c:idx val="5"/>
          <c:order val="5"/>
          <c:spPr>
            <a:solidFill>
              <a:srgbClr val="00ADDC"/>
            </a:solidFill>
            <a:ln>
              <a:noFill/>
            </a:ln>
            <a:effectLst/>
          </c:spPr>
          <c:invertIfNegative val="0"/>
          <c:val>
            <c:numRef>
              <c:f>'Nuclear Decomissioning BG SK'!$P$5</c:f>
              <c:numCache>
                <c:formatCode>0%</c:formatCode>
                <c:ptCount val="1"/>
                <c:pt idx="0">
                  <c:v>0</c:v>
                </c:pt>
              </c:numCache>
            </c:numRef>
          </c:val>
          <c:extLst>
            <c:ext xmlns:c16="http://schemas.microsoft.com/office/drawing/2014/chart" uri="{C3380CC4-5D6E-409C-BE32-E72D297353CC}">
              <c16:uniqueId val="{00000005-6FBE-46A6-9038-528FB9E1159B}"/>
            </c:ext>
          </c:extLst>
        </c:ser>
        <c:ser>
          <c:idx val="6"/>
          <c:order val="6"/>
          <c:spPr>
            <a:solidFill>
              <a:srgbClr val="28296E"/>
            </a:solidFill>
            <a:ln>
              <a:noFill/>
            </a:ln>
            <a:effectLst/>
          </c:spPr>
          <c:invertIfNegative val="0"/>
          <c:dLbls>
            <c:spPr>
              <a:noFill/>
              <a:ln>
                <a:noFill/>
              </a:ln>
              <a:effectLst/>
            </c:spPr>
            <c:txPr>
              <a:bodyPr rot="0" spcFirstLastPara="1" vertOverflow="ellipsis" vert="horz" wrap="square" lIns="0" tIns="0" rIns="38100" bIns="19050" anchor="ctr" anchorCtr="1">
                <a:spAutoFit/>
              </a:bodyPr>
              <a:lstStyle/>
              <a:p>
                <a:pPr>
                  <a:defRPr sz="800" b="0" i="0" u="none" strike="noStrike" kern="1200" baseline="0">
                    <a:solidFill>
                      <a:srgbClr val="FFFFFF"/>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'Nuclear Decomissioning BG SK'!$Q$5</c:f>
              <c:numCache>
                <c:formatCode>0%</c:formatCode>
                <c:ptCount val="1"/>
                <c:pt idx="0">
                  <c:v>0.79065207478340171</c:v>
                </c:pt>
              </c:numCache>
            </c:numRef>
          </c:val>
          <c:extLst>
            <c:ext xmlns:c16="http://schemas.microsoft.com/office/drawing/2014/chart" uri="{C3380CC4-5D6E-409C-BE32-E72D297353CC}">
              <c16:uniqueId val="{00000006-6FBE-46A6-9038-528FB9E1159B}"/>
            </c:ext>
          </c:extLst>
        </c:ser>
        <c:ser>
          <c:idx val="7"/>
          <c:order val="7"/>
          <c:spPr>
            <a:solidFill>
              <a:srgbClr val="000000"/>
            </a:solidFill>
            <a:ln>
              <a:noFill/>
            </a:ln>
            <a:effectLst/>
          </c:spPr>
          <c:invertIfNegative val="0"/>
          <c:val>
            <c:numRef>
              <c:f>'Nuclear Decomissioning BG SK'!$R$5</c:f>
              <c:numCache>
                <c:formatCode>0%</c:formatCode>
                <c:ptCount val="1"/>
                <c:pt idx="0">
                  <c:v>0</c:v>
                </c:pt>
              </c:numCache>
            </c:numRef>
          </c:val>
          <c:extLst>
            <c:ext xmlns:c16="http://schemas.microsoft.com/office/drawing/2014/chart" uri="{C3380CC4-5D6E-409C-BE32-E72D297353CC}">
              <c16:uniqueId val="{00000007-6FBE-46A6-9038-528FB9E1159B}"/>
            </c:ext>
          </c:extLst>
        </c:ser>
        <c:ser>
          <c:idx val="8"/>
          <c:order val="8"/>
          <c:spPr>
            <a:solidFill>
              <a:srgbClr val="28296E"/>
            </a:solidFill>
            <a:ln>
              <a:noFill/>
            </a:ln>
            <a:effectLst/>
          </c:spPr>
          <c:invertIfNegative val="0"/>
          <c:val>
            <c:numRef>
              <c:f>'Nuclear Decomissioning BG SK'!$S$5</c:f>
              <c:numCache>
                <c:formatCode>0%</c:formatCode>
                <c:ptCount val="1"/>
                <c:pt idx="0">
                  <c:v>0</c:v>
                </c:pt>
              </c:numCache>
            </c:numRef>
          </c:val>
          <c:extLst>
            <c:ext xmlns:c16="http://schemas.microsoft.com/office/drawing/2014/chart" uri="{C3380CC4-5D6E-409C-BE32-E72D297353CC}">
              <c16:uniqueId val="{00000008-6FBE-46A6-9038-528FB9E1159B}"/>
            </c:ext>
          </c:extLst>
        </c:ser>
        <c:dLbls>
          <c:showLegendKey val="0"/>
          <c:showVal val="0"/>
          <c:showCatName val="0"/>
          <c:showSerName val="0"/>
          <c:showPercent val="0"/>
          <c:showBubbleSize val="0"/>
        </c:dLbls>
        <c:gapWidth val="0"/>
        <c:overlap val="100"/>
        <c:axId val="106955904"/>
        <c:axId val="106957440"/>
      </c:barChart>
      <c:catAx>
        <c:axId val="106955904"/>
        <c:scaling>
          <c:orientation val="minMax"/>
        </c:scaling>
        <c:delete val="1"/>
        <c:axPos val="l"/>
        <c:majorTickMark val="none"/>
        <c:minorTickMark val="none"/>
        <c:tickLblPos val="nextTo"/>
        <c:crossAx val="106957440"/>
        <c:crosses val="autoZero"/>
        <c:auto val="1"/>
        <c:lblAlgn val="ctr"/>
        <c:lblOffset val="100"/>
        <c:noMultiLvlLbl val="0"/>
      </c:catAx>
      <c:valAx>
        <c:axId val="106957440"/>
        <c:scaling>
          <c:orientation val="minMax"/>
          <c:max val="1"/>
        </c:scaling>
        <c:delete val="1"/>
        <c:axPos val="b"/>
        <c:numFmt formatCode="0%" sourceLinked="1"/>
        <c:majorTickMark val="none"/>
        <c:minorTickMark val="none"/>
        <c:tickLblPos val="nextTo"/>
        <c:crossAx val="10695590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'Nuclear Decomissioning BG SK'!$K$6</c:f>
              <c:numCache>
                <c:formatCode>0%</c:formatCode>
                <c:ptCount val="1"/>
                <c:pt idx="0">
                  <c:v>1</c:v>
                </c:pt>
              </c:numCache>
            </c:numRef>
          </c:val>
          <c:extLst>
            <c:ext xmlns:c16="http://schemas.microsoft.com/office/drawing/2014/chart" uri="{C3380CC4-5D6E-409C-BE32-E72D297353CC}">
              <c16:uniqueId val="{00000000-5BA8-470B-B8FF-71B0D519296C}"/>
            </c:ext>
          </c:extLst>
        </c:ser>
        <c:ser>
          <c:idx val="1"/>
          <c:order val="1"/>
          <c:spPr>
            <a:solidFill>
              <a:srgbClr val="000000"/>
            </a:solidFill>
            <a:ln>
              <a:noFill/>
            </a:ln>
            <a:effectLst/>
          </c:spPr>
          <c:invertIfNegative val="0"/>
          <c:val>
            <c:numRef>
              <c:f>'Nuclear Decomissioning BG SK'!$L$6</c:f>
              <c:numCache>
                <c:formatCode>0%</c:formatCode>
                <c:ptCount val="1"/>
                <c:pt idx="0">
                  <c:v>0</c:v>
                </c:pt>
              </c:numCache>
            </c:numRef>
          </c:val>
          <c:extLst>
            <c:ext xmlns:c16="http://schemas.microsoft.com/office/drawing/2014/chart" uri="{C3380CC4-5D6E-409C-BE32-E72D297353CC}">
              <c16:uniqueId val="{00000001-5BA8-470B-B8FF-71B0D519296C}"/>
            </c:ext>
          </c:extLst>
        </c:ser>
        <c:ser>
          <c:idx val="2"/>
          <c:order val="2"/>
          <c:spPr>
            <a:solidFill>
              <a:srgbClr val="DCE6F2"/>
            </a:solidFill>
            <a:ln>
              <a:noFill/>
            </a:ln>
            <a:effectLst/>
          </c:spPr>
          <c:invertIfNegative val="0"/>
          <c:val>
            <c:numRef>
              <c:f>'Nuclear Decomissioning BG SK'!$M$6</c:f>
              <c:numCache>
                <c:formatCode>0%</c:formatCode>
                <c:ptCount val="1"/>
                <c:pt idx="0">
                  <c:v>0</c:v>
                </c:pt>
              </c:numCache>
            </c:numRef>
          </c:val>
          <c:extLst>
            <c:ext xmlns:c16="http://schemas.microsoft.com/office/drawing/2014/chart" uri="{C3380CC4-5D6E-409C-BE32-E72D297353CC}">
              <c16:uniqueId val="{00000002-5BA8-470B-B8FF-71B0D519296C}"/>
            </c:ext>
          </c:extLst>
        </c:ser>
        <c:ser>
          <c:idx val="3"/>
          <c:order val="3"/>
          <c:spPr>
            <a:solidFill>
              <a:srgbClr val="00ADDC"/>
            </a:solidFill>
            <a:ln>
              <a:noFill/>
            </a:ln>
            <a:effectLst/>
          </c:spPr>
          <c:invertIfNegative val="0"/>
          <c:val>
            <c:numRef>
              <c:f>'Nuclear Decomissioning BG SK'!$N$6</c:f>
              <c:numCache>
                <c:formatCode>0%</c:formatCode>
                <c:ptCount val="1"/>
                <c:pt idx="0">
                  <c:v>0</c:v>
                </c:pt>
              </c:numCache>
            </c:numRef>
          </c:val>
          <c:extLst>
            <c:ext xmlns:c16="http://schemas.microsoft.com/office/drawing/2014/chart" uri="{C3380CC4-5D6E-409C-BE32-E72D297353CC}">
              <c16:uniqueId val="{00000003-5BA8-470B-B8FF-71B0D519296C}"/>
            </c:ext>
          </c:extLst>
        </c:ser>
        <c:ser>
          <c:idx val="4"/>
          <c:order val="4"/>
          <c:spPr>
            <a:solidFill>
              <a:srgbClr val="000000"/>
            </a:solidFill>
            <a:ln>
              <a:noFill/>
            </a:ln>
            <a:effectLst/>
          </c:spPr>
          <c:invertIfNegative val="0"/>
          <c:val>
            <c:numRef>
              <c:f>'Nuclear Decomissioning BG SK'!$O$6</c:f>
              <c:numCache>
                <c:formatCode>0%</c:formatCode>
                <c:ptCount val="1"/>
                <c:pt idx="0">
                  <c:v>0</c:v>
                </c:pt>
              </c:numCache>
            </c:numRef>
          </c:val>
          <c:extLst>
            <c:ext xmlns:c16="http://schemas.microsoft.com/office/drawing/2014/chart" uri="{C3380CC4-5D6E-409C-BE32-E72D297353CC}">
              <c16:uniqueId val="{00000004-5BA8-470B-B8FF-71B0D519296C}"/>
            </c:ext>
          </c:extLst>
        </c:ser>
        <c:ser>
          <c:idx val="5"/>
          <c:order val="5"/>
          <c:spPr>
            <a:solidFill>
              <a:srgbClr val="00ADDC"/>
            </a:solidFill>
            <a:ln>
              <a:noFill/>
            </a:ln>
            <a:effectLst/>
          </c:spPr>
          <c:invertIfNegative val="0"/>
          <c:val>
            <c:numRef>
              <c:f>'Nuclear Decomissioning BG SK'!$P$6</c:f>
              <c:numCache>
                <c:formatCode>0%</c:formatCode>
                <c:ptCount val="1"/>
                <c:pt idx="0">
                  <c:v>0</c:v>
                </c:pt>
              </c:numCache>
            </c:numRef>
          </c:val>
          <c:extLst>
            <c:ext xmlns:c16="http://schemas.microsoft.com/office/drawing/2014/chart" uri="{C3380CC4-5D6E-409C-BE32-E72D297353CC}">
              <c16:uniqueId val="{00000005-5BA8-470B-B8FF-71B0D519296C}"/>
            </c:ext>
          </c:extLst>
        </c:ser>
        <c:ser>
          <c:idx val="6"/>
          <c:order val="6"/>
          <c:spPr>
            <a:solidFill>
              <a:srgbClr val="28296E"/>
            </a:solidFill>
            <a:ln>
              <a:noFill/>
            </a:ln>
            <a:effectLst/>
          </c:spPr>
          <c:invertIfNegative val="0"/>
          <c:dLbls>
            <c:spPr>
              <a:noFill/>
              <a:ln>
                <a:noFill/>
              </a:ln>
              <a:effectLst/>
            </c:spPr>
            <c:txPr>
              <a:bodyPr rot="0" spcFirstLastPara="1" vertOverflow="ellipsis" vert="horz" wrap="square" lIns="0" tIns="0" rIns="38100" bIns="19050" anchor="ctr" anchorCtr="1">
                <a:spAutoFit/>
              </a:bodyPr>
              <a:lstStyle/>
              <a:p>
                <a:pPr>
                  <a:defRPr sz="800" b="0" i="0" u="none" strike="noStrike" kern="1200" baseline="0">
                    <a:solidFill>
                      <a:srgbClr val="FFFFFF"/>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'Nuclear Decomissioning BG SK'!$Q$6</c:f>
              <c:numCache>
                <c:formatCode>0%</c:formatCode>
                <c:ptCount val="1"/>
                <c:pt idx="0">
                  <c:v>0.88237539937172216</c:v>
                </c:pt>
              </c:numCache>
            </c:numRef>
          </c:val>
          <c:extLst>
            <c:ext xmlns:c16="http://schemas.microsoft.com/office/drawing/2014/chart" uri="{C3380CC4-5D6E-409C-BE32-E72D297353CC}">
              <c16:uniqueId val="{00000006-5BA8-470B-B8FF-71B0D519296C}"/>
            </c:ext>
          </c:extLst>
        </c:ser>
        <c:ser>
          <c:idx val="7"/>
          <c:order val="7"/>
          <c:spPr>
            <a:solidFill>
              <a:srgbClr val="000000"/>
            </a:solidFill>
            <a:ln>
              <a:noFill/>
            </a:ln>
            <a:effectLst/>
          </c:spPr>
          <c:invertIfNegative val="0"/>
          <c:val>
            <c:numRef>
              <c:f>'Nuclear Decomissioning BG SK'!$R$6</c:f>
              <c:numCache>
                <c:formatCode>0%</c:formatCode>
                <c:ptCount val="1"/>
                <c:pt idx="0">
                  <c:v>0</c:v>
                </c:pt>
              </c:numCache>
            </c:numRef>
          </c:val>
          <c:extLst>
            <c:ext xmlns:c16="http://schemas.microsoft.com/office/drawing/2014/chart" uri="{C3380CC4-5D6E-409C-BE32-E72D297353CC}">
              <c16:uniqueId val="{00000007-5BA8-470B-B8FF-71B0D519296C}"/>
            </c:ext>
          </c:extLst>
        </c:ser>
        <c:ser>
          <c:idx val="8"/>
          <c:order val="8"/>
          <c:spPr>
            <a:solidFill>
              <a:srgbClr val="28296E"/>
            </a:solidFill>
            <a:ln>
              <a:noFill/>
            </a:ln>
            <a:effectLst/>
          </c:spPr>
          <c:invertIfNegative val="0"/>
          <c:val>
            <c:numRef>
              <c:f>'Nuclear Decomissioning BG SK'!$S$6</c:f>
              <c:numCache>
                <c:formatCode>0%</c:formatCode>
                <c:ptCount val="1"/>
                <c:pt idx="0">
                  <c:v>0</c:v>
                </c:pt>
              </c:numCache>
            </c:numRef>
          </c:val>
          <c:extLst>
            <c:ext xmlns:c16="http://schemas.microsoft.com/office/drawing/2014/chart" uri="{C3380CC4-5D6E-409C-BE32-E72D297353CC}">
              <c16:uniqueId val="{00000008-5BA8-470B-B8FF-71B0D519296C}"/>
            </c:ext>
          </c:extLst>
        </c:ser>
        <c:dLbls>
          <c:showLegendKey val="0"/>
          <c:showVal val="0"/>
          <c:showCatName val="0"/>
          <c:showSerName val="0"/>
          <c:showPercent val="0"/>
          <c:showBubbleSize val="0"/>
        </c:dLbls>
        <c:gapWidth val="0"/>
        <c:overlap val="100"/>
        <c:axId val="107008384"/>
        <c:axId val="107009920"/>
      </c:barChart>
      <c:catAx>
        <c:axId val="107008384"/>
        <c:scaling>
          <c:orientation val="minMax"/>
        </c:scaling>
        <c:delete val="1"/>
        <c:axPos val="l"/>
        <c:majorTickMark val="none"/>
        <c:minorTickMark val="none"/>
        <c:tickLblPos val="nextTo"/>
        <c:crossAx val="107009920"/>
        <c:crosses val="autoZero"/>
        <c:auto val="1"/>
        <c:lblAlgn val="ctr"/>
        <c:lblOffset val="100"/>
        <c:noMultiLvlLbl val="0"/>
      </c:catAx>
      <c:valAx>
        <c:axId val="107009920"/>
        <c:scaling>
          <c:orientation val="minMax"/>
          <c:max val="1"/>
        </c:scaling>
        <c:delete val="1"/>
        <c:axPos val="b"/>
        <c:numFmt formatCode="0%" sourceLinked="1"/>
        <c:majorTickMark val="none"/>
        <c:minorTickMark val="none"/>
        <c:tickLblPos val="nextTo"/>
        <c:crossAx val="10700838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00ADDC"/>
              </a:solidFill>
              <a:ln w="19050">
                <a:solidFill>
                  <a:schemeClr val="lt1"/>
                </a:solidFill>
              </a:ln>
              <a:effectLst/>
            </c:spPr>
            <c:extLst>
              <c:ext xmlns:c16="http://schemas.microsoft.com/office/drawing/2014/chart" uri="{C3380CC4-5D6E-409C-BE32-E72D297353CC}">
                <c16:uniqueId val="{00000001-5234-4FA5-8EB8-C7D1D659549F}"/>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5234-4FA5-8EB8-C7D1D659549F}"/>
              </c:ext>
            </c:extLst>
          </c:dPt>
          <c:cat>
            <c:strRef>
              <c:f>Sheet1!$A$2:$A$3</c:f>
              <c:strCache>
                <c:ptCount val="2"/>
                <c:pt idx="0">
                  <c:v>1st Qtr</c:v>
                </c:pt>
                <c:pt idx="1">
                  <c:v>2nd Qtr</c:v>
                </c:pt>
              </c:strCache>
            </c:strRef>
          </c:cat>
          <c:val>
            <c:numRef>
              <c:f>Sheet1!$B$2:$B$3</c:f>
              <c:numCache>
                <c:formatCode>0%</c:formatCode>
                <c:ptCount val="2"/>
                <c:pt idx="0">
                  <c:v>0.1</c:v>
                </c:pt>
                <c:pt idx="1">
                  <c:v>0.9</c:v>
                </c:pt>
              </c:numCache>
            </c:numRef>
          </c:val>
          <c:extLst>
            <c:ext xmlns:c16="http://schemas.microsoft.com/office/drawing/2014/chart" uri="{C3380CC4-5D6E-409C-BE32-E72D297353CC}">
              <c16:uniqueId val="{00000004-5234-4FA5-8EB8-C7D1D659549F}"/>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28296E"/>
              </a:solidFill>
              <a:ln w="19050">
                <a:noFill/>
              </a:ln>
              <a:effectLst/>
            </c:spPr>
            <c:extLst>
              <c:ext xmlns:c16="http://schemas.microsoft.com/office/drawing/2014/chart" uri="{C3380CC4-5D6E-409C-BE32-E72D297353CC}">
                <c16:uniqueId val="{00000001-C643-498D-91F1-3155FA9C5162}"/>
              </c:ext>
            </c:extLst>
          </c:dPt>
          <c:dPt>
            <c:idx val="1"/>
            <c:bubble3D val="0"/>
            <c:spPr>
              <a:noFill/>
              <a:ln w="19050">
                <a:noFill/>
              </a:ln>
              <a:effectLst/>
            </c:spPr>
            <c:extLst>
              <c:ext xmlns:c16="http://schemas.microsoft.com/office/drawing/2014/chart" uri="{C3380CC4-5D6E-409C-BE32-E72D297353CC}">
                <c16:uniqueId val="{00000003-C643-498D-91F1-3155FA9C5162}"/>
              </c:ext>
            </c:extLst>
          </c:dPt>
          <c:cat>
            <c:strRef>
              <c:f>Sheet1!$A$2:$A$3</c:f>
              <c:strCache>
                <c:ptCount val="2"/>
                <c:pt idx="0">
                  <c:v>1st Qtr</c:v>
                </c:pt>
                <c:pt idx="1">
                  <c:v>2nd Qtr</c:v>
                </c:pt>
              </c:strCache>
            </c:strRef>
          </c:cat>
          <c:val>
            <c:numRef>
              <c:f>Sheet1!$B$2:$B$3</c:f>
              <c:numCache>
                <c:formatCode>0%</c:formatCode>
                <c:ptCount val="2"/>
                <c:pt idx="0">
                  <c:v>0.85</c:v>
                </c:pt>
                <c:pt idx="1">
                  <c:v>0.15</c:v>
                </c:pt>
              </c:numCache>
            </c:numRef>
          </c:val>
          <c:extLst>
            <c:ext xmlns:c16="http://schemas.microsoft.com/office/drawing/2014/chart" uri="{C3380CC4-5D6E-409C-BE32-E72D297353CC}">
              <c16:uniqueId val="{00000004-C643-498D-91F1-3155FA9C5162}"/>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'Nuclear Decomissioning LT'!$K$4</c:f>
              <c:numCache>
                <c:formatCode>0%</c:formatCode>
                <c:ptCount val="1"/>
                <c:pt idx="0">
                  <c:v>1</c:v>
                </c:pt>
              </c:numCache>
            </c:numRef>
          </c:val>
          <c:extLst>
            <c:ext xmlns:c16="http://schemas.microsoft.com/office/drawing/2014/chart" uri="{C3380CC4-5D6E-409C-BE32-E72D297353CC}">
              <c16:uniqueId val="{00000000-CBE1-45C1-B50B-7495AC5F4418}"/>
            </c:ext>
          </c:extLst>
        </c:ser>
        <c:ser>
          <c:idx val="1"/>
          <c:order val="1"/>
          <c:spPr>
            <a:solidFill>
              <a:srgbClr val="000000"/>
            </a:solidFill>
            <a:ln>
              <a:noFill/>
            </a:ln>
            <a:effectLst/>
          </c:spPr>
          <c:invertIfNegative val="0"/>
          <c:val>
            <c:numRef>
              <c:f>'Nuclear Decomissioning LT'!$L$4</c:f>
              <c:numCache>
                <c:formatCode>0%</c:formatCode>
                <c:ptCount val="1"/>
                <c:pt idx="0">
                  <c:v>0</c:v>
                </c:pt>
              </c:numCache>
            </c:numRef>
          </c:val>
          <c:extLst>
            <c:ext xmlns:c16="http://schemas.microsoft.com/office/drawing/2014/chart" uri="{C3380CC4-5D6E-409C-BE32-E72D297353CC}">
              <c16:uniqueId val="{00000001-CBE1-45C1-B50B-7495AC5F4418}"/>
            </c:ext>
          </c:extLst>
        </c:ser>
        <c:ser>
          <c:idx val="2"/>
          <c:order val="2"/>
          <c:spPr>
            <a:solidFill>
              <a:srgbClr val="DCE6F2"/>
            </a:solidFill>
            <a:ln>
              <a:noFill/>
            </a:ln>
            <a:effectLst/>
          </c:spPr>
          <c:invertIfNegative val="0"/>
          <c:val>
            <c:numRef>
              <c:f>'Nuclear Decomissioning LT'!$M$4</c:f>
              <c:numCache>
                <c:formatCode>0%</c:formatCode>
                <c:ptCount val="1"/>
                <c:pt idx="0">
                  <c:v>0</c:v>
                </c:pt>
              </c:numCache>
            </c:numRef>
          </c:val>
          <c:extLst>
            <c:ext xmlns:c16="http://schemas.microsoft.com/office/drawing/2014/chart" uri="{C3380CC4-5D6E-409C-BE32-E72D297353CC}">
              <c16:uniqueId val="{00000002-CBE1-45C1-B50B-7495AC5F4418}"/>
            </c:ext>
          </c:extLst>
        </c:ser>
        <c:ser>
          <c:idx val="3"/>
          <c:order val="3"/>
          <c:spPr>
            <a:solidFill>
              <a:srgbClr val="00ADDC"/>
            </a:solidFill>
            <a:ln>
              <a:noFill/>
            </a:ln>
            <a:effectLst/>
          </c:spPr>
          <c:invertIfNegative val="0"/>
          <c:val>
            <c:numRef>
              <c:f>'Nuclear Decomissioning LT'!$N$4</c:f>
              <c:numCache>
                <c:formatCode>0%</c:formatCode>
                <c:ptCount val="1"/>
                <c:pt idx="0">
                  <c:v>0</c:v>
                </c:pt>
              </c:numCache>
            </c:numRef>
          </c:val>
          <c:extLst>
            <c:ext xmlns:c16="http://schemas.microsoft.com/office/drawing/2014/chart" uri="{C3380CC4-5D6E-409C-BE32-E72D297353CC}">
              <c16:uniqueId val="{00000003-CBE1-45C1-B50B-7495AC5F4418}"/>
            </c:ext>
          </c:extLst>
        </c:ser>
        <c:ser>
          <c:idx val="4"/>
          <c:order val="4"/>
          <c:spPr>
            <a:solidFill>
              <a:srgbClr val="000000"/>
            </a:solidFill>
            <a:ln>
              <a:noFill/>
            </a:ln>
            <a:effectLst/>
          </c:spPr>
          <c:invertIfNegative val="0"/>
          <c:val>
            <c:numRef>
              <c:f>'Nuclear Decomissioning LT'!$O$4</c:f>
              <c:numCache>
                <c:formatCode>0%</c:formatCode>
                <c:ptCount val="1"/>
                <c:pt idx="0">
                  <c:v>0</c:v>
                </c:pt>
              </c:numCache>
            </c:numRef>
          </c:val>
          <c:extLst>
            <c:ext xmlns:c16="http://schemas.microsoft.com/office/drawing/2014/chart" uri="{C3380CC4-5D6E-409C-BE32-E72D297353CC}">
              <c16:uniqueId val="{00000004-CBE1-45C1-B50B-7495AC5F4418}"/>
            </c:ext>
          </c:extLst>
        </c:ser>
        <c:ser>
          <c:idx val="5"/>
          <c:order val="5"/>
          <c:spPr>
            <a:solidFill>
              <a:srgbClr val="00ADDC"/>
            </a:solidFill>
            <a:ln>
              <a:noFill/>
            </a:ln>
            <a:effectLst/>
          </c:spPr>
          <c:invertIfNegative val="0"/>
          <c:val>
            <c:numRef>
              <c:f>'Nuclear Decomissioning LT'!$P$4</c:f>
              <c:numCache>
                <c:formatCode>0%</c:formatCode>
                <c:ptCount val="1"/>
                <c:pt idx="0">
                  <c:v>0</c:v>
                </c:pt>
              </c:numCache>
            </c:numRef>
          </c:val>
          <c:extLst>
            <c:ext xmlns:c16="http://schemas.microsoft.com/office/drawing/2014/chart" uri="{C3380CC4-5D6E-409C-BE32-E72D297353CC}">
              <c16:uniqueId val="{00000005-CBE1-45C1-B50B-7495AC5F4418}"/>
            </c:ext>
          </c:extLst>
        </c:ser>
        <c:ser>
          <c:idx val="6"/>
          <c:order val="6"/>
          <c:spPr>
            <a:solidFill>
              <a:srgbClr val="28296E"/>
            </a:solidFill>
            <a:ln>
              <a:noFill/>
            </a:ln>
            <a:effectLst/>
          </c:spPr>
          <c:invertIfNegative val="0"/>
          <c:dLbls>
            <c:dLbl>
              <c:idx val="0"/>
              <c:layout>
                <c:manualLayout>
                  <c:x val="-0.13255676911353834"/>
                  <c:y val="0"/>
                </c:manualLayout>
              </c:layout>
              <c:spPr>
                <a:noFill/>
                <a:ln>
                  <a:noFill/>
                </a:ln>
                <a:effectLst/>
              </c:spPr>
              <c:txPr>
                <a:bodyPr wrap="square" lIns="38100" tIns="19050" rIns="38100" bIns="19050" anchor="ctr">
                  <a:noAutofit/>
                </a:bodyPr>
                <a:lstStyle/>
                <a:p>
                  <a:pPr>
                    <a:defRPr sz="800">
                      <a:solidFill>
                        <a:srgbClr val="FFFFFF"/>
                      </a:solidFill>
                    </a:defRPr>
                  </a:pPr>
                  <a:endParaRPr lang="fr-FR"/>
                </a:p>
              </c:txPr>
              <c:dLblPos val="outEnd"/>
              <c:showLegendKey val="0"/>
              <c:showVal val="1"/>
              <c:showCatName val="0"/>
              <c:showSerName val="0"/>
              <c:showPercent val="0"/>
              <c:showBubbleSize val="0"/>
              <c:extLst>
                <c:ext xmlns:c15="http://schemas.microsoft.com/office/drawing/2012/chart" uri="{CE6537A1-D6FC-4f65-9D91-7224C49458BB}">
                  <c15:layout>
                    <c:manualLayout>
                      <c:w val="0.15830581661163323"/>
                      <c:h val="0.9"/>
                    </c:manualLayout>
                  </c15:layout>
                </c:ext>
                <c:ext xmlns:c16="http://schemas.microsoft.com/office/drawing/2014/chart" uri="{C3380CC4-5D6E-409C-BE32-E72D297353CC}">
                  <c16:uniqueId val="{00000006-CBE1-45C1-B50B-7495AC5F4418}"/>
                </c:ext>
              </c:extLst>
            </c:dLbl>
            <c:spPr>
              <a:noFill/>
              <a:ln>
                <a:noFill/>
              </a:ln>
              <a:effectLst/>
            </c:spPr>
            <c:txPr>
              <a:bodyPr wrap="square" lIns="38100" tIns="1905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'Nuclear Decomissioning LT'!$Q$4</c:f>
              <c:numCache>
                <c:formatCode>0%</c:formatCode>
                <c:ptCount val="1"/>
                <c:pt idx="0">
                  <c:v>0.87635869565217395</c:v>
                </c:pt>
              </c:numCache>
            </c:numRef>
          </c:val>
          <c:extLst>
            <c:ext xmlns:c16="http://schemas.microsoft.com/office/drawing/2014/chart" uri="{C3380CC4-5D6E-409C-BE32-E72D297353CC}">
              <c16:uniqueId val="{00000007-CBE1-45C1-B50B-7495AC5F4418}"/>
            </c:ext>
          </c:extLst>
        </c:ser>
        <c:ser>
          <c:idx val="7"/>
          <c:order val="7"/>
          <c:spPr>
            <a:solidFill>
              <a:srgbClr val="000000"/>
            </a:solidFill>
            <a:ln>
              <a:noFill/>
            </a:ln>
            <a:effectLst/>
          </c:spPr>
          <c:invertIfNegative val="0"/>
          <c:val>
            <c:numRef>
              <c:f>'Nuclear Decomissioning LT'!$R$4</c:f>
              <c:numCache>
                <c:formatCode>0%</c:formatCode>
                <c:ptCount val="1"/>
                <c:pt idx="0">
                  <c:v>0</c:v>
                </c:pt>
              </c:numCache>
            </c:numRef>
          </c:val>
          <c:extLst>
            <c:ext xmlns:c16="http://schemas.microsoft.com/office/drawing/2014/chart" uri="{C3380CC4-5D6E-409C-BE32-E72D297353CC}">
              <c16:uniqueId val="{00000008-CBE1-45C1-B50B-7495AC5F4418}"/>
            </c:ext>
          </c:extLst>
        </c:ser>
        <c:ser>
          <c:idx val="8"/>
          <c:order val="8"/>
          <c:spPr>
            <a:solidFill>
              <a:srgbClr val="28296E"/>
            </a:solidFill>
            <a:ln>
              <a:noFill/>
            </a:ln>
            <a:effectLst/>
          </c:spPr>
          <c:invertIfNegative val="0"/>
          <c:val>
            <c:numRef>
              <c:f>'Nuclear Decomissioning LT'!$S$4</c:f>
              <c:numCache>
                <c:formatCode>0%</c:formatCode>
                <c:ptCount val="1"/>
                <c:pt idx="0">
                  <c:v>0</c:v>
                </c:pt>
              </c:numCache>
            </c:numRef>
          </c:val>
          <c:extLst>
            <c:ext xmlns:c16="http://schemas.microsoft.com/office/drawing/2014/chart" uri="{C3380CC4-5D6E-409C-BE32-E72D297353CC}">
              <c16:uniqueId val="{00000009-CBE1-45C1-B50B-7495AC5F4418}"/>
            </c:ext>
          </c:extLst>
        </c:ser>
        <c:dLbls>
          <c:showLegendKey val="0"/>
          <c:showVal val="0"/>
          <c:showCatName val="0"/>
          <c:showSerName val="0"/>
          <c:showPercent val="0"/>
          <c:showBubbleSize val="0"/>
        </c:dLbls>
        <c:gapWidth val="0"/>
        <c:overlap val="100"/>
        <c:axId val="107812736"/>
        <c:axId val="107814272"/>
      </c:barChart>
      <c:catAx>
        <c:axId val="107812736"/>
        <c:scaling>
          <c:orientation val="minMax"/>
        </c:scaling>
        <c:delete val="1"/>
        <c:axPos val="l"/>
        <c:majorTickMark val="none"/>
        <c:minorTickMark val="none"/>
        <c:tickLblPos val="nextTo"/>
        <c:crossAx val="107814272"/>
        <c:crosses val="autoZero"/>
        <c:auto val="1"/>
        <c:lblAlgn val="ctr"/>
        <c:lblOffset val="100"/>
        <c:noMultiLvlLbl val="0"/>
      </c:catAx>
      <c:valAx>
        <c:axId val="107814272"/>
        <c:scaling>
          <c:orientation val="minMax"/>
          <c:max val="1"/>
        </c:scaling>
        <c:delete val="1"/>
        <c:axPos val="b"/>
        <c:numFmt formatCode="0%" sourceLinked="1"/>
        <c:majorTickMark val="none"/>
        <c:minorTickMark val="none"/>
        <c:tickLblPos val="nextTo"/>
        <c:crossAx val="10781273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'Nuclear Decomissioning LT'!$K$5</c:f>
              <c:numCache>
                <c:formatCode>0%</c:formatCode>
                <c:ptCount val="1"/>
                <c:pt idx="0">
                  <c:v>1</c:v>
                </c:pt>
              </c:numCache>
            </c:numRef>
          </c:val>
          <c:extLst>
            <c:ext xmlns:c16="http://schemas.microsoft.com/office/drawing/2014/chart" uri="{C3380CC4-5D6E-409C-BE32-E72D297353CC}">
              <c16:uniqueId val="{00000000-E556-4C5B-B2A6-BBF8C3442CFB}"/>
            </c:ext>
          </c:extLst>
        </c:ser>
        <c:ser>
          <c:idx val="1"/>
          <c:order val="1"/>
          <c:spPr>
            <a:solidFill>
              <a:srgbClr val="000000"/>
            </a:solidFill>
            <a:ln>
              <a:noFill/>
            </a:ln>
            <a:effectLst/>
          </c:spPr>
          <c:invertIfNegative val="0"/>
          <c:val>
            <c:numRef>
              <c:f>'Nuclear Decomissioning LT'!$L$5</c:f>
              <c:numCache>
                <c:formatCode>0%</c:formatCode>
                <c:ptCount val="1"/>
                <c:pt idx="0">
                  <c:v>0</c:v>
                </c:pt>
              </c:numCache>
            </c:numRef>
          </c:val>
          <c:extLst>
            <c:ext xmlns:c16="http://schemas.microsoft.com/office/drawing/2014/chart" uri="{C3380CC4-5D6E-409C-BE32-E72D297353CC}">
              <c16:uniqueId val="{00000001-E556-4C5B-B2A6-BBF8C3442CFB}"/>
            </c:ext>
          </c:extLst>
        </c:ser>
        <c:ser>
          <c:idx val="2"/>
          <c:order val="2"/>
          <c:spPr>
            <a:solidFill>
              <a:srgbClr val="DCE6F2"/>
            </a:solidFill>
            <a:ln>
              <a:noFill/>
            </a:ln>
            <a:effectLst/>
          </c:spPr>
          <c:invertIfNegative val="0"/>
          <c:val>
            <c:numRef>
              <c:f>'Nuclear Decomissioning LT'!$M$5</c:f>
              <c:numCache>
                <c:formatCode>0%</c:formatCode>
                <c:ptCount val="1"/>
                <c:pt idx="0">
                  <c:v>0</c:v>
                </c:pt>
              </c:numCache>
            </c:numRef>
          </c:val>
          <c:extLst>
            <c:ext xmlns:c16="http://schemas.microsoft.com/office/drawing/2014/chart" uri="{C3380CC4-5D6E-409C-BE32-E72D297353CC}">
              <c16:uniqueId val="{00000002-E556-4C5B-B2A6-BBF8C3442CFB}"/>
            </c:ext>
          </c:extLst>
        </c:ser>
        <c:ser>
          <c:idx val="3"/>
          <c:order val="3"/>
          <c:spPr>
            <a:solidFill>
              <a:srgbClr val="00ADDC"/>
            </a:solidFill>
            <a:ln>
              <a:noFill/>
            </a:ln>
            <a:effectLst/>
          </c:spPr>
          <c:invertIfNegative val="0"/>
          <c:val>
            <c:numRef>
              <c:f>'Nuclear Decomissioning LT'!$N$5</c:f>
              <c:numCache>
                <c:formatCode>0%</c:formatCode>
                <c:ptCount val="1"/>
                <c:pt idx="0">
                  <c:v>0</c:v>
                </c:pt>
              </c:numCache>
            </c:numRef>
          </c:val>
          <c:extLst>
            <c:ext xmlns:c16="http://schemas.microsoft.com/office/drawing/2014/chart" uri="{C3380CC4-5D6E-409C-BE32-E72D297353CC}">
              <c16:uniqueId val="{00000003-E556-4C5B-B2A6-BBF8C3442CFB}"/>
            </c:ext>
          </c:extLst>
        </c:ser>
        <c:ser>
          <c:idx val="4"/>
          <c:order val="4"/>
          <c:spPr>
            <a:solidFill>
              <a:srgbClr val="000000"/>
            </a:solidFill>
            <a:ln>
              <a:noFill/>
            </a:ln>
            <a:effectLst/>
          </c:spPr>
          <c:invertIfNegative val="0"/>
          <c:val>
            <c:numRef>
              <c:f>'Nuclear Decomissioning LT'!$O$5</c:f>
              <c:numCache>
                <c:formatCode>0%</c:formatCode>
                <c:ptCount val="1"/>
                <c:pt idx="0">
                  <c:v>0</c:v>
                </c:pt>
              </c:numCache>
            </c:numRef>
          </c:val>
          <c:extLst>
            <c:ext xmlns:c16="http://schemas.microsoft.com/office/drawing/2014/chart" uri="{C3380CC4-5D6E-409C-BE32-E72D297353CC}">
              <c16:uniqueId val="{00000004-E556-4C5B-B2A6-BBF8C3442CFB}"/>
            </c:ext>
          </c:extLst>
        </c:ser>
        <c:ser>
          <c:idx val="5"/>
          <c:order val="5"/>
          <c:spPr>
            <a:solidFill>
              <a:srgbClr val="00ADDC"/>
            </a:solidFill>
            <a:ln>
              <a:noFill/>
            </a:ln>
            <a:effectLst/>
          </c:spPr>
          <c:invertIfNegative val="0"/>
          <c:val>
            <c:numRef>
              <c:f>'Nuclear Decomissioning LT'!$P$5</c:f>
              <c:numCache>
                <c:formatCode>0%</c:formatCode>
                <c:ptCount val="1"/>
                <c:pt idx="0">
                  <c:v>0</c:v>
                </c:pt>
              </c:numCache>
            </c:numRef>
          </c:val>
          <c:extLst>
            <c:ext xmlns:c16="http://schemas.microsoft.com/office/drawing/2014/chart" uri="{C3380CC4-5D6E-409C-BE32-E72D297353CC}">
              <c16:uniqueId val="{00000005-E556-4C5B-B2A6-BBF8C3442CFB}"/>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'Nuclear Decomissioning LT'!$Q$5</c:f>
              <c:numCache>
                <c:formatCode>0%</c:formatCode>
                <c:ptCount val="1"/>
                <c:pt idx="0">
                  <c:v>1</c:v>
                </c:pt>
              </c:numCache>
            </c:numRef>
          </c:val>
          <c:extLst>
            <c:ext xmlns:c16="http://schemas.microsoft.com/office/drawing/2014/chart" uri="{C3380CC4-5D6E-409C-BE32-E72D297353CC}">
              <c16:uniqueId val="{00000006-E556-4C5B-B2A6-BBF8C3442CFB}"/>
            </c:ext>
          </c:extLst>
        </c:ser>
        <c:ser>
          <c:idx val="7"/>
          <c:order val="7"/>
          <c:spPr>
            <a:solidFill>
              <a:srgbClr val="000000"/>
            </a:solidFill>
            <a:ln>
              <a:noFill/>
            </a:ln>
            <a:effectLst/>
          </c:spPr>
          <c:invertIfNegative val="0"/>
          <c:val>
            <c:numRef>
              <c:f>'Nuclear Decomissioning LT'!$R$5</c:f>
              <c:numCache>
                <c:formatCode>0%</c:formatCode>
                <c:ptCount val="1"/>
                <c:pt idx="0">
                  <c:v>0</c:v>
                </c:pt>
              </c:numCache>
            </c:numRef>
          </c:val>
          <c:extLst>
            <c:ext xmlns:c16="http://schemas.microsoft.com/office/drawing/2014/chart" uri="{C3380CC4-5D6E-409C-BE32-E72D297353CC}">
              <c16:uniqueId val="{00000007-E556-4C5B-B2A6-BBF8C3442CFB}"/>
            </c:ext>
          </c:extLst>
        </c:ser>
        <c:ser>
          <c:idx val="8"/>
          <c:order val="8"/>
          <c:spPr>
            <a:solidFill>
              <a:srgbClr val="28296E"/>
            </a:solidFill>
            <a:ln>
              <a:noFill/>
            </a:ln>
            <a:effectLst/>
          </c:spPr>
          <c:invertIfNegative val="0"/>
          <c:val>
            <c:numRef>
              <c:f>'Nuclear Decomissioning LT'!$S$5</c:f>
              <c:numCache>
                <c:formatCode>0%</c:formatCode>
                <c:ptCount val="1"/>
                <c:pt idx="0">
                  <c:v>0</c:v>
                </c:pt>
              </c:numCache>
            </c:numRef>
          </c:val>
          <c:extLst>
            <c:ext xmlns:c16="http://schemas.microsoft.com/office/drawing/2014/chart" uri="{C3380CC4-5D6E-409C-BE32-E72D297353CC}">
              <c16:uniqueId val="{00000008-E556-4C5B-B2A6-BBF8C3442CFB}"/>
            </c:ext>
          </c:extLst>
        </c:ser>
        <c:dLbls>
          <c:showLegendKey val="0"/>
          <c:showVal val="0"/>
          <c:showCatName val="0"/>
          <c:showSerName val="0"/>
          <c:showPercent val="0"/>
          <c:showBubbleSize val="0"/>
        </c:dLbls>
        <c:gapWidth val="0"/>
        <c:overlap val="100"/>
        <c:axId val="107865216"/>
        <c:axId val="107866752"/>
      </c:barChart>
      <c:catAx>
        <c:axId val="107865216"/>
        <c:scaling>
          <c:orientation val="minMax"/>
        </c:scaling>
        <c:delete val="1"/>
        <c:axPos val="l"/>
        <c:majorTickMark val="none"/>
        <c:minorTickMark val="none"/>
        <c:tickLblPos val="nextTo"/>
        <c:crossAx val="107866752"/>
        <c:crosses val="autoZero"/>
        <c:auto val="1"/>
        <c:lblAlgn val="ctr"/>
        <c:lblOffset val="100"/>
        <c:noMultiLvlLbl val="0"/>
      </c:catAx>
      <c:valAx>
        <c:axId val="107866752"/>
        <c:scaling>
          <c:orientation val="minMax"/>
          <c:max val="1"/>
        </c:scaling>
        <c:delete val="1"/>
        <c:axPos val="b"/>
        <c:numFmt formatCode="0%" sourceLinked="1"/>
        <c:majorTickMark val="none"/>
        <c:minorTickMark val="none"/>
        <c:tickLblPos val="nextTo"/>
        <c:crossAx val="10786521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'Nuclear Decomissioning LT'!$K$6</c:f>
              <c:numCache>
                <c:formatCode>0%</c:formatCode>
                <c:ptCount val="1"/>
                <c:pt idx="0">
                  <c:v>1</c:v>
                </c:pt>
              </c:numCache>
            </c:numRef>
          </c:val>
          <c:extLst>
            <c:ext xmlns:c16="http://schemas.microsoft.com/office/drawing/2014/chart" uri="{C3380CC4-5D6E-409C-BE32-E72D297353CC}">
              <c16:uniqueId val="{00000000-BAA0-4647-A98C-EEB9271CB6A5}"/>
            </c:ext>
          </c:extLst>
        </c:ser>
        <c:ser>
          <c:idx val="1"/>
          <c:order val="1"/>
          <c:spPr>
            <a:solidFill>
              <a:srgbClr val="000000"/>
            </a:solidFill>
            <a:ln>
              <a:noFill/>
            </a:ln>
            <a:effectLst/>
          </c:spPr>
          <c:invertIfNegative val="0"/>
          <c:val>
            <c:numRef>
              <c:f>'Nuclear Decomissioning LT'!$L$6</c:f>
              <c:numCache>
                <c:formatCode>0%</c:formatCode>
                <c:ptCount val="1"/>
                <c:pt idx="0">
                  <c:v>0</c:v>
                </c:pt>
              </c:numCache>
            </c:numRef>
          </c:val>
          <c:extLst>
            <c:ext xmlns:c16="http://schemas.microsoft.com/office/drawing/2014/chart" uri="{C3380CC4-5D6E-409C-BE32-E72D297353CC}">
              <c16:uniqueId val="{00000001-BAA0-4647-A98C-EEB9271CB6A5}"/>
            </c:ext>
          </c:extLst>
        </c:ser>
        <c:ser>
          <c:idx val="2"/>
          <c:order val="2"/>
          <c:spPr>
            <a:solidFill>
              <a:srgbClr val="DCE6F2"/>
            </a:solidFill>
            <a:ln>
              <a:noFill/>
            </a:ln>
            <a:effectLst/>
          </c:spPr>
          <c:invertIfNegative val="0"/>
          <c:val>
            <c:numRef>
              <c:f>'Nuclear Decomissioning LT'!$M$6</c:f>
              <c:numCache>
                <c:formatCode>0%</c:formatCode>
                <c:ptCount val="1"/>
                <c:pt idx="0">
                  <c:v>0</c:v>
                </c:pt>
              </c:numCache>
            </c:numRef>
          </c:val>
          <c:extLst>
            <c:ext xmlns:c16="http://schemas.microsoft.com/office/drawing/2014/chart" uri="{C3380CC4-5D6E-409C-BE32-E72D297353CC}">
              <c16:uniqueId val="{00000002-BAA0-4647-A98C-EEB9271CB6A5}"/>
            </c:ext>
          </c:extLst>
        </c:ser>
        <c:ser>
          <c:idx val="3"/>
          <c:order val="3"/>
          <c:spPr>
            <a:solidFill>
              <a:srgbClr val="00ADDC"/>
            </a:solidFill>
            <a:ln>
              <a:noFill/>
            </a:ln>
            <a:effectLst/>
          </c:spPr>
          <c:invertIfNegative val="0"/>
          <c:val>
            <c:numRef>
              <c:f>'Nuclear Decomissioning LT'!$N$6</c:f>
              <c:numCache>
                <c:formatCode>0%</c:formatCode>
                <c:ptCount val="1"/>
                <c:pt idx="0">
                  <c:v>0</c:v>
                </c:pt>
              </c:numCache>
            </c:numRef>
          </c:val>
          <c:extLst>
            <c:ext xmlns:c16="http://schemas.microsoft.com/office/drawing/2014/chart" uri="{C3380CC4-5D6E-409C-BE32-E72D297353CC}">
              <c16:uniqueId val="{00000003-BAA0-4647-A98C-EEB9271CB6A5}"/>
            </c:ext>
          </c:extLst>
        </c:ser>
        <c:ser>
          <c:idx val="4"/>
          <c:order val="4"/>
          <c:spPr>
            <a:solidFill>
              <a:srgbClr val="000000"/>
            </a:solidFill>
            <a:ln>
              <a:noFill/>
            </a:ln>
            <a:effectLst/>
          </c:spPr>
          <c:invertIfNegative val="0"/>
          <c:val>
            <c:numRef>
              <c:f>'Nuclear Decomissioning LT'!$O$6</c:f>
              <c:numCache>
                <c:formatCode>0%</c:formatCode>
                <c:ptCount val="1"/>
                <c:pt idx="0">
                  <c:v>0</c:v>
                </c:pt>
              </c:numCache>
            </c:numRef>
          </c:val>
          <c:extLst>
            <c:ext xmlns:c16="http://schemas.microsoft.com/office/drawing/2014/chart" uri="{C3380CC4-5D6E-409C-BE32-E72D297353CC}">
              <c16:uniqueId val="{00000004-BAA0-4647-A98C-EEB9271CB6A5}"/>
            </c:ext>
          </c:extLst>
        </c:ser>
        <c:ser>
          <c:idx val="5"/>
          <c:order val="5"/>
          <c:spPr>
            <a:solidFill>
              <a:srgbClr val="00ADDC"/>
            </a:solidFill>
            <a:ln>
              <a:noFill/>
            </a:ln>
            <a:effectLst/>
          </c:spPr>
          <c:invertIfNegative val="0"/>
          <c:val>
            <c:numRef>
              <c:f>'Nuclear Decomissioning LT'!$P$6</c:f>
              <c:numCache>
                <c:formatCode>0%</c:formatCode>
                <c:ptCount val="1"/>
                <c:pt idx="0">
                  <c:v>0</c:v>
                </c:pt>
              </c:numCache>
            </c:numRef>
          </c:val>
          <c:extLst>
            <c:ext xmlns:c16="http://schemas.microsoft.com/office/drawing/2014/chart" uri="{C3380CC4-5D6E-409C-BE32-E72D297353CC}">
              <c16:uniqueId val="{00000005-BAA0-4647-A98C-EEB9271CB6A5}"/>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'Nuclear Decomissioning LT'!$Q$6</c:f>
              <c:numCache>
                <c:formatCode>0%</c:formatCode>
                <c:ptCount val="1"/>
                <c:pt idx="0">
                  <c:v>1</c:v>
                </c:pt>
              </c:numCache>
            </c:numRef>
          </c:val>
          <c:extLst>
            <c:ext xmlns:c16="http://schemas.microsoft.com/office/drawing/2014/chart" uri="{C3380CC4-5D6E-409C-BE32-E72D297353CC}">
              <c16:uniqueId val="{00000006-BAA0-4647-A98C-EEB9271CB6A5}"/>
            </c:ext>
          </c:extLst>
        </c:ser>
        <c:ser>
          <c:idx val="7"/>
          <c:order val="7"/>
          <c:spPr>
            <a:solidFill>
              <a:srgbClr val="000000"/>
            </a:solidFill>
            <a:ln>
              <a:noFill/>
            </a:ln>
            <a:effectLst/>
          </c:spPr>
          <c:invertIfNegative val="0"/>
          <c:val>
            <c:numRef>
              <c:f>'Nuclear Decomissioning LT'!$R$6</c:f>
              <c:numCache>
                <c:formatCode>0%</c:formatCode>
                <c:ptCount val="1"/>
                <c:pt idx="0">
                  <c:v>0</c:v>
                </c:pt>
              </c:numCache>
            </c:numRef>
          </c:val>
          <c:extLst>
            <c:ext xmlns:c16="http://schemas.microsoft.com/office/drawing/2014/chart" uri="{C3380CC4-5D6E-409C-BE32-E72D297353CC}">
              <c16:uniqueId val="{00000007-BAA0-4647-A98C-EEB9271CB6A5}"/>
            </c:ext>
          </c:extLst>
        </c:ser>
        <c:ser>
          <c:idx val="8"/>
          <c:order val="8"/>
          <c:spPr>
            <a:solidFill>
              <a:srgbClr val="28296E"/>
            </a:solidFill>
            <a:ln>
              <a:noFill/>
            </a:ln>
            <a:effectLst/>
          </c:spPr>
          <c:invertIfNegative val="0"/>
          <c:val>
            <c:numRef>
              <c:f>'Nuclear Decomissioning LT'!$S$6</c:f>
              <c:numCache>
                <c:formatCode>0%</c:formatCode>
                <c:ptCount val="1"/>
                <c:pt idx="0">
                  <c:v>0</c:v>
                </c:pt>
              </c:numCache>
            </c:numRef>
          </c:val>
          <c:extLst>
            <c:ext xmlns:c16="http://schemas.microsoft.com/office/drawing/2014/chart" uri="{C3380CC4-5D6E-409C-BE32-E72D297353CC}">
              <c16:uniqueId val="{00000008-BAA0-4647-A98C-EEB9271CB6A5}"/>
            </c:ext>
          </c:extLst>
        </c:ser>
        <c:dLbls>
          <c:showLegendKey val="0"/>
          <c:showVal val="0"/>
          <c:showCatName val="0"/>
          <c:showSerName val="0"/>
          <c:showPercent val="0"/>
          <c:showBubbleSize val="0"/>
        </c:dLbls>
        <c:gapWidth val="0"/>
        <c:overlap val="100"/>
        <c:axId val="107925888"/>
        <c:axId val="107927424"/>
      </c:barChart>
      <c:catAx>
        <c:axId val="107925888"/>
        <c:scaling>
          <c:orientation val="minMax"/>
        </c:scaling>
        <c:delete val="1"/>
        <c:axPos val="l"/>
        <c:majorTickMark val="none"/>
        <c:minorTickMark val="none"/>
        <c:tickLblPos val="nextTo"/>
        <c:crossAx val="107927424"/>
        <c:crosses val="autoZero"/>
        <c:auto val="1"/>
        <c:lblAlgn val="ctr"/>
        <c:lblOffset val="100"/>
        <c:noMultiLvlLbl val="0"/>
      </c:catAx>
      <c:valAx>
        <c:axId val="107927424"/>
        <c:scaling>
          <c:orientation val="minMax"/>
          <c:max val="1"/>
        </c:scaling>
        <c:delete val="1"/>
        <c:axPos val="b"/>
        <c:numFmt formatCode="0%" sourceLinked="1"/>
        <c:majorTickMark val="none"/>
        <c:minorTickMark val="none"/>
        <c:tickLblPos val="nextTo"/>
        <c:crossAx val="10792588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Galileo!$K$5</c:f>
              <c:numCache>
                <c:formatCode>0%</c:formatCode>
                <c:ptCount val="1"/>
                <c:pt idx="0">
                  <c:v>1</c:v>
                </c:pt>
              </c:numCache>
            </c:numRef>
          </c:val>
          <c:extLst>
            <c:ext xmlns:c16="http://schemas.microsoft.com/office/drawing/2014/chart" uri="{C3380CC4-5D6E-409C-BE32-E72D297353CC}">
              <c16:uniqueId val="{00000000-3001-4325-959F-567552BCAF63}"/>
            </c:ext>
          </c:extLst>
        </c:ser>
        <c:ser>
          <c:idx val="1"/>
          <c:order val="1"/>
          <c:spPr>
            <a:solidFill>
              <a:srgbClr val="000000"/>
            </a:solidFill>
            <a:ln>
              <a:noFill/>
            </a:ln>
            <a:effectLst/>
          </c:spPr>
          <c:invertIfNegative val="0"/>
          <c:val>
            <c:numRef>
              <c:f>Galileo!$L$5</c:f>
              <c:numCache>
                <c:formatCode>0%</c:formatCode>
                <c:ptCount val="1"/>
                <c:pt idx="0">
                  <c:v>0</c:v>
                </c:pt>
              </c:numCache>
            </c:numRef>
          </c:val>
          <c:extLst>
            <c:ext xmlns:c16="http://schemas.microsoft.com/office/drawing/2014/chart" uri="{C3380CC4-5D6E-409C-BE32-E72D297353CC}">
              <c16:uniqueId val="{00000001-3001-4325-959F-567552BCAF63}"/>
            </c:ext>
          </c:extLst>
        </c:ser>
        <c:ser>
          <c:idx val="2"/>
          <c:order val="2"/>
          <c:spPr>
            <a:solidFill>
              <a:srgbClr val="DCE6F2"/>
            </a:solidFill>
            <a:ln>
              <a:noFill/>
            </a:ln>
            <a:effectLst/>
          </c:spPr>
          <c:invertIfNegative val="0"/>
          <c:val>
            <c:numRef>
              <c:f>Galileo!$M$5</c:f>
              <c:numCache>
                <c:formatCode>0%</c:formatCode>
                <c:ptCount val="1"/>
                <c:pt idx="0">
                  <c:v>0</c:v>
                </c:pt>
              </c:numCache>
            </c:numRef>
          </c:val>
          <c:extLst>
            <c:ext xmlns:c16="http://schemas.microsoft.com/office/drawing/2014/chart" uri="{C3380CC4-5D6E-409C-BE32-E72D297353CC}">
              <c16:uniqueId val="{00000002-3001-4325-959F-567552BCAF63}"/>
            </c:ext>
          </c:extLst>
        </c:ser>
        <c:ser>
          <c:idx val="3"/>
          <c:order val="3"/>
          <c:spPr>
            <a:solidFill>
              <a:srgbClr val="00ADDC"/>
            </a:solidFill>
            <a:ln>
              <a:noFill/>
            </a:ln>
            <a:effectLst/>
          </c:spPr>
          <c:invertIfNegative val="0"/>
          <c:val>
            <c:numRef>
              <c:f>Galileo!$N$5</c:f>
              <c:numCache>
                <c:formatCode>0%</c:formatCode>
                <c:ptCount val="1"/>
                <c:pt idx="0">
                  <c:v>0</c:v>
                </c:pt>
              </c:numCache>
            </c:numRef>
          </c:val>
          <c:extLst>
            <c:ext xmlns:c16="http://schemas.microsoft.com/office/drawing/2014/chart" uri="{C3380CC4-5D6E-409C-BE32-E72D297353CC}">
              <c16:uniqueId val="{00000003-3001-4325-959F-567552BCAF63}"/>
            </c:ext>
          </c:extLst>
        </c:ser>
        <c:ser>
          <c:idx val="4"/>
          <c:order val="4"/>
          <c:spPr>
            <a:solidFill>
              <a:srgbClr val="000000"/>
            </a:solidFill>
            <a:ln>
              <a:noFill/>
            </a:ln>
            <a:effectLst/>
          </c:spPr>
          <c:invertIfNegative val="0"/>
          <c:val>
            <c:numRef>
              <c:f>Galileo!$O$5</c:f>
              <c:numCache>
                <c:formatCode>0%</c:formatCode>
                <c:ptCount val="1"/>
                <c:pt idx="0">
                  <c:v>0</c:v>
                </c:pt>
              </c:numCache>
            </c:numRef>
          </c:val>
          <c:extLst>
            <c:ext xmlns:c16="http://schemas.microsoft.com/office/drawing/2014/chart" uri="{C3380CC4-5D6E-409C-BE32-E72D297353CC}">
              <c16:uniqueId val="{00000004-3001-4325-959F-567552BCAF63}"/>
            </c:ext>
          </c:extLst>
        </c:ser>
        <c:ser>
          <c:idx val="5"/>
          <c:order val="5"/>
          <c:spPr>
            <a:solidFill>
              <a:srgbClr val="00ADDC"/>
            </a:solidFill>
            <a:ln>
              <a:noFill/>
            </a:ln>
            <a:effectLst/>
          </c:spPr>
          <c:invertIfNegative val="0"/>
          <c:val>
            <c:numRef>
              <c:f>Galileo!$P$5</c:f>
              <c:numCache>
                <c:formatCode>0%</c:formatCode>
                <c:ptCount val="1"/>
                <c:pt idx="0">
                  <c:v>0</c:v>
                </c:pt>
              </c:numCache>
            </c:numRef>
          </c:val>
          <c:extLst>
            <c:ext xmlns:c16="http://schemas.microsoft.com/office/drawing/2014/chart" uri="{C3380CC4-5D6E-409C-BE32-E72D297353CC}">
              <c16:uniqueId val="{00000005-3001-4325-959F-567552BCAF63}"/>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Galileo!$Q$5</c:f>
              <c:numCache>
                <c:formatCode>0%</c:formatCode>
                <c:ptCount val="1"/>
                <c:pt idx="0">
                  <c:v>0.20000000000000004</c:v>
                </c:pt>
              </c:numCache>
            </c:numRef>
          </c:val>
          <c:extLst>
            <c:ext xmlns:c16="http://schemas.microsoft.com/office/drawing/2014/chart" uri="{C3380CC4-5D6E-409C-BE32-E72D297353CC}">
              <c16:uniqueId val="{00000006-3001-4325-959F-567552BCAF63}"/>
            </c:ext>
          </c:extLst>
        </c:ser>
        <c:ser>
          <c:idx val="7"/>
          <c:order val="7"/>
          <c:spPr>
            <a:solidFill>
              <a:srgbClr val="000000"/>
            </a:solidFill>
            <a:ln>
              <a:noFill/>
            </a:ln>
            <a:effectLst/>
          </c:spPr>
          <c:invertIfNegative val="0"/>
          <c:val>
            <c:numRef>
              <c:f>Galileo!$R$5</c:f>
              <c:numCache>
                <c:formatCode>0%</c:formatCode>
                <c:ptCount val="1"/>
                <c:pt idx="0">
                  <c:v>0</c:v>
                </c:pt>
              </c:numCache>
            </c:numRef>
          </c:val>
          <c:extLst>
            <c:ext xmlns:c16="http://schemas.microsoft.com/office/drawing/2014/chart" uri="{C3380CC4-5D6E-409C-BE32-E72D297353CC}">
              <c16:uniqueId val="{00000007-3001-4325-959F-567552BCAF63}"/>
            </c:ext>
          </c:extLst>
        </c:ser>
        <c:ser>
          <c:idx val="8"/>
          <c:order val="8"/>
          <c:spPr>
            <a:solidFill>
              <a:srgbClr val="28296E"/>
            </a:solidFill>
            <a:ln>
              <a:noFill/>
            </a:ln>
            <a:effectLst/>
          </c:spPr>
          <c:invertIfNegative val="0"/>
          <c:val>
            <c:numRef>
              <c:f>Galileo!$S$5</c:f>
              <c:numCache>
                <c:formatCode>0%</c:formatCode>
                <c:ptCount val="1"/>
                <c:pt idx="0">
                  <c:v>0</c:v>
                </c:pt>
              </c:numCache>
            </c:numRef>
          </c:val>
          <c:extLst>
            <c:ext xmlns:c16="http://schemas.microsoft.com/office/drawing/2014/chart" uri="{C3380CC4-5D6E-409C-BE32-E72D297353CC}">
              <c16:uniqueId val="{00000008-3001-4325-959F-567552BCAF63}"/>
            </c:ext>
          </c:extLst>
        </c:ser>
        <c:dLbls>
          <c:showLegendKey val="0"/>
          <c:showVal val="0"/>
          <c:showCatName val="0"/>
          <c:showSerName val="0"/>
          <c:showPercent val="0"/>
          <c:showBubbleSize val="0"/>
        </c:dLbls>
        <c:gapWidth val="0"/>
        <c:overlap val="100"/>
        <c:axId val="102243712"/>
        <c:axId val="102261888"/>
      </c:barChart>
      <c:catAx>
        <c:axId val="102243712"/>
        <c:scaling>
          <c:orientation val="minMax"/>
        </c:scaling>
        <c:delete val="1"/>
        <c:axPos val="l"/>
        <c:majorTickMark val="none"/>
        <c:minorTickMark val="none"/>
        <c:tickLblPos val="nextTo"/>
        <c:crossAx val="102261888"/>
        <c:crosses val="autoZero"/>
        <c:auto val="1"/>
        <c:lblAlgn val="ctr"/>
        <c:lblOffset val="100"/>
        <c:noMultiLvlLbl val="0"/>
      </c:catAx>
      <c:valAx>
        <c:axId val="102261888"/>
        <c:scaling>
          <c:orientation val="minMax"/>
          <c:max val="1"/>
        </c:scaling>
        <c:delete val="1"/>
        <c:axPos val="b"/>
        <c:numFmt formatCode="0%" sourceLinked="1"/>
        <c:majorTickMark val="none"/>
        <c:minorTickMark val="none"/>
        <c:tickLblPos val="nextTo"/>
        <c:crossAx val="10224371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'Nuclear Decomissioning LT'!$K$7</c:f>
              <c:numCache>
                <c:formatCode>0%</c:formatCode>
                <c:ptCount val="1"/>
                <c:pt idx="0">
                  <c:v>1</c:v>
                </c:pt>
              </c:numCache>
            </c:numRef>
          </c:val>
          <c:extLst>
            <c:ext xmlns:c16="http://schemas.microsoft.com/office/drawing/2014/chart" uri="{C3380CC4-5D6E-409C-BE32-E72D297353CC}">
              <c16:uniqueId val="{00000000-00C2-434B-BA1E-7A73B7CC5BDE}"/>
            </c:ext>
          </c:extLst>
        </c:ser>
        <c:ser>
          <c:idx val="1"/>
          <c:order val="1"/>
          <c:spPr>
            <a:solidFill>
              <a:srgbClr val="000000"/>
            </a:solidFill>
            <a:ln>
              <a:noFill/>
            </a:ln>
            <a:effectLst/>
          </c:spPr>
          <c:invertIfNegative val="0"/>
          <c:val>
            <c:numRef>
              <c:f>'Nuclear Decomissioning LT'!$L$7</c:f>
              <c:numCache>
                <c:formatCode>0%</c:formatCode>
                <c:ptCount val="1"/>
                <c:pt idx="0">
                  <c:v>0</c:v>
                </c:pt>
              </c:numCache>
            </c:numRef>
          </c:val>
          <c:extLst>
            <c:ext xmlns:c16="http://schemas.microsoft.com/office/drawing/2014/chart" uri="{C3380CC4-5D6E-409C-BE32-E72D297353CC}">
              <c16:uniqueId val="{00000001-00C2-434B-BA1E-7A73B7CC5BDE}"/>
            </c:ext>
          </c:extLst>
        </c:ser>
        <c:ser>
          <c:idx val="2"/>
          <c:order val="2"/>
          <c:spPr>
            <a:solidFill>
              <a:srgbClr val="DCE6F2"/>
            </a:solidFill>
            <a:ln>
              <a:noFill/>
            </a:ln>
            <a:effectLst/>
          </c:spPr>
          <c:invertIfNegative val="0"/>
          <c:val>
            <c:numRef>
              <c:f>'Nuclear Decomissioning LT'!$M$7</c:f>
              <c:numCache>
                <c:formatCode>0%</c:formatCode>
                <c:ptCount val="1"/>
                <c:pt idx="0">
                  <c:v>0</c:v>
                </c:pt>
              </c:numCache>
            </c:numRef>
          </c:val>
          <c:extLst>
            <c:ext xmlns:c16="http://schemas.microsoft.com/office/drawing/2014/chart" uri="{C3380CC4-5D6E-409C-BE32-E72D297353CC}">
              <c16:uniqueId val="{00000002-00C2-434B-BA1E-7A73B7CC5BDE}"/>
            </c:ext>
          </c:extLst>
        </c:ser>
        <c:ser>
          <c:idx val="3"/>
          <c:order val="3"/>
          <c:spPr>
            <a:solidFill>
              <a:srgbClr val="00ADDC"/>
            </a:solidFill>
            <a:ln>
              <a:noFill/>
            </a:ln>
            <a:effectLst/>
          </c:spPr>
          <c:invertIfNegative val="0"/>
          <c:val>
            <c:numRef>
              <c:f>'Nuclear Decomissioning LT'!$N$7</c:f>
              <c:numCache>
                <c:formatCode>0%</c:formatCode>
                <c:ptCount val="1"/>
                <c:pt idx="0">
                  <c:v>0</c:v>
                </c:pt>
              </c:numCache>
            </c:numRef>
          </c:val>
          <c:extLst>
            <c:ext xmlns:c16="http://schemas.microsoft.com/office/drawing/2014/chart" uri="{C3380CC4-5D6E-409C-BE32-E72D297353CC}">
              <c16:uniqueId val="{00000003-00C2-434B-BA1E-7A73B7CC5BDE}"/>
            </c:ext>
          </c:extLst>
        </c:ser>
        <c:ser>
          <c:idx val="4"/>
          <c:order val="4"/>
          <c:spPr>
            <a:solidFill>
              <a:srgbClr val="000000"/>
            </a:solidFill>
            <a:ln>
              <a:noFill/>
            </a:ln>
            <a:effectLst/>
          </c:spPr>
          <c:invertIfNegative val="0"/>
          <c:val>
            <c:numRef>
              <c:f>'Nuclear Decomissioning LT'!$O$7</c:f>
              <c:numCache>
                <c:formatCode>0%</c:formatCode>
                <c:ptCount val="1"/>
                <c:pt idx="0">
                  <c:v>0</c:v>
                </c:pt>
              </c:numCache>
            </c:numRef>
          </c:val>
          <c:extLst>
            <c:ext xmlns:c16="http://schemas.microsoft.com/office/drawing/2014/chart" uri="{C3380CC4-5D6E-409C-BE32-E72D297353CC}">
              <c16:uniqueId val="{00000004-00C2-434B-BA1E-7A73B7CC5BDE}"/>
            </c:ext>
          </c:extLst>
        </c:ser>
        <c:ser>
          <c:idx val="5"/>
          <c:order val="5"/>
          <c:spPr>
            <a:solidFill>
              <a:srgbClr val="00ADDC"/>
            </a:solidFill>
            <a:ln>
              <a:noFill/>
            </a:ln>
            <a:effectLst/>
          </c:spPr>
          <c:invertIfNegative val="0"/>
          <c:val>
            <c:numRef>
              <c:f>'Nuclear Decomissioning LT'!$P$7</c:f>
              <c:numCache>
                <c:formatCode>0%</c:formatCode>
                <c:ptCount val="1"/>
                <c:pt idx="0">
                  <c:v>0</c:v>
                </c:pt>
              </c:numCache>
            </c:numRef>
          </c:val>
          <c:extLst>
            <c:ext xmlns:c16="http://schemas.microsoft.com/office/drawing/2014/chart" uri="{C3380CC4-5D6E-409C-BE32-E72D297353CC}">
              <c16:uniqueId val="{00000005-00C2-434B-BA1E-7A73B7CC5BDE}"/>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'Nuclear Decomissioning LT'!$Q$7</c:f>
              <c:numCache>
                <c:formatCode>0%</c:formatCode>
                <c:ptCount val="1"/>
                <c:pt idx="0">
                  <c:v>0.98301774855391311</c:v>
                </c:pt>
              </c:numCache>
            </c:numRef>
          </c:val>
          <c:extLst>
            <c:ext xmlns:c16="http://schemas.microsoft.com/office/drawing/2014/chart" uri="{C3380CC4-5D6E-409C-BE32-E72D297353CC}">
              <c16:uniqueId val="{00000006-00C2-434B-BA1E-7A73B7CC5BDE}"/>
            </c:ext>
          </c:extLst>
        </c:ser>
        <c:ser>
          <c:idx val="7"/>
          <c:order val="7"/>
          <c:spPr>
            <a:solidFill>
              <a:srgbClr val="000000"/>
            </a:solidFill>
            <a:ln>
              <a:noFill/>
            </a:ln>
            <a:effectLst/>
          </c:spPr>
          <c:invertIfNegative val="0"/>
          <c:val>
            <c:numRef>
              <c:f>'Nuclear Decomissioning LT'!$R$7</c:f>
              <c:numCache>
                <c:formatCode>0%</c:formatCode>
                <c:ptCount val="1"/>
                <c:pt idx="0">
                  <c:v>0</c:v>
                </c:pt>
              </c:numCache>
            </c:numRef>
          </c:val>
          <c:extLst>
            <c:ext xmlns:c16="http://schemas.microsoft.com/office/drawing/2014/chart" uri="{C3380CC4-5D6E-409C-BE32-E72D297353CC}">
              <c16:uniqueId val="{00000007-00C2-434B-BA1E-7A73B7CC5BDE}"/>
            </c:ext>
          </c:extLst>
        </c:ser>
        <c:ser>
          <c:idx val="8"/>
          <c:order val="8"/>
          <c:spPr>
            <a:solidFill>
              <a:srgbClr val="28296E"/>
            </a:solidFill>
            <a:ln>
              <a:noFill/>
            </a:ln>
            <a:effectLst/>
          </c:spPr>
          <c:invertIfNegative val="0"/>
          <c:val>
            <c:numRef>
              <c:f>'Nuclear Decomissioning LT'!$S$7</c:f>
              <c:numCache>
                <c:formatCode>0%</c:formatCode>
                <c:ptCount val="1"/>
                <c:pt idx="0">
                  <c:v>0</c:v>
                </c:pt>
              </c:numCache>
            </c:numRef>
          </c:val>
          <c:extLst>
            <c:ext xmlns:c16="http://schemas.microsoft.com/office/drawing/2014/chart" uri="{C3380CC4-5D6E-409C-BE32-E72D297353CC}">
              <c16:uniqueId val="{00000008-00C2-434B-BA1E-7A73B7CC5BDE}"/>
            </c:ext>
          </c:extLst>
        </c:ser>
        <c:dLbls>
          <c:showLegendKey val="0"/>
          <c:showVal val="0"/>
          <c:showCatName val="0"/>
          <c:showSerName val="0"/>
          <c:showPercent val="0"/>
          <c:showBubbleSize val="0"/>
        </c:dLbls>
        <c:gapWidth val="0"/>
        <c:overlap val="100"/>
        <c:axId val="108113280"/>
        <c:axId val="108119168"/>
      </c:barChart>
      <c:catAx>
        <c:axId val="108113280"/>
        <c:scaling>
          <c:orientation val="minMax"/>
        </c:scaling>
        <c:delete val="1"/>
        <c:axPos val="l"/>
        <c:majorTickMark val="none"/>
        <c:minorTickMark val="none"/>
        <c:tickLblPos val="nextTo"/>
        <c:crossAx val="108119168"/>
        <c:crosses val="autoZero"/>
        <c:auto val="1"/>
        <c:lblAlgn val="ctr"/>
        <c:lblOffset val="100"/>
        <c:noMultiLvlLbl val="0"/>
      </c:catAx>
      <c:valAx>
        <c:axId val="108119168"/>
        <c:scaling>
          <c:orientation val="minMax"/>
          <c:max val="1"/>
        </c:scaling>
        <c:delete val="1"/>
        <c:axPos val="b"/>
        <c:numFmt formatCode="0%" sourceLinked="1"/>
        <c:majorTickMark val="none"/>
        <c:minorTickMark val="none"/>
        <c:tickLblPos val="nextTo"/>
        <c:crossAx val="10811328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'Nuclear Decomissioning LT'!$K$8</c:f>
              <c:numCache>
                <c:formatCode>0%</c:formatCode>
                <c:ptCount val="1"/>
                <c:pt idx="0">
                  <c:v>1</c:v>
                </c:pt>
              </c:numCache>
            </c:numRef>
          </c:val>
          <c:extLst>
            <c:ext xmlns:c16="http://schemas.microsoft.com/office/drawing/2014/chart" uri="{C3380CC4-5D6E-409C-BE32-E72D297353CC}">
              <c16:uniqueId val="{00000000-C59C-422A-9AFF-5BEECF1D61DF}"/>
            </c:ext>
          </c:extLst>
        </c:ser>
        <c:ser>
          <c:idx val="1"/>
          <c:order val="1"/>
          <c:spPr>
            <a:solidFill>
              <a:srgbClr val="000000"/>
            </a:solidFill>
            <a:ln>
              <a:noFill/>
            </a:ln>
            <a:effectLst/>
          </c:spPr>
          <c:invertIfNegative val="0"/>
          <c:val>
            <c:numRef>
              <c:f>'Nuclear Decomissioning LT'!$L$8</c:f>
              <c:numCache>
                <c:formatCode>0%</c:formatCode>
                <c:ptCount val="1"/>
                <c:pt idx="0">
                  <c:v>0</c:v>
                </c:pt>
              </c:numCache>
            </c:numRef>
          </c:val>
          <c:extLst>
            <c:ext xmlns:c16="http://schemas.microsoft.com/office/drawing/2014/chart" uri="{C3380CC4-5D6E-409C-BE32-E72D297353CC}">
              <c16:uniqueId val="{00000001-C59C-422A-9AFF-5BEECF1D61DF}"/>
            </c:ext>
          </c:extLst>
        </c:ser>
        <c:ser>
          <c:idx val="2"/>
          <c:order val="2"/>
          <c:spPr>
            <a:solidFill>
              <a:srgbClr val="DCE6F2"/>
            </a:solidFill>
            <a:ln>
              <a:noFill/>
            </a:ln>
            <a:effectLst/>
          </c:spPr>
          <c:invertIfNegative val="0"/>
          <c:val>
            <c:numRef>
              <c:f>'Nuclear Decomissioning LT'!$M$8</c:f>
              <c:numCache>
                <c:formatCode>0%</c:formatCode>
                <c:ptCount val="1"/>
                <c:pt idx="0">
                  <c:v>0</c:v>
                </c:pt>
              </c:numCache>
            </c:numRef>
          </c:val>
          <c:extLst>
            <c:ext xmlns:c16="http://schemas.microsoft.com/office/drawing/2014/chart" uri="{C3380CC4-5D6E-409C-BE32-E72D297353CC}">
              <c16:uniqueId val="{00000002-C59C-422A-9AFF-5BEECF1D61DF}"/>
            </c:ext>
          </c:extLst>
        </c:ser>
        <c:ser>
          <c:idx val="3"/>
          <c:order val="3"/>
          <c:spPr>
            <a:solidFill>
              <a:srgbClr val="00ADDC"/>
            </a:solidFill>
            <a:ln>
              <a:noFill/>
            </a:ln>
            <a:effectLst/>
          </c:spPr>
          <c:invertIfNegative val="0"/>
          <c:val>
            <c:numRef>
              <c:f>'Nuclear Decomissioning LT'!$N$8</c:f>
              <c:numCache>
                <c:formatCode>0%</c:formatCode>
                <c:ptCount val="1"/>
                <c:pt idx="0">
                  <c:v>0</c:v>
                </c:pt>
              </c:numCache>
            </c:numRef>
          </c:val>
          <c:extLst>
            <c:ext xmlns:c16="http://schemas.microsoft.com/office/drawing/2014/chart" uri="{C3380CC4-5D6E-409C-BE32-E72D297353CC}">
              <c16:uniqueId val="{00000003-C59C-422A-9AFF-5BEECF1D61DF}"/>
            </c:ext>
          </c:extLst>
        </c:ser>
        <c:ser>
          <c:idx val="4"/>
          <c:order val="4"/>
          <c:spPr>
            <a:solidFill>
              <a:srgbClr val="000000"/>
            </a:solidFill>
            <a:ln>
              <a:noFill/>
            </a:ln>
            <a:effectLst/>
          </c:spPr>
          <c:invertIfNegative val="0"/>
          <c:val>
            <c:numRef>
              <c:f>'Nuclear Decomissioning LT'!$O$8</c:f>
              <c:numCache>
                <c:formatCode>0%</c:formatCode>
                <c:ptCount val="1"/>
                <c:pt idx="0">
                  <c:v>0</c:v>
                </c:pt>
              </c:numCache>
            </c:numRef>
          </c:val>
          <c:extLst>
            <c:ext xmlns:c16="http://schemas.microsoft.com/office/drawing/2014/chart" uri="{C3380CC4-5D6E-409C-BE32-E72D297353CC}">
              <c16:uniqueId val="{00000004-C59C-422A-9AFF-5BEECF1D61DF}"/>
            </c:ext>
          </c:extLst>
        </c:ser>
        <c:ser>
          <c:idx val="5"/>
          <c:order val="5"/>
          <c:spPr>
            <a:solidFill>
              <a:srgbClr val="00ADDC"/>
            </a:solidFill>
            <a:ln>
              <a:noFill/>
            </a:ln>
            <a:effectLst/>
          </c:spPr>
          <c:invertIfNegative val="0"/>
          <c:val>
            <c:numRef>
              <c:f>'Nuclear Decomissioning LT'!$P$8</c:f>
              <c:numCache>
                <c:formatCode>0%</c:formatCode>
                <c:ptCount val="1"/>
                <c:pt idx="0">
                  <c:v>0</c:v>
                </c:pt>
              </c:numCache>
            </c:numRef>
          </c:val>
          <c:extLst>
            <c:ext xmlns:c16="http://schemas.microsoft.com/office/drawing/2014/chart" uri="{C3380CC4-5D6E-409C-BE32-E72D297353CC}">
              <c16:uniqueId val="{00000005-C59C-422A-9AFF-5BEECF1D61DF}"/>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'Nuclear Decomissioning LT'!$Q$8</c:f>
              <c:numCache>
                <c:formatCode>0%</c:formatCode>
                <c:ptCount val="1"/>
                <c:pt idx="0">
                  <c:v>0.80101148556033464</c:v>
                </c:pt>
              </c:numCache>
            </c:numRef>
          </c:val>
          <c:extLst>
            <c:ext xmlns:c16="http://schemas.microsoft.com/office/drawing/2014/chart" uri="{C3380CC4-5D6E-409C-BE32-E72D297353CC}">
              <c16:uniqueId val="{00000006-C59C-422A-9AFF-5BEECF1D61DF}"/>
            </c:ext>
          </c:extLst>
        </c:ser>
        <c:ser>
          <c:idx val="7"/>
          <c:order val="7"/>
          <c:spPr>
            <a:solidFill>
              <a:srgbClr val="000000"/>
            </a:solidFill>
            <a:ln>
              <a:noFill/>
            </a:ln>
            <a:effectLst/>
          </c:spPr>
          <c:invertIfNegative val="0"/>
          <c:val>
            <c:numRef>
              <c:f>'Nuclear Decomissioning LT'!$R$8</c:f>
              <c:numCache>
                <c:formatCode>0%</c:formatCode>
                <c:ptCount val="1"/>
                <c:pt idx="0">
                  <c:v>0</c:v>
                </c:pt>
              </c:numCache>
            </c:numRef>
          </c:val>
          <c:extLst>
            <c:ext xmlns:c16="http://schemas.microsoft.com/office/drawing/2014/chart" uri="{C3380CC4-5D6E-409C-BE32-E72D297353CC}">
              <c16:uniqueId val="{00000007-C59C-422A-9AFF-5BEECF1D61DF}"/>
            </c:ext>
          </c:extLst>
        </c:ser>
        <c:ser>
          <c:idx val="8"/>
          <c:order val="8"/>
          <c:spPr>
            <a:solidFill>
              <a:srgbClr val="28296E"/>
            </a:solidFill>
            <a:ln>
              <a:noFill/>
            </a:ln>
            <a:effectLst/>
          </c:spPr>
          <c:invertIfNegative val="0"/>
          <c:val>
            <c:numRef>
              <c:f>'Nuclear Decomissioning LT'!$S$8</c:f>
              <c:numCache>
                <c:formatCode>0%</c:formatCode>
                <c:ptCount val="1"/>
                <c:pt idx="0">
                  <c:v>0</c:v>
                </c:pt>
              </c:numCache>
            </c:numRef>
          </c:val>
          <c:extLst>
            <c:ext xmlns:c16="http://schemas.microsoft.com/office/drawing/2014/chart" uri="{C3380CC4-5D6E-409C-BE32-E72D297353CC}">
              <c16:uniqueId val="{00000008-C59C-422A-9AFF-5BEECF1D61DF}"/>
            </c:ext>
          </c:extLst>
        </c:ser>
        <c:dLbls>
          <c:showLegendKey val="0"/>
          <c:showVal val="0"/>
          <c:showCatName val="0"/>
          <c:showSerName val="0"/>
          <c:showPercent val="0"/>
          <c:showBubbleSize val="0"/>
        </c:dLbls>
        <c:gapWidth val="0"/>
        <c:overlap val="100"/>
        <c:axId val="108239488"/>
        <c:axId val="108253568"/>
      </c:barChart>
      <c:catAx>
        <c:axId val="108239488"/>
        <c:scaling>
          <c:orientation val="minMax"/>
        </c:scaling>
        <c:delete val="1"/>
        <c:axPos val="l"/>
        <c:majorTickMark val="none"/>
        <c:minorTickMark val="none"/>
        <c:tickLblPos val="nextTo"/>
        <c:crossAx val="108253568"/>
        <c:crosses val="autoZero"/>
        <c:auto val="1"/>
        <c:lblAlgn val="ctr"/>
        <c:lblOffset val="100"/>
        <c:noMultiLvlLbl val="0"/>
      </c:catAx>
      <c:valAx>
        <c:axId val="108253568"/>
        <c:scaling>
          <c:orientation val="minMax"/>
          <c:max val="1"/>
        </c:scaling>
        <c:delete val="1"/>
        <c:axPos val="b"/>
        <c:numFmt formatCode="0%" sourceLinked="1"/>
        <c:majorTickMark val="none"/>
        <c:minorTickMark val="none"/>
        <c:tickLblPos val="nextTo"/>
        <c:crossAx val="10823948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00ADDC"/>
              </a:solidFill>
              <a:ln w="19050">
                <a:solidFill>
                  <a:schemeClr val="lt1"/>
                </a:solidFill>
              </a:ln>
              <a:effectLst/>
            </c:spPr>
            <c:extLst>
              <c:ext xmlns:c16="http://schemas.microsoft.com/office/drawing/2014/chart" uri="{C3380CC4-5D6E-409C-BE32-E72D297353CC}">
                <c16:uniqueId val="{00000001-3FB6-40A3-B827-398ADB280A6B}"/>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3FB6-40A3-B827-398ADB280A6B}"/>
              </c:ext>
            </c:extLst>
          </c:dPt>
          <c:cat>
            <c:strRef>
              <c:f>Sheet1!$A$2:$A$3</c:f>
              <c:strCache>
                <c:ptCount val="2"/>
                <c:pt idx="0">
                  <c:v>1st Qtr</c:v>
                </c:pt>
                <c:pt idx="1">
                  <c:v>2nd Qtr</c:v>
                </c:pt>
              </c:strCache>
            </c:strRef>
          </c:cat>
          <c:val>
            <c:numRef>
              <c:f>Sheet1!$B$2:$B$3</c:f>
              <c:numCache>
                <c:formatCode>0%</c:formatCode>
                <c:ptCount val="2"/>
                <c:pt idx="0">
                  <c:v>0.55000000000000004</c:v>
                </c:pt>
                <c:pt idx="1">
                  <c:v>0.45</c:v>
                </c:pt>
              </c:numCache>
            </c:numRef>
          </c:val>
          <c:extLst>
            <c:ext xmlns:c16="http://schemas.microsoft.com/office/drawing/2014/chart" uri="{C3380CC4-5D6E-409C-BE32-E72D297353CC}">
              <c16:uniqueId val="{00000004-3FB6-40A3-B827-398ADB280A6B}"/>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28296E"/>
              </a:solidFill>
              <a:ln w="19050">
                <a:noFill/>
              </a:ln>
              <a:effectLst/>
            </c:spPr>
            <c:extLst>
              <c:ext xmlns:c16="http://schemas.microsoft.com/office/drawing/2014/chart" uri="{C3380CC4-5D6E-409C-BE32-E72D297353CC}">
                <c16:uniqueId val="{00000001-0D43-44C3-8FD5-4565DB715899}"/>
              </c:ext>
            </c:extLst>
          </c:dPt>
          <c:dPt>
            <c:idx val="1"/>
            <c:bubble3D val="0"/>
            <c:spPr>
              <a:noFill/>
              <a:ln w="19050">
                <a:noFill/>
              </a:ln>
              <a:effectLst/>
            </c:spPr>
            <c:extLst>
              <c:ext xmlns:c16="http://schemas.microsoft.com/office/drawing/2014/chart" uri="{C3380CC4-5D6E-409C-BE32-E72D297353CC}">
                <c16:uniqueId val="{00000003-0D43-44C3-8FD5-4565DB715899}"/>
              </c:ext>
            </c:extLst>
          </c:dPt>
          <c:cat>
            <c:strRef>
              <c:f>Sheet1!$A$2:$A$3</c:f>
              <c:strCache>
                <c:ptCount val="2"/>
                <c:pt idx="0">
                  <c:v>1st Qtr</c:v>
                </c:pt>
                <c:pt idx="1">
                  <c:v>2nd Qtr</c:v>
                </c:pt>
              </c:strCache>
            </c:strRef>
          </c:cat>
          <c:val>
            <c:numRef>
              <c:f>Sheet1!$B$2:$B$3</c:f>
              <c:numCache>
                <c:formatCode>0%</c:formatCode>
                <c:ptCount val="2"/>
                <c:pt idx="0">
                  <c:v>0.82</c:v>
                </c:pt>
                <c:pt idx="1">
                  <c:v>0.18</c:v>
                </c:pt>
              </c:numCache>
            </c:numRef>
          </c:val>
          <c:extLst>
            <c:ext xmlns:c16="http://schemas.microsoft.com/office/drawing/2014/chart" uri="{C3380CC4-5D6E-409C-BE32-E72D297353CC}">
              <c16:uniqueId val="{00000004-0D43-44C3-8FD5-4565DB715899}"/>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'H2020'!$K$4</c:f>
              <c:numCache>
                <c:formatCode>0%</c:formatCode>
                <c:ptCount val="1"/>
                <c:pt idx="0">
                  <c:v>1</c:v>
                </c:pt>
              </c:numCache>
            </c:numRef>
          </c:val>
          <c:extLst>
            <c:ext xmlns:c16="http://schemas.microsoft.com/office/drawing/2014/chart" uri="{C3380CC4-5D6E-409C-BE32-E72D297353CC}">
              <c16:uniqueId val="{00000000-85E7-42BA-8296-E9C9C10C51EC}"/>
            </c:ext>
          </c:extLst>
        </c:ser>
        <c:ser>
          <c:idx val="1"/>
          <c:order val="1"/>
          <c:spPr>
            <a:solidFill>
              <a:srgbClr val="000000"/>
            </a:solidFill>
            <a:ln>
              <a:noFill/>
            </a:ln>
            <a:effectLst/>
          </c:spPr>
          <c:invertIfNegative val="0"/>
          <c:val>
            <c:numRef>
              <c:f>'H2020'!$L$4</c:f>
              <c:numCache>
                <c:formatCode>0%</c:formatCode>
                <c:ptCount val="1"/>
                <c:pt idx="0">
                  <c:v>0</c:v>
                </c:pt>
              </c:numCache>
            </c:numRef>
          </c:val>
          <c:extLst>
            <c:ext xmlns:c16="http://schemas.microsoft.com/office/drawing/2014/chart" uri="{C3380CC4-5D6E-409C-BE32-E72D297353CC}">
              <c16:uniqueId val="{00000001-85E7-42BA-8296-E9C9C10C51EC}"/>
            </c:ext>
          </c:extLst>
        </c:ser>
        <c:ser>
          <c:idx val="2"/>
          <c:order val="2"/>
          <c:spPr>
            <a:solidFill>
              <a:srgbClr val="DCE6F2"/>
            </a:solidFill>
            <a:ln>
              <a:noFill/>
            </a:ln>
            <a:effectLst/>
          </c:spPr>
          <c:invertIfNegative val="0"/>
          <c:val>
            <c:numRef>
              <c:f>'H2020'!$M$4</c:f>
              <c:numCache>
                <c:formatCode>0%</c:formatCode>
                <c:ptCount val="1"/>
                <c:pt idx="0">
                  <c:v>0</c:v>
                </c:pt>
              </c:numCache>
            </c:numRef>
          </c:val>
          <c:extLst>
            <c:ext xmlns:c16="http://schemas.microsoft.com/office/drawing/2014/chart" uri="{C3380CC4-5D6E-409C-BE32-E72D297353CC}">
              <c16:uniqueId val="{00000002-85E7-42BA-8296-E9C9C10C51EC}"/>
            </c:ext>
          </c:extLst>
        </c:ser>
        <c:ser>
          <c:idx val="3"/>
          <c:order val="3"/>
          <c:spPr>
            <a:solidFill>
              <a:srgbClr val="00ADDC"/>
            </a:solidFill>
            <a:ln>
              <a:noFill/>
            </a:ln>
            <a:effectLst/>
          </c:spPr>
          <c:invertIfNegative val="0"/>
          <c:val>
            <c:numRef>
              <c:f>'H2020'!$N$4</c:f>
              <c:numCache>
                <c:formatCode>0%</c:formatCode>
                <c:ptCount val="1"/>
                <c:pt idx="0">
                  <c:v>0</c:v>
                </c:pt>
              </c:numCache>
            </c:numRef>
          </c:val>
          <c:extLst>
            <c:ext xmlns:c16="http://schemas.microsoft.com/office/drawing/2014/chart" uri="{C3380CC4-5D6E-409C-BE32-E72D297353CC}">
              <c16:uniqueId val="{00000003-85E7-42BA-8296-E9C9C10C51EC}"/>
            </c:ext>
          </c:extLst>
        </c:ser>
        <c:ser>
          <c:idx val="4"/>
          <c:order val="4"/>
          <c:spPr>
            <a:solidFill>
              <a:srgbClr val="000000"/>
            </a:solidFill>
            <a:ln>
              <a:noFill/>
            </a:ln>
            <a:effectLst/>
          </c:spPr>
          <c:invertIfNegative val="0"/>
          <c:val>
            <c:numRef>
              <c:f>'H2020'!$O$4</c:f>
              <c:numCache>
                <c:formatCode>0%</c:formatCode>
                <c:ptCount val="1"/>
                <c:pt idx="0">
                  <c:v>0</c:v>
                </c:pt>
              </c:numCache>
            </c:numRef>
          </c:val>
          <c:extLst>
            <c:ext xmlns:c16="http://schemas.microsoft.com/office/drawing/2014/chart" uri="{C3380CC4-5D6E-409C-BE32-E72D297353CC}">
              <c16:uniqueId val="{00000004-85E7-42BA-8296-E9C9C10C51EC}"/>
            </c:ext>
          </c:extLst>
        </c:ser>
        <c:ser>
          <c:idx val="5"/>
          <c:order val="5"/>
          <c:spPr>
            <a:solidFill>
              <a:srgbClr val="00ADDC"/>
            </a:solidFill>
            <a:ln>
              <a:noFill/>
            </a:ln>
            <a:effectLst/>
          </c:spPr>
          <c:invertIfNegative val="0"/>
          <c:val>
            <c:numRef>
              <c:f>'H2020'!$P$4</c:f>
              <c:numCache>
                <c:formatCode>0%</c:formatCode>
                <c:ptCount val="1"/>
                <c:pt idx="0">
                  <c:v>0</c:v>
                </c:pt>
              </c:numCache>
            </c:numRef>
          </c:val>
          <c:extLst>
            <c:ext xmlns:c16="http://schemas.microsoft.com/office/drawing/2014/chart" uri="{C3380CC4-5D6E-409C-BE32-E72D297353CC}">
              <c16:uniqueId val="{00000005-85E7-42BA-8296-E9C9C10C51EC}"/>
            </c:ext>
          </c:extLst>
        </c:ser>
        <c:ser>
          <c:idx val="6"/>
          <c:order val="6"/>
          <c:spPr>
            <a:solidFill>
              <a:srgbClr val="28296E"/>
            </a:solidFill>
            <a:ln>
              <a:noFill/>
            </a:ln>
            <a:effectLst/>
          </c:spPr>
          <c:invertIfNegative val="0"/>
          <c:dLbls>
            <c:dLbl>
              <c:idx val="0"/>
              <c:tx>
                <c:rich>
                  <a:bodyPr/>
                  <a:lstStyle/>
                  <a:p>
                    <a:r>
                      <a:rPr lang="en-US"/>
                      <a:t>&gt;100%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E7-42BA-8296-E9C9C10C51EC}"/>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'H2020'!$Q$4</c:f>
              <c:numCache>
                <c:formatCode>0%</c:formatCode>
                <c:ptCount val="1"/>
                <c:pt idx="0">
                  <c:v>1</c:v>
                </c:pt>
              </c:numCache>
            </c:numRef>
          </c:val>
          <c:extLst>
            <c:ext xmlns:c16="http://schemas.microsoft.com/office/drawing/2014/chart" uri="{C3380CC4-5D6E-409C-BE32-E72D297353CC}">
              <c16:uniqueId val="{00000007-85E7-42BA-8296-E9C9C10C51EC}"/>
            </c:ext>
          </c:extLst>
        </c:ser>
        <c:ser>
          <c:idx val="7"/>
          <c:order val="7"/>
          <c:spPr>
            <a:solidFill>
              <a:srgbClr val="000000"/>
            </a:solidFill>
            <a:ln>
              <a:noFill/>
            </a:ln>
            <a:effectLst/>
          </c:spPr>
          <c:invertIfNegative val="0"/>
          <c:val>
            <c:numRef>
              <c:f>'H2020'!$R$4</c:f>
              <c:numCache>
                <c:formatCode>0%</c:formatCode>
                <c:ptCount val="1"/>
                <c:pt idx="0">
                  <c:v>0</c:v>
                </c:pt>
              </c:numCache>
            </c:numRef>
          </c:val>
          <c:extLst>
            <c:ext xmlns:c16="http://schemas.microsoft.com/office/drawing/2014/chart" uri="{C3380CC4-5D6E-409C-BE32-E72D297353CC}">
              <c16:uniqueId val="{00000008-85E7-42BA-8296-E9C9C10C51EC}"/>
            </c:ext>
          </c:extLst>
        </c:ser>
        <c:ser>
          <c:idx val="8"/>
          <c:order val="8"/>
          <c:spPr>
            <a:solidFill>
              <a:srgbClr val="28296E"/>
            </a:solidFill>
            <a:ln>
              <a:noFill/>
            </a:ln>
            <a:effectLst/>
          </c:spPr>
          <c:invertIfNegative val="0"/>
          <c:val>
            <c:numRef>
              <c:f>'H2020'!$S$4</c:f>
              <c:numCache>
                <c:formatCode>0%</c:formatCode>
                <c:ptCount val="1"/>
                <c:pt idx="0">
                  <c:v>0</c:v>
                </c:pt>
              </c:numCache>
            </c:numRef>
          </c:val>
          <c:extLst>
            <c:ext xmlns:c16="http://schemas.microsoft.com/office/drawing/2014/chart" uri="{C3380CC4-5D6E-409C-BE32-E72D297353CC}">
              <c16:uniqueId val="{00000009-85E7-42BA-8296-E9C9C10C51EC}"/>
            </c:ext>
          </c:extLst>
        </c:ser>
        <c:dLbls>
          <c:showLegendKey val="0"/>
          <c:showVal val="0"/>
          <c:showCatName val="0"/>
          <c:showSerName val="0"/>
          <c:showPercent val="0"/>
          <c:showBubbleSize val="0"/>
        </c:dLbls>
        <c:gapWidth val="0"/>
        <c:overlap val="100"/>
        <c:axId val="108748160"/>
        <c:axId val="108754048"/>
      </c:barChart>
      <c:catAx>
        <c:axId val="108748160"/>
        <c:scaling>
          <c:orientation val="minMax"/>
        </c:scaling>
        <c:delete val="1"/>
        <c:axPos val="l"/>
        <c:majorTickMark val="none"/>
        <c:minorTickMark val="none"/>
        <c:tickLblPos val="nextTo"/>
        <c:crossAx val="108754048"/>
        <c:crosses val="autoZero"/>
        <c:auto val="1"/>
        <c:lblAlgn val="ctr"/>
        <c:lblOffset val="100"/>
        <c:noMultiLvlLbl val="0"/>
      </c:catAx>
      <c:valAx>
        <c:axId val="108754048"/>
        <c:scaling>
          <c:orientation val="minMax"/>
          <c:max val="1"/>
        </c:scaling>
        <c:delete val="1"/>
        <c:axPos val="b"/>
        <c:numFmt formatCode="0%" sourceLinked="1"/>
        <c:majorTickMark val="none"/>
        <c:minorTickMark val="none"/>
        <c:tickLblPos val="nextTo"/>
        <c:crossAx val="10874816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'H2020'!$K$5</c:f>
              <c:numCache>
                <c:formatCode>0%</c:formatCode>
                <c:ptCount val="1"/>
                <c:pt idx="0">
                  <c:v>1</c:v>
                </c:pt>
              </c:numCache>
            </c:numRef>
          </c:val>
          <c:extLst>
            <c:ext xmlns:c16="http://schemas.microsoft.com/office/drawing/2014/chart" uri="{C3380CC4-5D6E-409C-BE32-E72D297353CC}">
              <c16:uniqueId val="{00000000-AE09-454E-A7F9-C4824CCFC0F8}"/>
            </c:ext>
          </c:extLst>
        </c:ser>
        <c:ser>
          <c:idx val="1"/>
          <c:order val="1"/>
          <c:spPr>
            <a:solidFill>
              <a:srgbClr val="000000"/>
            </a:solidFill>
            <a:ln>
              <a:noFill/>
            </a:ln>
            <a:effectLst/>
          </c:spPr>
          <c:invertIfNegative val="0"/>
          <c:val>
            <c:numRef>
              <c:f>'H2020'!$L$5</c:f>
              <c:numCache>
                <c:formatCode>0%</c:formatCode>
                <c:ptCount val="1"/>
                <c:pt idx="0">
                  <c:v>0</c:v>
                </c:pt>
              </c:numCache>
            </c:numRef>
          </c:val>
          <c:extLst>
            <c:ext xmlns:c16="http://schemas.microsoft.com/office/drawing/2014/chart" uri="{C3380CC4-5D6E-409C-BE32-E72D297353CC}">
              <c16:uniqueId val="{00000001-AE09-454E-A7F9-C4824CCFC0F8}"/>
            </c:ext>
          </c:extLst>
        </c:ser>
        <c:ser>
          <c:idx val="2"/>
          <c:order val="2"/>
          <c:spPr>
            <a:solidFill>
              <a:srgbClr val="DCE6F2"/>
            </a:solidFill>
            <a:ln>
              <a:noFill/>
            </a:ln>
            <a:effectLst/>
          </c:spPr>
          <c:invertIfNegative val="0"/>
          <c:val>
            <c:numRef>
              <c:f>'H2020'!$M$5</c:f>
              <c:numCache>
                <c:formatCode>0%</c:formatCode>
                <c:ptCount val="1"/>
                <c:pt idx="0">
                  <c:v>0</c:v>
                </c:pt>
              </c:numCache>
            </c:numRef>
          </c:val>
          <c:extLst>
            <c:ext xmlns:c16="http://schemas.microsoft.com/office/drawing/2014/chart" uri="{C3380CC4-5D6E-409C-BE32-E72D297353CC}">
              <c16:uniqueId val="{00000002-AE09-454E-A7F9-C4824CCFC0F8}"/>
            </c:ext>
          </c:extLst>
        </c:ser>
        <c:ser>
          <c:idx val="3"/>
          <c:order val="3"/>
          <c:spPr>
            <a:solidFill>
              <a:srgbClr val="00ADDC"/>
            </a:solidFill>
            <a:ln>
              <a:noFill/>
            </a:ln>
            <a:effectLst/>
          </c:spPr>
          <c:invertIfNegative val="0"/>
          <c:val>
            <c:numRef>
              <c:f>'H2020'!$N$5</c:f>
              <c:numCache>
                <c:formatCode>0%</c:formatCode>
                <c:ptCount val="1"/>
                <c:pt idx="0">
                  <c:v>0</c:v>
                </c:pt>
              </c:numCache>
            </c:numRef>
          </c:val>
          <c:extLst>
            <c:ext xmlns:c16="http://schemas.microsoft.com/office/drawing/2014/chart" uri="{C3380CC4-5D6E-409C-BE32-E72D297353CC}">
              <c16:uniqueId val="{00000003-AE09-454E-A7F9-C4824CCFC0F8}"/>
            </c:ext>
          </c:extLst>
        </c:ser>
        <c:ser>
          <c:idx val="4"/>
          <c:order val="4"/>
          <c:spPr>
            <a:solidFill>
              <a:srgbClr val="000000"/>
            </a:solidFill>
            <a:ln>
              <a:noFill/>
            </a:ln>
            <a:effectLst/>
          </c:spPr>
          <c:invertIfNegative val="0"/>
          <c:val>
            <c:numRef>
              <c:f>'H2020'!$O$5</c:f>
              <c:numCache>
                <c:formatCode>0%</c:formatCode>
                <c:ptCount val="1"/>
                <c:pt idx="0">
                  <c:v>0</c:v>
                </c:pt>
              </c:numCache>
            </c:numRef>
          </c:val>
          <c:extLst>
            <c:ext xmlns:c16="http://schemas.microsoft.com/office/drawing/2014/chart" uri="{C3380CC4-5D6E-409C-BE32-E72D297353CC}">
              <c16:uniqueId val="{00000004-AE09-454E-A7F9-C4824CCFC0F8}"/>
            </c:ext>
          </c:extLst>
        </c:ser>
        <c:ser>
          <c:idx val="5"/>
          <c:order val="5"/>
          <c:spPr>
            <a:solidFill>
              <a:srgbClr val="00ADDC"/>
            </a:solidFill>
            <a:ln>
              <a:noFill/>
            </a:ln>
            <a:effectLst/>
          </c:spPr>
          <c:invertIfNegative val="0"/>
          <c:val>
            <c:numRef>
              <c:f>'H2020'!$P$5</c:f>
              <c:numCache>
                <c:formatCode>0%</c:formatCode>
                <c:ptCount val="1"/>
                <c:pt idx="0">
                  <c:v>0</c:v>
                </c:pt>
              </c:numCache>
            </c:numRef>
          </c:val>
          <c:extLst>
            <c:ext xmlns:c16="http://schemas.microsoft.com/office/drawing/2014/chart" uri="{C3380CC4-5D6E-409C-BE32-E72D297353CC}">
              <c16:uniqueId val="{00000005-AE09-454E-A7F9-C4824CCFC0F8}"/>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'H2020'!$Q$5</c:f>
              <c:numCache>
                <c:formatCode>0%</c:formatCode>
                <c:ptCount val="1"/>
                <c:pt idx="0">
                  <c:v>0.89538461538461533</c:v>
                </c:pt>
              </c:numCache>
            </c:numRef>
          </c:val>
          <c:extLst>
            <c:ext xmlns:c16="http://schemas.microsoft.com/office/drawing/2014/chart" uri="{C3380CC4-5D6E-409C-BE32-E72D297353CC}">
              <c16:uniqueId val="{00000006-AE09-454E-A7F9-C4824CCFC0F8}"/>
            </c:ext>
          </c:extLst>
        </c:ser>
        <c:ser>
          <c:idx val="7"/>
          <c:order val="7"/>
          <c:spPr>
            <a:solidFill>
              <a:srgbClr val="000000"/>
            </a:solidFill>
            <a:ln>
              <a:noFill/>
            </a:ln>
            <a:effectLst/>
          </c:spPr>
          <c:invertIfNegative val="0"/>
          <c:val>
            <c:numRef>
              <c:f>'H2020'!$R$5</c:f>
              <c:numCache>
                <c:formatCode>0%</c:formatCode>
                <c:ptCount val="1"/>
                <c:pt idx="0">
                  <c:v>0</c:v>
                </c:pt>
              </c:numCache>
            </c:numRef>
          </c:val>
          <c:extLst>
            <c:ext xmlns:c16="http://schemas.microsoft.com/office/drawing/2014/chart" uri="{C3380CC4-5D6E-409C-BE32-E72D297353CC}">
              <c16:uniqueId val="{00000007-AE09-454E-A7F9-C4824CCFC0F8}"/>
            </c:ext>
          </c:extLst>
        </c:ser>
        <c:ser>
          <c:idx val="8"/>
          <c:order val="8"/>
          <c:spPr>
            <a:solidFill>
              <a:srgbClr val="28296E"/>
            </a:solidFill>
            <a:ln>
              <a:noFill/>
            </a:ln>
            <a:effectLst/>
          </c:spPr>
          <c:invertIfNegative val="0"/>
          <c:val>
            <c:numRef>
              <c:f>'H2020'!$S$5</c:f>
              <c:numCache>
                <c:formatCode>0%</c:formatCode>
                <c:ptCount val="1"/>
                <c:pt idx="0">
                  <c:v>0</c:v>
                </c:pt>
              </c:numCache>
            </c:numRef>
          </c:val>
          <c:extLst>
            <c:ext xmlns:c16="http://schemas.microsoft.com/office/drawing/2014/chart" uri="{C3380CC4-5D6E-409C-BE32-E72D297353CC}">
              <c16:uniqueId val="{00000008-AE09-454E-A7F9-C4824CCFC0F8}"/>
            </c:ext>
          </c:extLst>
        </c:ser>
        <c:dLbls>
          <c:showLegendKey val="0"/>
          <c:showVal val="0"/>
          <c:showCatName val="0"/>
          <c:showSerName val="0"/>
          <c:showPercent val="0"/>
          <c:showBubbleSize val="0"/>
        </c:dLbls>
        <c:gapWidth val="0"/>
        <c:overlap val="100"/>
        <c:axId val="109398656"/>
        <c:axId val="109412736"/>
      </c:barChart>
      <c:catAx>
        <c:axId val="109398656"/>
        <c:scaling>
          <c:orientation val="minMax"/>
        </c:scaling>
        <c:delete val="1"/>
        <c:axPos val="l"/>
        <c:majorTickMark val="none"/>
        <c:minorTickMark val="none"/>
        <c:tickLblPos val="nextTo"/>
        <c:crossAx val="109412736"/>
        <c:crosses val="autoZero"/>
        <c:auto val="1"/>
        <c:lblAlgn val="ctr"/>
        <c:lblOffset val="100"/>
        <c:noMultiLvlLbl val="0"/>
      </c:catAx>
      <c:valAx>
        <c:axId val="109412736"/>
        <c:scaling>
          <c:orientation val="minMax"/>
          <c:max val="1"/>
        </c:scaling>
        <c:delete val="1"/>
        <c:axPos val="b"/>
        <c:numFmt formatCode="0%" sourceLinked="1"/>
        <c:majorTickMark val="none"/>
        <c:minorTickMark val="none"/>
        <c:tickLblPos val="nextTo"/>
        <c:crossAx val="10939865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'H2020'!$K$6</c:f>
              <c:numCache>
                <c:formatCode>0%</c:formatCode>
                <c:ptCount val="1"/>
                <c:pt idx="0">
                  <c:v>1</c:v>
                </c:pt>
              </c:numCache>
            </c:numRef>
          </c:val>
          <c:extLst>
            <c:ext xmlns:c16="http://schemas.microsoft.com/office/drawing/2014/chart" uri="{C3380CC4-5D6E-409C-BE32-E72D297353CC}">
              <c16:uniqueId val="{00000000-9240-4A87-89D8-1E6A849C9F4E}"/>
            </c:ext>
          </c:extLst>
        </c:ser>
        <c:ser>
          <c:idx val="1"/>
          <c:order val="1"/>
          <c:spPr>
            <a:solidFill>
              <a:srgbClr val="000000"/>
            </a:solidFill>
            <a:ln>
              <a:noFill/>
            </a:ln>
            <a:effectLst/>
          </c:spPr>
          <c:invertIfNegative val="0"/>
          <c:val>
            <c:numRef>
              <c:f>'H2020'!$L$6</c:f>
              <c:numCache>
                <c:formatCode>0%</c:formatCode>
                <c:ptCount val="1"/>
                <c:pt idx="0">
                  <c:v>0</c:v>
                </c:pt>
              </c:numCache>
            </c:numRef>
          </c:val>
          <c:extLst>
            <c:ext xmlns:c16="http://schemas.microsoft.com/office/drawing/2014/chart" uri="{C3380CC4-5D6E-409C-BE32-E72D297353CC}">
              <c16:uniqueId val="{00000001-9240-4A87-89D8-1E6A849C9F4E}"/>
            </c:ext>
          </c:extLst>
        </c:ser>
        <c:ser>
          <c:idx val="2"/>
          <c:order val="2"/>
          <c:spPr>
            <a:solidFill>
              <a:srgbClr val="DCE6F2"/>
            </a:solidFill>
            <a:ln>
              <a:noFill/>
            </a:ln>
            <a:effectLst/>
          </c:spPr>
          <c:invertIfNegative val="0"/>
          <c:val>
            <c:numRef>
              <c:f>'H2020'!$M$6</c:f>
              <c:numCache>
                <c:formatCode>0%</c:formatCode>
                <c:ptCount val="1"/>
                <c:pt idx="0">
                  <c:v>0</c:v>
                </c:pt>
              </c:numCache>
            </c:numRef>
          </c:val>
          <c:extLst>
            <c:ext xmlns:c16="http://schemas.microsoft.com/office/drawing/2014/chart" uri="{C3380CC4-5D6E-409C-BE32-E72D297353CC}">
              <c16:uniqueId val="{00000002-9240-4A87-89D8-1E6A849C9F4E}"/>
            </c:ext>
          </c:extLst>
        </c:ser>
        <c:ser>
          <c:idx val="3"/>
          <c:order val="3"/>
          <c:spPr>
            <a:solidFill>
              <a:srgbClr val="00ADDC"/>
            </a:solidFill>
            <a:ln>
              <a:noFill/>
            </a:ln>
            <a:effectLst/>
          </c:spPr>
          <c:invertIfNegative val="0"/>
          <c:val>
            <c:numRef>
              <c:f>'H2020'!$N$6</c:f>
              <c:numCache>
                <c:formatCode>0%</c:formatCode>
                <c:ptCount val="1"/>
                <c:pt idx="0">
                  <c:v>0</c:v>
                </c:pt>
              </c:numCache>
            </c:numRef>
          </c:val>
          <c:extLst>
            <c:ext xmlns:c16="http://schemas.microsoft.com/office/drawing/2014/chart" uri="{C3380CC4-5D6E-409C-BE32-E72D297353CC}">
              <c16:uniqueId val="{00000003-9240-4A87-89D8-1E6A849C9F4E}"/>
            </c:ext>
          </c:extLst>
        </c:ser>
        <c:ser>
          <c:idx val="4"/>
          <c:order val="4"/>
          <c:spPr>
            <a:solidFill>
              <a:srgbClr val="000000"/>
            </a:solidFill>
            <a:ln>
              <a:noFill/>
            </a:ln>
            <a:effectLst/>
          </c:spPr>
          <c:invertIfNegative val="0"/>
          <c:val>
            <c:numRef>
              <c:f>'H2020'!$O$6</c:f>
              <c:numCache>
                <c:formatCode>0%</c:formatCode>
                <c:ptCount val="1"/>
                <c:pt idx="0">
                  <c:v>0</c:v>
                </c:pt>
              </c:numCache>
            </c:numRef>
          </c:val>
          <c:extLst>
            <c:ext xmlns:c16="http://schemas.microsoft.com/office/drawing/2014/chart" uri="{C3380CC4-5D6E-409C-BE32-E72D297353CC}">
              <c16:uniqueId val="{00000004-9240-4A87-89D8-1E6A849C9F4E}"/>
            </c:ext>
          </c:extLst>
        </c:ser>
        <c:ser>
          <c:idx val="5"/>
          <c:order val="5"/>
          <c:spPr>
            <a:solidFill>
              <a:srgbClr val="00ADDC"/>
            </a:solidFill>
            <a:ln>
              <a:noFill/>
            </a:ln>
            <a:effectLst/>
          </c:spPr>
          <c:invertIfNegative val="0"/>
          <c:val>
            <c:numRef>
              <c:f>'H2020'!$P$6</c:f>
              <c:numCache>
                <c:formatCode>0%</c:formatCode>
                <c:ptCount val="1"/>
                <c:pt idx="0">
                  <c:v>0</c:v>
                </c:pt>
              </c:numCache>
            </c:numRef>
          </c:val>
          <c:extLst>
            <c:ext xmlns:c16="http://schemas.microsoft.com/office/drawing/2014/chart" uri="{C3380CC4-5D6E-409C-BE32-E72D297353CC}">
              <c16:uniqueId val="{00000005-9240-4A87-89D8-1E6A849C9F4E}"/>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'H2020'!$Q$6</c:f>
              <c:numCache>
                <c:formatCode>0%</c:formatCode>
                <c:ptCount val="1"/>
                <c:pt idx="0">
                  <c:v>0.88800000000000001</c:v>
                </c:pt>
              </c:numCache>
            </c:numRef>
          </c:val>
          <c:extLst>
            <c:ext xmlns:c16="http://schemas.microsoft.com/office/drawing/2014/chart" uri="{C3380CC4-5D6E-409C-BE32-E72D297353CC}">
              <c16:uniqueId val="{00000006-9240-4A87-89D8-1E6A849C9F4E}"/>
            </c:ext>
          </c:extLst>
        </c:ser>
        <c:ser>
          <c:idx val="7"/>
          <c:order val="7"/>
          <c:spPr>
            <a:solidFill>
              <a:srgbClr val="000000"/>
            </a:solidFill>
            <a:ln>
              <a:noFill/>
            </a:ln>
            <a:effectLst/>
          </c:spPr>
          <c:invertIfNegative val="0"/>
          <c:val>
            <c:numRef>
              <c:f>'H2020'!$R$6</c:f>
              <c:numCache>
                <c:formatCode>0%</c:formatCode>
                <c:ptCount val="1"/>
                <c:pt idx="0">
                  <c:v>0</c:v>
                </c:pt>
              </c:numCache>
            </c:numRef>
          </c:val>
          <c:extLst>
            <c:ext xmlns:c16="http://schemas.microsoft.com/office/drawing/2014/chart" uri="{C3380CC4-5D6E-409C-BE32-E72D297353CC}">
              <c16:uniqueId val="{00000007-9240-4A87-89D8-1E6A849C9F4E}"/>
            </c:ext>
          </c:extLst>
        </c:ser>
        <c:ser>
          <c:idx val="8"/>
          <c:order val="8"/>
          <c:spPr>
            <a:solidFill>
              <a:srgbClr val="28296E"/>
            </a:solidFill>
            <a:ln>
              <a:noFill/>
            </a:ln>
            <a:effectLst/>
          </c:spPr>
          <c:invertIfNegative val="0"/>
          <c:val>
            <c:numRef>
              <c:f>'H2020'!$S$6</c:f>
              <c:numCache>
                <c:formatCode>0%</c:formatCode>
                <c:ptCount val="1"/>
                <c:pt idx="0">
                  <c:v>0</c:v>
                </c:pt>
              </c:numCache>
            </c:numRef>
          </c:val>
          <c:extLst>
            <c:ext xmlns:c16="http://schemas.microsoft.com/office/drawing/2014/chart" uri="{C3380CC4-5D6E-409C-BE32-E72D297353CC}">
              <c16:uniqueId val="{00000008-9240-4A87-89D8-1E6A849C9F4E}"/>
            </c:ext>
          </c:extLst>
        </c:ser>
        <c:dLbls>
          <c:showLegendKey val="0"/>
          <c:showVal val="0"/>
          <c:showCatName val="0"/>
          <c:showSerName val="0"/>
          <c:showPercent val="0"/>
          <c:showBubbleSize val="0"/>
        </c:dLbls>
        <c:gapWidth val="0"/>
        <c:overlap val="100"/>
        <c:axId val="109455232"/>
        <c:axId val="109456768"/>
      </c:barChart>
      <c:catAx>
        <c:axId val="109455232"/>
        <c:scaling>
          <c:orientation val="minMax"/>
        </c:scaling>
        <c:delete val="1"/>
        <c:axPos val="l"/>
        <c:majorTickMark val="none"/>
        <c:minorTickMark val="none"/>
        <c:tickLblPos val="nextTo"/>
        <c:crossAx val="109456768"/>
        <c:crosses val="autoZero"/>
        <c:auto val="1"/>
        <c:lblAlgn val="ctr"/>
        <c:lblOffset val="100"/>
        <c:noMultiLvlLbl val="0"/>
      </c:catAx>
      <c:valAx>
        <c:axId val="109456768"/>
        <c:scaling>
          <c:orientation val="minMax"/>
          <c:max val="1"/>
        </c:scaling>
        <c:delete val="1"/>
        <c:axPos val="b"/>
        <c:numFmt formatCode="0%" sourceLinked="1"/>
        <c:majorTickMark val="none"/>
        <c:minorTickMark val="none"/>
        <c:tickLblPos val="nextTo"/>
        <c:crossAx val="10945523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'H2020'!$K$7</c:f>
              <c:numCache>
                <c:formatCode>0%</c:formatCode>
                <c:ptCount val="1"/>
                <c:pt idx="0">
                  <c:v>1</c:v>
                </c:pt>
              </c:numCache>
            </c:numRef>
          </c:val>
          <c:extLst>
            <c:ext xmlns:c16="http://schemas.microsoft.com/office/drawing/2014/chart" uri="{C3380CC4-5D6E-409C-BE32-E72D297353CC}">
              <c16:uniqueId val="{00000000-63FB-4BE5-912B-B6914B044DEF}"/>
            </c:ext>
          </c:extLst>
        </c:ser>
        <c:ser>
          <c:idx val="1"/>
          <c:order val="1"/>
          <c:spPr>
            <a:solidFill>
              <a:srgbClr val="000000"/>
            </a:solidFill>
            <a:ln>
              <a:noFill/>
            </a:ln>
            <a:effectLst/>
          </c:spPr>
          <c:invertIfNegative val="0"/>
          <c:val>
            <c:numRef>
              <c:f>'H2020'!$L$7</c:f>
              <c:numCache>
                <c:formatCode>0%</c:formatCode>
                <c:ptCount val="1"/>
                <c:pt idx="0">
                  <c:v>0</c:v>
                </c:pt>
              </c:numCache>
            </c:numRef>
          </c:val>
          <c:extLst>
            <c:ext xmlns:c16="http://schemas.microsoft.com/office/drawing/2014/chart" uri="{C3380CC4-5D6E-409C-BE32-E72D297353CC}">
              <c16:uniqueId val="{00000001-63FB-4BE5-912B-B6914B044DEF}"/>
            </c:ext>
          </c:extLst>
        </c:ser>
        <c:ser>
          <c:idx val="2"/>
          <c:order val="2"/>
          <c:spPr>
            <a:solidFill>
              <a:srgbClr val="DCE6F2"/>
            </a:solidFill>
            <a:ln>
              <a:noFill/>
            </a:ln>
            <a:effectLst/>
          </c:spPr>
          <c:invertIfNegative val="0"/>
          <c:val>
            <c:numRef>
              <c:f>'H2020'!$M$7</c:f>
              <c:numCache>
                <c:formatCode>0%</c:formatCode>
                <c:ptCount val="1"/>
                <c:pt idx="0">
                  <c:v>0</c:v>
                </c:pt>
              </c:numCache>
            </c:numRef>
          </c:val>
          <c:extLst>
            <c:ext xmlns:c16="http://schemas.microsoft.com/office/drawing/2014/chart" uri="{C3380CC4-5D6E-409C-BE32-E72D297353CC}">
              <c16:uniqueId val="{00000002-63FB-4BE5-912B-B6914B044DEF}"/>
            </c:ext>
          </c:extLst>
        </c:ser>
        <c:ser>
          <c:idx val="3"/>
          <c:order val="3"/>
          <c:spPr>
            <a:solidFill>
              <a:srgbClr val="00ADDC"/>
            </a:solidFill>
            <a:ln>
              <a:noFill/>
            </a:ln>
            <a:effectLst/>
          </c:spPr>
          <c:invertIfNegative val="0"/>
          <c:val>
            <c:numRef>
              <c:f>'H2020'!$N$7</c:f>
              <c:numCache>
                <c:formatCode>0%</c:formatCode>
                <c:ptCount val="1"/>
                <c:pt idx="0">
                  <c:v>0</c:v>
                </c:pt>
              </c:numCache>
            </c:numRef>
          </c:val>
          <c:extLst>
            <c:ext xmlns:c16="http://schemas.microsoft.com/office/drawing/2014/chart" uri="{C3380CC4-5D6E-409C-BE32-E72D297353CC}">
              <c16:uniqueId val="{00000003-63FB-4BE5-912B-B6914B044DEF}"/>
            </c:ext>
          </c:extLst>
        </c:ser>
        <c:ser>
          <c:idx val="4"/>
          <c:order val="4"/>
          <c:spPr>
            <a:solidFill>
              <a:srgbClr val="000000"/>
            </a:solidFill>
            <a:ln>
              <a:noFill/>
            </a:ln>
            <a:effectLst/>
          </c:spPr>
          <c:invertIfNegative val="0"/>
          <c:val>
            <c:numRef>
              <c:f>'H2020'!$O$7</c:f>
              <c:numCache>
                <c:formatCode>0%</c:formatCode>
                <c:ptCount val="1"/>
                <c:pt idx="0">
                  <c:v>0</c:v>
                </c:pt>
              </c:numCache>
            </c:numRef>
          </c:val>
          <c:extLst>
            <c:ext xmlns:c16="http://schemas.microsoft.com/office/drawing/2014/chart" uri="{C3380CC4-5D6E-409C-BE32-E72D297353CC}">
              <c16:uniqueId val="{00000004-63FB-4BE5-912B-B6914B044DEF}"/>
            </c:ext>
          </c:extLst>
        </c:ser>
        <c:ser>
          <c:idx val="5"/>
          <c:order val="5"/>
          <c:spPr>
            <a:solidFill>
              <a:srgbClr val="00ADDC"/>
            </a:solidFill>
            <a:ln>
              <a:noFill/>
            </a:ln>
            <a:effectLst/>
          </c:spPr>
          <c:invertIfNegative val="0"/>
          <c:val>
            <c:numRef>
              <c:f>'H2020'!$P$7</c:f>
              <c:numCache>
                <c:formatCode>0%</c:formatCode>
                <c:ptCount val="1"/>
                <c:pt idx="0">
                  <c:v>0</c:v>
                </c:pt>
              </c:numCache>
            </c:numRef>
          </c:val>
          <c:extLst>
            <c:ext xmlns:c16="http://schemas.microsoft.com/office/drawing/2014/chart" uri="{C3380CC4-5D6E-409C-BE32-E72D297353CC}">
              <c16:uniqueId val="{00000005-63FB-4BE5-912B-B6914B044DEF}"/>
            </c:ext>
          </c:extLst>
        </c:ser>
        <c:ser>
          <c:idx val="6"/>
          <c:order val="6"/>
          <c:spPr>
            <a:solidFill>
              <a:srgbClr val="28296E"/>
            </a:solidFill>
            <a:ln>
              <a:noFill/>
            </a:ln>
            <a:effectLst/>
          </c:spPr>
          <c:invertIfNegative val="0"/>
          <c:dLbls>
            <c:dLbl>
              <c:idx val="0"/>
              <c:tx>
                <c:rich>
                  <a:bodyPr/>
                  <a:lstStyle/>
                  <a:p>
                    <a:r>
                      <a:rPr lang="en-US"/>
                      <a:t>&gt;100%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FB-4BE5-912B-B6914B044DEF}"/>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'H2020'!$Q$7</c:f>
              <c:numCache>
                <c:formatCode>0%</c:formatCode>
                <c:ptCount val="1"/>
                <c:pt idx="0">
                  <c:v>1</c:v>
                </c:pt>
              </c:numCache>
            </c:numRef>
          </c:val>
          <c:extLst>
            <c:ext xmlns:c16="http://schemas.microsoft.com/office/drawing/2014/chart" uri="{C3380CC4-5D6E-409C-BE32-E72D297353CC}">
              <c16:uniqueId val="{00000007-63FB-4BE5-912B-B6914B044DEF}"/>
            </c:ext>
          </c:extLst>
        </c:ser>
        <c:ser>
          <c:idx val="7"/>
          <c:order val="7"/>
          <c:spPr>
            <a:solidFill>
              <a:srgbClr val="000000"/>
            </a:solidFill>
            <a:ln>
              <a:noFill/>
            </a:ln>
            <a:effectLst/>
          </c:spPr>
          <c:invertIfNegative val="0"/>
          <c:val>
            <c:numRef>
              <c:f>'H2020'!$R$7</c:f>
              <c:numCache>
                <c:formatCode>0%</c:formatCode>
                <c:ptCount val="1"/>
                <c:pt idx="0">
                  <c:v>0</c:v>
                </c:pt>
              </c:numCache>
            </c:numRef>
          </c:val>
          <c:extLst>
            <c:ext xmlns:c16="http://schemas.microsoft.com/office/drawing/2014/chart" uri="{C3380CC4-5D6E-409C-BE32-E72D297353CC}">
              <c16:uniqueId val="{00000008-63FB-4BE5-912B-B6914B044DEF}"/>
            </c:ext>
          </c:extLst>
        </c:ser>
        <c:ser>
          <c:idx val="8"/>
          <c:order val="8"/>
          <c:spPr>
            <a:solidFill>
              <a:srgbClr val="28296E"/>
            </a:solidFill>
            <a:ln>
              <a:noFill/>
            </a:ln>
            <a:effectLst/>
          </c:spPr>
          <c:invertIfNegative val="0"/>
          <c:val>
            <c:numRef>
              <c:f>'H2020'!$S$7</c:f>
              <c:numCache>
                <c:formatCode>0%</c:formatCode>
                <c:ptCount val="1"/>
                <c:pt idx="0">
                  <c:v>0</c:v>
                </c:pt>
              </c:numCache>
            </c:numRef>
          </c:val>
          <c:extLst>
            <c:ext xmlns:c16="http://schemas.microsoft.com/office/drawing/2014/chart" uri="{C3380CC4-5D6E-409C-BE32-E72D297353CC}">
              <c16:uniqueId val="{00000009-63FB-4BE5-912B-B6914B044DEF}"/>
            </c:ext>
          </c:extLst>
        </c:ser>
        <c:dLbls>
          <c:showLegendKey val="0"/>
          <c:showVal val="0"/>
          <c:showCatName val="0"/>
          <c:showSerName val="0"/>
          <c:showPercent val="0"/>
          <c:showBubbleSize val="0"/>
        </c:dLbls>
        <c:gapWidth val="0"/>
        <c:overlap val="100"/>
        <c:axId val="109508096"/>
        <c:axId val="109509632"/>
      </c:barChart>
      <c:catAx>
        <c:axId val="109508096"/>
        <c:scaling>
          <c:orientation val="minMax"/>
        </c:scaling>
        <c:delete val="1"/>
        <c:axPos val="l"/>
        <c:majorTickMark val="none"/>
        <c:minorTickMark val="none"/>
        <c:tickLblPos val="nextTo"/>
        <c:crossAx val="109509632"/>
        <c:crosses val="autoZero"/>
        <c:auto val="1"/>
        <c:lblAlgn val="ctr"/>
        <c:lblOffset val="100"/>
        <c:noMultiLvlLbl val="0"/>
      </c:catAx>
      <c:valAx>
        <c:axId val="109509632"/>
        <c:scaling>
          <c:orientation val="minMax"/>
          <c:max val="1"/>
        </c:scaling>
        <c:delete val="1"/>
        <c:axPos val="b"/>
        <c:numFmt formatCode="0%" sourceLinked="1"/>
        <c:majorTickMark val="none"/>
        <c:minorTickMark val="none"/>
        <c:tickLblPos val="nextTo"/>
        <c:crossAx val="10950809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'H2020'!$K$8</c:f>
              <c:numCache>
                <c:formatCode>0%</c:formatCode>
                <c:ptCount val="1"/>
                <c:pt idx="0">
                  <c:v>1</c:v>
                </c:pt>
              </c:numCache>
            </c:numRef>
          </c:val>
          <c:extLst>
            <c:ext xmlns:c16="http://schemas.microsoft.com/office/drawing/2014/chart" uri="{C3380CC4-5D6E-409C-BE32-E72D297353CC}">
              <c16:uniqueId val="{00000000-6681-4CBA-B962-AE13950AF05E}"/>
            </c:ext>
          </c:extLst>
        </c:ser>
        <c:ser>
          <c:idx val="1"/>
          <c:order val="1"/>
          <c:spPr>
            <a:solidFill>
              <a:srgbClr val="000000"/>
            </a:solidFill>
            <a:ln>
              <a:noFill/>
            </a:ln>
            <a:effectLst/>
          </c:spPr>
          <c:invertIfNegative val="0"/>
          <c:val>
            <c:numRef>
              <c:f>'H2020'!$L$8</c:f>
              <c:numCache>
                <c:formatCode>0%</c:formatCode>
                <c:ptCount val="1"/>
                <c:pt idx="0">
                  <c:v>0</c:v>
                </c:pt>
              </c:numCache>
            </c:numRef>
          </c:val>
          <c:extLst>
            <c:ext xmlns:c16="http://schemas.microsoft.com/office/drawing/2014/chart" uri="{C3380CC4-5D6E-409C-BE32-E72D297353CC}">
              <c16:uniqueId val="{00000001-6681-4CBA-B962-AE13950AF05E}"/>
            </c:ext>
          </c:extLst>
        </c:ser>
        <c:ser>
          <c:idx val="2"/>
          <c:order val="2"/>
          <c:spPr>
            <a:solidFill>
              <a:srgbClr val="DCE6F2"/>
            </a:solidFill>
            <a:ln>
              <a:noFill/>
            </a:ln>
            <a:effectLst/>
          </c:spPr>
          <c:invertIfNegative val="0"/>
          <c:val>
            <c:numRef>
              <c:f>'H2020'!$M$8</c:f>
              <c:numCache>
                <c:formatCode>0%</c:formatCode>
                <c:ptCount val="1"/>
                <c:pt idx="0">
                  <c:v>0</c:v>
                </c:pt>
              </c:numCache>
            </c:numRef>
          </c:val>
          <c:extLst>
            <c:ext xmlns:c16="http://schemas.microsoft.com/office/drawing/2014/chart" uri="{C3380CC4-5D6E-409C-BE32-E72D297353CC}">
              <c16:uniqueId val="{00000002-6681-4CBA-B962-AE13950AF05E}"/>
            </c:ext>
          </c:extLst>
        </c:ser>
        <c:ser>
          <c:idx val="3"/>
          <c:order val="3"/>
          <c:spPr>
            <a:solidFill>
              <a:srgbClr val="00ADDC"/>
            </a:solidFill>
            <a:ln>
              <a:noFill/>
            </a:ln>
            <a:effectLst/>
          </c:spPr>
          <c:invertIfNegative val="0"/>
          <c:val>
            <c:numRef>
              <c:f>'H2020'!$N$8</c:f>
              <c:numCache>
                <c:formatCode>0%</c:formatCode>
                <c:ptCount val="1"/>
                <c:pt idx="0">
                  <c:v>0</c:v>
                </c:pt>
              </c:numCache>
            </c:numRef>
          </c:val>
          <c:extLst>
            <c:ext xmlns:c16="http://schemas.microsoft.com/office/drawing/2014/chart" uri="{C3380CC4-5D6E-409C-BE32-E72D297353CC}">
              <c16:uniqueId val="{00000003-6681-4CBA-B962-AE13950AF05E}"/>
            </c:ext>
          </c:extLst>
        </c:ser>
        <c:ser>
          <c:idx val="4"/>
          <c:order val="4"/>
          <c:spPr>
            <a:solidFill>
              <a:srgbClr val="000000"/>
            </a:solidFill>
            <a:ln>
              <a:noFill/>
            </a:ln>
            <a:effectLst/>
          </c:spPr>
          <c:invertIfNegative val="0"/>
          <c:val>
            <c:numRef>
              <c:f>'H2020'!$O$8</c:f>
              <c:numCache>
                <c:formatCode>0%</c:formatCode>
                <c:ptCount val="1"/>
                <c:pt idx="0">
                  <c:v>0</c:v>
                </c:pt>
              </c:numCache>
            </c:numRef>
          </c:val>
          <c:extLst>
            <c:ext xmlns:c16="http://schemas.microsoft.com/office/drawing/2014/chart" uri="{C3380CC4-5D6E-409C-BE32-E72D297353CC}">
              <c16:uniqueId val="{00000004-6681-4CBA-B962-AE13950AF05E}"/>
            </c:ext>
          </c:extLst>
        </c:ser>
        <c:ser>
          <c:idx val="5"/>
          <c:order val="5"/>
          <c:spPr>
            <a:solidFill>
              <a:srgbClr val="00ADDC"/>
            </a:solidFill>
            <a:ln>
              <a:noFill/>
            </a:ln>
            <a:effectLst/>
          </c:spPr>
          <c:invertIfNegative val="0"/>
          <c:val>
            <c:numRef>
              <c:f>'H2020'!$P$8</c:f>
              <c:numCache>
                <c:formatCode>0%</c:formatCode>
                <c:ptCount val="1"/>
                <c:pt idx="0">
                  <c:v>0</c:v>
                </c:pt>
              </c:numCache>
            </c:numRef>
          </c:val>
          <c:extLst>
            <c:ext xmlns:c16="http://schemas.microsoft.com/office/drawing/2014/chart" uri="{C3380CC4-5D6E-409C-BE32-E72D297353CC}">
              <c16:uniqueId val="{00000005-6681-4CBA-B962-AE13950AF05E}"/>
            </c:ext>
          </c:extLst>
        </c:ser>
        <c:ser>
          <c:idx val="6"/>
          <c:order val="6"/>
          <c:spPr>
            <a:solidFill>
              <a:srgbClr val="28296E"/>
            </a:solidFill>
            <a:ln>
              <a:noFill/>
            </a:ln>
            <a:effectLst/>
          </c:spPr>
          <c:invertIfNegative val="0"/>
          <c:dLbls>
            <c:dLbl>
              <c:idx val="0"/>
              <c:tx>
                <c:rich>
                  <a:bodyPr/>
                  <a:lstStyle/>
                  <a:p>
                    <a:r>
                      <a:rPr lang="en-US"/>
                      <a:t>&gt;100%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681-4CBA-B962-AE13950AF05E}"/>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'H2020'!$Q$8</c:f>
              <c:numCache>
                <c:formatCode>0%</c:formatCode>
                <c:ptCount val="1"/>
                <c:pt idx="0">
                  <c:v>1</c:v>
                </c:pt>
              </c:numCache>
            </c:numRef>
          </c:val>
          <c:extLst>
            <c:ext xmlns:c16="http://schemas.microsoft.com/office/drawing/2014/chart" uri="{C3380CC4-5D6E-409C-BE32-E72D297353CC}">
              <c16:uniqueId val="{00000007-6681-4CBA-B962-AE13950AF05E}"/>
            </c:ext>
          </c:extLst>
        </c:ser>
        <c:ser>
          <c:idx val="7"/>
          <c:order val="7"/>
          <c:spPr>
            <a:solidFill>
              <a:srgbClr val="000000"/>
            </a:solidFill>
            <a:ln>
              <a:noFill/>
            </a:ln>
            <a:effectLst/>
          </c:spPr>
          <c:invertIfNegative val="0"/>
          <c:val>
            <c:numRef>
              <c:f>'H2020'!$R$8</c:f>
              <c:numCache>
                <c:formatCode>0%</c:formatCode>
                <c:ptCount val="1"/>
                <c:pt idx="0">
                  <c:v>0</c:v>
                </c:pt>
              </c:numCache>
            </c:numRef>
          </c:val>
          <c:extLst>
            <c:ext xmlns:c16="http://schemas.microsoft.com/office/drawing/2014/chart" uri="{C3380CC4-5D6E-409C-BE32-E72D297353CC}">
              <c16:uniqueId val="{00000008-6681-4CBA-B962-AE13950AF05E}"/>
            </c:ext>
          </c:extLst>
        </c:ser>
        <c:ser>
          <c:idx val="8"/>
          <c:order val="8"/>
          <c:spPr>
            <a:solidFill>
              <a:srgbClr val="28296E"/>
            </a:solidFill>
            <a:ln>
              <a:noFill/>
            </a:ln>
            <a:effectLst/>
          </c:spPr>
          <c:invertIfNegative val="0"/>
          <c:val>
            <c:numRef>
              <c:f>'H2020'!$S$8</c:f>
              <c:numCache>
                <c:formatCode>0%</c:formatCode>
                <c:ptCount val="1"/>
                <c:pt idx="0">
                  <c:v>0</c:v>
                </c:pt>
              </c:numCache>
            </c:numRef>
          </c:val>
          <c:extLst>
            <c:ext xmlns:c16="http://schemas.microsoft.com/office/drawing/2014/chart" uri="{C3380CC4-5D6E-409C-BE32-E72D297353CC}">
              <c16:uniqueId val="{00000009-6681-4CBA-B962-AE13950AF05E}"/>
            </c:ext>
          </c:extLst>
        </c:ser>
        <c:dLbls>
          <c:showLegendKey val="0"/>
          <c:showVal val="0"/>
          <c:showCatName val="0"/>
          <c:showSerName val="0"/>
          <c:showPercent val="0"/>
          <c:showBubbleSize val="0"/>
        </c:dLbls>
        <c:gapWidth val="0"/>
        <c:overlap val="100"/>
        <c:axId val="109184128"/>
        <c:axId val="109185664"/>
      </c:barChart>
      <c:catAx>
        <c:axId val="109184128"/>
        <c:scaling>
          <c:orientation val="minMax"/>
        </c:scaling>
        <c:delete val="1"/>
        <c:axPos val="l"/>
        <c:majorTickMark val="none"/>
        <c:minorTickMark val="none"/>
        <c:tickLblPos val="nextTo"/>
        <c:crossAx val="109185664"/>
        <c:crosses val="autoZero"/>
        <c:auto val="1"/>
        <c:lblAlgn val="ctr"/>
        <c:lblOffset val="100"/>
        <c:noMultiLvlLbl val="0"/>
      </c:catAx>
      <c:valAx>
        <c:axId val="109185664"/>
        <c:scaling>
          <c:orientation val="minMax"/>
          <c:max val="1"/>
        </c:scaling>
        <c:delete val="1"/>
        <c:axPos val="b"/>
        <c:numFmt formatCode="0%" sourceLinked="1"/>
        <c:majorTickMark val="none"/>
        <c:minorTickMark val="none"/>
        <c:tickLblPos val="nextTo"/>
        <c:crossAx val="10918412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'H2020'!$K$9</c:f>
              <c:numCache>
                <c:formatCode>0%</c:formatCode>
                <c:ptCount val="1"/>
                <c:pt idx="0">
                  <c:v>1</c:v>
                </c:pt>
              </c:numCache>
            </c:numRef>
          </c:val>
          <c:extLst>
            <c:ext xmlns:c16="http://schemas.microsoft.com/office/drawing/2014/chart" uri="{C3380CC4-5D6E-409C-BE32-E72D297353CC}">
              <c16:uniqueId val="{00000000-EA1B-4688-AC03-284EC8949A17}"/>
            </c:ext>
          </c:extLst>
        </c:ser>
        <c:ser>
          <c:idx val="1"/>
          <c:order val="1"/>
          <c:spPr>
            <a:solidFill>
              <a:srgbClr val="000000"/>
            </a:solidFill>
            <a:ln>
              <a:noFill/>
            </a:ln>
            <a:effectLst/>
          </c:spPr>
          <c:invertIfNegative val="0"/>
          <c:val>
            <c:numRef>
              <c:f>'H2020'!$L$9</c:f>
              <c:numCache>
                <c:formatCode>0%</c:formatCode>
                <c:ptCount val="1"/>
                <c:pt idx="0">
                  <c:v>0</c:v>
                </c:pt>
              </c:numCache>
            </c:numRef>
          </c:val>
          <c:extLst>
            <c:ext xmlns:c16="http://schemas.microsoft.com/office/drawing/2014/chart" uri="{C3380CC4-5D6E-409C-BE32-E72D297353CC}">
              <c16:uniqueId val="{00000001-EA1B-4688-AC03-284EC8949A17}"/>
            </c:ext>
          </c:extLst>
        </c:ser>
        <c:ser>
          <c:idx val="2"/>
          <c:order val="2"/>
          <c:spPr>
            <a:solidFill>
              <a:srgbClr val="DCE6F2"/>
            </a:solidFill>
            <a:ln>
              <a:noFill/>
            </a:ln>
            <a:effectLst/>
          </c:spPr>
          <c:invertIfNegative val="0"/>
          <c:val>
            <c:numRef>
              <c:f>'H2020'!$M$9</c:f>
              <c:numCache>
                <c:formatCode>0%</c:formatCode>
                <c:ptCount val="1"/>
                <c:pt idx="0">
                  <c:v>0</c:v>
                </c:pt>
              </c:numCache>
            </c:numRef>
          </c:val>
          <c:extLst>
            <c:ext xmlns:c16="http://schemas.microsoft.com/office/drawing/2014/chart" uri="{C3380CC4-5D6E-409C-BE32-E72D297353CC}">
              <c16:uniqueId val="{00000002-EA1B-4688-AC03-284EC8949A17}"/>
            </c:ext>
          </c:extLst>
        </c:ser>
        <c:ser>
          <c:idx val="3"/>
          <c:order val="3"/>
          <c:spPr>
            <a:solidFill>
              <a:srgbClr val="00ADDC"/>
            </a:solidFill>
            <a:ln>
              <a:noFill/>
            </a:ln>
            <a:effectLst/>
          </c:spPr>
          <c:invertIfNegative val="0"/>
          <c:val>
            <c:numRef>
              <c:f>'H2020'!$N$9</c:f>
              <c:numCache>
                <c:formatCode>0%</c:formatCode>
                <c:ptCount val="1"/>
                <c:pt idx="0">
                  <c:v>0</c:v>
                </c:pt>
              </c:numCache>
            </c:numRef>
          </c:val>
          <c:extLst>
            <c:ext xmlns:c16="http://schemas.microsoft.com/office/drawing/2014/chart" uri="{C3380CC4-5D6E-409C-BE32-E72D297353CC}">
              <c16:uniqueId val="{00000003-EA1B-4688-AC03-284EC8949A17}"/>
            </c:ext>
          </c:extLst>
        </c:ser>
        <c:ser>
          <c:idx val="4"/>
          <c:order val="4"/>
          <c:spPr>
            <a:solidFill>
              <a:srgbClr val="000000"/>
            </a:solidFill>
            <a:ln>
              <a:noFill/>
            </a:ln>
            <a:effectLst/>
          </c:spPr>
          <c:invertIfNegative val="0"/>
          <c:val>
            <c:numRef>
              <c:f>'H2020'!$O$9</c:f>
              <c:numCache>
                <c:formatCode>0%</c:formatCode>
                <c:ptCount val="1"/>
                <c:pt idx="0">
                  <c:v>0</c:v>
                </c:pt>
              </c:numCache>
            </c:numRef>
          </c:val>
          <c:extLst>
            <c:ext xmlns:c16="http://schemas.microsoft.com/office/drawing/2014/chart" uri="{C3380CC4-5D6E-409C-BE32-E72D297353CC}">
              <c16:uniqueId val="{00000004-EA1B-4688-AC03-284EC8949A17}"/>
            </c:ext>
          </c:extLst>
        </c:ser>
        <c:ser>
          <c:idx val="5"/>
          <c:order val="5"/>
          <c:spPr>
            <a:solidFill>
              <a:srgbClr val="00ADDC"/>
            </a:solidFill>
            <a:ln>
              <a:noFill/>
            </a:ln>
            <a:effectLst/>
          </c:spPr>
          <c:invertIfNegative val="0"/>
          <c:val>
            <c:numRef>
              <c:f>'H2020'!$P$9</c:f>
              <c:numCache>
                <c:formatCode>0%</c:formatCode>
                <c:ptCount val="1"/>
                <c:pt idx="0">
                  <c:v>0</c:v>
                </c:pt>
              </c:numCache>
            </c:numRef>
          </c:val>
          <c:extLst>
            <c:ext xmlns:c16="http://schemas.microsoft.com/office/drawing/2014/chart" uri="{C3380CC4-5D6E-409C-BE32-E72D297353CC}">
              <c16:uniqueId val="{00000005-EA1B-4688-AC03-284EC8949A17}"/>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'H2020'!$Q$9</c:f>
              <c:numCache>
                <c:formatCode>0%</c:formatCode>
                <c:ptCount val="1"/>
                <c:pt idx="0">
                  <c:v>0.82857142857142863</c:v>
                </c:pt>
              </c:numCache>
            </c:numRef>
          </c:val>
          <c:extLst>
            <c:ext xmlns:c16="http://schemas.microsoft.com/office/drawing/2014/chart" uri="{C3380CC4-5D6E-409C-BE32-E72D297353CC}">
              <c16:uniqueId val="{00000006-EA1B-4688-AC03-284EC8949A17}"/>
            </c:ext>
          </c:extLst>
        </c:ser>
        <c:ser>
          <c:idx val="7"/>
          <c:order val="7"/>
          <c:spPr>
            <a:solidFill>
              <a:srgbClr val="000000"/>
            </a:solidFill>
            <a:ln>
              <a:noFill/>
            </a:ln>
            <a:effectLst/>
          </c:spPr>
          <c:invertIfNegative val="0"/>
          <c:val>
            <c:numRef>
              <c:f>'H2020'!$R$9</c:f>
              <c:numCache>
                <c:formatCode>0%</c:formatCode>
                <c:ptCount val="1"/>
                <c:pt idx="0">
                  <c:v>0</c:v>
                </c:pt>
              </c:numCache>
            </c:numRef>
          </c:val>
          <c:extLst>
            <c:ext xmlns:c16="http://schemas.microsoft.com/office/drawing/2014/chart" uri="{C3380CC4-5D6E-409C-BE32-E72D297353CC}">
              <c16:uniqueId val="{00000007-EA1B-4688-AC03-284EC8949A17}"/>
            </c:ext>
          </c:extLst>
        </c:ser>
        <c:ser>
          <c:idx val="8"/>
          <c:order val="8"/>
          <c:spPr>
            <a:solidFill>
              <a:srgbClr val="28296E"/>
            </a:solidFill>
            <a:ln>
              <a:noFill/>
            </a:ln>
            <a:effectLst/>
          </c:spPr>
          <c:invertIfNegative val="0"/>
          <c:val>
            <c:numRef>
              <c:f>'H2020'!$S$9</c:f>
              <c:numCache>
                <c:formatCode>0%</c:formatCode>
                <c:ptCount val="1"/>
                <c:pt idx="0">
                  <c:v>0</c:v>
                </c:pt>
              </c:numCache>
            </c:numRef>
          </c:val>
          <c:extLst>
            <c:ext xmlns:c16="http://schemas.microsoft.com/office/drawing/2014/chart" uri="{C3380CC4-5D6E-409C-BE32-E72D297353CC}">
              <c16:uniqueId val="{00000008-EA1B-4688-AC03-284EC8949A17}"/>
            </c:ext>
          </c:extLst>
        </c:ser>
        <c:dLbls>
          <c:showLegendKey val="0"/>
          <c:showVal val="0"/>
          <c:showCatName val="0"/>
          <c:showSerName val="0"/>
          <c:showPercent val="0"/>
          <c:showBubbleSize val="0"/>
        </c:dLbls>
        <c:gapWidth val="0"/>
        <c:overlap val="100"/>
        <c:axId val="109244800"/>
        <c:axId val="109246336"/>
      </c:barChart>
      <c:catAx>
        <c:axId val="109244800"/>
        <c:scaling>
          <c:orientation val="minMax"/>
        </c:scaling>
        <c:delete val="1"/>
        <c:axPos val="l"/>
        <c:majorTickMark val="none"/>
        <c:minorTickMark val="none"/>
        <c:tickLblPos val="nextTo"/>
        <c:crossAx val="109246336"/>
        <c:crosses val="autoZero"/>
        <c:auto val="1"/>
        <c:lblAlgn val="ctr"/>
        <c:lblOffset val="100"/>
        <c:noMultiLvlLbl val="0"/>
      </c:catAx>
      <c:valAx>
        <c:axId val="109246336"/>
        <c:scaling>
          <c:orientation val="minMax"/>
          <c:max val="1"/>
        </c:scaling>
        <c:delete val="1"/>
        <c:axPos val="b"/>
        <c:numFmt formatCode="0%" sourceLinked="1"/>
        <c:majorTickMark val="none"/>
        <c:minorTickMark val="none"/>
        <c:tickLblPos val="nextTo"/>
        <c:crossAx val="10924480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Galileo!$K$6</c:f>
              <c:numCache>
                <c:formatCode>0%</c:formatCode>
                <c:ptCount val="1"/>
                <c:pt idx="0">
                  <c:v>1</c:v>
                </c:pt>
              </c:numCache>
            </c:numRef>
          </c:val>
          <c:extLst>
            <c:ext xmlns:c16="http://schemas.microsoft.com/office/drawing/2014/chart" uri="{C3380CC4-5D6E-409C-BE32-E72D297353CC}">
              <c16:uniqueId val="{00000000-070A-4FC2-9AD6-A327D6AEDA44}"/>
            </c:ext>
          </c:extLst>
        </c:ser>
        <c:ser>
          <c:idx val="1"/>
          <c:order val="1"/>
          <c:spPr>
            <a:solidFill>
              <a:srgbClr val="000000"/>
            </a:solidFill>
            <a:ln>
              <a:noFill/>
            </a:ln>
            <a:effectLst/>
          </c:spPr>
          <c:invertIfNegative val="0"/>
          <c:val>
            <c:numRef>
              <c:f>Galileo!$L$6</c:f>
              <c:numCache>
                <c:formatCode>0%</c:formatCode>
                <c:ptCount val="1"/>
                <c:pt idx="0">
                  <c:v>0</c:v>
                </c:pt>
              </c:numCache>
            </c:numRef>
          </c:val>
          <c:extLst>
            <c:ext xmlns:c16="http://schemas.microsoft.com/office/drawing/2014/chart" uri="{C3380CC4-5D6E-409C-BE32-E72D297353CC}">
              <c16:uniqueId val="{00000001-070A-4FC2-9AD6-A327D6AEDA44}"/>
            </c:ext>
          </c:extLst>
        </c:ser>
        <c:ser>
          <c:idx val="2"/>
          <c:order val="2"/>
          <c:spPr>
            <a:solidFill>
              <a:srgbClr val="DCE6F2"/>
            </a:solidFill>
            <a:ln>
              <a:noFill/>
            </a:ln>
            <a:effectLst/>
          </c:spPr>
          <c:invertIfNegative val="0"/>
          <c:val>
            <c:numRef>
              <c:f>Galileo!$M$6</c:f>
              <c:numCache>
                <c:formatCode>0%</c:formatCode>
                <c:ptCount val="1"/>
                <c:pt idx="0">
                  <c:v>0</c:v>
                </c:pt>
              </c:numCache>
            </c:numRef>
          </c:val>
          <c:extLst>
            <c:ext xmlns:c16="http://schemas.microsoft.com/office/drawing/2014/chart" uri="{C3380CC4-5D6E-409C-BE32-E72D297353CC}">
              <c16:uniqueId val="{00000002-070A-4FC2-9AD6-A327D6AEDA44}"/>
            </c:ext>
          </c:extLst>
        </c:ser>
        <c:ser>
          <c:idx val="3"/>
          <c:order val="3"/>
          <c:spPr>
            <a:solidFill>
              <a:srgbClr val="00ADDC"/>
            </a:solidFill>
            <a:ln>
              <a:noFill/>
            </a:ln>
            <a:effectLst/>
          </c:spPr>
          <c:invertIfNegative val="0"/>
          <c:val>
            <c:numRef>
              <c:f>Galileo!$N$6</c:f>
              <c:numCache>
                <c:formatCode>0%</c:formatCode>
                <c:ptCount val="1"/>
                <c:pt idx="0">
                  <c:v>0</c:v>
                </c:pt>
              </c:numCache>
            </c:numRef>
          </c:val>
          <c:extLst>
            <c:ext xmlns:c16="http://schemas.microsoft.com/office/drawing/2014/chart" uri="{C3380CC4-5D6E-409C-BE32-E72D297353CC}">
              <c16:uniqueId val="{00000003-070A-4FC2-9AD6-A327D6AEDA44}"/>
            </c:ext>
          </c:extLst>
        </c:ser>
        <c:ser>
          <c:idx val="4"/>
          <c:order val="4"/>
          <c:spPr>
            <a:solidFill>
              <a:srgbClr val="000000"/>
            </a:solidFill>
            <a:ln>
              <a:noFill/>
            </a:ln>
            <a:effectLst/>
          </c:spPr>
          <c:invertIfNegative val="0"/>
          <c:val>
            <c:numRef>
              <c:f>Galileo!$O$6</c:f>
              <c:numCache>
                <c:formatCode>0%</c:formatCode>
                <c:ptCount val="1"/>
                <c:pt idx="0">
                  <c:v>0</c:v>
                </c:pt>
              </c:numCache>
            </c:numRef>
          </c:val>
          <c:extLst>
            <c:ext xmlns:c16="http://schemas.microsoft.com/office/drawing/2014/chart" uri="{C3380CC4-5D6E-409C-BE32-E72D297353CC}">
              <c16:uniqueId val="{00000004-070A-4FC2-9AD6-A327D6AEDA44}"/>
            </c:ext>
          </c:extLst>
        </c:ser>
        <c:ser>
          <c:idx val="5"/>
          <c:order val="5"/>
          <c:spPr>
            <a:solidFill>
              <a:srgbClr val="00ADDC"/>
            </a:solidFill>
            <a:ln>
              <a:noFill/>
            </a:ln>
            <a:effectLst/>
          </c:spPr>
          <c:invertIfNegative val="0"/>
          <c:val>
            <c:numRef>
              <c:f>Galileo!$P$6</c:f>
              <c:numCache>
                <c:formatCode>0%</c:formatCode>
                <c:ptCount val="1"/>
                <c:pt idx="0">
                  <c:v>0</c:v>
                </c:pt>
              </c:numCache>
            </c:numRef>
          </c:val>
          <c:extLst>
            <c:ext xmlns:c16="http://schemas.microsoft.com/office/drawing/2014/chart" uri="{C3380CC4-5D6E-409C-BE32-E72D297353CC}">
              <c16:uniqueId val="{00000005-070A-4FC2-9AD6-A327D6AEDA44}"/>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Galileo!$Q$6</c:f>
              <c:numCache>
                <c:formatCode>0%</c:formatCode>
                <c:ptCount val="1"/>
                <c:pt idx="0">
                  <c:v>0.84615384615384615</c:v>
                </c:pt>
              </c:numCache>
            </c:numRef>
          </c:val>
          <c:extLst>
            <c:ext xmlns:c16="http://schemas.microsoft.com/office/drawing/2014/chart" uri="{C3380CC4-5D6E-409C-BE32-E72D297353CC}">
              <c16:uniqueId val="{00000006-070A-4FC2-9AD6-A327D6AEDA44}"/>
            </c:ext>
          </c:extLst>
        </c:ser>
        <c:ser>
          <c:idx val="7"/>
          <c:order val="7"/>
          <c:spPr>
            <a:solidFill>
              <a:srgbClr val="000000"/>
            </a:solidFill>
            <a:ln>
              <a:noFill/>
            </a:ln>
            <a:effectLst/>
          </c:spPr>
          <c:invertIfNegative val="0"/>
          <c:val>
            <c:numRef>
              <c:f>Galileo!$R$6</c:f>
              <c:numCache>
                <c:formatCode>0%</c:formatCode>
                <c:ptCount val="1"/>
                <c:pt idx="0">
                  <c:v>0</c:v>
                </c:pt>
              </c:numCache>
            </c:numRef>
          </c:val>
          <c:extLst>
            <c:ext xmlns:c16="http://schemas.microsoft.com/office/drawing/2014/chart" uri="{C3380CC4-5D6E-409C-BE32-E72D297353CC}">
              <c16:uniqueId val="{00000007-070A-4FC2-9AD6-A327D6AEDA44}"/>
            </c:ext>
          </c:extLst>
        </c:ser>
        <c:ser>
          <c:idx val="8"/>
          <c:order val="8"/>
          <c:spPr>
            <a:solidFill>
              <a:srgbClr val="28296E"/>
            </a:solidFill>
            <a:ln>
              <a:noFill/>
            </a:ln>
            <a:effectLst/>
          </c:spPr>
          <c:invertIfNegative val="0"/>
          <c:val>
            <c:numRef>
              <c:f>Galileo!$S$6</c:f>
              <c:numCache>
                <c:formatCode>0%</c:formatCode>
                <c:ptCount val="1"/>
                <c:pt idx="0">
                  <c:v>0</c:v>
                </c:pt>
              </c:numCache>
            </c:numRef>
          </c:val>
          <c:extLst>
            <c:ext xmlns:c16="http://schemas.microsoft.com/office/drawing/2014/chart" uri="{C3380CC4-5D6E-409C-BE32-E72D297353CC}">
              <c16:uniqueId val="{00000008-070A-4FC2-9AD6-A327D6AEDA44}"/>
            </c:ext>
          </c:extLst>
        </c:ser>
        <c:dLbls>
          <c:showLegendKey val="0"/>
          <c:showVal val="0"/>
          <c:showCatName val="0"/>
          <c:showSerName val="0"/>
          <c:showPercent val="0"/>
          <c:showBubbleSize val="0"/>
        </c:dLbls>
        <c:gapWidth val="0"/>
        <c:overlap val="100"/>
        <c:axId val="102300288"/>
        <c:axId val="102048128"/>
      </c:barChart>
      <c:catAx>
        <c:axId val="102300288"/>
        <c:scaling>
          <c:orientation val="minMax"/>
        </c:scaling>
        <c:delete val="1"/>
        <c:axPos val="l"/>
        <c:majorTickMark val="none"/>
        <c:minorTickMark val="none"/>
        <c:tickLblPos val="nextTo"/>
        <c:crossAx val="102048128"/>
        <c:crosses val="autoZero"/>
        <c:auto val="1"/>
        <c:lblAlgn val="ctr"/>
        <c:lblOffset val="100"/>
        <c:noMultiLvlLbl val="0"/>
      </c:catAx>
      <c:valAx>
        <c:axId val="102048128"/>
        <c:scaling>
          <c:orientation val="minMax"/>
          <c:max val="1"/>
        </c:scaling>
        <c:delete val="1"/>
        <c:axPos val="b"/>
        <c:numFmt formatCode="0%" sourceLinked="1"/>
        <c:majorTickMark val="none"/>
        <c:minorTickMark val="none"/>
        <c:tickLblPos val="nextTo"/>
        <c:crossAx val="10230028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'H2020'!$K$10</c:f>
              <c:numCache>
                <c:formatCode>0%</c:formatCode>
                <c:ptCount val="1"/>
                <c:pt idx="0">
                  <c:v>1</c:v>
                </c:pt>
              </c:numCache>
            </c:numRef>
          </c:val>
          <c:extLst>
            <c:ext xmlns:c16="http://schemas.microsoft.com/office/drawing/2014/chart" uri="{C3380CC4-5D6E-409C-BE32-E72D297353CC}">
              <c16:uniqueId val="{00000000-B04D-4A78-B35D-574D1BE83B5F}"/>
            </c:ext>
          </c:extLst>
        </c:ser>
        <c:ser>
          <c:idx val="1"/>
          <c:order val="1"/>
          <c:spPr>
            <a:solidFill>
              <a:srgbClr val="000000"/>
            </a:solidFill>
            <a:ln>
              <a:noFill/>
            </a:ln>
            <a:effectLst/>
          </c:spPr>
          <c:invertIfNegative val="0"/>
          <c:val>
            <c:numRef>
              <c:f>'H2020'!$L$10</c:f>
              <c:numCache>
                <c:formatCode>0%</c:formatCode>
                <c:ptCount val="1"/>
                <c:pt idx="0">
                  <c:v>0</c:v>
                </c:pt>
              </c:numCache>
            </c:numRef>
          </c:val>
          <c:extLst>
            <c:ext xmlns:c16="http://schemas.microsoft.com/office/drawing/2014/chart" uri="{C3380CC4-5D6E-409C-BE32-E72D297353CC}">
              <c16:uniqueId val="{00000001-B04D-4A78-B35D-574D1BE83B5F}"/>
            </c:ext>
          </c:extLst>
        </c:ser>
        <c:ser>
          <c:idx val="2"/>
          <c:order val="2"/>
          <c:spPr>
            <a:solidFill>
              <a:srgbClr val="DCE6F2"/>
            </a:solidFill>
            <a:ln>
              <a:noFill/>
            </a:ln>
            <a:effectLst/>
          </c:spPr>
          <c:invertIfNegative val="0"/>
          <c:val>
            <c:numRef>
              <c:f>'H2020'!$M$10</c:f>
              <c:numCache>
                <c:formatCode>0%</c:formatCode>
                <c:ptCount val="1"/>
                <c:pt idx="0">
                  <c:v>0</c:v>
                </c:pt>
              </c:numCache>
            </c:numRef>
          </c:val>
          <c:extLst>
            <c:ext xmlns:c16="http://schemas.microsoft.com/office/drawing/2014/chart" uri="{C3380CC4-5D6E-409C-BE32-E72D297353CC}">
              <c16:uniqueId val="{00000002-B04D-4A78-B35D-574D1BE83B5F}"/>
            </c:ext>
          </c:extLst>
        </c:ser>
        <c:ser>
          <c:idx val="3"/>
          <c:order val="3"/>
          <c:spPr>
            <a:solidFill>
              <a:srgbClr val="00ADDC"/>
            </a:solidFill>
            <a:ln>
              <a:noFill/>
            </a:ln>
            <a:effectLst/>
          </c:spPr>
          <c:invertIfNegative val="0"/>
          <c:val>
            <c:numRef>
              <c:f>'H2020'!$N$10</c:f>
              <c:numCache>
                <c:formatCode>0%</c:formatCode>
                <c:ptCount val="1"/>
                <c:pt idx="0">
                  <c:v>0</c:v>
                </c:pt>
              </c:numCache>
            </c:numRef>
          </c:val>
          <c:extLst>
            <c:ext xmlns:c16="http://schemas.microsoft.com/office/drawing/2014/chart" uri="{C3380CC4-5D6E-409C-BE32-E72D297353CC}">
              <c16:uniqueId val="{00000003-B04D-4A78-B35D-574D1BE83B5F}"/>
            </c:ext>
          </c:extLst>
        </c:ser>
        <c:ser>
          <c:idx val="4"/>
          <c:order val="4"/>
          <c:spPr>
            <a:solidFill>
              <a:srgbClr val="000000"/>
            </a:solidFill>
            <a:ln>
              <a:noFill/>
            </a:ln>
            <a:effectLst/>
          </c:spPr>
          <c:invertIfNegative val="0"/>
          <c:val>
            <c:numRef>
              <c:f>'H2020'!$O$10</c:f>
              <c:numCache>
                <c:formatCode>0%</c:formatCode>
                <c:ptCount val="1"/>
                <c:pt idx="0">
                  <c:v>0</c:v>
                </c:pt>
              </c:numCache>
            </c:numRef>
          </c:val>
          <c:extLst>
            <c:ext xmlns:c16="http://schemas.microsoft.com/office/drawing/2014/chart" uri="{C3380CC4-5D6E-409C-BE32-E72D297353CC}">
              <c16:uniqueId val="{00000004-B04D-4A78-B35D-574D1BE83B5F}"/>
            </c:ext>
          </c:extLst>
        </c:ser>
        <c:ser>
          <c:idx val="5"/>
          <c:order val="5"/>
          <c:spPr>
            <a:solidFill>
              <a:srgbClr val="00ADDC"/>
            </a:solidFill>
            <a:ln>
              <a:noFill/>
            </a:ln>
            <a:effectLst/>
          </c:spPr>
          <c:invertIfNegative val="0"/>
          <c:val>
            <c:numRef>
              <c:f>'H2020'!$P$10</c:f>
              <c:numCache>
                <c:formatCode>0%</c:formatCode>
                <c:ptCount val="1"/>
                <c:pt idx="0">
                  <c:v>0</c:v>
                </c:pt>
              </c:numCache>
            </c:numRef>
          </c:val>
          <c:extLst>
            <c:ext xmlns:c16="http://schemas.microsoft.com/office/drawing/2014/chart" uri="{C3380CC4-5D6E-409C-BE32-E72D297353CC}">
              <c16:uniqueId val="{00000005-B04D-4A78-B35D-574D1BE83B5F}"/>
            </c:ext>
          </c:extLst>
        </c:ser>
        <c:ser>
          <c:idx val="6"/>
          <c:order val="6"/>
          <c:spPr>
            <a:solidFill>
              <a:srgbClr val="28296E"/>
            </a:solidFill>
            <a:ln>
              <a:noFill/>
            </a:ln>
            <a:effectLst/>
          </c:spPr>
          <c:invertIfNegative val="0"/>
          <c:dLbls>
            <c:dLbl>
              <c:idx val="0"/>
              <c:tx>
                <c:rich>
                  <a:bodyPr/>
                  <a:lstStyle/>
                  <a:p>
                    <a:r>
                      <a:rPr lang="en-US"/>
                      <a:t>&gt;100%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04D-4A78-B35D-574D1BE83B5F}"/>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'H2020'!$Q$10</c:f>
              <c:numCache>
                <c:formatCode>0%</c:formatCode>
                <c:ptCount val="1"/>
                <c:pt idx="0">
                  <c:v>1</c:v>
                </c:pt>
              </c:numCache>
            </c:numRef>
          </c:val>
          <c:extLst>
            <c:ext xmlns:c16="http://schemas.microsoft.com/office/drawing/2014/chart" uri="{C3380CC4-5D6E-409C-BE32-E72D297353CC}">
              <c16:uniqueId val="{00000007-B04D-4A78-B35D-574D1BE83B5F}"/>
            </c:ext>
          </c:extLst>
        </c:ser>
        <c:ser>
          <c:idx val="7"/>
          <c:order val="7"/>
          <c:spPr>
            <a:solidFill>
              <a:srgbClr val="000000"/>
            </a:solidFill>
            <a:ln>
              <a:noFill/>
            </a:ln>
            <a:effectLst/>
          </c:spPr>
          <c:invertIfNegative val="0"/>
          <c:val>
            <c:numRef>
              <c:f>'H2020'!$R$10</c:f>
              <c:numCache>
                <c:formatCode>0%</c:formatCode>
                <c:ptCount val="1"/>
                <c:pt idx="0">
                  <c:v>0</c:v>
                </c:pt>
              </c:numCache>
            </c:numRef>
          </c:val>
          <c:extLst>
            <c:ext xmlns:c16="http://schemas.microsoft.com/office/drawing/2014/chart" uri="{C3380CC4-5D6E-409C-BE32-E72D297353CC}">
              <c16:uniqueId val="{00000008-B04D-4A78-B35D-574D1BE83B5F}"/>
            </c:ext>
          </c:extLst>
        </c:ser>
        <c:ser>
          <c:idx val="8"/>
          <c:order val="8"/>
          <c:spPr>
            <a:solidFill>
              <a:srgbClr val="28296E"/>
            </a:solidFill>
            <a:ln>
              <a:noFill/>
            </a:ln>
            <a:effectLst/>
          </c:spPr>
          <c:invertIfNegative val="0"/>
          <c:val>
            <c:numRef>
              <c:f>'H2020'!$S$10</c:f>
              <c:numCache>
                <c:formatCode>0%</c:formatCode>
                <c:ptCount val="1"/>
                <c:pt idx="0">
                  <c:v>0</c:v>
                </c:pt>
              </c:numCache>
            </c:numRef>
          </c:val>
          <c:extLst>
            <c:ext xmlns:c16="http://schemas.microsoft.com/office/drawing/2014/chart" uri="{C3380CC4-5D6E-409C-BE32-E72D297353CC}">
              <c16:uniqueId val="{00000009-B04D-4A78-B35D-574D1BE83B5F}"/>
            </c:ext>
          </c:extLst>
        </c:ser>
        <c:dLbls>
          <c:showLegendKey val="0"/>
          <c:showVal val="0"/>
          <c:showCatName val="0"/>
          <c:showSerName val="0"/>
          <c:showPercent val="0"/>
          <c:showBubbleSize val="0"/>
        </c:dLbls>
        <c:gapWidth val="0"/>
        <c:overlap val="100"/>
        <c:axId val="109301760"/>
        <c:axId val="109303296"/>
      </c:barChart>
      <c:catAx>
        <c:axId val="109301760"/>
        <c:scaling>
          <c:orientation val="minMax"/>
        </c:scaling>
        <c:delete val="1"/>
        <c:axPos val="l"/>
        <c:majorTickMark val="none"/>
        <c:minorTickMark val="none"/>
        <c:tickLblPos val="nextTo"/>
        <c:crossAx val="109303296"/>
        <c:crosses val="autoZero"/>
        <c:auto val="1"/>
        <c:lblAlgn val="ctr"/>
        <c:lblOffset val="100"/>
        <c:noMultiLvlLbl val="0"/>
      </c:catAx>
      <c:valAx>
        <c:axId val="109303296"/>
        <c:scaling>
          <c:orientation val="minMax"/>
          <c:max val="1"/>
        </c:scaling>
        <c:delete val="1"/>
        <c:axPos val="b"/>
        <c:numFmt formatCode="0%" sourceLinked="1"/>
        <c:majorTickMark val="none"/>
        <c:minorTickMark val="none"/>
        <c:tickLblPos val="nextTo"/>
        <c:crossAx val="10930176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'H2020'!$K$11</c:f>
              <c:numCache>
                <c:formatCode>0%</c:formatCode>
                <c:ptCount val="1"/>
                <c:pt idx="0">
                  <c:v>1</c:v>
                </c:pt>
              </c:numCache>
            </c:numRef>
          </c:val>
          <c:extLst>
            <c:ext xmlns:c16="http://schemas.microsoft.com/office/drawing/2014/chart" uri="{C3380CC4-5D6E-409C-BE32-E72D297353CC}">
              <c16:uniqueId val="{00000000-6CDD-47C1-9D5B-9F621C111DA2}"/>
            </c:ext>
          </c:extLst>
        </c:ser>
        <c:ser>
          <c:idx val="1"/>
          <c:order val="1"/>
          <c:spPr>
            <a:solidFill>
              <a:srgbClr val="000000"/>
            </a:solidFill>
            <a:ln>
              <a:noFill/>
            </a:ln>
            <a:effectLst/>
          </c:spPr>
          <c:invertIfNegative val="0"/>
          <c:val>
            <c:numRef>
              <c:f>'H2020'!$L$11</c:f>
              <c:numCache>
                <c:formatCode>0%</c:formatCode>
                <c:ptCount val="1"/>
                <c:pt idx="0">
                  <c:v>0</c:v>
                </c:pt>
              </c:numCache>
            </c:numRef>
          </c:val>
          <c:extLst>
            <c:ext xmlns:c16="http://schemas.microsoft.com/office/drawing/2014/chart" uri="{C3380CC4-5D6E-409C-BE32-E72D297353CC}">
              <c16:uniqueId val="{00000001-6CDD-47C1-9D5B-9F621C111DA2}"/>
            </c:ext>
          </c:extLst>
        </c:ser>
        <c:ser>
          <c:idx val="2"/>
          <c:order val="2"/>
          <c:spPr>
            <a:solidFill>
              <a:srgbClr val="DCE6F2"/>
            </a:solidFill>
            <a:ln>
              <a:noFill/>
            </a:ln>
            <a:effectLst/>
          </c:spPr>
          <c:invertIfNegative val="0"/>
          <c:val>
            <c:numRef>
              <c:f>'H2020'!$M$11</c:f>
              <c:numCache>
                <c:formatCode>0%</c:formatCode>
                <c:ptCount val="1"/>
                <c:pt idx="0">
                  <c:v>0</c:v>
                </c:pt>
              </c:numCache>
            </c:numRef>
          </c:val>
          <c:extLst>
            <c:ext xmlns:c16="http://schemas.microsoft.com/office/drawing/2014/chart" uri="{C3380CC4-5D6E-409C-BE32-E72D297353CC}">
              <c16:uniqueId val="{00000002-6CDD-47C1-9D5B-9F621C111DA2}"/>
            </c:ext>
          </c:extLst>
        </c:ser>
        <c:ser>
          <c:idx val="3"/>
          <c:order val="3"/>
          <c:spPr>
            <a:solidFill>
              <a:srgbClr val="00ADDC"/>
            </a:solidFill>
            <a:ln>
              <a:noFill/>
            </a:ln>
            <a:effectLst/>
          </c:spPr>
          <c:invertIfNegative val="0"/>
          <c:val>
            <c:numRef>
              <c:f>'H2020'!$N$11</c:f>
              <c:numCache>
                <c:formatCode>0%</c:formatCode>
                <c:ptCount val="1"/>
                <c:pt idx="0">
                  <c:v>0</c:v>
                </c:pt>
              </c:numCache>
            </c:numRef>
          </c:val>
          <c:extLst>
            <c:ext xmlns:c16="http://schemas.microsoft.com/office/drawing/2014/chart" uri="{C3380CC4-5D6E-409C-BE32-E72D297353CC}">
              <c16:uniqueId val="{00000003-6CDD-47C1-9D5B-9F621C111DA2}"/>
            </c:ext>
          </c:extLst>
        </c:ser>
        <c:ser>
          <c:idx val="4"/>
          <c:order val="4"/>
          <c:spPr>
            <a:solidFill>
              <a:srgbClr val="000000"/>
            </a:solidFill>
            <a:ln>
              <a:noFill/>
            </a:ln>
            <a:effectLst/>
          </c:spPr>
          <c:invertIfNegative val="0"/>
          <c:val>
            <c:numRef>
              <c:f>'H2020'!$O$11</c:f>
              <c:numCache>
                <c:formatCode>0%</c:formatCode>
                <c:ptCount val="1"/>
                <c:pt idx="0">
                  <c:v>0</c:v>
                </c:pt>
              </c:numCache>
            </c:numRef>
          </c:val>
          <c:extLst>
            <c:ext xmlns:c16="http://schemas.microsoft.com/office/drawing/2014/chart" uri="{C3380CC4-5D6E-409C-BE32-E72D297353CC}">
              <c16:uniqueId val="{00000004-6CDD-47C1-9D5B-9F621C111DA2}"/>
            </c:ext>
          </c:extLst>
        </c:ser>
        <c:ser>
          <c:idx val="5"/>
          <c:order val="5"/>
          <c:spPr>
            <a:solidFill>
              <a:srgbClr val="00ADDC"/>
            </a:solidFill>
            <a:ln>
              <a:noFill/>
            </a:ln>
            <a:effectLst/>
          </c:spPr>
          <c:invertIfNegative val="0"/>
          <c:val>
            <c:numRef>
              <c:f>'H2020'!$P$11</c:f>
              <c:numCache>
                <c:formatCode>0%</c:formatCode>
                <c:ptCount val="1"/>
                <c:pt idx="0">
                  <c:v>0</c:v>
                </c:pt>
              </c:numCache>
            </c:numRef>
          </c:val>
          <c:extLst>
            <c:ext xmlns:c16="http://schemas.microsoft.com/office/drawing/2014/chart" uri="{C3380CC4-5D6E-409C-BE32-E72D297353CC}">
              <c16:uniqueId val="{00000005-6CDD-47C1-9D5B-9F621C111DA2}"/>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'H2020'!$Q$11</c:f>
              <c:numCache>
                <c:formatCode>0%</c:formatCode>
                <c:ptCount val="1"/>
                <c:pt idx="0">
                  <c:v>0.92589285714285718</c:v>
                </c:pt>
              </c:numCache>
            </c:numRef>
          </c:val>
          <c:extLst>
            <c:ext xmlns:c16="http://schemas.microsoft.com/office/drawing/2014/chart" uri="{C3380CC4-5D6E-409C-BE32-E72D297353CC}">
              <c16:uniqueId val="{00000006-6CDD-47C1-9D5B-9F621C111DA2}"/>
            </c:ext>
          </c:extLst>
        </c:ser>
        <c:ser>
          <c:idx val="7"/>
          <c:order val="7"/>
          <c:spPr>
            <a:solidFill>
              <a:srgbClr val="000000"/>
            </a:solidFill>
            <a:ln>
              <a:noFill/>
            </a:ln>
            <a:effectLst/>
          </c:spPr>
          <c:invertIfNegative val="0"/>
          <c:val>
            <c:numRef>
              <c:f>'H2020'!$R$11</c:f>
              <c:numCache>
                <c:formatCode>0%</c:formatCode>
                <c:ptCount val="1"/>
                <c:pt idx="0">
                  <c:v>0</c:v>
                </c:pt>
              </c:numCache>
            </c:numRef>
          </c:val>
          <c:extLst>
            <c:ext xmlns:c16="http://schemas.microsoft.com/office/drawing/2014/chart" uri="{C3380CC4-5D6E-409C-BE32-E72D297353CC}">
              <c16:uniqueId val="{00000007-6CDD-47C1-9D5B-9F621C111DA2}"/>
            </c:ext>
          </c:extLst>
        </c:ser>
        <c:ser>
          <c:idx val="8"/>
          <c:order val="8"/>
          <c:spPr>
            <a:solidFill>
              <a:srgbClr val="28296E"/>
            </a:solidFill>
            <a:ln>
              <a:noFill/>
            </a:ln>
            <a:effectLst/>
          </c:spPr>
          <c:invertIfNegative val="0"/>
          <c:val>
            <c:numRef>
              <c:f>'H2020'!$S$11</c:f>
              <c:numCache>
                <c:formatCode>0%</c:formatCode>
                <c:ptCount val="1"/>
                <c:pt idx="0">
                  <c:v>0</c:v>
                </c:pt>
              </c:numCache>
            </c:numRef>
          </c:val>
          <c:extLst>
            <c:ext xmlns:c16="http://schemas.microsoft.com/office/drawing/2014/chart" uri="{C3380CC4-5D6E-409C-BE32-E72D297353CC}">
              <c16:uniqueId val="{00000008-6CDD-47C1-9D5B-9F621C111DA2}"/>
            </c:ext>
          </c:extLst>
        </c:ser>
        <c:dLbls>
          <c:showLegendKey val="0"/>
          <c:showVal val="0"/>
          <c:showCatName val="0"/>
          <c:showSerName val="0"/>
          <c:showPercent val="0"/>
          <c:showBubbleSize val="0"/>
        </c:dLbls>
        <c:gapWidth val="0"/>
        <c:overlap val="100"/>
        <c:axId val="109358080"/>
        <c:axId val="109359872"/>
      </c:barChart>
      <c:catAx>
        <c:axId val="109358080"/>
        <c:scaling>
          <c:orientation val="minMax"/>
        </c:scaling>
        <c:delete val="1"/>
        <c:axPos val="l"/>
        <c:majorTickMark val="none"/>
        <c:minorTickMark val="none"/>
        <c:tickLblPos val="nextTo"/>
        <c:crossAx val="109359872"/>
        <c:crosses val="autoZero"/>
        <c:auto val="1"/>
        <c:lblAlgn val="ctr"/>
        <c:lblOffset val="100"/>
        <c:noMultiLvlLbl val="0"/>
      </c:catAx>
      <c:valAx>
        <c:axId val="109359872"/>
        <c:scaling>
          <c:orientation val="minMax"/>
          <c:max val="1"/>
        </c:scaling>
        <c:delete val="1"/>
        <c:axPos val="b"/>
        <c:numFmt formatCode="0%" sourceLinked="1"/>
        <c:majorTickMark val="none"/>
        <c:minorTickMark val="none"/>
        <c:tickLblPos val="nextTo"/>
        <c:crossAx val="10935808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'H2020'!$K$12</c:f>
              <c:numCache>
                <c:formatCode>0%</c:formatCode>
                <c:ptCount val="1"/>
                <c:pt idx="0">
                  <c:v>1</c:v>
                </c:pt>
              </c:numCache>
            </c:numRef>
          </c:val>
          <c:extLst>
            <c:ext xmlns:c16="http://schemas.microsoft.com/office/drawing/2014/chart" uri="{C3380CC4-5D6E-409C-BE32-E72D297353CC}">
              <c16:uniqueId val="{00000000-43EB-4C67-A1D2-FE458D978B8A}"/>
            </c:ext>
          </c:extLst>
        </c:ser>
        <c:ser>
          <c:idx val="1"/>
          <c:order val="1"/>
          <c:spPr>
            <a:solidFill>
              <a:srgbClr val="000000"/>
            </a:solidFill>
            <a:ln>
              <a:noFill/>
            </a:ln>
            <a:effectLst/>
          </c:spPr>
          <c:invertIfNegative val="0"/>
          <c:val>
            <c:numRef>
              <c:f>'H2020'!$L$12</c:f>
              <c:numCache>
                <c:formatCode>0%</c:formatCode>
                <c:ptCount val="1"/>
                <c:pt idx="0">
                  <c:v>0</c:v>
                </c:pt>
              </c:numCache>
            </c:numRef>
          </c:val>
          <c:extLst>
            <c:ext xmlns:c16="http://schemas.microsoft.com/office/drawing/2014/chart" uri="{C3380CC4-5D6E-409C-BE32-E72D297353CC}">
              <c16:uniqueId val="{00000001-43EB-4C67-A1D2-FE458D978B8A}"/>
            </c:ext>
          </c:extLst>
        </c:ser>
        <c:ser>
          <c:idx val="2"/>
          <c:order val="2"/>
          <c:spPr>
            <a:solidFill>
              <a:srgbClr val="DCE6F2"/>
            </a:solidFill>
            <a:ln>
              <a:noFill/>
            </a:ln>
            <a:effectLst/>
          </c:spPr>
          <c:invertIfNegative val="0"/>
          <c:val>
            <c:numRef>
              <c:f>'H2020'!$M$12</c:f>
              <c:numCache>
                <c:formatCode>0%</c:formatCode>
                <c:ptCount val="1"/>
                <c:pt idx="0">
                  <c:v>0</c:v>
                </c:pt>
              </c:numCache>
            </c:numRef>
          </c:val>
          <c:extLst>
            <c:ext xmlns:c16="http://schemas.microsoft.com/office/drawing/2014/chart" uri="{C3380CC4-5D6E-409C-BE32-E72D297353CC}">
              <c16:uniqueId val="{00000002-43EB-4C67-A1D2-FE458D978B8A}"/>
            </c:ext>
          </c:extLst>
        </c:ser>
        <c:ser>
          <c:idx val="3"/>
          <c:order val="3"/>
          <c:spPr>
            <a:solidFill>
              <a:srgbClr val="00ADDC"/>
            </a:solidFill>
            <a:ln>
              <a:noFill/>
            </a:ln>
            <a:effectLst/>
          </c:spPr>
          <c:invertIfNegative val="0"/>
          <c:val>
            <c:numRef>
              <c:f>'H2020'!$N$12</c:f>
              <c:numCache>
                <c:formatCode>0%</c:formatCode>
                <c:ptCount val="1"/>
                <c:pt idx="0">
                  <c:v>0</c:v>
                </c:pt>
              </c:numCache>
            </c:numRef>
          </c:val>
          <c:extLst>
            <c:ext xmlns:c16="http://schemas.microsoft.com/office/drawing/2014/chart" uri="{C3380CC4-5D6E-409C-BE32-E72D297353CC}">
              <c16:uniqueId val="{00000003-43EB-4C67-A1D2-FE458D978B8A}"/>
            </c:ext>
          </c:extLst>
        </c:ser>
        <c:ser>
          <c:idx val="4"/>
          <c:order val="4"/>
          <c:spPr>
            <a:solidFill>
              <a:srgbClr val="000000"/>
            </a:solidFill>
            <a:ln>
              <a:noFill/>
            </a:ln>
            <a:effectLst/>
          </c:spPr>
          <c:invertIfNegative val="0"/>
          <c:val>
            <c:numRef>
              <c:f>'H2020'!$O$12</c:f>
              <c:numCache>
                <c:formatCode>0%</c:formatCode>
                <c:ptCount val="1"/>
                <c:pt idx="0">
                  <c:v>0</c:v>
                </c:pt>
              </c:numCache>
            </c:numRef>
          </c:val>
          <c:extLst>
            <c:ext xmlns:c16="http://schemas.microsoft.com/office/drawing/2014/chart" uri="{C3380CC4-5D6E-409C-BE32-E72D297353CC}">
              <c16:uniqueId val="{00000004-43EB-4C67-A1D2-FE458D978B8A}"/>
            </c:ext>
          </c:extLst>
        </c:ser>
        <c:ser>
          <c:idx val="5"/>
          <c:order val="5"/>
          <c:spPr>
            <a:solidFill>
              <a:srgbClr val="00ADDC"/>
            </a:solidFill>
            <a:ln>
              <a:noFill/>
            </a:ln>
            <a:effectLst/>
          </c:spPr>
          <c:invertIfNegative val="0"/>
          <c:val>
            <c:numRef>
              <c:f>'H2020'!$P$12</c:f>
              <c:numCache>
                <c:formatCode>0%</c:formatCode>
                <c:ptCount val="1"/>
                <c:pt idx="0">
                  <c:v>0</c:v>
                </c:pt>
              </c:numCache>
            </c:numRef>
          </c:val>
          <c:extLst>
            <c:ext xmlns:c16="http://schemas.microsoft.com/office/drawing/2014/chart" uri="{C3380CC4-5D6E-409C-BE32-E72D297353CC}">
              <c16:uniqueId val="{00000005-43EB-4C67-A1D2-FE458D978B8A}"/>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'H2020'!$Q$12</c:f>
              <c:numCache>
                <c:formatCode>0%</c:formatCode>
                <c:ptCount val="1"/>
                <c:pt idx="0">
                  <c:v>0.59833333333333338</c:v>
                </c:pt>
              </c:numCache>
            </c:numRef>
          </c:val>
          <c:extLst>
            <c:ext xmlns:c16="http://schemas.microsoft.com/office/drawing/2014/chart" uri="{C3380CC4-5D6E-409C-BE32-E72D297353CC}">
              <c16:uniqueId val="{00000006-43EB-4C67-A1D2-FE458D978B8A}"/>
            </c:ext>
          </c:extLst>
        </c:ser>
        <c:ser>
          <c:idx val="7"/>
          <c:order val="7"/>
          <c:spPr>
            <a:solidFill>
              <a:srgbClr val="000000"/>
            </a:solidFill>
            <a:ln>
              <a:noFill/>
            </a:ln>
            <a:effectLst/>
          </c:spPr>
          <c:invertIfNegative val="0"/>
          <c:val>
            <c:numRef>
              <c:f>'H2020'!$R$12</c:f>
              <c:numCache>
                <c:formatCode>0%</c:formatCode>
                <c:ptCount val="1"/>
                <c:pt idx="0">
                  <c:v>0</c:v>
                </c:pt>
              </c:numCache>
            </c:numRef>
          </c:val>
          <c:extLst>
            <c:ext xmlns:c16="http://schemas.microsoft.com/office/drawing/2014/chart" uri="{C3380CC4-5D6E-409C-BE32-E72D297353CC}">
              <c16:uniqueId val="{00000007-43EB-4C67-A1D2-FE458D978B8A}"/>
            </c:ext>
          </c:extLst>
        </c:ser>
        <c:ser>
          <c:idx val="8"/>
          <c:order val="8"/>
          <c:spPr>
            <a:solidFill>
              <a:srgbClr val="28296E"/>
            </a:solidFill>
            <a:ln>
              <a:noFill/>
            </a:ln>
            <a:effectLst/>
          </c:spPr>
          <c:invertIfNegative val="0"/>
          <c:val>
            <c:numRef>
              <c:f>'H2020'!$S$12</c:f>
              <c:numCache>
                <c:formatCode>0%</c:formatCode>
                <c:ptCount val="1"/>
                <c:pt idx="0">
                  <c:v>0</c:v>
                </c:pt>
              </c:numCache>
            </c:numRef>
          </c:val>
          <c:extLst>
            <c:ext xmlns:c16="http://schemas.microsoft.com/office/drawing/2014/chart" uri="{C3380CC4-5D6E-409C-BE32-E72D297353CC}">
              <c16:uniqueId val="{00000008-43EB-4C67-A1D2-FE458D978B8A}"/>
            </c:ext>
          </c:extLst>
        </c:ser>
        <c:dLbls>
          <c:showLegendKey val="0"/>
          <c:showVal val="0"/>
          <c:showCatName val="0"/>
          <c:showSerName val="0"/>
          <c:showPercent val="0"/>
          <c:showBubbleSize val="0"/>
        </c:dLbls>
        <c:gapWidth val="0"/>
        <c:overlap val="100"/>
        <c:axId val="109877504"/>
        <c:axId val="109883392"/>
      </c:barChart>
      <c:catAx>
        <c:axId val="109877504"/>
        <c:scaling>
          <c:orientation val="minMax"/>
        </c:scaling>
        <c:delete val="1"/>
        <c:axPos val="l"/>
        <c:majorTickMark val="none"/>
        <c:minorTickMark val="none"/>
        <c:tickLblPos val="nextTo"/>
        <c:crossAx val="109883392"/>
        <c:crosses val="autoZero"/>
        <c:auto val="1"/>
        <c:lblAlgn val="ctr"/>
        <c:lblOffset val="100"/>
        <c:noMultiLvlLbl val="0"/>
      </c:catAx>
      <c:valAx>
        <c:axId val="109883392"/>
        <c:scaling>
          <c:orientation val="minMax"/>
          <c:max val="1"/>
        </c:scaling>
        <c:delete val="1"/>
        <c:axPos val="b"/>
        <c:numFmt formatCode="0%" sourceLinked="1"/>
        <c:majorTickMark val="none"/>
        <c:minorTickMark val="none"/>
        <c:tickLblPos val="nextTo"/>
        <c:crossAx val="10987750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00ADDC"/>
              </a:solidFill>
              <a:ln w="19050">
                <a:solidFill>
                  <a:schemeClr val="lt1"/>
                </a:solidFill>
              </a:ln>
              <a:effectLst/>
            </c:spPr>
            <c:extLst>
              <c:ext xmlns:c16="http://schemas.microsoft.com/office/drawing/2014/chart" uri="{C3380CC4-5D6E-409C-BE32-E72D297353CC}">
                <c16:uniqueId val="{00000001-EB19-481F-B2EA-5C4D74697CA1}"/>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EB19-481F-B2EA-5C4D74697CA1}"/>
              </c:ext>
            </c:extLst>
          </c:dPt>
          <c:cat>
            <c:strRef>
              <c:f>Sheet1!$A$2:$A$3</c:f>
              <c:strCache>
                <c:ptCount val="2"/>
                <c:pt idx="0">
                  <c:v>1st Qtr</c:v>
                </c:pt>
                <c:pt idx="1">
                  <c:v>2nd Qtr</c:v>
                </c:pt>
              </c:strCache>
            </c:strRef>
          </c:cat>
          <c:val>
            <c:numRef>
              <c:f>Sheet1!$B$2:$B$3</c:f>
              <c:numCache>
                <c:formatCode>0%</c:formatCode>
                <c:ptCount val="2"/>
                <c:pt idx="0">
                  <c:v>0.69</c:v>
                </c:pt>
                <c:pt idx="1">
                  <c:v>0.31</c:v>
                </c:pt>
              </c:numCache>
            </c:numRef>
          </c:val>
          <c:extLst>
            <c:ext xmlns:c16="http://schemas.microsoft.com/office/drawing/2014/chart" uri="{C3380CC4-5D6E-409C-BE32-E72D297353CC}">
              <c16:uniqueId val="{00000004-EB19-481F-B2EA-5C4D74697CA1}"/>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7.0488892237752579E-2"/>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28296E"/>
              </a:solidFill>
              <a:ln w="19050">
                <a:noFill/>
              </a:ln>
              <a:effectLst/>
            </c:spPr>
            <c:extLst>
              <c:ext xmlns:c16="http://schemas.microsoft.com/office/drawing/2014/chart" uri="{C3380CC4-5D6E-409C-BE32-E72D297353CC}">
                <c16:uniqueId val="{00000001-3EB2-4360-995E-44B1800EA652}"/>
              </c:ext>
            </c:extLst>
          </c:dPt>
          <c:dPt>
            <c:idx val="1"/>
            <c:bubble3D val="0"/>
            <c:spPr>
              <a:noFill/>
              <a:ln w="19050">
                <a:noFill/>
              </a:ln>
              <a:effectLst/>
            </c:spPr>
            <c:extLst>
              <c:ext xmlns:c16="http://schemas.microsoft.com/office/drawing/2014/chart" uri="{C3380CC4-5D6E-409C-BE32-E72D297353CC}">
                <c16:uniqueId val="{00000003-3EB2-4360-995E-44B1800EA652}"/>
              </c:ext>
            </c:extLst>
          </c:dPt>
          <c:cat>
            <c:strRef>
              <c:f>Sheet1!$A$2:$A$3</c:f>
              <c:strCache>
                <c:ptCount val="2"/>
                <c:pt idx="0">
                  <c:v>1st Qtr</c:v>
                </c:pt>
                <c:pt idx="1">
                  <c:v>2nd Qtr</c:v>
                </c:pt>
              </c:strCache>
            </c:strRef>
          </c:cat>
          <c:val>
            <c:numRef>
              <c:f>Sheet1!$B$2:$B$3</c:f>
              <c:numCache>
                <c:formatCode>0%</c:formatCode>
                <c:ptCount val="2"/>
                <c:pt idx="0">
                  <c:v>0.83</c:v>
                </c:pt>
                <c:pt idx="1">
                  <c:v>0.17</c:v>
                </c:pt>
              </c:numCache>
            </c:numRef>
          </c:val>
          <c:extLst>
            <c:ext xmlns:c16="http://schemas.microsoft.com/office/drawing/2014/chart" uri="{C3380CC4-5D6E-409C-BE32-E72D297353CC}">
              <c16:uniqueId val="{00000004-3EB2-4360-995E-44B1800EA652}"/>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Euratom!$K$4</c:f>
              <c:numCache>
                <c:formatCode>0%</c:formatCode>
                <c:ptCount val="1"/>
                <c:pt idx="0">
                  <c:v>1</c:v>
                </c:pt>
              </c:numCache>
            </c:numRef>
          </c:val>
          <c:extLst>
            <c:ext xmlns:c16="http://schemas.microsoft.com/office/drawing/2014/chart" uri="{C3380CC4-5D6E-409C-BE32-E72D297353CC}">
              <c16:uniqueId val="{00000000-4362-4C4F-867C-A25F3D776236}"/>
            </c:ext>
          </c:extLst>
        </c:ser>
        <c:ser>
          <c:idx val="1"/>
          <c:order val="1"/>
          <c:spPr>
            <a:solidFill>
              <a:srgbClr val="000000"/>
            </a:solidFill>
            <a:ln>
              <a:noFill/>
            </a:ln>
            <a:effectLst/>
          </c:spPr>
          <c:invertIfNegative val="0"/>
          <c:val>
            <c:numRef>
              <c:f>Euratom!$L$4</c:f>
              <c:numCache>
                <c:formatCode>0%</c:formatCode>
                <c:ptCount val="1"/>
                <c:pt idx="0">
                  <c:v>0</c:v>
                </c:pt>
              </c:numCache>
            </c:numRef>
          </c:val>
          <c:extLst>
            <c:ext xmlns:c16="http://schemas.microsoft.com/office/drawing/2014/chart" uri="{C3380CC4-5D6E-409C-BE32-E72D297353CC}">
              <c16:uniqueId val="{00000001-4362-4C4F-867C-A25F3D776236}"/>
            </c:ext>
          </c:extLst>
        </c:ser>
        <c:ser>
          <c:idx val="2"/>
          <c:order val="2"/>
          <c:spPr>
            <a:solidFill>
              <a:srgbClr val="DCE6F2"/>
            </a:solidFill>
            <a:ln>
              <a:noFill/>
            </a:ln>
            <a:effectLst/>
          </c:spPr>
          <c:invertIfNegative val="0"/>
          <c:val>
            <c:numRef>
              <c:f>Euratom!$M$4</c:f>
              <c:numCache>
                <c:formatCode>0%</c:formatCode>
                <c:ptCount val="1"/>
                <c:pt idx="0">
                  <c:v>0</c:v>
                </c:pt>
              </c:numCache>
            </c:numRef>
          </c:val>
          <c:extLst>
            <c:ext xmlns:c16="http://schemas.microsoft.com/office/drawing/2014/chart" uri="{C3380CC4-5D6E-409C-BE32-E72D297353CC}">
              <c16:uniqueId val="{00000002-4362-4C4F-867C-A25F3D776236}"/>
            </c:ext>
          </c:extLst>
        </c:ser>
        <c:ser>
          <c:idx val="3"/>
          <c:order val="3"/>
          <c:spPr>
            <a:solidFill>
              <a:srgbClr val="00ADDC"/>
            </a:solidFill>
            <a:ln>
              <a:noFill/>
            </a:ln>
            <a:effectLst/>
          </c:spPr>
          <c:invertIfNegative val="0"/>
          <c:val>
            <c:numRef>
              <c:f>Euratom!$N$4</c:f>
              <c:numCache>
                <c:formatCode>0%</c:formatCode>
                <c:ptCount val="1"/>
                <c:pt idx="0">
                  <c:v>0</c:v>
                </c:pt>
              </c:numCache>
            </c:numRef>
          </c:val>
          <c:extLst>
            <c:ext xmlns:c16="http://schemas.microsoft.com/office/drawing/2014/chart" uri="{C3380CC4-5D6E-409C-BE32-E72D297353CC}">
              <c16:uniqueId val="{00000003-4362-4C4F-867C-A25F3D776236}"/>
            </c:ext>
          </c:extLst>
        </c:ser>
        <c:ser>
          <c:idx val="4"/>
          <c:order val="4"/>
          <c:spPr>
            <a:solidFill>
              <a:srgbClr val="000000"/>
            </a:solidFill>
            <a:ln>
              <a:noFill/>
            </a:ln>
            <a:effectLst/>
          </c:spPr>
          <c:invertIfNegative val="0"/>
          <c:val>
            <c:numRef>
              <c:f>Euratom!$O$4</c:f>
              <c:numCache>
                <c:formatCode>0%</c:formatCode>
                <c:ptCount val="1"/>
                <c:pt idx="0">
                  <c:v>0</c:v>
                </c:pt>
              </c:numCache>
            </c:numRef>
          </c:val>
          <c:extLst>
            <c:ext xmlns:c16="http://schemas.microsoft.com/office/drawing/2014/chart" uri="{C3380CC4-5D6E-409C-BE32-E72D297353CC}">
              <c16:uniqueId val="{00000004-4362-4C4F-867C-A25F3D776236}"/>
            </c:ext>
          </c:extLst>
        </c:ser>
        <c:ser>
          <c:idx val="5"/>
          <c:order val="5"/>
          <c:spPr>
            <a:solidFill>
              <a:srgbClr val="00ADDC"/>
            </a:solidFill>
            <a:ln>
              <a:noFill/>
            </a:ln>
            <a:effectLst/>
          </c:spPr>
          <c:invertIfNegative val="0"/>
          <c:val>
            <c:numRef>
              <c:f>Euratom!$P$4</c:f>
              <c:numCache>
                <c:formatCode>0%</c:formatCode>
                <c:ptCount val="1"/>
                <c:pt idx="0">
                  <c:v>0</c:v>
                </c:pt>
              </c:numCache>
            </c:numRef>
          </c:val>
          <c:extLst>
            <c:ext xmlns:c16="http://schemas.microsoft.com/office/drawing/2014/chart" uri="{C3380CC4-5D6E-409C-BE32-E72D297353CC}">
              <c16:uniqueId val="{00000005-4362-4C4F-867C-A25F3D776236}"/>
            </c:ext>
          </c:extLst>
        </c:ser>
        <c:ser>
          <c:idx val="6"/>
          <c:order val="6"/>
          <c:spPr>
            <a:solidFill>
              <a:srgbClr val="28296E"/>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62-4C4F-867C-A25F3D776236}"/>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Euratom!$Q$4</c:f>
              <c:numCache>
                <c:formatCode>0%</c:formatCode>
                <c:ptCount val="1"/>
                <c:pt idx="0">
                  <c:v>1</c:v>
                </c:pt>
              </c:numCache>
            </c:numRef>
          </c:val>
          <c:extLst>
            <c:ext xmlns:c16="http://schemas.microsoft.com/office/drawing/2014/chart" uri="{C3380CC4-5D6E-409C-BE32-E72D297353CC}">
              <c16:uniqueId val="{00000007-4362-4C4F-867C-A25F3D776236}"/>
            </c:ext>
          </c:extLst>
        </c:ser>
        <c:ser>
          <c:idx val="7"/>
          <c:order val="7"/>
          <c:spPr>
            <a:solidFill>
              <a:srgbClr val="000000"/>
            </a:solidFill>
            <a:ln>
              <a:noFill/>
            </a:ln>
            <a:effectLst/>
          </c:spPr>
          <c:invertIfNegative val="0"/>
          <c:val>
            <c:numRef>
              <c:f>Euratom!$R$4</c:f>
              <c:numCache>
                <c:formatCode>0%</c:formatCode>
                <c:ptCount val="1"/>
                <c:pt idx="0">
                  <c:v>0</c:v>
                </c:pt>
              </c:numCache>
            </c:numRef>
          </c:val>
          <c:extLst>
            <c:ext xmlns:c16="http://schemas.microsoft.com/office/drawing/2014/chart" uri="{C3380CC4-5D6E-409C-BE32-E72D297353CC}">
              <c16:uniqueId val="{00000008-4362-4C4F-867C-A25F3D776236}"/>
            </c:ext>
          </c:extLst>
        </c:ser>
        <c:ser>
          <c:idx val="8"/>
          <c:order val="8"/>
          <c:spPr>
            <a:solidFill>
              <a:srgbClr val="28296E"/>
            </a:solidFill>
            <a:ln>
              <a:noFill/>
            </a:ln>
            <a:effectLst/>
          </c:spPr>
          <c:invertIfNegative val="0"/>
          <c:val>
            <c:numRef>
              <c:f>Euratom!$S$4</c:f>
              <c:numCache>
                <c:formatCode>0%</c:formatCode>
                <c:ptCount val="1"/>
                <c:pt idx="0">
                  <c:v>0</c:v>
                </c:pt>
              </c:numCache>
            </c:numRef>
          </c:val>
          <c:extLst>
            <c:ext xmlns:c16="http://schemas.microsoft.com/office/drawing/2014/chart" uri="{C3380CC4-5D6E-409C-BE32-E72D297353CC}">
              <c16:uniqueId val="{00000009-4362-4C4F-867C-A25F3D776236}"/>
            </c:ext>
          </c:extLst>
        </c:ser>
        <c:dLbls>
          <c:showLegendKey val="0"/>
          <c:showVal val="0"/>
          <c:showCatName val="0"/>
          <c:showSerName val="0"/>
          <c:showPercent val="0"/>
          <c:showBubbleSize val="0"/>
        </c:dLbls>
        <c:gapWidth val="0"/>
        <c:overlap val="100"/>
        <c:axId val="110198784"/>
        <c:axId val="110200320"/>
      </c:barChart>
      <c:catAx>
        <c:axId val="110198784"/>
        <c:scaling>
          <c:orientation val="minMax"/>
        </c:scaling>
        <c:delete val="1"/>
        <c:axPos val="l"/>
        <c:majorTickMark val="none"/>
        <c:minorTickMark val="none"/>
        <c:tickLblPos val="nextTo"/>
        <c:crossAx val="110200320"/>
        <c:crosses val="autoZero"/>
        <c:auto val="1"/>
        <c:lblAlgn val="ctr"/>
        <c:lblOffset val="100"/>
        <c:noMultiLvlLbl val="0"/>
      </c:catAx>
      <c:valAx>
        <c:axId val="110200320"/>
        <c:scaling>
          <c:orientation val="minMax"/>
          <c:max val="1"/>
        </c:scaling>
        <c:delete val="1"/>
        <c:axPos val="b"/>
        <c:numFmt formatCode="0%" sourceLinked="1"/>
        <c:majorTickMark val="none"/>
        <c:minorTickMark val="none"/>
        <c:tickLblPos val="nextTo"/>
        <c:crossAx val="11019878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Euratom!$K$5</c:f>
              <c:numCache>
                <c:formatCode>0%</c:formatCode>
                <c:ptCount val="1"/>
                <c:pt idx="0">
                  <c:v>1</c:v>
                </c:pt>
              </c:numCache>
            </c:numRef>
          </c:val>
          <c:extLst>
            <c:ext xmlns:c16="http://schemas.microsoft.com/office/drawing/2014/chart" uri="{C3380CC4-5D6E-409C-BE32-E72D297353CC}">
              <c16:uniqueId val="{00000000-BC76-4E6C-8F86-8FA48B9BEAF5}"/>
            </c:ext>
          </c:extLst>
        </c:ser>
        <c:ser>
          <c:idx val="1"/>
          <c:order val="1"/>
          <c:spPr>
            <a:solidFill>
              <a:srgbClr val="000000"/>
            </a:solidFill>
            <a:ln>
              <a:noFill/>
            </a:ln>
            <a:effectLst/>
          </c:spPr>
          <c:invertIfNegative val="0"/>
          <c:val>
            <c:numRef>
              <c:f>Euratom!$L$5</c:f>
              <c:numCache>
                <c:formatCode>0%</c:formatCode>
                <c:ptCount val="1"/>
                <c:pt idx="0">
                  <c:v>0</c:v>
                </c:pt>
              </c:numCache>
            </c:numRef>
          </c:val>
          <c:extLst>
            <c:ext xmlns:c16="http://schemas.microsoft.com/office/drawing/2014/chart" uri="{C3380CC4-5D6E-409C-BE32-E72D297353CC}">
              <c16:uniqueId val="{00000001-BC76-4E6C-8F86-8FA48B9BEAF5}"/>
            </c:ext>
          </c:extLst>
        </c:ser>
        <c:ser>
          <c:idx val="2"/>
          <c:order val="2"/>
          <c:spPr>
            <a:solidFill>
              <a:srgbClr val="DCE6F2"/>
            </a:solidFill>
            <a:ln>
              <a:noFill/>
            </a:ln>
            <a:effectLst/>
          </c:spPr>
          <c:invertIfNegative val="0"/>
          <c:val>
            <c:numRef>
              <c:f>Euratom!$M$5</c:f>
              <c:numCache>
                <c:formatCode>0%</c:formatCode>
                <c:ptCount val="1"/>
                <c:pt idx="0">
                  <c:v>0</c:v>
                </c:pt>
              </c:numCache>
            </c:numRef>
          </c:val>
          <c:extLst>
            <c:ext xmlns:c16="http://schemas.microsoft.com/office/drawing/2014/chart" uri="{C3380CC4-5D6E-409C-BE32-E72D297353CC}">
              <c16:uniqueId val="{00000002-BC76-4E6C-8F86-8FA48B9BEAF5}"/>
            </c:ext>
          </c:extLst>
        </c:ser>
        <c:ser>
          <c:idx val="3"/>
          <c:order val="3"/>
          <c:spPr>
            <a:solidFill>
              <a:srgbClr val="00ADDC"/>
            </a:solidFill>
            <a:ln>
              <a:noFill/>
            </a:ln>
            <a:effectLst/>
          </c:spPr>
          <c:invertIfNegative val="0"/>
          <c:val>
            <c:numRef>
              <c:f>Euratom!$N$5</c:f>
              <c:numCache>
                <c:formatCode>0%</c:formatCode>
                <c:ptCount val="1"/>
                <c:pt idx="0">
                  <c:v>0</c:v>
                </c:pt>
              </c:numCache>
            </c:numRef>
          </c:val>
          <c:extLst>
            <c:ext xmlns:c16="http://schemas.microsoft.com/office/drawing/2014/chart" uri="{C3380CC4-5D6E-409C-BE32-E72D297353CC}">
              <c16:uniqueId val="{00000003-BC76-4E6C-8F86-8FA48B9BEAF5}"/>
            </c:ext>
          </c:extLst>
        </c:ser>
        <c:ser>
          <c:idx val="4"/>
          <c:order val="4"/>
          <c:spPr>
            <a:solidFill>
              <a:srgbClr val="000000"/>
            </a:solidFill>
            <a:ln>
              <a:noFill/>
            </a:ln>
            <a:effectLst/>
          </c:spPr>
          <c:invertIfNegative val="0"/>
          <c:val>
            <c:numRef>
              <c:f>Euratom!$O$5</c:f>
              <c:numCache>
                <c:formatCode>0%</c:formatCode>
                <c:ptCount val="1"/>
                <c:pt idx="0">
                  <c:v>0</c:v>
                </c:pt>
              </c:numCache>
            </c:numRef>
          </c:val>
          <c:extLst>
            <c:ext xmlns:c16="http://schemas.microsoft.com/office/drawing/2014/chart" uri="{C3380CC4-5D6E-409C-BE32-E72D297353CC}">
              <c16:uniqueId val="{00000004-BC76-4E6C-8F86-8FA48B9BEAF5}"/>
            </c:ext>
          </c:extLst>
        </c:ser>
        <c:ser>
          <c:idx val="5"/>
          <c:order val="5"/>
          <c:spPr>
            <a:solidFill>
              <a:srgbClr val="00ADDC"/>
            </a:solidFill>
            <a:ln>
              <a:noFill/>
            </a:ln>
            <a:effectLst/>
          </c:spPr>
          <c:invertIfNegative val="0"/>
          <c:val>
            <c:numRef>
              <c:f>Euratom!$P$5</c:f>
              <c:numCache>
                <c:formatCode>0%</c:formatCode>
                <c:ptCount val="1"/>
                <c:pt idx="0">
                  <c:v>0</c:v>
                </c:pt>
              </c:numCache>
            </c:numRef>
          </c:val>
          <c:extLst>
            <c:ext xmlns:c16="http://schemas.microsoft.com/office/drawing/2014/chart" uri="{C3380CC4-5D6E-409C-BE32-E72D297353CC}">
              <c16:uniqueId val="{00000005-BC76-4E6C-8F86-8FA48B9BEAF5}"/>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Euratom!$Q$5</c:f>
              <c:numCache>
                <c:formatCode>0%</c:formatCode>
                <c:ptCount val="1"/>
                <c:pt idx="0">
                  <c:v>0.8571428571428571</c:v>
                </c:pt>
              </c:numCache>
            </c:numRef>
          </c:val>
          <c:extLst>
            <c:ext xmlns:c16="http://schemas.microsoft.com/office/drawing/2014/chart" uri="{C3380CC4-5D6E-409C-BE32-E72D297353CC}">
              <c16:uniqueId val="{00000006-BC76-4E6C-8F86-8FA48B9BEAF5}"/>
            </c:ext>
          </c:extLst>
        </c:ser>
        <c:ser>
          <c:idx val="7"/>
          <c:order val="7"/>
          <c:spPr>
            <a:solidFill>
              <a:srgbClr val="000000"/>
            </a:solidFill>
            <a:ln>
              <a:noFill/>
            </a:ln>
            <a:effectLst/>
          </c:spPr>
          <c:invertIfNegative val="0"/>
          <c:val>
            <c:numRef>
              <c:f>Euratom!$R$5</c:f>
              <c:numCache>
                <c:formatCode>0%</c:formatCode>
                <c:ptCount val="1"/>
                <c:pt idx="0">
                  <c:v>0</c:v>
                </c:pt>
              </c:numCache>
            </c:numRef>
          </c:val>
          <c:extLst>
            <c:ext xmlns:c16="http://schemas.microsoft.com/office/drawing/2014/chart" uri="{C3380CC4-5D6E-409C-BE32-E72D297353CC}">
              <c16:uniqueId val="{00000007-BC76-4E6C-8F86-8FA48B9BEAF5}"/>
            </c:ext>
          </c:extLst>
        </c:ser>
        <c:ser>
          <c:idx val="8"/>
          <c:order val="8"/>
          <c:spPr>
            <a:solidFill>
              <a:srgbClr val="28296E"/>
            </a:solidFill>
            <a:ln>
              <a:noFill/>
            </a:ln>
            <a:effectLst/>
          </c:spPr>
          <c:invertIfNegative val="0"/>
          <c:val>
            <c:numRef>
              <c:f>Euratom!$S$5</c:f>
              <c:numCache>
                <c:formatCode>0%</c:formatCode>
                <c:ptCount val="1"/>
                <c:pt idx="0">
                  <c:v>0</c:v>
                </c:pt>
              </c:numCache>
            </c:numRef>
          </c:val>
          <c:extLst>
            <c:ext xmlns:c16="http://schemas.microsoft.com/office/drawing/2014/chart" uri="{C3380CC4-5D6E-409C-BE32-E72D297353CC}">
              <c16:uniqueId val="{00000008-BC76-4E6C-8F86-8FA48B9BEAF5}"/>
            </c:ext>
          </c:extLst>
        </c:ser>
        <c:dLbls>
          <c:showLegendKey val="0"/>
          <c:showVal val="0"/>
          <c:showCatName val="0"/>
          <c:showSerName val="0"/>
          <c:showPercent val="0"/>
          <c:showBubbleSize val="0"/>
        </c:dLbls>
        <c:gapWidth val="0"/>
        <c:overlap val="100"/>
        <c:axId val="110312448"/>
        <c:axId val="110318336"/>
      </c:barChart>
      <c:catAx>
        <c:axId val="110312448"/>
        <c:scaling>
          <c:orientation val="minMax"/>
        </c:scaling>
        <c:delete val="1"/>
        <c:axPos val="l"/>
        <c:majorTickMark val="none"/>
        <c:minorTickMark val="none"/>
        <c:tickLblPos val="nextTo"/>
        <c:crossAx val="110318336"/>
        <c:crosses val="autoZero"/>
        <c:auto val="1"/>
        <c:lblAlgn val="ctr"/>
        <c:lblOffset val="100"/>
        <c:noMultiLvlLbl val="0"/>
      </c:catAx>
      <c:valAx>
        <c:axId val="110318336"/>
        <c:scaling>
          <c:orientation val="minMax"/>
          <c:max val="1"/>
        </c:scaling>
        <c:delete val="1"/>
        <c:axPos val="b"/>
        <c:numFmt formatCode="0%" sourceLinked="1"/>
        <c:majorTickMark val="none"/>
        <c:minorTickMark val="none"/>
        <c:tickLblPos val="nextTo"/>
        <c:crossAx val="11031244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Euratom!$K$6</c:f>
              <c:numCache>
                <c:formatCode>0%</c:formatCode>
                <c:ptCount val="1"/>
                <c:pt idx="0">
                  <c:v>1</c:v>
                </c:pt>
              </c:numCache>
            </c:numRef>
          </c:val>
          <c:extLst>
            <c:ext xmlns:c16="http://schemas.microsoft.com/office/drawing/2014/chart" uri="{C3380CC4-5D6E-409C-BE32-E72D297353CC}">
              <c16:uniqueId val="{00000000-52FC-4220-A968-0211C0EDB813}"/>
            </c:ext>
          </c:extLst>
        </c:ser>
        <c:ser>
          <c:idx val="1"/>
          <c:order val="1"/>
          <c:spPr>
            <a:solidFill>
              <a:srgbClr val="000000"/>
            </a:solidFill>
            <a:ln>
              <a:noFill/>
            </a:ln>
            <a:effectLst/>
          </c:spPr>
          <c:invertIfNegative val="0"/>
          <c:val>
            <c:numRef>
              <c:f>Euratom!$L$6</c:f>
              <c:numCache>
                <c:formatCode>0%</c:formatCode>
                <c:ptCount val="1"/>
                <c:pt idx="0">
                  <c:v>0</c:v>
                </c:pt>
              </c:numCache>
            </c:numRef>
          </c:val>
          <c:extLst>
            <c:ext xmlns:c16="http://schemas.microsoft.com/office/drawing/2014/chart" uri="{C3380CC4-5D6E-409C-BE32-E72D297353CC}">
              <c16:uniqueId val="{00000001-52FC-4220-A968-0211C0EDB813}"/>
            </c:ext>
          </c:extLst>
        </c:ser>
        <c:ser>
          <c:idx val="2"/>
          <c:order val="2"/>
          <c:spPr>
            <a:solidFill>
              <a:srgbClr val="DCE6F2"/>
            </a:solidFill>
            <a:ln>
              <a:noFill/>
            </a:ln>
            <a:effectLst/>
          </c:spPr>
          <c:invertIfNegative val="0"/>
          <c:val>
            <c:numRef>
              <c:f>Euratom!$M$6</c:f>
              <c:numCache>
                <c:formatCode>0%</c:formatCode>
                <c:ptCount val="1"/>
                <c:pt idx="0">
                  <c:v>0</c:v>
                </c:pt>
              </c:numCache>
            </c:numRef>
          </c:val>
          <c:extLst>
            <c:ext xmlns:c16="http://schemas.microsoft.com/office/drawing/2014/chart" uri="{C3380CC4-5D6E-409C-BE32-E72D297353CC}">
              <c16:uniqueId val="{00000002-52FC-4220-A968-0211C0EDB813}"/>
            </c:ext>
          </c:extLst>
        </c:ser>
        <c:ser>
          <c:idx val="3"/>
          <c:order val="3"/>
          <c:spPr>
            <a:solidFill>
              <a:srgbClr val="00ADDC"/>
            </a:solidFill>
            <a:ln>
              <a:noFill/>
            </a:ln>
            <a:effectLst/>
          </c:spPr>
          <c:invertIfNegative val="0"/>
          <c:val>
            <c:numRef>
              <c:f>Euratom!$N$6</c:f>
              <c:numCache>
                <c:formatCode>0%</c:formatCode>
                <c:ptCount val="1"/>
                <c:pt idx="0">
                  <c:v>0</c:v>
                </c:pt>
              </c:numCache>
            </c:numRef>
          </c:val>
          <c:extLst>
            <c:ext xmlns:c16="http://schemas.microsoft.com/office/drawing/2014/chart" uri="{C3380CC4-5D6E-409C-BE32-E72D297353CC}">
              <c16:uniqueId val="{00000003-52FC-4220-A968-0211C0EDB813}"/>
            </c:ext>
          </c:extLst>
        </c:ser>
        <c:ser>
          <c:idx val="4"/>
          <c:order val="4"/>
          <c:spPr>
            <a:solidFill>
              <a:srgbClr val="000000"/>
            </a:solidFill>
            <a:ln>
              <a:noFill/>
            </a:ln>
            <a:effectLst/>
          </c:spPr>
          <c:invertIfNegative val="0"/>
          <c:val>
            <c:numRef>
              <c:f>Euratom!$O$6</c:f>
              <c:numCache>
                <c:formatCode>0%</c:formatCode>
                <c:ptCount val="1"/>
                <c:pt idx="0">
                  <c:v>0</c:v>
                </c:pt>
              </c:numCache>
            </c:numRef>
          </c:val>
          <c:extLst>
            <c:ext xmlns:c16="http://schemas.microsoft.com/office/drawing/2014/chart" uri="{C3380CC4-5D6E-409C-BE32-E72D297353CC}">
              <c16:uniqueId val="{00000004-52FC-4220-A968-0211C0EDB813}"/>
            </c:ext>
          </c:extLst>
        </c:ser>
        <c:ser>
          <c:idx val="5"/>
          <c:order val="5"/>
          <c:spPr>
            <a:solidFill>
              <a:srgbClr val="00ADDC"/>
            </a:solidFill>
            <a:ln>
              <a:noFill/>
            </a:ln>
            <a:effectLst/>
          </c:spPr>
          <c:invertIfNegative val="0"/>
          <c:val>
            <c:numRef>
              <c:f>Euratom!$P$6</c:f>
              <c:numCache>
                <c:formatCode>0%</c:formatCode>
                <c:ptCount val="1"/>
                <c:pt idx="0">
                  <c:v>0</c:v>
                </c:pt>
              </c:numCache>
            </c:numRef>
          </c:val>
          <c:extLst>
            <c:ext xmlns:c16="http://schemas.microsoft.com/office/drawing/2014/chart" uri="{C3380CC4-5D6E-409C-BE32-E72D297353CC}">
              <c16:uniqueId val="{00000005-52FC-4220-A968-0211C0EDB813}"/>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Euratom!$Q$6</c:f>
              <c:numCache>
                <c:formatCode>0%</c:formatCode>
                <c:ptCount val="1"/>
                <c:pt idx="0">
                  <c:v>0.64</c:v>
                </c:pt>
              </c:numCache>
            </c:numRef>
          </c:val>
          <c:extLst>
            <c:ext xmlns:c16="http://schemas.microsoft.com/office/drawing/2014/chart" uri="{C3380CC4-5D6E-409C-BE32-E72D297353CC}">
              <c16:uniqueId val="{00000006-52FC-4220-A968-0211C0EDB813}"/>
            </c:ext>
          </c:extLst>
        </c:ser>
        <c:ser>
          <c:idx val="7"/>
          <c:order val="7"/>
          <c:spPr>
            <a:solidFill>
              <a:srgbClr val="000000"/>
            </a:solidFill>
            <a:ln>
              <a:noFill/>
            </a:ln>
            <a:effectLst/>
          </c:spPr>
          <c:invertIfNegative val="0"/>
          <c:val>
            <c:numRef>
              <c:f>Euratom!$R$6</c:f>
              <c:numCache>
                <c:formatCode>0%</c:formatCode>
                <c:ptCount val="1"/>
                <c:pt idx="0">
                  <c:v>0</c:v>
                </c:pt>
              </c:numCache>
            </c:numRef>
          </c:val>
          <c:extLst>
            <c:ext xmlns:c16="http://schemas.microsoft.com/office/drawing/2014/chart" uri="{C3380CC4-5D6E-409C-BE32-E72D297353CC}">
              <c16:uniqueId val="{00000007-52FC-4220-A968-0211C0EDB813}"/>
            </c:ext>
          </c:extLst>
        </c:ser>
        <c:ser>
          <c:idx val="8"/>
          <c:order val="8"/>
          <c:spPr>
            <a:solidFill>
              <a:srgbClr val="28296E"/>
            </a:solidFill>
            <a:ln>
              <a:noFill/>
            </a:ln>
            <a:effectLst/>
          </c:spPr>
          <c:invertIfNegative val="0"/>
          <c:val>
            <c:numRef>
              <c:f>Euratom!$S$6</c:f>
              <c:numCache>
                <c:formatCode>0%</c:formatCode>
                <c:ptCount val="1"/>
                <c:pt idx="0">
                  <c:v>0</c:v>
                </c:pt>
              </c:numCache>
            </c:numRef>
          </c:val>
          <c:extLst>
            <c:ext xmlns:c16="http://schemas.microsoft.com/office/drawing/2014/chart" uri="{C3380CC4-5D6E-409C-BE32-E72D297353CC}">
              <c16:uniqueId val="{00000008-52FC-4220-A968-0211C0EDB813}"/>
            </c:ext>
          </c:extLst>
        </c:ser>
        <c:dLbls>
          <c:showLegendKey val="0"/>
          <c:showVal val="0"/>
          <c:showCatName val="0"/>
          <c:showSerName val="0"/>
          <c:showPercent val="0"/>
          <c:showBubbleSize val="0"/>
        </c:dLbls>
        <c:gapWidth val="0"/>
        <c:overlap val="100"/>
        <c:axId val="110758144"/>
        <c:axId val="110772224"/>
      </c:barChart>
      <c:catAx>
        <c:axId val="110758144"/>
        <c:scaling>
          <c:orientation val="minMax"/>
        </c:scaling>
        <c:delete val="1"/>
        <c:axPos val="l"/>
        <c:majorTickMark val="none"/>
        <c:minorTickMark val="none"/>
        <c:tickLblPos val="nextTo"/>
        <c:crossAx val="110772224"/>
        <c:crosses val="autoZero"/>
        <c:auto val="1"/>
        <c:lblAlgn val="ctr"/>
        <c:lblOffset val="100"/>
        <c:noMultiLvlLbl val="0"/>
      </c:catAx>
      <c:valAx>
        <c:axId val="110772224"/>
        <c:scaling>
          <c:orientation val="minMax"/>
          <c:max val="1"/>
        </c:scaling>
        <c:delete val="1"/>
        <c:axPos val="b"/>
        <c:numFmt formatCode="0%" sourceLinked="1"/>
        <c:majorTickMark val="none"/>
        <c:minorTickMark val="none"/>
        <c:tickLblPos val="nextTo"/>
        <c:crossAx val="11075814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Euratom!$K$7</c:f>
              <c:numCache>
                <c:formatCode>0%</c:formatCode>
                <c:ptCount val="1"/>
                <c:pt idx="0">
                  <c:v>1</c:v>
                </c:pt>
              </c:numCache>
            </c:numRef>
          </c:val>
          <c:extLst>
            <c:ext xmlns:c16="http://schemas.microsoft.com/office/drawing/2014/chart" uri="{C3380CC4-5D6E-409C-BE32-E72D297353CC}">
              <c16:uniqueId val="{00000000-4F3A-4770-8CBC-D94DFAA5F4A8}"/>
            </c:ext>
          </c:extLst>
        </c:ser>
        <c:ser>
          <c:idx val="1"/>
          <c:order val="1"/>
          <c:spPr>
            <a:solidFill>
              <a:srgbClr val="000000"/>
            </a:solidFill>
            <a:ln>
              <a:noFill/>
            </a:ln>
            <a:effectLst/>
          </c:spPr>
          <c:invertIfNegative val="0"/>
          <c:val>
            <c:numRef>
              <c:f>Euratom!$L$7</c:f>
              <c:numCache>
                <c:formatCode>0%</c:formatCode>
                <c:ptCount val="1"/>
                <c:pt idx="0">
                  <c:v>0</c:v>
                </c:pt>
              </c:numCache>
            </c:numRef>
          </c:val>
          <c:extLst>
            <c:ext xmlns:c16="http://schemas.microsoft.com/office/drawing/2014/chart" uri="{C3380CC4-5D6E-409C-BE32-E72D297353CC}">
              <c16:uniqueId val="{00000001-4F3A-4770-8CBC-D94DFAA5F4A8}"/>
            </c:ext>
          </c:extLst>
        </c:ser>
        <c:ser>
          <c:idx val="2"/>
          <c:order val="2"/>
          <c:spPr>
            <a:solidFill>
              <a:srgbClr val="DCE6F2"/>
            </a:solidFill>
            <a:ln>
              <a:noFill/>
            </a:ln>
            <a:effectLst/>
          </c:spPr>
          <c:invertIfNegative val="0"/>
          <c:val>
            <c:numRef>
              <c:f>Euratom!$M$7</c:f>
              <c:numCache>
                <c:formatCode>0%</c:formatCode>
                <c:ptCount val="1"/>
                <c:pt idx="0">
                  <c:v>0</c:v>
                </c:pt>
              </c:numCache>
            </c:numRef>
          </c:val>
          <c:extLst>
            <c:ext xmlns:c16="http://schemas.microsoft.com/office/drawing/2014/chart" uri="{C3380CC4-5D6E-409C-BE32-E72D297353CC}">
              <c16:uniqueId val="{00000002-4F3A-4770-8CBC-D94DFAA5F4A8}"/>
            </c:ext>
          </c:extLst>
        </c:ser>
        <c:ser>
          <c:idx val="3"/>
          <c:order val="3"/>
          <c:spPr>
            <a:solidFill>
              <a:srgbClr val="00ADDC"/>
            </a:solidFill>
            <a:ln>
              <a:noFill/>
            </a:ln>
            <a:effectLst/>
          </c:spPr>
          <c:invertIfNegative val="0"/>
          <c:val>
            <c:numRef>
              <c:f>Euratom!$N$7</c:f>
              <c:numCache>
                <c:formatCode>0%</c:formatCode>
                <c:ptCount val="1"/>
                <c:pt idx="0">
                  <c:v>0</c:v>
                </c:pt>
              </c:numCache>
            </c:numRef>
          </c:val>
          <c:extLst>
            <c:ext xmlns:c16="http://schemas.microsoft.com/office/drawing/2014/chart" uri="{C3380CC4-5D6E-409C-BE32-E72D297353CC}">
              <c16:uniqueId val="{00000003-4F3A-4770-8CBC-D94DFAA5F4A8}"/>
            </c:ext>
          </c:extLst>
        </c:ser>
        <c:ser>
          <c:idx val="4"/>
          <c:order val="4"/>
          <c:spPr>
            <a:solidFill>
              <a:srgbClr val="000000"/>
            </a:solidFill>
            <a:ln>
              <a:noFill/>
            </a:ln>
            <a:effectLst/>
          </c:spPr>
          <c:invertIfNegative val="0"/>
          <c:val>
            <c:numRef>
              <c:f>Euratom!$O$7</c:f>
              <c:numCache>
                <c:formatCode>0%</c:formatCode>
                <c:ptCount val="1"/>
                <c:pt idx="0">
                  <c:v>0</c:v>
                </c:pt>
              </c:numCache>
            </c:numRef>
          </c:val>
          <c:extLst>
            <c:ext xmlns:c16="http://schemas.microsoft.com/office/drawing/2014/chart" uri="{C3380CC4-5D6E-409C-BE32-E72D297353CC}">
              <c16:uniqueId val="{00000004-4F3A-4770-8CBC-D94DFAA5F4A8}"/>
            </c:ext>
          </c:extLst>
        </c:ser>
        <c:ser>
          <c:idx val="5"/>
          <c:order val="5"/>
          <c:spPr>
            <a:solidFill>
              <a:srgbClr val="00ADDC"/>
            </a:solidFill>
            <a:ln>
              <a:noFill/>
            </a:ln>
            <a:effectLst/>
          </c:spPr>
          <c:invertIfNegative val="0"/>
          <c:val>
            <c:numRef>
              <c:f>Euratom!$P$7</c:f>
              <c:numCache>
                <c:formatCode>0%</c:formatCode>
                <c:ptCount val="1"/>
                <c:pt idx="0">
                  <c:v>0</c:v>
                </c:pt>
              </c:numCache>
            </c:numRef>
          </c:val>
          <c:extLst>
            <c:ext xmlns:c16="http://schemas.microsoft.com/office/drawing/2014/chart" uri="{C3380CC4-5D6E-409C-BE32-E72D297353CC}">
              <c16:uniqueId val="{00000005-4F3A-4770-8CBC-D94DFAA5F4A8}"/>
            </c:ext>
          </c:extLst>
        </c:ser>
        <c:ser>
          <c:idx val="6"/>
          <c:order val="6"/>
          <c:spPr>
            <a:solidFill>
              <a:srgbClr val="28296E"/>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3A-4770-8CBC-D94DFAA5F4A8}"/>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Euratom!$Q$7</c:f>
              <c:numCache>
                <c:formatCode>0%</c:formatCode>
                <c:ptCount val="1"/>
                <c:pt idx="0">
                  <c:v>1</c:v>
                </c:pt>
              </c:numCache>
            </c:numRef>
          </c:val>
          <c:extLst>
            <c:ext xmlns:c16="http://schemas.microsoft.com/office/drawing/2014/chart" uri="{C3380CC4-5D6E-409C-BE32-E72D297353CC}">
              <c16:uniqueId val="{00000007-4F3A-4770-8CBC-D94DFAA5F4A8}"/>
            </c:ext>
          </c:extLst>
        </c:ser>
        <c:ser>
          <c:idx val="7"/>
          <c:order val="7"/>
          <c:spPr>
            <a:solidFill>
              <a:srgbClr val="000000"/>
            </a:solidFill>
            <a:ln>
              <a:noFill/>
            </a:ln>
            <a:effectLst/>
          </c:spPr>
          <c:invertIfNegative val="0"/>
          <c:val>
            <c:numRef>
              <c:f>Euratom!$R$7</c:f>
              <c:numCache>
                <c:formatCode>0%</c:formatCode>
                <c:ptCount val="1"/>
                <c:pt idx="0">
                  <c:v>0</c:v>
                </c:pt>
              </c:numCache>
            </c:numRef>
          </c:val>
          <c:extLst>
            <c:ext xmlns:c16="http://schemas.microsoft.com/office/drawing/2014/chart" uri="{C3380CC4-5D6E-409C-BE32-E72D297353CC}">
              <c16:uniqueId val="{00000008-4F3A-4770-8CBC-D94DFAA5F4A8}"/>
            </c:ext>
          </c:extLst>
        </c:ser>
        <c:ser>
          <c:idx val="8"/>
          <c:order val="8"/>
          <c:spPr>
            <a:solidFill>
              <a:srgbClr val="28296E"/>
            </a:solidFill>
            <a:ln>
              <a:noFill/>
            </a:ln>
            <a:effectLst/>
          </c:spPr>
          <c:invertIfNegative val="0"/>
          <c:val>
            <c:numRef>
              <c:f>Euratom!$S$7</c:f>
              <c:numCache>
                <c:formatCode>0%</c:formatCode>
                <c:ptCount val="1"/>
                <c:pt idx="0">
                  <c:v>0</c:v>
                </c:pt>
              </c:numCache>
            </c:numRef>
          </c:val>
          <c:extLst>
            <c:ext xmlns:c16="http://schemas.microsoft.com/office/drawing/2014/chart" uri="{C3380CC4-5D6E-409C-BE32-E72D297353CC}">
              <c16:uniqueId val="{00000009-4F3A-4770-8CBC-D94DFAA5F4A8}"/>
            </c:ext>
          </c:extLst>
        </c:ser>
        <c:dLbls>
          <c:showLegendKey val="0"/>
          <c:showVal val="0"/>
          <c:showCatName val="0"/>
          <c:showSerName val="0"/>
          <c:showPercent val="0"/>
          <c:showBubbleSize val="0"/>
        </c:dLbls>
        <c:gapWidth val="0"/>
        <c:overlap val="100"/>
        <c:axId val="110823296"/>
        <c:axId val="110824832"/>
      </c:barChart>
      <c:catAx>
        <c:axId val="110823296"/>
        <c:scaling>
          <c:orientation val="minMax"/>
        </c:scaling>
        <c:delete val="1"/>
        <c:axPos val="l"/>
        <c:majorTickMark val="none"/>
        <c:minorTickMark val="none"/>
        <c:tickLblPos val="nextTo"/>
        <c:crossAx val="110824832"/>
        <c:crosses val="autoZero"/>
        <c:auto val="1"/>
        <c:lblAlgn val="ctr"/>
        <c:lblOffset val="100"/>
        <c:noMultiLvlLbl val="0"/>
      </c:catAx>
      <c:valAx>
        <c:axId val="110824832"/>
        <c:scaling>
          <c:orientation val="minMax"/>
          <c:max val="1"/>
        </c:scaling>
        <c:delete val="1"/>
        <c:axPos val="b"/>
        <c:numFmt formatCode="0%" sourceLinked="1"/>
        <c:majorTickMark val="none"/>
        <c:minorTickMark val="none"/>
        <c:tickLblPos val="nextTo"/>
        <c:crossAx val="11082329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Euratom!$K$8</c:f>
              <c:numCache>
                <c:formatCode>0%</c:formatCode>
                <c:ptCount val="1"/>
                <c:pt idx="0">
                  <c:v>1</c:v>
                </c:pt>
              </c:numCache>
            </c:numRef>
          </c:val>
          <c:extLst>
            <c:ext xmlns:c16="http://schemas.microsoft.com/office/drawing/2014/chart" uri="{C3380CC4-5D6E-409C-BE32-E72D297353CC}">
              <c16:uniqueId val="{00000000-246D-40D1-9C33-A840D08D0801}"/>
            </c:ext>
          </c:extLst>
        </c:ser>
        <c:ser>
          <c:idx val="1"/>
          <c:order val="1"/>
          <c:spPr>
            <a:solidFill>
              <a:srgbClr val="000000"/>
            </a:solidFill>
            <a:ln>
              <a:noFill/>
            </a:ln>
            <a:effectLst/>
          </c:spPr>
          <c:invertIfNegative val="0"/>
          <c:val>
            <c:numRef>
              <c:f>Euratom!$L$8</c:f>
              <c:numCache>
                <c:formatCode>0%</c:formatCode>
                <c:ptCount val="1"/>
                <c:pt idx="0">
                  <c:v>0</c:v>
                </c:pt>
              </c:numCache>
            </c:numRef>
          </c:val>
          <c:extLst>
            <c:ext xmlns:c16="http://schemas.microsoft.com/office/drawing/2014/chart" uri="{C3380CC4-5D6E-409C-BE32-E72D297353CC}">
              <c16:uniqueId val="{00000001-246D-40D1-9C33-A840D08D0801}"/>
            </c:ext>
          </c:extLst>
        </c:ser>
        <c:ser>
          <c:idx val="2"/>
          <c:order val="2"/>
          <c:spPr>
            <a:solidFill>
              <a:srgbClr val="DCE6F2"/>
            </a:solidFill>
            <a:ln>
              <a:noFill/>
            </a:ln>
            <a:effectLst/>
          </c:spPr>
          <c:invertIfNegative val="0"/>
          <c:val>
            <c:numRef>
              <c:f>Euratom!$M$8</c:f>
              <c:numCache>
                <c:formatCode>0%</c:formatCode>
                <c:ptCount val="1"/>
                <c:pt idx="0">
                  <c:v>0</c:v>
                </c:pt>
              </c:numCache>
            </c:numRef>
          </c:val>
          <c:extLst>
            <c:ext xmlns:c16="http://schemas.microsoft.com/office/drawing/2014/chart" uri="{C3380CC4-5D6E-409C-BE32-E72D297353CC}">
              <c16:uniqueId val="{00000002-246D-40D1-9C33-A840D08D0801}"/>
            </c:ext>
          </c:extLst>
        </c:ser>
        <c:ser>
          <c:idx val="3"/>
          <c:order val="3"/>
          <c:spPr>
            <a:solidFill>
              <a:srgbClr val="00ADDC"/>
            </a:solidFill>
            <a:ln>
              <a:noFill/>
            </a:ln>
            <a:effectLst/>
          </c:spPr>
          <c:invertIfNegative val="0"/>
          <c:val>
            <c:numRef>
              <c:f>Euratom!$N$8</c:f>
              <c:numCache>
                <c:formatCode>0%</c:formatCode>
                <c:ptCount val="1"/>
                <c:pt idx="0">
                  <c:v>0</c:v>
                </c:pt>
              </c:numCache>
            </c:numRef>
          </c:val>
          <c:extLst>
            <c:ext xmlns:c16="http://schemas.microsoft.com/office/drawing/2014/chart" uri="{C3380CC4-5D6E-409C-BE32-E72D297353CC}">
              <c16:uniqueId val="{00000003-246D-40D1-9C33-A840D08D0801}"/>
            </c:ext>
          </c:extLst>
        </c:ser>
        <c:ser>
          <c:idx val="4"/>
          <c:order val="4"/>
          <c:spPr>
            <a:solidFill>
              <a:srgbClr val="000000"/>
            </a:solidFill>
            <a:ln>
              <a:noFill/>
            </a:ln>
            <a:effectLst/>
          </c:spPr>
          <c:invertIfNegative val="0"/>
          <c:val>
            <c:numRef>
              <c:f>Euratom!$O$8</c:f>
              <c:numCache>
                <c:formatCode>0%</c:formatCode>
                <c:ptCount val="1"/>
                <c:pt idx="0">
                  <c:v>0</c:v>
                </c:pt>
              </c:numCache>
            </c:numRef>
          </c:val>
          <c:extLst>
            <c:ext xmlns:c16="http://schemas.microsoft.com/office/drawing/2014/chart" uri="{C3380CC4-5D6E-409C-BE32-E72D297353CC}">
              <c16:uniqueId val="{00000004-246D-40D1-9C33-A840D08D0801}"/>
            </c:ext>
          </c:extLst>
        </c:ser>
        <c:ser>
          <c:idx val="5"/>
          <c:order val="5"/>
          <c:spPr>
            <a:solidFill>
              <a:srgbClr val="00ADDC"/>
            </a:solidFill>
            <a:ln>
              <a:noFill/>
            </a:ln>
            <a:effectLst/>
          </c:spPr>
          <c:invertIfNegative val="0"/>
          <c:val>
            <c:numRef>
              <c:f>Euratom!$P$8</c:f>
              <c:numCache>
                <c:formatCode>0%</c:formatCode>
                <c:ptCount val="1"/>
                <c:pt idx="0">
                  <c:v>0</c:v>
                </c:pt>
              </c:numCache>
            </c:numRef>
          </c:val>
          <c:extLst>
            <c:ext xmlns:c16="http://schemas.microsoft.com/office/drawing/2014/chart" uri="{C3380CC4-5D6E-409C-BE32-E72D297353CC}">
              <c16:uniqueId val="{00000005-246D-40D1-9C33-A840D08D0801}"/>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Euratom!$Q$8</c:f>
              <c:numCache>
                <c:formatCode>0%</c:formatCode>
                <c:ptCount val="1"/>
                <c:pt idx="0">
                  <c:v>0.91111111111111098</c:v>
                </c:pt>
              </c:numCache>
            </c:numRef>
          </c:val>
          <c:extLst>
            <c:ext xmlns:c16="http://schemas.microsoft.com/office/drawing/2014/chart" uri="{C3380CC4-5D6E-409C-BE32-E72D297353CC}">
              <c16:uniqueId val="{00000006-246D-40D1-9C33-A840D08D0801}"/>
            </c:ext>
          </c:extLst>
        </c:ser>
        <c:ser>
          <c:idx val="7"/>
          <c:order val="7"/>
          <c:spPr>
            <a:solidFill>
              <a:srgbClr val="000000"/>
            </a:solidFill>
            <a:ln>
              <a:noFill/>
            </a:ln>
            <a:effectLst/>
          </c:spPr>
          <c:invertIfNegative val="0"/>
          <c:val>
            <c:numRef>
              <c:f>Euratom!$R$8</c:f>
              <c:numCache>
                <c:formatCode>0%</c:formatCode>
                <c:ptCount val="1"/>
                <c:pt idx="0">
                  <c:v>0</c:v>
                </c:pt>
              </c:numCache>
            </c:numRef>
          </c:val>
          <c:extLst>
            <c:ext xmlns:c16="http://schemas.microsoft.com/office/drawing/2014/chart" uri="{C3380CC4-5D6E-409C-BE32-E72D297353CC}">
              <c16:uniqueId val="{00000007-246D-40D1-9C33-A840D08D0801}"/>
            </c:ext>
          </c:extLst>
        </c:ser>
        <c:ser>
          <c:idx val="8"/>
          <c:order val="8"/>
          <c:spPr>
            <a:solidFill>
              <a:srgbClr val="28296E"/>
            </a:solidFill>
            <a:ln>
              <a:noFill/>
            </a:ln>
            <a:effectLst/>
          </c:spPr>
          <c:invertIfNegative val="0"/>
          <c:val>
            <c:numRef>
              <c:f>Euratom!$S$8</c:f>
              <c:numCache>
                <c:formatCode>0%</c:formatCode>
                <c:ptCount val="1"/>
                <c:pt idx="0">
                  <c:v>0</c:v>
                </c:pt>
              </c:numCache>
            </c:numRef>
          </c:val>
          <c:extLst>
            <c:ext xmlns:c16="http://schemas.microsoft.com/office/drawing/2014/chart" uri="{C3380CC4-5D6E-409C-BE32-E72D297353CC}">
              <c16:uniqueId val="{00000008-246D-40D1-9C33-A840D08D0801}"/>
            </c:ext>
          </c:extLst>
        </c:ser>
        <c:dLbls>
          <c:showLegendKey val="0"/>
          <c:showVal val="0"/>
          <c:showCatName val="0"/>
          <c:showSerName val="0"/>
          <c:showPercent val="0"/>
          <c:showBubbleSize val="0"/>
        </c:dLbls>
        <c:gapWidth val="0"/>
        <c:overlap val="100"/>
        <c:axId val="110879872"/>
        <c:axId val="110881408"/>
      </c:barChart>
      <c:catAx>
        <c:axId val="110879872"/>
        <c:scaling>
          <c:orientation val="minMax"/>
        </c:scaling>
        <c:delete val="1"/>
        <c:axPos val="l"/>
        <c:majorTickMark val="none"/>
        <c:minorTickMark val="none"/>
        <c:tickLblPos val="nextTo"/>
        <c:crossAx val="110881408"/>
        <c:crosses val="autoZero"/>
        <c:auto val="1"/>
        <c:lblAlgn val="ctr"/>
        <c:lblOffset val="100"/>
        <c:noMultiLvlLbl val="0"/>
      </c:catAx>
      <c:valAx>
        <c:axId val="110881408"/>
        <c:scaling>
          <c:orientation val="minMax"/>
          <c:max val="1"/>
        </c:scaling>
        <c:delete val="1"/>
        <c:axPos val="b"/>
        <c:numFmt formatCode="0%" sourceLinked="1"/>
        <c:majorTickMark val="none"/>
        <c:minorTickMark val="none"/>
        <c:tickLblPos val="nextTo"/>
        <c:crossAx val="11087987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Galileo!$K$7</c:f>
              <c:numCache>
                <c:formatCode>0%</c:formatCode>
                <c:ptCount val="1"/>
                <c:pt idx="0">
                  <c:v>1</c:v>
                </c:pt>
              </c:numCache>
            </c:numRef>
          </c:val>
          <c:extLst>
            <c:ext xmlns:c16="http://schemas.microsoft.com/office/drawing/2014/chart" uri="{C3380CC4-5D6E-409C-BE32-E72D297353CC}">
              <c16:uniqueId val="{00000000-AAF3-4CD4-97F5-C96459F40E80}"/>
            </c:ext>
          </c:extLst>
        </c:ser>
        <c:ser>
          <c:idx val="1"/>
          <c:order val="1"/>
          <c:spPr>
            <a:solidFill>
              <a:srgbClr val="000000"/>
            </a:solidFill>
            <a:ln>
              <a:noFill/>
            </a:ln>
            <a:effectLst/>
          </c:spPr>
          <c:invertIfNegative val="0"/>
          <c:val>
            <c:numRef>
              <c:f>Galileo!$L$7</c:f>
              <c:numCache>
                <c:formatCode>0%</c:formatCode>
                <c:ptCount val="1"/>
                <c:pt idx="0">
                  <c:v>0</c:v>
                </c:pt>
              </c:numCache>
            </c:numRef>
          </c:val>
          <c:extLst>
            <c:ext xmlns:c16="http://schemas.microsoft.com/office/drawing/2014/chart" uri="{C3380CC4-5D6E-409C-BE32-E72D297353CC}">
              <c16:uniqueId val="{00000001-AAF3-4CD4-97F5-C96459F40E80}"/>
            </c:ext>
          </c:extLst>
        </c:ser>
        <c:ser>
          <c:idx val="2"/>
          <c:order val="2"/>
          <c:spPr>
            <a:solidFill>
              <a:srgbClr val="DCE6F2"/>
            </a:solidFill>
            <a:ln>
              <a:noFill/>
            </a:ln>
            <a:effectLst/>
          </c:spPr>
          <c:invertIfNegative val="0"/>
          <c:val>
            <c:numRef>
              <c:f>Galileo!$M$7</c:f>
              <c:numCache>
                <c:formatCode>0%</c:formatCode>
                <c:ptCount val="1"/>
                <c:pt idx="0">
                  <c:v>0</c:v>
                </c:pt>
              </c:numCache>
            </c:numRef>
          </c:val>
          <c:extLst>
            <c:ext xmlns:c16="http://schemas.microsoft.com/office/drawing/2014/chart" uri="{C3380CC4-5D6E-409C-BE32-E72D297353CC}">
              <c16:uniqueId val="{00000002-AAF3-4CD4-97F5-C96459F40E80}"/>
            </c:ext>
          </c:extLst>
        </c:ser>
        <c:ser>
          <c:idx val="3"/>
          <c:order val="3"/>
          <c:spPr>
            <a:solidFill>
              <a:srgbClr val="00ADDC"/>
            </a:solidFill>
            <a:ln>
              <a:noFill/>
            </a:ln>
            <a:effectLst/>
          </c:spPr>
          <c:invertIfNegative val="0"/>
          <c:val>
            <c:numRef>
              <c:f>Galileo!$N$7</c:f>
              <c:numCache>
                <c:formatCode>0%</c:formatCode>
                <c:ptCount val="1"/>
                <c:pt idx="0">
                  <c:v>0</c:v>
                </c:pt>
              </c:numCache>
            </c:numRef>
          </c:val>
          <c:extLst>
            <c:ext xmlns:c16="http://schemas.microsoft.com/office/drawing/2014/chart" uri="{C3380CC4-5D6E-409C-BE32-E72D297353CC}">
              <c16:uniqueId val="{00000003-AAF3-4CD4-97F5-C96459F40E80}"/>
            </c:ext>
          </c:extLst>
        </c:ser>
        <c:ser>
          <c:idx val="4"/>
          <c:order val="4"/>
          <c:spPr>
            <a:solidFill>
              <a:srgbClr val="000000"/>
            </a:solidFill>
            <a:ln>
              <a:noFill/>
            </a:ln>
            <a:effectLst/>
          </c:spPr>
          <c:invertIfNegative val="0"/>
          <c:val>
            <c:numRef>
              <c:f>Galileo!$O$7</c:f>
              <c:numCache>
                <c:formatCode>0%</c:formatCode>
                <c:ptCount val="1"/>
                <c:pt idx="0">
                  <c:v>0</c:v>
                </c:pt>
              </c:numCache>
            </c:numRef>
          </c:val>
          <c:extLst>
            <c:ext xmlns:c16="http://schemas.microsoft.com/office/drawing/2014/chart" uri="{C3380CC4-5D6E-409C-BE32-E72D297353CC}">
              <c16:uniqueId val="{00000004-AAF3-4CD4-97F5-C96459F40E80}"/>
            </c:ext>
          </c:extLst>
        </c:ser>
        <c:ser>
          <c:idx val="5"/>
          <c:order val="5"/>
          <c:spPr>
            <a:solidFill>
              <a:srgbClr val="00ADDC"/>
            </a:solidFill>
            <a:ln>
              <a:noFill/>
            </a:ln>
            <a:effectLst/>
          </c:spPr>
          <c:invertIfNegative val="0"/>
          <c:val>
            <c:numRef>
              <c:f>Galileo!$P$7</c:f>
              <c:numCache>
                <c:formatCode>0%</c:formatCode>
                <c:ptCount val="1"/>
                <c:pt idx="0">
                  <c:v>0</c:v>
                </c:pt>
              </c:numCache>
            </c:numRef>
          </c:val>
          <c:extLst>
            <c:ext xmlns:c16="http://schemas.microsoft.com/office/drawing/2014/chart" uri="{C3380CC4-5D6E-409C-BE32-E72D297353CC}">
              <c16:uniqueId val="{00000005-AAF3-4CD4-97F5-C96459F40E80}"/>
            </c:ext>
          </c:extLst>
        </c:ser>
        <c:ser>
          <c:idx val="6"/>
          <c:order val="6"/>
          <c:spPr>
            <a:solidFill>
              <a:srgbClr val="28296E"/>
            </a:solidFill>
            <a:ln>
              <a:noFill/>
            </a:ln>
            <a:effectLst/>
          </c:spPr>
          <c:invertIfNegative val="0"/>
          <c:dLbls>
            <c:spPr>
              <a:noFill/>
              <a:ln>
                <a:noFill/>
              </a:ln>
              <a:effectLst/>
            </c:spPr>
            <c:txPr>
              <a:bodyPr rot="0" spcFirstLastPara="1" vertOverflow="ellipsis" vert="horz" wrap="square" lIns="0" tIns="0" rIns="38100" bIns="19050" anchor="ctr" anchorCtr="1">
                <a:spAutoFit/>
              </a:bodyPr>
              <a:lstStyle/>
              <a:p>
                <a:pPr>
                  <a:defRPr sz="800" b="0" i="0" u="none" strike="noStrike" kern="1200" baseline="0">
                    <a:solidFill>
                      <a:srgbClr val="FFFFFF"/>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Galileo!$Q$7</c:f>
              <c:numCache>
                <c:formatCode>0%</c:formatCode>
                <c:ptCount val="1"/>
                <c:pt idx="0">
                  <c:v>0.6</c:v>
                </c:pt>
              </c:numCache>
            </c:numRef>
          </c:val>
          <c:extLst>
            <c:ext xmlns:c16="http://schemas.microsoft.com/office/drawing/2014/chart" uri="{C3380CC4-5D6E-409C-BE32-E72D297353CC}">
              <c16:uniqueId val="{00000006-AAF3-4CD4-97F5-C96459F40E80}"/>
            </c:ext>
          </c:extLst>
        </c:ser>
        <c:ser>
          <c:idx val="7"/>
          <c:order val="7"/>
          <c:spPr>
            <a:solidFill>
              <a:srgbClr val="000000"/>
            </a:solidFill>
            <a:ln>
              <a:noFill/>
            </a:ln>
            <a:effectLst/>
          </c:spPr>
          <c:invertIfNegative val="0"/>
          <c:val>
            <c:numRef>
              <c:f>Galileo!$R$7</c:f>
              <c:numCache>
                <c:formatCode>0%</c:formatCode>
                <c:ptCount val="1"/>
                <c:pt idx="0">
                  <c:v>0</c:v>
                </c:pt>
              </c:numCache>
            </c:numRef>
          </c:val>
          <c:extLst>
            <c:ext xmlns:c16="http://schemas.microsoft.com/office/drawing/2014/chart" uri="{C3380CC4-5D6E-409C-BE32-E72D297353CC}">
              <c16:uniqueId val="{00000007-AAF3-4CD4-97F5-C96459F40E80}"/>
            </c:ext>
          </c:extLst>
        </c:ser>
        <c:ser>
          <c:idx val="8"/>
          <c:order val="8"/>
          <c:spPr>
            <a:solidFill>
              <a:srgbClr val="28296E"/>
            </a:solidFill>
            <a:ln>
              <a:noFill/>
            </a:ln>
            <a:effectLst/>
          </c:spPr>
          <c:invertIfNegative val="0"/>
          <c:val>
            <c:numRef>
              <c:f>Galileo!$S$7</c:f>
              <c:numCache>
                <c:formatCode>0%</c:formatCode>
                <c:ptCount val="1"/>
                <c:pt idx="0">
                  <c:v>0</c:v>
                </c:pt>
              </c:numCache>
            </c:numRef>
          </c:val>
          <c:extLst>
            <c:ext xmlns:c16="http://schemas.microsoft.com/office/drawing/2014/chart" uri="{C3380CC4-5D6E-409C-BE32-E72D297353CC}">
              <c16:uniqueId val="{00000008-AAF3-4CD4-97F5-C96459F40E80}"/>
            </c:ext>
          </c:extLst>
        </c:ser>
        <c:dLbls>
          <c:showLegendKey val="0"/>
          <c:showVal val="0"/>
          <c:showCatName val="0"/>
          <c:showSerName val="0"/>
          <c:showPercent val="0"/>
          <c:showBubbleSize val="0"/>
        </c:dLbls>
        <c:gapWidth val="0"/>
        <c:overlap val="100"/>
        <c:axId val="102095104"/>
        <c:axId val="102117376"/>
      </c:barChart>
      <c:catAx>
        <c:axId val="102095104"/>
        <c:scaling>
          <c:orientation val="minMax"/>
        </c:scaling>
        <c:delete val="1"/>
        <c:axPos val="l"/>
        <c:majorTickMark val="none"/>
        <c:minorTickMark val="none"/>
        <c:tickLblPos val="nextTo"/>
        <c:crossAx val="102117376"/>
        <c:crosses val="autoZero"/>
        <c:auto val="1"/>
        <c:lblAlgn val="ctr"/>
        <c:lblOffset val="100"/>
        <c:noMultiLvlLbl val="0"/>
      </c:catAx>
      <c:valAx>
        <c:axId val="102117376"/>
        <c:scaling>
          <c:orientation val="minMax"/>
          <c:max val="1"/>
        </c:scaling>
        <c:delete val="1"/>
        <c:axPos val="b"/>
        <c:numFmt formatCode="0%" sourceLinked="1"/>
        <c:majorTickMark val="none"/>
        <c:minorTickMark val="none"/>
        <c:tickLblPos val="nextTo"/>
        <c:crossAx val="10209510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Euratom!$K$9</c:f>
              <c:numCache>
                <c:formatCode>0%</c:formatCode>
                <c:ptCount val="1"/>
                <c:pt idx="0">
                  <c:v>1</c:v>
                </c:pt>
              </c:numCache>
            </c:numRef>
          </c:val>
          <c:extLst>
            <c:ext xmlns:c16="http://schemas.microsoft.com/office/drawing/2014/chart" uri="{C3380CC4-5D6E-409C-BE32-E72D297353CC}">
              <c16:uniqueId val="{00000000-31EB-4B7A-B325-EC2D48D8B5C5}"/>
            </c:ext>
          </c:extLst>
        </c:ser>
        <c:ser>
          <c:idx val="1"/>
          <c:order val="1"/>
          <c:spPr>
            <a:solidFill>
              <a:srgbClr val="000000"/>
            </a:solidFill>
            <a:ln>
              <a:noFill/>
            </a:ln>
            <a:effectLst/>
          </c:spPr>
          <c:invertIfNegative val="0"/>
          <c:val>
            <c:numRef>
              <c:f>Euratom!$L$9</c:f>
              <c:numCache>
                <c:formatCode>0%</c:formatCode>
                <c:ptCount val="1"/>
                <c:pt idx="0">
                  <c:v>0</c:v>
                </c:pt>
              </c:numCache>
            </c:numRef>
          </c:val>
          <c:extLst>
            <c:ext xmlns:c16="http://schemas.microsoft.com/office/drawing/2014/chart" uri="{C3380CC4-5D6E-409C-BE32-E72D297353CC}">
              <c16:uniqueId val="{00000001-31EB-4B7A-B325-EC2D48D8B5C5}"/>
            </c:ext>
          </c:extLst>
        </c:ser>
        <c:ser>
          <c:idx val="2"/>
          <c:order val="2"/>
          <c:spPr>
            <a:solidFill>
              <a:srgbClr val="DCE6F2"/>
            </a:solidFill>
            <a:ln>
              <a:noFill/>
            </a:ln>
            <a:effectLst/>
          </c:spPr>
          <c:invertIfNegative val="0"/>
          <c:val>
            <c:numRef>
              <c:f>Euratom!$M$9</c:f>
              <c:numCache>
                <c:formatCode>0%</c:formatCode>
                <c:ptCount val="1"/>
                <c:pt idx="0">
                  <c:v>0</c:v>
                </c:pt>
              </c:numCache>
            </c:numRef>
          </c:val>
          <c:extLst>
            <c:ext xmlns:c16="http://schemas.microsoft.com/office/drawing/2014/chart" uri="{C3380CC4-5D6E-409C-BE32-E72D297353CC}">
              <c16:uniqueId val="{00000002-31EB-4B7A-B325-EC2D48D8B5C5}"/>
            </c:ext>
          </c:extLst>
        </c:ser>
        <c:ser>
          <c:idx val="3"/>
          <c:order val="3"/>
          <c:spPr>
            <a:solidFill>
              <a:srgbClr val="00ADDC"/>
            </a:solidFill>
            <a:ln>
              <a:noFill/>
            </a:ln>
            <a:effectLst/>
          </c:spPr>
          <c:invertIfNegative val="0"/>
          <c:val>
            <c:numRef>
              <c:f>Euratom!$N$9</c:f>
              <c:numCache>
                <c:formatCode>0%</c:formatCode>
                <c:ptCount val="1"/>
                <c:pt idx="0">
                  <c:v>0</c:v>
                </c:pt>
              </c:numCache>
            </c:numRef>
          </c:val>
          <c:extLst>
            <c:ext xmlns:c16="http://schemas.microsoft.com/office/drawing/2014/chart" uri="{C3380CC4-5D6E-409C-BE32-E72D297353CC}">
              <c16:uniqueId val="{00000003-31EB-4B7A-B325-EC2D48D8B5C5}"/>
            </c:ext>
          </c:extLst>
        </c:ser>
        <c:ser>
          <c:idx val="4"/>
          <c:order val="4"/>
          <c:spPr>
            <a:solidFill>
              <a:srgbClr val="000000"/>
            </a:solidFill>
            <a:ln>
              <a:noFill/>
            </a:ln>
            <a:effectLst/>
          </c:spPr>
          <c:invertIfNegative val="0"/>
          <c:val>
            <c:numRef>
              <c:f>Euratom!$O$9</c:f>
              <c:numCache>
                <c:formatCode>0%</c:formatCode>
                <c:ptCount val="1"/>
                <c:pt idx="0">
                  <c:v>0</c:v>
                </c:pt>
              </c:numCache>
            </c:numRef>
          </c:val>
          <c:extLst>
            <c:ext xmlns:c16="http://schemas.microsoft.com/office/drawing/2014/chart" uri="{C3380CC4-5D6E-409C-BE32-E72D297353CC}">
              <c16:uniqueId val="{00000004-31EB-4B7A-B325-EC2D48D8B5C5}"/>
            </c:ext>
          </c:extLst>
        </c:ser>
        <c:ser>
          <c:idx val="5"/>
          <c:order val="5"/>
          <c:spPr>
            <a:solidFill>
              <a:srgbClr val="00ADDC"/>
            </a:solidFill>
            <a:ln>
              <a:noFill/>
            </a:ln>
            <a:effectLst/>
          </c:spPr>
          <c:invertIfNegative val="0"/>
          <c:val>
            <c:numRef>
              <c:f>Euratom!$P$9</c:f>
              <c:numCache>
                <c:formatCode>0%</c:formatCode>
                <c:ptCount val="1"/>
                <c:pt idx="0">
                  <c:v>0</c:v>
                </c:pt>
              </c:numCache>
            </c:numRef>
          </c:val>
          <c:extLst>
            <c:ext xmlns:c16="http://schemas.microsoft.com/office/drawing/2014/chart" uri="{C3380CC4-5D6E-409C-BE32-E72D297353CC}">
              <c16:uniqueId val="{00000005-31EB-4B7A-B325-EC2D48D8B5C5}"/>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Euratom!$Q$9</c:f>
              <c:numCache>
                <c:formatCode>0%</c:formatCode>
                <c:ptCount val="1"/>
                <c:pt idx="0">
                  <c:v>0.76321839080459775</c:v>
                </c:pt>
              </c:numCache>
            </c:numRef>
          </c:val>
          <c:extLst>
            <c:ext xmlns:c16="http://schemas.microsoft.com/office/drawing/2014/chart" uri="{C3380CC4-5D6E-409C-BE32-E72D297353CC}">
              <c16:uniqueId val="{00000006-31EB-4B7A-B325-EC2D48D8B5C5}"/>
            </c:ext>
          </c:extLst>
        </c:ser>
        <c:ser>
          <c:idx val="7"/>
          <c:order val="7"/>
          <c:spPr>
            <a:solidFill>
              <a:srgbClr val="000000"/>
            </a:solidFill>
            <a:ln>
              <a:noFill/>
            </a:ln>
            <a:effectLst/>
          </c:spPr>
          <c:invertIfNegative val="0"/>
          <c:val>
            <c:numRef>
              <c:f>Euratom!$R$9</c:f>
              <c:numCache>
                <c:formatCode>0%</c:formatCode>
                <c:ptCount val="1"/>
                <c:pt idx="0">
                  <c:v>0</c:v>
                </c:pt>
              </c:numCache>
            </c:numRef>
          </c:val>
          <c:extLst>
            <c:ext xmlns:c16="http://schemas.microsoft.com/office/drawing/2014/chart" uri="{C3380CC4-5D6E-409C-BE32-E72D297353CC}">
              <c16:uniqueId val="{00000007-31EB-4B7A-B325-EC2D48D8B5C5}"/>
            </c:ext>
          </c:extLst>
        </c:ser>
        <c:ser>
          <c:idx val="8"/>
          <c:order val="8"/>
          <c:spPr>
            <a:solidFill>
              <a:srgbClr val="28296E"/>
            </a:solidFill>
            <a:ln>
              <a:noFill/>
            </a:ln>
            <a:effectLst/>
          </c:spPr>
          <c:invertIfNegative val="0"/>
          <c:val>
            <c:numRef>
              <c:f>Euratom!$S$9</c:f>
              <c:numCache>
                <c:formatCode>0%</c:formatCode>
                <c:ptCount val="1"/>
                <c:pt idx="0">
                  <c:v>0</c:v>
                </c:pt>
              </c:numCache>
            </c:numRef>
          </c:val>
          <c:extLst>
            <c:ext xmlns:c16="http://schemas.microsoft.com/office/drawing/2014/chart" uri="{C3380CC4-5D6E-409C-BE32-E72D297353CC}">
              <c16:uniqueId val="{00000008-31EB-4B7A-B325-EC2D48D8B5C5}"/>
            </c:ext>
          </c:extLst>
        </c:ser>
        <c:dLbls>
          <c:showLegendKey val="0"/>
          <c:showVal val="0"/>
          <c:showCatName val="0"/>
          <c:showSerName val="0"/>
          <c:showPercent val="0"/>
          <c:showBubbleSize val="0"/>
        </c:dLbls>
        <c:gapWidth val="0"/>
        <c:overlap val="100"/>
        <c:axId val="110944640"/>
        <c:axId val="110946176"/>
      </c:barChart>
      <c:catAx>
        <c:axId val="110944640"/>
        <c:scaling>
          <c:orientation val="minMax"/>
        </c:scaling>
        <c:delete val="1"/>
        <c:axPos val="l"/>
        <c:majorTickMark val="none"/>
        <c:minorTickMark val="none"/>
        <c:tickLblPos val="nextTo"/>
        <c:crossAx val="110946176"/>
        <c:crosses val="autoZero"/>
        <c:auto val="1"/>
        <c:lblAlgn val="ctr"/>
        <c:lblOffset val="100"/>
        <c:noMultiLvlLbl val="0"/>
      </c:catAx>
      <c:valAx>
        <c:axId val="110946176"/>
        <c:scaling>
          <c:orientation val="minMax"/>
          <c:max val="1"/>
        </c:scaling>
        <c:delete val="1"/>
        <c:axPos val="b"/>
        <c:numFmt formatCode="0%" sourceLinked="1"/>
        <c:majorTickMark val="none"/>
        <c:minorTickMark val="none"/>
        <c:tickLblPos val="nextTo"/>
        <c:crossAx val="11094464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Euratom!$K$10</c:f>
              <c:numCache>
                <c:formatCode>0%</c:formatCode>
                <c:ptCount val="1"/>
                <c:pt idx="0">
                  <c:v>1</c:v>
                </c:pt>
              </c:numCache>
            </c:numRef>
          </c:val>
          <c:extLst>
            <c:ext xmlns:c16="http://schemas.microsoft.com/office/drawing/2014/chart" uri="{C3380CC4-5D6E-409C-BE32-E72D297353CC}">
              <c16:uniqueId val="{00000000-3EE0-46B7-9CDE-8ECE78A92543}"/>
            </c:ext>
          </c:extLst>
        </c:ser>
        <c:ser>
          <c:idx val="1"/>
          <c:order val="1"/>
          <c:spPr>
            <a:solidFill>
              <a:srgbClr val="000000"/>
            </a:solidFill>
            <a:ln>
              <a:noFill/>
            </a:ln>
            <a:effectLst/>
          </c:spPr>
          <c:invertIfNegative val="0"/>
          <c:val>
            <c:numRef>
              <c:f>Euratom!$L$10</c:f>
              <c:numCache>
                <c:formatCode>0%</c:formatCode>
                <c:ptCount val="1"/>
                <c:pt idx="0">
                  <c:v>0</c:v>
                </c:pt>
              </c:numCache>
            </c:numRef>
          </c:val>
          <c:extLst>
            <c:ext xmlns:c16="http://schemas.microsoft.com/office/drawing/2014/chart" uri="{C3380CC4-5D6E-409C-BE32-E72D297353CC}">
              <c16:uniqueId val="{00000001-3EE0-46B7-9CDE-8ECE78A92543}"/>
            </c:ext>
          </c:extLst>
        </c:ser>
        <c:ser>
          <c:idx val="2"/>
          <c:order val="2"/>
          <c:spPr>
            <a:solidFill>
              <a:srgbClr val="DCE6F2"/>
            </a:solidFill>
            <a:ln>
              <a:noFill/>
            </a:ln>
            <a:effectLst/>
          </c:spPr>
          <c:invertIfNegative val="0"/>
          <c:val>
            <c:numRef>
              <c:f>Euratom!$M$10</c:f>
              <c:numCache>
                <c:formatCode>0%</c:formatCode>
                <c:ptCount val="1"/>
                <c:pt idx="0">
                  <c:v>0</c:v>
                </c:pt>
              </c:numCache>
            </c:numRef>
          </c:val>
          <c:extLst>
            <c:ext xmlns:c16="http://schemas.microsoft.com/office/drawing/2014/chart" uri="{C3380CC4-5D6E-409C-BE32-E72D297353CC}">
              <c16:uniqueId val="{00000002-3EE0-46B7-9CDE-8ECE78A92543}"/>
            </c:ext>
          </c:extLst>
        </c:ser>
        <c:ser>
          <c:idx val="3"/>
          <c:order val="3"/>
          <c:spPr>
            <a:solidFill>
              <a:srgbClr val="00ADDC"/>
            </a:solidFill>
            <a:ln>
              <a:noFill/>
            </a:ln>
            <a:effectLst/>
          </c:spPr>
          <c:invertIfNegative val="0"/>
          <c:val>
            <c:numRef>
              <c:f>Euratom!$N$10</c:f>
              <c:numCache>
                <c:formatCode>0%</c:formatCode>
                <c:ptCount val="1"/>
                <c:pt idx="0">
                  <c:v>0</c:v>
                </c:pt>
              </c:numCache>
            </c:numRef>
          </c:val>
          <c:extLst>
            <c:ext xmlns:c16="http://schemas.microsoft.com/office/drawing/2014/chart" uri="{C3380CC4-5D6E-409C-BE32-E72D297353CC}">
              <c16:uniqueId val="{00000003-3EE0-46B7-9CDE-8ECE78A92543}"/>
            </c:ext>
          </c:extLst>
        </c:ser>
        <c:ser>
          <c:idx val="4"/>
          <c:order val="4"/>
          <c:spPr>
            <a:solidFill>
              <a:srgbClr val="000000"/>
            </a:solidFill>
            <a:ln>
              <a:noFill/>
            </a:ln>
            <a:effectLst/>
          </c:spPr>
          <c:invertIfNegative val="0"/>
          <c:val>
            <c:numRef>
              <c:f>Euratom!$O$10</c:f>
              <c:numCache>
                <c:formatCode>0%</c:formatCode>
                <c:ptCount val="1"/>
                <c:pt idx="0">
                  <c:v>0</c:v>
                </c:pt>
              </c:numCache>
            </c:numRef>
          </c:val>
          <c:extLst>
            <c:ext xmlns:c16="http://schemas.microsoft.com/office/drawing/2014/chart" uri="{C3380CC4-5D6E-409C-BE32-E72D297353CC}">
              <c16:uniqueId val="{00000004-3EE0-46B7-9CDE-8ECE78A92543}"/>
            </c:ext>
          </c:extLst>
        </c:ser>
        <c:ser>
          <c:idx val="5"/>
          <c:order val="5"/>
          <c:spPr>
            <a:solidFill>
              <a:srgbClr val="00ADDC"/>
            </a:solidFill>
            <a:ln>
              <a:noFill/>
            </a:ln>
            <a:effectLst/>
          </c:spPr>
          <c:invertIfNegative val="0"/>
          <c:val>
            <c:numRef>
              <c:f>Euratom!$P$10</c:f>
              <c:numCache>
                <c:formatCode>0%</c:formatCode>
                <c:ptCount val="1"/>
                <c:pt idx="0">
                  <c:v>0</c:v>
                </c:pt>
              </c:numCache>
            </c:numRef>
          </c:val>
          <c:extLst>
            <c:ext xmlns:c16="http://schemas.microsoft.com/office/drawing/2014/chart" uri="{C3380CC4-5D6E-409C-BE32-E72D297353CC}">
              <c16:uniqueId val="{00000005-3EE0-46B7-9CDE-8ECE78A92543}"/>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Euratom!$Q$10</c:f>
              <c:numCache>
                <c:formatCode>0%</c:formatCode>
                <c:ptCount val="1"/>
                <c:pt idx="0">
                  <c:v>0.85309278350515461</c:v>
                </c:pt>
              </c:numCache>
            </c:numRef>
          </c:val>
          <c:extLst>
            <c:ext xmlns:c16="http://schemas.microsoft.com/office/drawing/2014/chart" uri="{C3380CC4-5D6E-409C-BE32-E72D297353CC}">
              <c16:uniqueId val="{00000006-3EE0-46B7-9CDE-8ECE78A92543}"/>
            </c:ext>
          </c:extLst>
        </c:ser>
        <c:ser>
          <c:idx val="7"/>
          <c:order val="7"/>
          <c:spPr>
            <a:solidFill>
              <a:srgbClr val="000000"/>
            </a:solidFill>
            <a:ln>
              <a:noFill/>
            </a:ln>
            <a:effectLst/>
          </c:spPr>
          <c:invertIfNegative val="0"/>
          <c:val>
            <c:numRef>
              <c:f>Euratom!$R$10</c:f>
              <c:numCache>
                <c:formatCode>0%</c:formatCode>
                <c:ptCount val="1"/>
                <c:pt idx="0">
                  <c:v>0</c:v>
                </c:pt>
              </c:numCache>
            </c:numRef>
          </c:val>
          <c:extLst>
            <c:ext xmlns:c16="http://schemas.microsoft.com/office/drawing/2014/chart" uri="{C3380CC4-5D6E-409C-BE32-E72D297353CC}">
              <c16:uniqueId val="{00000007-3EE0-46B7-9CDE-8ECE78A92543}"/>
            </c:ext>
          </c:extLst>
        </c:ser>
        <c:ser>
          <c:idx val="8"/>
          <c:order val="8"/>
          <c:spPr>
            <a:solidFill>
              <a:srgbClr val="28296E"/>
            </a:solidFill>
            <a:ln>
              <a:noFill/>
            </a:ln>
            <a:effectLst/>
          </c:spPr>
          <c:invertIfNegative val="0"/>
          <c:val>
            <c:numRef>
              <c:f>Euratom!$S$10</c:f>
              <c:numCache>
                <c:formatCode>0%</c:formatCode>
                <c:ptCount val="1"/>
                <c:pt idx="0">
                  <c:v>0</c:v>
                </c:pt>
              </c:numCache>
            </c:numRef>
          </c:val>
          <c:extLst>
            <c:ext xmlns:c16="http://schemas.microsoft.com/office/drawing/2014/chart" uri="{C3380CC4-5D6E-409C-BE32-E72D297353CC}">
              <c16:uniqueId val="{00000008-3EE0-46B7-9CDE-8ECE78A92543}"/>
            </c:ext>
          </c:extLst>
        </c:ser>
        <c:dLbls>
          <c:showLegendKey val="0"/>
          <c:showVal val="0"/>
          <c:showCatName val="0"/>
          <c:showSerName val="0"/>
          <c:showPercent val="0"/>
          <c:showBubbleSize val="0"/>
        </c:dLbls>
        <c:gapWidth val="0"/>
        <c:overlap val="100"/>
        <c:axId val="110534016"/>
        <c:axId val="110548096"/>
      </c:barChart>
      <c:catAx>
        <c:axId val="110534016"/>
        <c:scaling>
          <c:orientation val="minMax"/>
        </c:scaling>
        <c:delete val="1"/>
        <c:axPos val="l"/>
        <c:majorTickMark val="none"/>
        <c:minorTickMark val="none"/>
        <c:tickLblPos val="nextTo"/>
        <c:crossAx val="110548096"/>
        <c:crosses val="autoZero"/>
        <c:auto val="1"/>
        <c:lblAlgn val="ctr"/>
        <c:lblOffset val="100"/>
        <c:noMultiLvlLbl val="0"/>
      </c:catAx>
      <c:valAx>
        <c:axId val="110548096"/>
        <c:scaling>
          <c:orientation val="minMax"/>
          <c:max val="1"/>
        </c:scaling>
        <c:delete val="1"/>
        <c:axPos val="b"/>
        <c:numFmt formatCode="0%" sourceLinked="1"/>
        <c:majorTickMark val="none"/>
        <c:minorTickMark val="none"/>
        <c:tickLblPos val="nextTo"/>
        <c:crossAx val="11053401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00ADDC"/>
              </a:solidFill>
              <a:ln w="19050">
                <a:solidFill>
                  <a:schemeClr val="lt1"/>
                </a:solidFill>
              </a:ln>
              <a:effectLst/>
            </c:spPr>
            <c:extLst>
              <c:ext xmlns:c16="http://schemas.microsoft.com/office/drawing/2014/chart" uri="{C3380CC4-5D6E-409C-BE32-E72D297353CC}">
                <c16:uniqueId val="{00000001-3502-4CB9-B651-36B2486BD167}"/>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3502-4CB9-B651-36B2486BD167}"/>
              </c:ext>
            </c:extLst>
          </c:dPt>
          <c:cat>
            <c:strRef>
              <c:f>Sheet1!$A$2:$A$3</c:f>
              <c:strCache>
                <c:ptCount val="2"/>
                <c:pt idx="0">
                  <c:v>1st Qtr</c:v>
                </c:pt>
                <c:pt idx="1">
                  <c:v>2nd Qtr</c:v>
                </c:pt>
              </c:strCache>
            </c:strRef>
          </c:cat>
          <c:val>
            <c:numRef>
              <c:f>Sheet1!$B$2:$B$3</c:f>
              <c:numCache>
                <c:formatCode>0%</c:formatCode>
                <c:ptCount val="2"/>
                <c:pt idx="0">
                  <c:v>0.46</c:v>
                </c:pt>
                <c:pt idx="1">
                  <c:v>0.54</c:v>
                </c:pt>
              </c:numCache>
            </c:numRef>
          </c:val>
          <c:extLst>
            <c:ext xmlns:c16="http://schemas.microsoft.com/office/drawing/2014/chart" uri="{C3380CC4-5D6E-409C-BE32-E72D297353CC}">
              <c16:uniqueId val="{00000004-3502-4CB9-B651-36B2486BD167}"/>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28296E"/>
              </a:solidFill>
              <a:ln w="19050">
                <a:noFill/>
              </a:ln>
              <a:effectLst/>
            </c:spPr>
            <c:extLst>
              <c:ext xmlns:c16="http://schemas.microsoft.com/office/drawing/2014/chart" uri="{C3380CC4-5D6E-409C-BE32-E72D297353CC}">
                <c16:uniqueId val="{00000001-8022-415D-81D0-C92ABD9F1E39}"/>
              </c:ext>
            </c:extLst>
          </c:dPt>
          <c:dPt>
            <c:idx val="1"/>
            <c:bubble3D val="0"/>
            <c:spPr>
              <a:noFill/>
              <a:ln w="19050">
                <a:noFill/>
              </a:ln>
              <a:effectLst/>
            </c:spPr>
            <c:extLst>
              <c:ext xmlns:c16="http://schemas.microsoft.com/office/drawing/2014/chart" uri="{C3380CC4-5D6E-409C-BE32-E72D297353CC}">
                <c16:uniqueId val="{00000003-8022-415D-81D0-C92ABD9F1E39}"/>
              </c:ext>
            </c:extLst>
          </c:dPt>
          <c:cat>
            <c:strRef>
              <c:f>Sheet1!$A$2:$A$3</c:f>
              <c:strCache>
                <c:ptCount val="2"/>
                <c:pt idx="0">
                  <c:v>1st Qtr</c:v>
                </c:pt>
                <c:pt idx="1">
                  <c:v>2nd Qtr</c:v>
                </c:pt>
              </c:strCache>
            </c:strRef>
          </c:cat>
          <c:val>
            <c:numRef>
              <c:f>Sheet1!$B$2:$B$3</c:f>
              <c:numCache>
                <c:formatCode>0%</c:formatCode>
                <c:ptCount val="2"/>
                <c:pt idx="0">
                  <c:v>0.82</c:v>
                </c:pt>
                <c:pt idx="1">
                  <c:v>0.18</c:v>
                </c:pt>
              </c:numCache>
            </c:numRef>
          </c:val>
          <c:extLst>
            <c:ext xmlns:c16="http://schemas.microsoft.com/office/drawing/2014/chart" uri="{C3380CC4-5D6E-409C-BE32-E72D297353CC}">
              <c16:uniqueId val="{00000004-8022-415D-81D0-C92ABD9F1E39}"/>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00ADDC"/>
              </a:solidFill>
              <a:ln w="19050">
                <a:solidFill>
                  <a:schemeClr val="lt1"/>
                </a:solidFill>
              </a:ln>
              <a:effectLst/>
            </c:spPr>
            <c:extLst>
              <c:ext xmlns:c16="http://schemas.microsoft.com/office/drawing/2014/chart" uri="{C3380CC4-5D6E-409C-BE32-E72D297353CC}">
                <c16:uniqueId val="{00000001-B4BB-479E-8134-9C87E4902C8D}"/>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B4BB-479E-8134-9C87E4902C8D}"/>
              </c:ext>
            </c:extLst>
          </c:dPt>
          <c:cat>
            <c:strRef>
              <c:f>Sheet1!$A$2:$A$3</c:f>
              <c:strCache>
                <c:ptCount val="2"/>
                <c:pt idx="0">
                  <c:v>1st Qtr</c:v>
                </c:pt>
                <c:pt idx="1">
                  <c:v>2nd Qtr</c:v>
                </c:pt>
              </c:strCache>
            </c:strRef>
          </c:cat>
          <c:val>
            <c:numRef>
              <c:f>Sheet1!$B$2:$B$3</c:f>
              <c:numCache>
                <c:formatCode>0%</c:formatCode>
                <c:ptCount val="2"/>
                <c:pt idx="0">
                  <c:v>0.75</c:v>
                </c:pt>
                <c:pt idx="1">
                  <c:v>0.25</c:v>
                </c:pt>
              </c:numCache>
            </c:numRef>
          </c:val>
          <c:extLst>
            <c:ext xmlns:c16="http://schemas.microsoft.com/office/drawing/2014/chart" uri="{C3380CC4-5D6E-409C-BE32-E72D297353CC}">
              <c16:uniqueId val="{00000004-B4BB-479E-8134-9C87E4902C8D}"/>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28296E"/>
              </a:solidFill>
              <a:ln w="19050">
                <a:noFill/>
              </a:ln>
              <a:effectLst/>
            </c:spPr>
            <c:extLst>
              <c:ext xmlns:c16="http://schemas.microsoft.com/office/drawing/2014/chart" uri="{C3380CC4-5D6E-409C-BE32-E72D297353CC}">
                <c16:uniqueId val="{00000001-987B-4D5F-B8C5-B1414B58F694}"/>
              </c:ext>
            </c:extLst>
          </c:dPt>
          <c:dPt>
            <c:idx val="1"/>
            <c:bubble3D val="0"/>
            <c:spPr>
              <a:noFill/>
              <a:ln w="19050">
                <a:noFill/>
              </a:ln>
              <a:effectLst/>
            </c:spPr>
            <c:extLst>
              <c:ext xmlns:c16="http://schemas.microsoft.com/office/drawing/2014/chart" uri="{C3380CC4-5D6E-409C-BE32-E72D297353CC}">
                <c16:uniqueId val="{00000003-987B-4D5F-B8C5-B1414B58F694}"/>
              </c:ext>
            </c:extLst>
          </c:dPt>
          <c:cat>
            <c:strRef>
              <c:f>Sheet1!$A$2:$A$3</c:f>
              <c:strCache>
                <c:ptCount val="2"/>
                <c:pt idx="0">
                  <c:v>1st Qtr</c:v>
                </c:pt>
                <c:pt idx="1">
                  <c:v>2nd Qtr</c:v>
                </c:pt>
              </c:strCache>
            </c:strRef>
          </c:cat>
          <c:val>
            <c:numRef>
              <c:f>Sheet1!$B$2:$B$3</c:f>
              <c:numCache>
                <c:formatCode>0%</c:formatCode>
                <c:ptCount val="2"/>
                <c:pt idx="0">
                  <c:v>0.81</c:v>
                </c:pt>
                <c:pt idx="1">
                  <c:v>0.19</c:v>
                </c:pt>
              </c:numCache>
            </c:numRef>
          </c:val>
          <c:extLst>
            <c:ext xmlns:c16="http://schemas.microsoft.com/office/drawing/2014/chart" uri="{C3380CC4-5D6E-409C-BE32-E72D297353CC}">
              <c16:uniqueId val="{00000004-987B-4D5F-B8C5-B1414B58F694}"/>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ERASMUS!$K$7</c:f>
              <c:numCache>
                <c:formatCode>0%</c:formatCode>
                <c:ptCount val="1"/>
                <c:pt idx="0">
                  <c:v>1</c:v>
                </c:pt>
              </c:numCache>
            </c:numRef>
          </c:val>
          <c:extLst>
            <c:ext xmlns:c16="http://schemas.microsoft.com/office/drawing/2014/chart" uri="{C3380CC4-5D6E-409C-BE32-E72D297353CC}">
              <c16:uniqueId val="{00000000-9B37-4731-B036-1C84B2CDD322}"/>
            </c:ext>
          </c:extLst>
        </c:ser>
        <c:ser>
          <c:idx val="1"/>
          <c:order val="1"/>
          <c:spPr>
            <a:solidFill>
              <a:srgbClr val="000000"/>
            </a:solidFill>
            <a:ln>
              <a:noFill/>
            </a:ln>
            <a:effectLst/>
          </c:spPr>
          <c:invertIfNegative val="0"/>
          <c:val>
            <c:numRef>
              <c:f>ERASMUS!$L$7</c:f>
              <c:numCache>
                <c:formatCode>0%</c:formatCode>
                <c:ptCount val="1"/>
                <c:pt idx="0">
                  <c:v>0</c:v>
                </c:pt>
              </c:numCache>
            </c:numRef>
          </c:val>
          <c:extLst>
            <c:ext xmlns:c16="http://schemas.microsoft.com/office/drawing/2014/chart" uri="{C3380CC4-5D6E-409C-BE32-E72D297353CC}">
              <c16:uniqueId val="{00000001-9B37-4731-B036-1C84B2CDD322}"/>
            </c:ext>
          </c:extLst>
        </c:ser>
        <c:ser>
          <c:idx val="2"/>
          <c:order val="2"/>
          <c:spPr>
            <a:solidFill>
              <a:srgbClr val="DCE6F2"/>
            </a:solidFill>
            <a:ln>
              <a:noFill/>
            </a:ln>
            <a:effectLst/>
          </c:spPr>
          <c:invertIfNegative val="0"/>
          <c:val>
            <c:numRef>
              <c:f>ERASMUS!$M$7</c:f>
              <c:numCache>
                <c:formatCode>0%</c:formatCode>
                <c:ptCount val="1"/>
                <c:pt idx="0">
                  <c:v>0</c:v>
                </c:pt>
              </c:numCache>
            </c:numRef>
          </c:val>
          <c:extLst>
            <c:ext xmlns:c16="http://schemas.microsoft.com/office/drawing/2014/chart" uri="{C3380CC4-5D6E-409C-BE32-E72D297353CC}">
              <c16:uniqueId val="{00000002-9B37-4731-B036-1C84B2CDD322}"/>
            </c:ext>
          </c:extLst>
        </c:ser>
        <c:ser>
          <c:idx val="3"/>
          <c:order val="3"/>
          <c:spPr>
            <a:solidFill>
              <a:srgbClr val="00ADDC"/>
            </a:solidFill>
            <a:ln>
              <a:noFill/>
            </a:ln>
            <a:effectLst/>
          </c:spPr>
          <c:invertIfNegative val="0"/>
          <c:val>
            <c:numRef>
              <c:f>ERASMUS!$N$7</c:f>
              <c:numCache>
                <c:formatCode>0%</c:formatCode>
                <c:ptCount val="1"/>
                <c:pt idx="0">
                  <c:v>0</c:v>
                </c:pt>
              </c:numCache>
            </c:numRef>
          </c:val>
          <c:extLst>
            <c:ext xmlns:c16="http://schemas.microsoft.com/office/drawing/2014/chart" uri="{C3380CC4-5D6E-409C-BE32-E72D297353CC}">
              <c16:uniqueId val="{00000003-9B37-4731-B036-1C84B2CDD322}"/>
            </c:ext>
          </c:extLst>
        </c:ser>
        <c:ser>
          <c:idx val="4"/>
          <c:order val="4"/>
          <c:spPr>
            <a:solidFill>
              <a:srgbClr val="000000"/>
            </a:solidFill>
            <a:ln>
              <a:noFill/>
            </a:ln>
            <a:effectLst/>
          </c:spPr>
          <c:invertIfNegative val="0"/>
          <c:val>
            <c:numRef>
              <c:f>ERASMUS!$O$7</c:f>
              <c:numCache>
                <c:formatCode>0%</c:formatCode>
                <c:ptCount val="1"/>
                <c:pt idx="0">
                  <c:v>0</c:v>
                </c:pt>
              </c:numCache>
            </c:numRef>
          </c:val>
          <c:extLst>
            <c:ext xmlns:c16="http://schemas.microsoft.com/office/drawing/2014/chart" uri="{C3380CC4-5D6E-409C-BE32-E72D297353CC}">
              <c16:uniqueId val="{00000004-9B37-4731-B036-1C84B2CDD322}"/>
            </c:ext>
          </c:extLst>
        </c:ser>
        <c:ser>
          <c:idx val="5"/>
          <c:order val="5"/>
          <c:spPr>
            <a:solidFill>
              <a:srgbClr val="00ADDC"/>
            </a:solidFill>
            <a:ln>
              <a:noFill/>
            </a:ln>
            <a:effectLst/>
          </c:spPr>
          <c:invertIfNegative val="0"/>
          <c:val>
            <c:numRef>
              <c:f>ERASMUS!$P$7</c:f>
              <c:numCache>
                <c:formatCode>0%</c:formatCode>
                <c:ptCount val="1"/>
                <c:pt idx="0">
                  <c:v>0</c:v>
                </c:pt>
              </c:numCache>
            </c:numRef>
          </c:val>
          <c:extLst>
            <c:ext xmlns:c16="http://schemas.microsoft.com/office/drawing/2014/chart" uri="{C3380CC4-5D6E-409C-BE32-E72D297353CC}">
              <c16:uniqueId val="{00000005-9B37-4731-B036-1C84B2CDD322}"/>
            </c:ext>
          </c:extLst>
        </c:ser>
        <c:ser>
          <c:idx val="6"/>
          <c:order val="6"/>
          <c:spPr>
            <a:solidFill>
              <a:srgbClr val="28296E"/>
            </a:solidFill>
            <a:ln>
              <a:noFill/>
            </a:ln>
            <a:effectLst/>
          </c:spPr>
          <c:invertIfNegative val="0"/>
          <c:dLbls>
            <c:dLbl>
              <c:idx val="0"/>
              <c:tx>
                <c:rich>
                  <a:bodyPr/>
                  <a:lstStyle/>
                  <a:p>
                    <a:r>
                      <a:rPr lang="en-US"/>
                      <a:t>80%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37-4731-B036-1C84B2CDD322}"/>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ERASMUS!$Q$7</c:f>
              <c:numCache>
                <c:formatCode>0%</c:formatCode>
                <c:ptCount val="1"/>
                <c:pt idx="0">
                  <c:v>0.79903846153846159</c:v>
                </c:pt>
              </c:numCache>
            </c:numRef>
          </c:val>
          <c:extLst>
            <c:ext xmlns:c16="http://schemas.microsoft.com/office/drawing/2014/chart" uri="{C3380CC4-5D6E-409C-BE32-E72D297353CC}">
              <c16:uniqueId val="{00000007-9B37-4731-B036-1C84B2CDD322}"/>
            </c:ext>
          </c:extLst>
        </c:ser>
        <c:ser>
          <c:idx val="7"/>
          <c:order val="7"/>
          <c:spPr>
            <a:solidFill>
              <a:srgbClr val="000000"/>
            </a:solidFill>
            <a:ln>
              <a:noFill/>
            </a:ln>
            <a:effectLst/>
          </c:spPr>
          <c:invertIfNegative val="0"/>
          <c:val>
            <c:numRef>
              <c:f>ERASMUS!$R$7</c:f>
              <c:numCache>
                <c:formatCode>0%</c:formatCode>
                <c:ptCount val="1"/>
                <c:pt idx="0">
                  <c:v>0</c:v>
                </c:pt>
              </c:numCache>
            </c:numRef>
          </c:val>
          <c:extLst>
            <c:ext xmlns:c16="http://schemas.microsoft.com/office/drawing/2014/chart" uri="{C3380CC4-5D6E-409C-BE32-E72D297353CC}">
              <c16:uniqueId val="{00000008-9B37-4731-B036-1C84B2CDD322}"/>
            </c:ext>
          </c:extLst>
        </c:ser>
        <c:ser>
          <c:idx val="8"/>
          <c:order val="8"/>
          <c:spPr>
            <a:solidFill>
              <a:srgbClr val="28296E"/>
            </a:solidFill>
            <a:ln>
              <a:noFill/>
            </a:ln>
            <a:effectLst/>
          </c:spPr>
          <c:invertIfNegative val="0"/>
          <c:val>
            <c:numRef>
              <c:f>ERASMUS!$S$7</c:f>
              <c:numCache>
                <c:formatCode>0%</c:formatCode>
                <c:ptCount val="1"/>
                <c:pt idx="0">
                  <c:v>0</c:v>
                </c:pt>
              </c:numCache>
            </c:numRef>
          </c:val>
          <c:extLst>
            <c:ext xmlns:c16="http://schemas.microsoft.com/office/drawing/2014/chart" uri="{C3380CC4-5D6E-409C-BE32-E72D297353CC}">
              <c16:uniqueId val="{00000009-9B37-4731-B036-1C84B2CDD322}"/>
            </c:ext>
          </c:extLst>
        </c:ser>
        <c:dLbls>
          <c:showLegendKey val="0"/>
          <c:showVal val="0"/>
          <c:showCatName val="0"/>
          <c:showSerName val="0"/>
          <c:showPercent val="0"/>
          <c:showBubbleSize val="0"/>
        </c:dLbls>
        <c:gapWidth val="0"/>
        <c:overlap val="100"/>
        <c:axId val="111970944"/>
        <c:axId val="111976832"/>
      </c:barChart>
      <c:catAx>
        <c:axId val="111970944"/>
        <c:scaling>
          <c:orientation val="minMax"/>
        </c:scaling>
        <c:delete val="1"/>
        <c:axPos val="l"/>
        <c:majorTickMark val="none"/>
        <c:minorTickMark val="none"/>
        <c:tickLblPos val="nextTo"/>
        <c:crossAx val="111976832"/>
        <c:crosses val="autoZero"/>
        <c:auto val="1"/>
        <c:lblAlgn val="ctr"/>
        <c:lblOffset val="100"/>
        <c:noMultiLvlLbl val="0"/>
      </c:catAx>
      <c:valAx>
        <c:axId val="111976832"/>
        <c:scaling>
          <c:orientation val="minMax"/>
          <c:max val="1"/>
        </c:scaling>
        <c:delete val="1"/>
        <c:axPos val="b"/>
        <c:numFmt formatCode="0%" sourceLinked="1"/>
        <c:majorTickMark val="none"/>
        <c:minorTickMark val="none"/>
        <c:tickLblPos val="nextTo"/>
        <c:crossAx val="11197094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ERASMUS!$K$8</c:f>
              <c:numCache>
                <c:formatCode>0%</c:formatCode>
                <c:ptCount val="1"/>
                <c:pt idx="0">
                  <c:v>1</c:v>
                </c:pt>
              </c:numCache>
            </c:numRef>
          </c:val>
          <c:extLst>
            <c:ext xmlns:c16="http://schemas.microsoft.com/office/drawing/2014/chart" uri="{C3380CC4-5D6E-409C-BE32-E72D297353CC}">
              <c16:uniqueId val="{00000000-D580-42CE-8A59-5C068BCA7869}"/>
            </c:ext>
          </c:extLst>
        </c:ser>
        <c:ser>
          <c:idx val="1"/>
          <c:order val="1"/>
          <c:spPr>
            <a:solidFill>
              <a:srgbClr val="000000"/>
            </a:solidFill>
            <a:ln>
              <a:noFill/>
            </a:ln>
            <a:effectLst/>
          </c:spPr>
          <c:invertIfNegative val="0"/>
          <c:val>
            <c:numRef>
              <c:f>ERASMUS!$L$8</c:f>
              <c:numCache>
                <c:formatCode>0%</c:formatCode>
                <c:ptCount val="1"/>
                <c:pt idx="0">
                  <c:v>0</c:v>
                </c:pt>
              </c:numCache>
            </c:numRef>
          </c:val>
          <c:extLst>
            <c:ext xmlns:c16="http://schemas.microsoft.com/office/drawing/2014/chart" uri="{C3380CC4-5D6E-409C-BE32-E72D297353CC}">
              <c16:uniqueId val="{00000001-D580-42CE-8A59-5C068BCA7869}"/>
            </c:ext>
          </c:extLst>
        </c:ser>
        <c:ser>
          <c:idx val="2"/>
          <c:order val="2"/>
          <c:spPr>
            <a:solidFill>
              <a:srgbClr val="DCE6F2"/>
            </a:solidFill>
            <a:ln>
              <a:noFill/>
            </a:ln>
            <a:effectLst/>
          </c:spPr>
          <c:invertIfNegative val="0"/>
          <c:val>
            <c:numRef>
              <c:f>ERASMUS!$M$8</c:f>
              <c:numCache>
                <c:formatCode>0%</c:formatCode>
                <c:ptCount val="1"/>
                <c:pt idx="0">
                  <c:v>0</c:v>
                </c:pt>
              </c:numCache>
            </c:numRef>
          </c:val>
          <c:extLst>
            <c:ext xmlns:c16="http://schemas.microsoft.com/office/drawing/2014/chart" uri="{C3380CC4-5D6E-409C-BE32-E72D297353CC}">
              <c16:uniqueId val="{00000002-D580-42CE-8A59-5C068BCA7869}"/>
            </c:ext>
          </c:extLst>
        </c:ser>
        <c:ser>
          <c:idx val="3"/>
          <c:order val="3"/>
          <c:spPr>
            <a:solidFill>
              <a:srgbClr val="00ADDC"/>
            </a:solidFill>
            <a:ln>
              <a:noFill/>
            </a:ln>
            <a:effectLst/>
          </c:spPr>
          <c:invertIfNegative val="0"/>
          <c:val>
            <c:numRef>
              <c:f>ERASMUS!$N$8</c:f>
              <c:numCache>
                <c:formatCode>0%</c:formatCode>
                <c:ptCount val="1"/>
                <c:pt idx="0">
                  <c:v>0</c:v>
                </c:pt>
              </c:numCache>
            </c:numRef>
          </c:val>
          <c:extLst>
            <c:ext xmlns:c16="http://schemas.microsoft.com/office/drawing/2014/chart" uri="{C3380CC4-5D6E-409C-BE32-E72D297353CC}">
              <c16:uniqueId val="{00000003-D580-42CE-8A59-5C068BCA7869}"/>
            </c:ext>
          </c:extLst>
        </c:ser>
        <c:ser>
          <c:idx val="4"/>
          <c:order val="4"/>
          <c:spPr>
            <a:solidFill>
              <a:srgbClr val="000000"/>
            </a:solidFill>
            <a:ln>
              <a:noFill/>
            </a:ln>
            <a:effectLst/>
          </c:spPr>
          <c:invertIfNegative val="0"/>
          <c:val>
            <c:numRef>
              <c:f>ERASMUS!$O$8</c:f>
              <c:numCache>
                <c:formatCode>0%</c:formatCode>
                <c:ptCount val="1"/>
                <c:pt idx="0">
                  <c:v>0</c:v>
                </c:pt>
              </c:numCache>
            </c:numRef>
          </c:val>
          <c:extLst>
            <c:ext xmlns:c16="http://schemas.microsoft.com/office/drawing/2014/chart" uri="{C3380CC4-5D6E-409C-BE32-E72D297353CC}">
              <c16:uniqueId val="{00000004-D580-42CE-8A59-5C068BCA7869}"/>
            </c:ext>
          </c:extLst>
        </c:ser>
        <c:ser>
          <c:idx val="5"/>
          <c:order val="5"/>
          <c:spPr>
            <a:solidFill>
              <a:srgbClr val="00ADDC"/>
            </a:solidFill>
            <a:ln>
              <a:noFill/>
            </a:ln>
            <a:effectLst/>
          </c:spPr>
          <c:invertIfNegative val="0"/>
          <c:val>
            <c:numRef>
              <c:f>ERASMUS!$P$8</c:f>
              <c:numCache>
                <c:formatCode>0%</c:formatCode>
                <c:ptCount val="1"/>
                <c:pt idx="0">
                  <c:v>0</c:v>
                </c:pt>
              </c:numCache>
            </c:numRef>
          </c:val>
          <c:extLst>
            <c:ext xmlns:c16="http://schemas.microsoft.com/office/drawing/2014/chart" uri="{C3380CC4-5D6E-409C-BE32-E72D297353CC}">
              <c16:uniqueId val="{00000005-D580-42CE-8A59-5C068BCA7869}"/>
            </c:ext>
          </c:extLst>
        </c:ser>
        <c:ser>
          <c:idx val="6"/>
          <c:order val="6"/>
          <c:spPr>
            <a:solidFill>
              <a:srgbClr val="28296E"/>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580-42CE-8A59-5C068BCA7869}"/>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ERASMUS!$Q$8</c:f>
              <c:numCache>
                <c:formatCode>0%</c:formatCode>
                <c:ptCount val="1"/>
                <c:pt idx="0">
                  <c:v>1</c:v>
                </c:pt>
              </c:numCache>
            </c:numRef>
          </c:val>
          <c:extLst>
            <c:ext xmlns:c16="http://schemas.microsoft.com/office/drawing/2014/chart" uri="{C3380CC4-5D6E-409C-BE32-E72D297353CC}">
              <c16:uniqueId val="{00000007-D580-42CE-8A59-5C068BCA7869}"/>
            </c:ext>
          </c:extLst>
        </c:ser>
        <c:ser>
          <c:idx val="7"/>
          <c:order val="7"/>
          <c:spPr>
            <a:solidFill>
              <a:srgbClr val="000000"/>
            </a:solidFill>
            <a:ln>
              <a:noFill/>
            </a:ln>
            <a:effectLst/>
          </c:spPr>
          <c:invertIfNegative val="0"/>
          <c:val>
            <c:numRef>
              <c:f>ERASMUS!$R$8</c:f>
              <c:numCache>
                <c:formatCode>0%</c:formatCode>
                <c:ptCount val="1"/>
                <c:pt idx="0">
                  <c:v>0</c:v>
                </c:pt>
              </c:numCache>
            </c:numRef>
          </c:val>
          <c:extLst>
            <c:ext xmlns:c16="http://schemas.microsoft.com/office/drawing/2014/chart" uri="{C3380CC4-5D6E-409C-BE32-E72D297353CC}">
              <c16:uniqueId val="{00000008-D580-42CE-8A59-5C068BCA7869}"/>
            </c:ext>
          </c:extLst>
        </c:ser>
        <c:ser>
          <c:idx val="8"/>
          <c:order val="8"/>
          <c:spPr>
            <a:solidFill>
              <a:srgbClr val="28296E"/>
            </a:solidFill>
            <a:ln>
              <a:noFill/>
            </a:ln>
            <a:effectLst/>
          </c:spPr>
          <c:invertIfNegative val="0"/>
          <c:val>
            <c:numRef>
              <c:f>ERASMUS!$S$8</c:f>
              <c:numCache>
                <c:formatCode>0%</c:formatCode>
                <c:ptCount val="1"/>
                <c:pt idx="0">
                  <c:v>0</c:v>
                </c:pt>
              </c:numCache>
            </c:numRef>
          </c:val>
          <c:extLst>
            <c:ext xmlns:c16="http://schemas.microsoft.com/office/drawing/2014/chart" uri="{C3380CC4-5D6E-409C-BE32-E72D297353CC}">
              <c16:uniqueId val="{00000009-D580-42CE-8A59-5C068BCA7869}"/>
            </c:ext>
          </c:extLst>
        </c:ser>
        <c:dLbls>
          <c:showLegendKey val="0"/>
          <c:showVal val="0"/>
          <c:showCatName val="0"/>
          <c:showSerName val="0"/>
          <c:showPercent val="0"/>
          <c:showBubbleSize val="0"/>
        </c:dLbls>
        <c:gapWidth val="0"/>
        <c:overlap val="100"/>
        <c:axId val="112417024"/>
        <c:axId val="112427008"/>
      </c:barChart>
      <c:catAx>
        <c:axId val="112417024"/>
        <c:scaling>
          <c:orientation val="minMax"/>
        </c:scaling>
        <c:delete val="1"/>
        <c:axPos val="l"/>
        <c:majorTickMark val="none"/>
        <c:minorTickMark val="none"/>
        <c:tickLblPos val="nextTo"/>
        <c:crossAx val="112427008"/>
        <c:crosses val="autoZero"/>
        <c:auto val="1"/>
        <c:lblAlgn val="ctr"/>
        <c:lblOffset val="100"/>
        <c:noMultiLvlLbl val="0"/>
      </c:catAx>
      <c:valAx>
        <c:axId val="112427008"/>
        <c:scaling>
          <c:orientation val="minMax"/>
          <c:max val="1"/>
        </c:scaling>
        <c:delete val="1"/>
        <c:axPos val="b"/>
        <c:numFmt formatCode="0%" sourceLinked="1"/>
        <c:majorTickMark val="none"/>
        <c:minorTickMark val="none"/>
        <c:tickLblPos val="nextTo"/>
        <c:crossAx val="11241702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ERASMUS!$K$4</c:f>
              <c:numCache>
                <c:formatCode>0%</c:formatCode>
                <c:ptCount val="1"/>
                <c:pt idx="0">
                  <c:v>1</c:v>
                </c:pt>
              </c:numCache>
            </c:numRef>
          </c:val>
          <c:extLst>
            <c:ext xmlns:c16="http://schemas.microsoft.com/office/drawing/2014/chart" uri="{C3380CC4-5D6E-409C-BE32-E72D297353CC}">
              <c16:uniqueId val="{00000000-561B-4E0F-974A-E9EDC0D8AEB5}"/>
            </c:ext>
          </c:extLst>
        </c:ser>
        <c:ser>
          <c:idx val="1"/>
          <c:order val="1"/>
          <c:spPr>
            <a:solidFill>
              <a:srgbClr val="000000"/>
            </a:solidFill>
            <a:ln>
              <a:noFill/>
            </a:ln>
            <a:effectLst/>
          </c:spPr>
          <c:invertIfNegative val="0"/>
          <c:val>
            <c:numRef>
              <c:f>ERASMUS!$L$4</c:f>
              <c:numCache>
                <c:formatCode>0%</c:formatCode>
                <c:ptCount val="1"/>
                <c:pt idx="0">
                  <c:v>0</c:v>
                </c:pt>
              </c:numCache>
            </c:numRef>
          </c:val>
          <c:extLst>
            <c:ext xmlns:c16="http://schemas.microsoft.com/office/drawing/2014/chart" uri="{C3380CC4-5D6E-409C-BE32-E72D297353CC}">
              <c16:uniqueId val="{00000001-561B-4E0F-974A-E9EDC0D8AEB5}"/>
            </c:ext>
          </c:extLst>
        </c:ser>
        <c:ser>
          <c:idx val="2"/>
          <c:order val="2"/>
          <c:spPr>
            <a:solidFill>
              <a:srgbClr val="DCE6F2"/>
            </a:solidFill>
            <a:ln>
              <a:noFill/>
            </a:ln>
            <a:effectLst/>
          </c:spPr>
          <c:invertIfNegative val="0"/>
          <c:val>
            <c:numRef>
              <c:f>ERASMUS!$M$4</c:f>
              <c:numCache>
                <c:formatCode>0%</c:formatCode>
                <c:ptCount val="1"/>
                <c:pt idx="0">
                  <c:v>0</c:v>
                </c:pt>
              </c:numCache>
            </c:numRef>
          </c:val>
          <c:extLst>
            <c:ext xmlns:c16="http://schemas.microsoft.com/office/drawing/2014/chart" uri="{C3380CC4-5D6E-409C-BE32-E72D297353CC}">
              <c16:uniqueId val="{00000002-561B-4E0F-974A-E9EDC0D8AEB5}"/>
            </c:ext>
          </c:extLst>
        </c:ser>
        <c:ser>
          <c:idx val="3"/>
          <c:order val="3"/>
          <c:spPr>
            <a:solidFill>
              <a:srgbClr val="00ADDC"/>
            </a:solidFill>
            <a:ln>
              <a:noFill/>
            </a:ln>
            <a:effectLst/>
          </c:spPr>
          <c:invertIfNegative val="0"/>
          <c:val>
            <c:numRef>
              <c:f>ERASMUS!$N$4</c:f>
              <c:numCache>
                <c:formatCode>0%</c:formatCode>
                <c:ptCount val="1"/>
                <c:pt idx="0">
                  <c:v>0</c:v>
                </c:pt>
              </c:numCache>
            </c:numRef>
          </c:val>
          <c:extLst>
            <c:ext xmlns:c16="http://schemas.microsoft.com/office/drawing/2014/chart" uri="{C3380CC4-5D6E-409C-BE32-E72D297353CC}">
              <c16:uniqueId val="{00000003-561B-4E0F-974A-E9EDC0D8AEB5}"/>
            </c:ext>
          </c:extLst>
        </c:ser>
        <c:ser>
          <c:idx val="4"/>
          <c:order val="4"/>
          <c:spPr>
            <a:solidFill>
              <a:srgbClr val="000000"/>
            </a:solidFill>
            <a:ln>
              <a:noFill/>
            </a:ln>
            <a:effectLst/>
          </c:spPr>
          <c:invertIfNegative val="0"/>
          <c:val>
            <c:numRef>
              <c:f>ERASMUS!$O$4</c:f>
              <c:numCache>
                <c:formatCode>0%</c:formatCode>
                <c:ptCount val="1"/>
                <c:pt idx="0">
                  <c:v>0</c:v>
                </c:pt>
              </c:numCache>
            </c:numRef>
          </c:val>
          <c:extLst>
            <c:ext xmlns:c16="http://schemas.microsoft.com/office/drawing/2014/chart" uri="{C3380CC4-5D6E-409C-BE32-E72D297353CC}">
              <c16:uniqueId val="{00000004-561B-4E0F-974A-E9EDC0D8AEB5}"/>
            </c:ext>
          </c:extLst>
        </c:ser>
        <c:ser>
          <c:idx val="5"/>
          <c:order val="5"/>
          <c:spPr>
            <a:solidFill>
              <a:srgbClr val="00ADDC"/>
            </a:solidFill>
            <a:ln>
              <a:noFill/>
            </a:ln>
            <a:effectLst/>
          </c:spPr>
          <c:invertIfNegative val="0"/>
          <c:val>
            <c:numRef>
              <c:f>ERASMUS!$P$4</c:f>
              <c:numCache>
                <c:formatCode>0%</c:formatCode>
                <c:ptCount val="1"/>
                <c:pt idx="0">
                  <c:v>0</c:v>
                </c:pt>
              </c:numCache>
            </c:numRef>
          </c:val>
          <c:extLst>
            <c:ext xmlns:c16="http://schemas.microsoft.com/office/drawing/2014/chart" uri="{C3380CC4-5D6E-409C-BE32-E72D297353CC}">
              <c16:uniqueId val="{00000005-561B-4E0F-974A-E9EDC0D8AEB5}"/>
            </c:ext>
          </c:extLst>
        </c:ser>
        <c:ser>
          <c:idx val="6"/>
          <c:order val="6"/>
          <c:spPr>
            <a:solidFill>
              <a:srgbClr val="28296E"/>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61B-4E0F-974A-E9EDC0D8AEB5}"/>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ERASMUS!$Q$4</c:f>
              <c:numCache>
                <c:formatCode>0%</c:formatCode>
                <c:ptCount val="1"/>
                <c:pt idx="0">
                  <c:v>1</c:v>
                </c:pt>
              </c:numCache>
            </c:numRef>
          </c:val>
          <c:extLst>
            <c:ext xmlns:c16="http://schemas.microsoft.com/office/drawing/2014/chart" uri="{C3380CC4-5D6E-409C-BE32-E72D297353CC}">
              <c16:uniqueId val="{00000007-561B-4E0F-974A-E9EDC0D8AEB5}"/>
            </c:ext>
          </c:extLst>
        </c:ser>
        <c:ser>
          <c:idx val="7"/>
          <c:order val="7"/>
          <c:spPr>
            <a:solidFill>
              <a:srgbClr val="000000"/>
            </a:solidFill>
            <a:ln>
              <a:noFill/>
            </a:ln>
            <a:effectLst/>
          </c:spPr>
          <c:invertIfNegative val="0"/>
          <c:val>
            <c:numRef>
              <c:f>ERASMUS!$R$4</c:f>
              <c:numCache>
                <c:formatCode>0%</c:formatCode>
                <c:ptCount val="1"/>
                <c:pt idx="0">
                  <c:v>0</c:v>
                </c:pt>
              </c:numCache>
            </c:numRef>
          </c:val>
          <c:extLst>
            <c:ext xmlns:c16="http://schemas.microsoft.com/office/drawing/2014/chart" uri="{C3380CC4-5D6E-409C-BE32-E72D297353CC}">
              <c16:uniqueId val="{00000008-561B-4E0F-974A-E9EDC0D8AEB5}"/>
            </c:ext>
          </c:extLst>
        </c:ser>
        <c:ser>
          <c:idx val="8"/>
          <c:order val="8"/>
          <c:spPr>
            <a:solidFill>
              <a:srgbClr val="28296E"/>
            </a:solidFill>
            <a:ln>
              <a:noFill/>
            </a:ln>
            <a:effectLst/>
          </c:spPr>
          <c:invertIfNegative val="0"/>
          <c:val>
            <c:numRef>
              <c:f>ERASMUS!$S$4</c:f>
              <c:numCache>
                <c:formatCode>0%</c:formatCode>
                <c:ptCount val="1"/>
                <c:pt idx="0">
                  <c:v>0</c:v>
                </c:pt>
              </c:numCache>
            </c:numRef>
          </c:val>
          <c:extLst>
            <c:ext xmlns:c16="http://schemas.microsoft.com/office/drawing/2014/chart" uri="{C3380CC4-5D6E-409C-BE32-E72D297353CC}">
              <c16:uniqueId val="{00000009-561B-4E0F-974A-E9EDC0D8AEB5}"/>
            </c:ext>
          </c:extLst>
        </c:ser>
        <c:dLbls>
          <c:showLegendKey val="0"/>
          <c:showVal val="0"/>
          <c:showCatName val="0"/>
          <c:showSerName val="0"/>
          <c:showPercent val="0"/>
          <c:showBubbleSize val="0"/>
        </c:dLbls>
        <c:gapWidth val="0"/>
        <c:overlap val="100"/>
        <c:axId val="112465792"/>
        <c:axId val="112467328"/>
      </c:barChart>
      <c:catAx>
        <c:axId val="112465792"/>
        <c:scaling>
          <c:orientation val="minMax"/>
        </c:scaling>
        <c:delete val="1"/>
        <c:axPos val="l"/>
        <c:majorTickMark val="none"/>
        <c:minorTickMark val="none"/>
        <c:tickLblPos val="nextTo"/>
        <c:crossAx val="112467328"/>
        <c:crosses val="autoZero"/>
        <c:auto val="1"/>
        <c:lblAlgn val="ctr"/>
        <c:lblOffset val="100"/>
        <c:noMultiLvlLbl val="0"/>
      </c:catAx>
      <c:valAx>
        <c:axId val="112467328"/>
        <c:scaling>
          <c:orientation val="minMax"/>
          <c:max val="1"/>
        </c:scaling>
        <c:delete val="1"/>
        <c:axPos val="b"/>
        <c:numFmt formatCode="0%" sourceLinked="1"/>
        <c:majorTickMark val="none"/>
        <c:minorTickMark val="none"/>
        <c:tickLblPos val="nextTo"/>
        <c:crossAx val="11246579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ERASMUS!$K$6</c:f>
              <c:numCache>
                <c:formatCode>0%</c:formatCode>
                <c:ptCount val="1"/>
                <c:pt idx="0">
                  <c:v>1</c:v>
                </c:pt>
              </c:numCache>
            </c:numRef>
          </c:val>
          <c:extLst>
            <c:ext xmlns:c16="http://schemas.microsoft.com/office/drawing/2014/chart" uri="{C3380CC4-5D6E-409C-BE32-E72D297353CC}">
              <c16:uniqueId val="{00000000-7CF7-4EDF-95C0-D999B234D60A}"/>
            </c:ext>
          </c:extLst>
        </c:ser>
        <c:ser>
          <c:idx val="1"/>
          <c:order val="1"/>
          <c:spPr>
            <a:solidFill>
              <a:srgbClr val="000000"/>
            </a:solidFill>
            <a:ln>
              <a:noFill/>
            </a:ln>
            <a:effectLst/>
          </c:spPr>
          <c:invertIfNegative val="0"/>
          <c:val>
            <c:numRef>
              <c:f>ERASMUS!$L$6</c:f>
              <c:numCache>
                <c:formatCode>0%</c:formatCode>
                <c:ptCount val="1"/>
                <c:pt idx="0">
                  <c:v>0</c:v>
                </c:pt>
              </c:numCache>
            </c:numRef>
          </c:val>
          <c:extLst>
            <c:ext xmlns:c16="http://schemas.microsoft.com/office/drawing/2014/chart" uri="{C3380CC4-5D6E-409C-BE32-E72D297353CC}">
              <c16:uniqueId val="{00000001-7CF7-4EDF-95C0-D999B234D60A}"/>
            </c:ext>
          </c:extLst>
        </c:ser>
        <c:ser>
          <c:idx val="2"/>
          <c:order val="2"/>
          <c:spPr>
            <a:solidFill>
              <a:srgbClr val="DCE6F2"/>
            </a:solidFill>
            <a:ln>
              <a:noFill/>
            </a:ln>
            <a:effectLst/>
          </c:spPr>
          <c:invertIfNegative val="0"/>
          <c:val>
            <c:numRef>
              <c:f>ERASMUS!$M$6</c:f>
              <c:numCache>
                <c:formatCode>0%</c:formatCode>
                <c:ptCount val="1"/>
                <c:pt idx="0">
                  <c:v>0</c:v>
                </c:pt>
              </c:numCache>
            </c:numRef>
          </c:val>
          <c:extLst>
            <c:ext xmlns:c16="http://schemas.microsoft.com/office/drawing/2014/chart" uri="{C3380CC4-5D6E-409C-BE32-E72D297353CC}">
              <c16:uniqueId val="{00000002-7CF7-4EDF-95C0-D999B234D60A}"/>
            </c:ext>
          </c:extLst>
        </c:ser>
        <c:ser>
          <c:idx val="3"/>
          <c:order val="3"/>
          <c:spPr>
            <a:solidFill>
              <a:srgbClr val="00ADDC"/>
            </a:solidFill>
            <a:ln>
              <a:noFill/>
            </a:ln>
            <a:effectLst/>
          </c:spPr>
          <c:invertIfNegative val="0"/>
          <c:val>
            <c:numRef>
              <c:f>ERASMUS!$N$6</c:f>
              <c:numCache>
                <c:formatCode>0%</c:formatCode>
                <c:ptCount val="1"/>
                <c:pt idx="0">
                  <c:v>0</c:v>
                </c:pt>
              </c:numCache>
            </c:numRef>
          </c:val>
          <c:extLst>
            <c:ext xmlns:c16="http://schemas.microsoft.com/office/drawing/2014/chart" uri="{C3380CC4-5D6E-409C-BE32-E72D297353CC}">
              <c16:uniqueId val="{00000003-7CF7-4EDF-95C0-D999B234D60A}"/>
            </c:ext>
          </c:extLst>
        </c:ser>
        <c:ser>
          <c:idx val="4"/>
          <c:order val="4"/>
          <c:spPr>
            <a:solidFill>
              <a:srgbClr val="000000"/>
            </a:solidFill>
            <a:ln>
              <a:noFill/>
            </a:ln>
            <a:effectLst/>
          </c:spPr>
          <c:invertIfNegative val="0"/>
          <c:val>
            <c:numRef>
              <c:f>ERASMUS!$O$6</c:f>
              <c:numCache>
                <c:formatCode>0%</c:formatCode>
                <c:ptCount val="1"/>
                <c:pt idx="0">
                  <c:v>0</c:v>
                </c:pt>
              </c:numCache>
            </c:numRef>
          </c:val>
          <c:extLst>
            <c:ext xmlns:c16="http://schemas.microsoft.com/office/drawing/2014/chart" uri="{C3380CC4-5D6E-409C-BE32-E72D297353CC}">
              <c16:uniqueId val="{00000004-7CF7-4EDF-95C0-D999B234D60A}"/>
            </c:ext>
          </c:extLst>
        </c:ser>
        <c:ser>
          <c:idx val="5"/>
          <c:order val="5"/>
          <c:spPr>
            <a:solidFill>
              <a:srgbClr val="00ADDC"/>
            </a:solidFill>
            <a:ln>
              <a:noFill/>
            </a:ln>
            <a:effectLst/>
          </c:spPr>
          <c:invertIfNegative val="0"/>
          <c:val>
            <c:numRef>
              <c:f>ERASMUS!$P$6</c:f>
              <c:numCache>
                <c:formatCode>0%</c:formatCode>
                <c:ptCount val="1"/>
                <c:pt idx="0">
                  <c:v>0</c:v>
                </c:pt>
              </c:numCache>
            </c:numRef>
          </c:val>
          <c:extLst>
            <c:ext xmlns:c16="http://schemas.microsoft.com/office/drawing/2014/chart" uri="{C3380CC4-5D6E-409C-BE32-E72D297353CC}">
              <c16:uniqueId val="{00000005-7CF7-4EDF-95C0-D999B234D60A}"/>
            </c:ext>
          </c:extLst>
        </c:ser>
        <c:ser>
          <c:idx val="6"/>
          <c:order val="6"/>
          <c:spPr>
            <a:solidFill>
              <a:srgbClr val="28296E"/>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F7-4EDF-95C0-D999B234D60A}"/>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ERASMUS!$Q$6</c:f>
              <c:numCache>
                <c:formatCode>0%</c:formatCode>
                <c:ptCount val="1"/>
                <c:pt idx="0">
                  <c:v>1</c:v>
                </c:pt>
              </c:numCache>
            </c:numRef>
          </c:val>
          <c:extLst>
            <c:ext xmlns:c16="http://schemas.microsoft.com/office/drawing/2014/chart" uri="{C3380CC4-5D6E-409C-BE32-E72D297353CC}">
              <c16:uniqueId val="{00000007-7CF7-4EDF-95C0-D999B234D60A}"/>
            </c:ext>
          </c:extLst>
        </c:ser>
        <c:ser>
          <c:idx val="7"/>
          <c:order val="7"/>
          <c:spPr>
            <a:solidFill>
              <a:srgbClr val="000000"/>
            </a:solidFill>
            <a:ln>
              <a:noFill/>
            </a:ln>
            <a:effectLst/>
          </c:spPr>
          <c:invertIfNegative val="0"/>
          <c:val>
            <c:numRef>
              <c:f>ERASMUS!$R$6</c:f>
              <c:numCache>
                <c:formatCode>0%</c:formatCode>
                <c:ptCount val="1"/>
                <c:pt idx="0">
                  <c:v>0</c:v>
                </c:pt>
              </c:numCache>
            </c:numRef>
          </c:val>
          <c:extLst>
            <c:ext xmlns:c16="http://schemas.microsoft.com/office/drawing/2014/chart" uri="{C3380CC4-5D6E-409C-BE32-E72D297353CC}">
              <c16:uniqueId val="{00000008-7CF7-4EDF-95C0-D999B234D60A}"/>
            </c:ext>
          </c:extLst>
        </c:ser>
        <c:ser>
          <c:idx val="8"/>
          <c:order val="8"/>
          <c:spPr>
            <a:solidFill>
              <a:srgbClr val="28296E"/>
            </a:solidFill>
            <a:ln>
              <a:noFill/>
            </a:ln>
            <a:effectLst/>
          </c:spPr>
          <c:invertIfNegative val="0"/>
          <c:val>
            <c:numRef>
              <c:f>ERASMUS!$S$6</c:f>
              <c:numCache>
                <c:formatCode>0%</c:formatCode>
                <c:ptCount val="1"/>
                <c:pt idx="0">
                  <c:v>0</c:v>
                </c:pt>
              </c:numCache>
            </c:numRef>
          </c:val>
          <c:extLst>
            <c:ext xmlns:c16="http://schemas.microsoft.com/office/drawing/2014/chart" uri="{C3380CC4-5D6E-409C-BE32-E72D297353CC}">
              <c16:uniqueId val="{00000009-7CF7-4EDF-95C0-D999B234D60A}"/>
            </c:ext>
          </c:extLst>
        </c:ser>
        <c:dLbls>
          <c:showLegendKey val="0"/>
          <c:showVal val="0"/>
          <c:showCatName val="0"/>
          <c:showSerName val="0"/>
          <c:showPercent val="0"/>
          <c:showBubbleSize val="0"/>
        </c:dLbls>
        <c:gapWidth val="0"/>
        <c:overlap val="100"/>
        <c:axId val="112539136"/>
        <c:axId val="112540672"/>
      </c:barChart>
      <c:catAx>
        <c:axId val="112539136"/>
        <c:scaling>
          <c:orientation val="minMax"/>
        </c:scaling>
        <c:delete val="1"/>
        <c:axPos val="l"/>
        <c:majorTickMark val="none"/>
        <c:minorTickMark val="none"/>
        <c:tickLblPos val="nextTo"/>
        <c:crossAx val="112540672"/>
        <c:crosses val="autoZero"/>
        <c:auto val="1"/>
        <c:lblAlgn val="ctr"/>
        <c:lblOffset val="100"/>
        <c:noMultiLvlLbl val="0"/>
      </c:catAx>
      <c:valAx>
        <c:axId val="112540672"/>
        <c:scaling>
          <c:orientation val="minMax"/>
          <c:max val="1"/>
        </c:scaling>
        <c:delete val="1"/>
        <c:axPos val="b"/>
        <c:numFmt formatCode="0%" sourceLinked="1"/>
        <c:majorTickMark val="none"/>
        <c:minorTickMark val="none"/>
        <c:tickLblPos val="nextTo"/>
        <c:crossAx val="11253913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Galileo!$K$8</c:f>
              <c:numCache>
                <c:formatCode>0%</c:formatCode>
                <c:ptCount val="1"/>
                <c:pt idx="0">
                  <c:v>1</c:v>
                </c:pt>
              </c:numCache>
            </c:numRef>
          </c:val>
          <c:extLst>
            <c:ext xmlns:c16="http://schemas.microsoft.com/office/drawing/2014/chart" uri="{C3380CC4-5D6E-409C-BE32-E72D297353CC}">
              <c16:uniqueId val="{00000000-995B-4C36-A840-B774880C3834}"/>
            </c:ext>
          </c:extLst>
        </c:ser>
        <c:ser>
          <c:idx val="1"/>
          <c:order val="1"/>
          <c:spPr>
            <a:solidFill>
              <a:srgbClr val="000000"/>
            </a:solidFill>
            <a:ln>
              <a:noFill/>
            </a:ln>
            <a:effectLst/>
          </c:spPr>
          <c:invertIfNegative val="0"/>
          <c:val>
            <c:numRef>
              <c:f>Galileo!$L$8</c:f>
              <c:numCache>
                <c:formatCode>0%</c:formatCode>
                <c:ptCount val="1"/>
                <c:pt idx="0">
                  <c:v>0</c:v>
                </c:pt>
              </c:numCache>
            </c:numRef>
          </c:val>
          <c:extLst>
            <c:ext xmlns:c16="http://schemas.microsoft.com/office/drawing/2014/chart" uri="{C3380CC4-5D6E-409C-BE32-E72D297353CC}">
              <c16:uniqueId val="{00000001-995B-4C36-A840-B774880C3834}"/>
            </c:ext>
          </c:extLst>
        </c:ser>
        <c:ser>
          <c:idx val="2"/>
          <c:order val="2"/>
          <c:spPr>
            <a:solidFill>
              <a:srgbClr val="DCE6F2"/>
            </a:solidFill>
            <a:ln>
              <a:noFill/>
            </a:ln>
            <a:effectLst/>
          </c:spPr>
          <c:invertIfNegative val="0"/>
          <c:val>
            <c:numRef>
              <c:f>Galileo!$M$8</c:f>
              <c:numCache>
                <c:formatCode>0%</c:formatCode>
                <c:ptCount val="1"/>
                <c:pt idx="0">
                  <c:v>0</c:v>
                </c:pt>
              </c:numCache>
            </c:numRef>
          </c:val>
          <c:extLst>
            <c:ext xmlns:c16="http://schemas.microsoft.com/office/drawing/2014/chart" uri="{C3380CC4-5D6E-409C-BE32-E72D297353CC}">
              <c16:uniqueId val="{00000002-995B-4C36-A840-B774880C3834}"/>
            </c:ext>
          </c:extLst>
        </c:ser>
        <c:ser>
          <c:idx val="3"/>
          <c:order val="3"/>
          <c:spPr>
            <a:solidFill>
              <a:srgbClr val="00ADDC"/>
            </a:solidFill>
            <a:ln>
              <a:noFill/>
            </a:ln>
            <a:effectLst/>
          </c:spPr>
          <c:invertIfNegative val="0"/>
          <c:val>
            <c:numRef>
              <c:f>Galileo!$N$8</c:f>
              <c:numCache>
                <c:formatCode>0%</c:formatCode>
                <c:ptCount val="1"/>
                <c:pt idx="0">
                  <c:v>0</c:v>
                </c:pt>
              </c:numCache>
            </c:numRef>
          </c:val>
          <c:extLst>
            <c:ext xmlns:c16="http://schemas.microsoft.com/office/drawing/2014/chart" uri="{C3380CC4-5D6E-409C-BE32-E72D297353CC}">
              <c16:uniqueId val="{00000003-995B-4C36-A840-B774880C3834}"/>
            </c:ext>
          </c:extLst>
        </c:ser>
        <c:ser>
          <c:idx val="4"/>
          <c:order val="4"/>
          <c:spPr>
            <a:solidFill>
              <a:srgbClr val="000000"/>
            </a:solidFill>
            <a:ln>
              <a:noFill/>
            </a:ln>
            <a:effectLst/>
          </c:spPr>
          <c:invertIfNegative val="0"/>
          <c:val>
            <c:numRef>
              <c:f>Galileo!$O$8</c:f>
              <c:numCache>
                <c:formatCode>0%</c:formatCode>
                <c:ptCount val="1"/>
                <c:pt idx="0">
                  <c:v>0</c:v>
                </c:pt>
              </c:numCache>
            </c:numRef>
          </c:val>
          <c:extLst>
            <c:ext xmlns:c16="http://schemas.microsoft.com/office/drawing/2014/chart" uri="{C3380CC4-5D6E-409C-BE32-E72D297353CC}">
              <c16:uniqueId val="{00000004-995B-4C36-A840-B774880C3834}"/>
            </c:ext>
          </c:extLst>
        </c:ser>
        <c:ser>
          <c:idx val="5"/>
          <c:order val="5"/>
          <c:spPr>
            <a:solidFill>
              <a:srgbClr val="00ADDC"/>
            </a:solidFill>
            <a:ln>
              <a:noFill/>
            </a:ln>
            <a:effectLst/>
          </c:spPr>
          <c:invertIfNegative val="0"/>
          <c:val>
            <c:numRef>
              <c:f>Galileo!$P$8</c:f>
              <c:numCache>
                <c:formatCode>0%</c:formatCode>
                <c:ptCount val="1"/>
                <c:pt idx="0">
                  <c:v>0</c:v>
                </c:pt>
              </c:numCache>
            </c:numRef>
          </c:val>
          <c:extLst>
            <c:ext xmlns:c16="http://schemas.microsoft.com/office/drawing/2014/chart" uri="{C3380CC4-5D6E-409C-BE32-E72D297353CC}">
              <c16:uniqueId val="{00000005-995B-4C36-A840-B774880C3834}"/>
            </c:ext>
          </c:extLst>
        </c:ser>
        <c:ser>
          <c:idx val="6"/>
          <c:order val="6"/>
          <c:spPr>
            <a:solidFill>
              <a:srgbClr val="28296E"/>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5B-4C36-A840-B774880C3834}"/>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Galileo!$Q$8</c:f>
              <c:numCache>
                <c:formatCode>0%</c:formatCode>
                <c:ptCount val="1"/>
                <c:pt idx="0">
                  <c:v>1</c:v>
                </c:pt>
              </c:numCache>
            </c:numRef>
          </c:val>
          <c:extLst>
            <c:ext xmlns:c16="http://schemas.microsoft.com/office/drawing/2014/chart" uri="{C3380CC4-5D6E-409C-BE32-E72D297353CC}">
              <c16:uniqueId val="{00000007-995B-4C36-A840-B774880C3834}"/>
            </c:ext>
          </c:extLst>
        </c:ser>
        <c:ser>
          <c:idx val="7"/>
          <c:order val="7"/>
          <c:spPr>
            <a:solidFill>
              <a:srgbClr val="000000"/>
            </a:solidFill>
            <a:ln>
              <a:noFill/>
            </a:ln>
            <a:effectLst/>
          </c:spPr>
          <c:invertIfNegative val="0"/>
          <c:val>
            <c:numRef>
              <c:f>Galileo!$R$8</c:f>
              <c:numCache>
                <c:formatCode>0%</c:formatCode>
                <c:ptCount val="1"/>
                <c:pt idx="0">
                  <c:v>0</c:v>
                </c:pt>
              </c:numCache>
            </c:numRef>
          </c:val>
          <c:extLst>
            <c:ext xmlns:c16="http://schemas.microsoft.com/office/drawing/2014/chart" uri="{C3380CC4-5D6E-409C-BE32-E72D297353CC}">
              <c16:uniqueId val="{00000008-995B-4C36-A840-B774880C3834}"/>
            </c:ext>
          </c:extLst>
        </c:ser>
        <c:ser>
          <c:idx val="8"/>
          <c:order val="8"/>
          <c:spPr>
            <a:solidFill>
              <a:srgbClr val="28296E"/>
            </a:solidFill>
            <a:ln>
              <a:noFill/>
            </a:ln>
            <a:effectLst/>
          </c:spPr>
          <c:invertIfNegative val="0"/>
          <c:val>
            <c:numRef>
              <c:f>Galileo!$S$8</c:f>
              <c:numCache>
                <c:formatCode>0%</c:formatCode>
                <c:ptCount val="1"/>
                <c:pt idx="0">
                  <c:v>0</c:v>
                </c:pt>
              </c:numCache>
            </c:numRef>
          </c:val>
          <c:extLst>
            <c:ext xmlns:c16="http://schemas.microsoft.com/office/drawing/2014/chart" uri="{C3380CC4-5D6E-409C-BE32-E72D297353CC}">
              <c16:uniqueId val="{00000009-995B-4C36-A840-B774880C3834}"/>
            </c:ext>
          </c:extLst>
        </c:ser>
        <c:dLbls>
          <c:showLegendKey val="0"/>
          <c:showVal val="0"/>
          <c:showCatName val="0"/>
          <c:showSerName val="0"/>
          <c:showPercent val="0"/>
          <c:showBubbleSize val="0"/>
        </c:dLbls>
        <c:gapWidth val="0"/>
        <c:overlap val="100"/>
        <c:axId val="102569856"/>
        <c:axId val="102571392"/>
      </c:barChart>
      <c:catAx>
        <c:axId val="102569856"/>
        <c:scaling>
          <c:orientation val="minMax"/>
        </c:scaling>
        <c:delete val="1"/>
        <c:axPos val="l"/>
        <c:majorTickMark val="none"/>
        <c:minorTickMark val="none"/>
        <c:tickLblPos val="nextTo"/>
        <c:crossAx val="102571392"/>
        <c:crosses val="autoZero"/>
        <c:auto val="1"/>
        <c:lblAlgn val="ctr"/>
        <c:lblOffset val="100"/>
        <c:noMultiLvlLbl val="0"/>
      </c:catAx>
      <c:valAx>
        <c:axId val="102571392"/>
        <c:scaling>
          <c:orientation val="minMax"/>
          <c:max val="1"/>
        </c:scaling>
        <c:delete val="1"/>
        <c:axPos val="b"/>
        <c:numFmt formatCode="0%" sourceLinked="1"/>
        <c:majorTickMark val="none"/>
        <c:minorTickMark val="none"/>
        <c:tickLblPos val="nextTo"/>
        <c:crossAx val="10256985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ERASMUS!$K$9</c:f>
              <c:numCache>
                <c:formatCode>0%</c:formatCode>
                <c:ptCount val="1"/>
                <c:pt idx="0">
                  <c:v>1</c:v>
                </c:pt>
              </c:numCache>
            </c:numRef>
          </c:val>
          <c:extLst>
            <c:ext xmlns:c16="http://schemas.microsoft.com/office/drawing/2014/chart" uri="{C3380CC4-5D6E-409C-BE32-E72D297353CC}">
              <c16:uniqueId val="{00000000-863B-48A2-AF00-A57ED85F5D85}"/>
            </c:ext>
          </c:extLst>
        </c:ser>
        <c:ser>
          <c:idx val="1"/>
          <c:order val="1"/>
          <c:spPr>
            <a:solidFill>
              <a:srgbClr val="000000"/>
            </a:solidFill>
            <a:ln>
              <a:noFill/>
            </a:ln>
            <a:effectLst/>
          </c:spPr>
          <c:invertIfNegative val="0"/>
          <c:val>
            <c:numRef>
              <c:f>ERASMUS!$L$9</c:f>
              <c:numCache>
                <c:formatCode>0%</c:formatCode>
                <c:ptCount val="1"/>
                <c:pt idx="0">
                  <c:v>0</c:v>
                </c:pt>
              </c:numCache>
            </c:numRef>
          </c:val>
          <c:extLst>
            <c:ext xmlns:c16="http://schemas.microsoft.com/office/drawing/2014/chart" uri="{C3380CC4-5D6E-409C-BE32-E72D297353CC}">
              <c16:uniqueId val="{00000001-863B-48A2-AF00-A57ED85F5D85}"/>
            </c:ext>
          </c:extLst>
        </c:ser>
        <c:ser>
          <c:idx val="2"/>
          <c:order val="2"/>
          <c:spPr>
            <a:solidFill>
              <a:srgbClr val="DCE6F2"/>
            </a:solidFill>
            <a:ln>
              <a:noFill/>
            </a:ln>
            <a:effectLst/>
          </c:spPr>
          <c:invertIfNegative val="0"/>
          <c:val>
            <c:numRef>
              <c:f>ERASMUS!$M$9</c:f>
              <c:numCache>
                <c:formatCode>0%</c:formatCode>
                <c:ptCount val="1"/>
                <c:pt idx="0">
                  <c:v>0</c:v>
                </c:pt>
              </c:numCache>
            </c:numRef>
          </c:val>
          <c:extLst>
            <c:ext xmlns:c16="http://schemas.microsoft.com/office/drawing/2014/chart" uri="{C3380CC4-5D6E-409C-BE32-E72D297353CC}">
              <c16:uniqueId val="{00000002-863B-48A2-AF00-A57ED85F5D85}"/>
            </c:ext>
          </c:extLst>
        </c:ser>
        <c:ser>
          <c:idx val="3"/>
          <c:order val="3"/>
          <c:spPr>
            <a:solidFill>
              <a:srgbClr val="00ADDC"/>
            </a:solidFill>
            <a:ln>
              <a:noFill/>
            </a:ln>
            <a:effectLst/>
          </c:spPr>
          <c:invertIfNegative val="0"/>
          <c:val>
            <c:numRef>
              <c:f>ERASMUS!$N$9</c:f>
              <c:numCache>
                <c:formatCode>0%</c:formatCode>
                <c:ptCount val="1"/>
                <c:pt idx="0">
                  <c:v>0</c:v>
                </c:pt>
              </c:numCache>
            </c:numRef>
          </c:val>
          <c:extLst>
            <c:ext xmlns:c16="http://schemas.microsoft.com/office/drawing/2014/chart" uri="{C3380CC4-5D6E-409C-BE32-E72D297353CC}">
              <c16:uniqueId val="{00000003-863B-48A2-AF00-A57ED85F5D85}"/>
            </c:ext>
          </c:extLst>
        </c:ser>
        <c:ser>
          <c:idx val="4"/>
          <c:order val="4"/>
          <c:spPr>
            <a:solidFill>
              <a:srgbClr val="000000"/>
            </a:solidFill>
            <a:ln>
              <a:noFill/>
            </a:ln>
            <a:effectLst/>
          </c:spPr>
          <c:invertIfNegative val="0"/>
          <c:val>
            <c:numRef>
              <c:f>ERASMUS!$O$9</c:f>
              <c:numCache>
                <c:formatCode>0%</c:formatCode>
                <c:ptCount val="1"/>
                <c:pt idx="0">
                  <c:v>0</c:v>
                </c:pt>
              </c:numCache>
            </c:numRef>
          </c:val>
          <c:extLst>
            <c:ext xmlns:c16="http://schemas.microsoft.com/office/drawing/2014/chart" uri="{C3380CC4-5D6E-409C-BE32-E72D297353CC}">
              <c16:uniqueId val="{00000004-863B-48A2-AF00-A57ED85F5D85}"/>
            </c:ext>
          </c:extLst>
        </c:ser>
        <c:ser>
          <c:idx val="5"/>
          <c:order val="5"/>
          <c:spPr>
            <a:solidFill>
              <a:srgbClr val="00ADDC"/>
            </a:solidFill>
            <a:ln>
              <a:noFill/>
            </a:ln>
            <a:effectLst/>
          </c:spPr>
          <c:invertIfNegative val="0"/>
          <c:val>
            <c:numRef>
              <c:f>ERASMUS!$P$9</c:f>
              <c:numCache>
                <c:formatCode>0%</c:formatCode>
                <c:ptCount val="1"/>
                <c:pt idx="0">
                  <c:v>0</c:v>
                </c:pt>
              </c:numCache>
            </c:numRef>
          </c:val>
          <c:extLst>
            <c:ext xmlns:c16="http://schemas.microsoft.com/office/drawing/2014/chart" uri="{C3380CC4-5D6E-409C-BE32-E72D297353CC}">
              <c16:uniqueId val="{00000005-863B-48A2-AF00-A57ED85F5D85}"/>
            </c:ext>
          </c:extLst>
        </c:ser>
        <c:ser>
          <c:idx val="6"/>
          <c:order val="6"/>
          <c:spPr>
            <a:solidFill>
              <a:srgbClr val="28296E"/>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3B-48A2-AF00-A57ED85F5D85}"/>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ERASMUS!$Q$9</c:f>
              <c:numCache>
                <c:formatCode>0%</c:formatCode>
                <c:ptCount val="1"/>
                <c:pt idx="0">
                  <c:v>1</c:v>
                </c:pt>
              </c:numCache>
            </c:numRef>
          </c:val>
          <c:extLst>
            <c:ext xmlns:c16="http://schemas.microsoft.com/office/drawing/2014/chart" uri="{C3380CC4-5D6E-409C-BE32-E72D297353CC}">
              <c16:uniqueId val="{00000007-863B-48A2-AF00-A57ED85F5D85}"/>
            </c:ext>
          </c:extLst>
        </c:ser>
        <c:ser>
          <c:idx val="7"/>
          <c:order val="7"/>
          <c:spPr>
            <a:solidFill>
              <a:srgbClr val="000000"/>
            </a:solidFill>
            <a:ln>
              <a:noFill/>
            </a:ln>
            <a:effectLst/>
          </c:spPr>
          <c:invertIfNegative val="0"/>
          <c:val>
            <c:numRef>
              <c:f>ERASMUS!$R$9</c:f>
              <c:numCache>
                <c:formatCode>0%</c:formatCode>
                <c:ptCount val="1"/>
                <c:pt idx="0">
                  <c:v>0</c:v>
                </c:pt>
              </c:numCache>
            </c:numRef>
          </c:val>
          <c:extLst>
            <c:ext xmlns:c16="http://schemas.microsoft.com/office/drawing/2014/chart" uri="{C3380CC4-5D6E-409C-BE32-E72D297353CC}">
              <c16:uniqueId val="{00000008-863B-48A2-AF00-A57ED85F5D85}"/>
            </c:ext>
          </c:extLst>
        </c:ser>
        <c:ser>
          <c:idx val="8"/>
          <c:order val="8"/>
          <c:spPr>
            <a:solidFill>
              <a:srgbClr val="28296E"/>
            </a:solidFill>
            <a:ln>
              <a:noFill/>
            </a:ln>
            <a:effectLst/>
          </c:spPr>
          <c:invertIfNegative val="0"/>
          <c:val>
            <c:numRef>
              <c:f>ERASMUS!$S$9</c:f>
              <c:numCache>
                <c:formatCode>0%</c:formatCode>
                <c:ptCount val="1"/>
                <c:pt idx="0">
                  <c:v>0</c:v>
                </c:pt>
              </c:numCache>
            </c:numRef>
          </c:val>
          <c:extLst>
            <c:ext xmlns:c16="http://schemas.microsoft.com/office/drawing/2014/chart" uri="{C3380CC4-5D6E-409C-BE32-E72D297353CC}">
              <c16:uniqueId val="{00000009-863B-48A2-AF00-A57ED85F5D85}"/>
            </c:ext>
          </c:extLst>
        </c:ser>
        <c:dLbls>
          <c:showLegendKey val="0"/>
          <c:showVal val="0"/>
          <c:showCatName val="0"/>
          <c:showSerName val="0"/>
          <c:showPercent val="0"/>
          <c:showBubbleSize val="0"/>
        </c:dLbls>
        <c:gapWidth val="0"/>
        <c:overlap val="100"/>
        <c:axId val="112215168"/>
        <c:axId val="112216704"/>
      </c:barChart>
      <c:catAx>
        <c:axId val="112215168"/>
        <c:scaling>
          <c:orientation val="minMax"/>
        </c:scaling>
        <c:delete val="1"/>
        <c:axPos val="l"/>
        <c:majorTickMark val="none"/>
        <c:minorTickMark val="none"/>
        <c:tickLblPos val="nextTo"/>
        <c:crossAx val="112216704"/>
        <c:crosses val="autoZero"/>
        <c:auto val="1"/>
        <c:lblAlgn val="ctr"/>
        <c:lblOffset val="100"/>
        <c:noMultiLvlLbl val="0"/>
      </c:catAx>
      <c:valAx>
        <c:axId val="112216704"/>
        <c:scaling>
          <c:orientation val="minMax"/>
          <c:max val="1"/>
        </c:scaling>
        <c:delete val="1"/>
        <c:axPos val="b"/>
        <c:numFmt formatCode="0%" sourceLinked="1"/>
        <c:majorTickMark val="none"/>
        <c:minorTickMark val="none"/>
        <c:tickLblPos val="nextTo"/>
        <c:crossAx val="11221516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ERASMUS!$K$5</c:f>
              <c:numCache>
                <c:formatCode>0%</c:formatCode>
                <c:ptCount val="1"/>
                <c:pt idx="0">
                  <c:v>1</c:v>
                </c:pt>
              </c:numCache>
            </c:numRef>
          </c:val>
          <c:extLst>
            <c:ext xmlns:c16="http://schemas.microsoft.com/office/drawing/2014/chart" uri="{C3380CC4-5D6E-409C-BE32-E72D297353CC}">
              <c16:uniqueId val="{00000000-AB19-461E-BFAB-C309CA9EA36A}"/>
            </c:ext>
          </c:extLst>
        </c:ser>
        <c:ser>
          <c:idx val="1"/>
          <c:order val="1"/>
          <c:spPr>
            <a:solidFill>
              <a:srgbClr val="000000"/>
            </a:solidFill>
            <a:ln>
              <a:noFill/>
            </a:ln>
            <a:effectLst/>
          </c:spPr>
          <c:invertIfNegative val="0"/>
          <c:val>
            <c:numRef>
              <c:f>ERASMUS!$L$5</c:f>
              <c:numCache>
                <c:formatCode>0%</c:formatCode>
                <c:ptCount val="1"/>
                <c:pt idx="0">
                  <c:v>0</c:v>
                </c:pt>
              </c:numCache>
            </c:numRef>
          </c:val>
          <c:extLst>
            <c:ext xmlns:c16="http://schemas.microsoft.com/office/drawing/2014/chart" uri="{C3380CC4-5D6E-409C-BE32-E72D297353CC}">
              <c16:uniqueId val="{00000001-AB19-461E-BFAB-C309CA9EA36A}"/>
            </c:ext>
          </c:extLst>
        </c:ser>
        <c:ser>
          <c:idx val="2"/>
          <c:order val="2"/>
          <c:spPr>
            <a:solidFill>
              <a:srgbClr val="DCE6F2"/>
            </a:solidFill>
            <a:ln>
              <a:noFill/>
            </a:ln>
            <a:effectLst/>
          </c:spPr>
          <c:invertIfNegative val="0"/>
          <c:val>
            <c:numRef>
              <c:f>ERASMUS!$M$5</c:f>
              <c:numCache>
                <c:formatCode>0%</c:formatCode>
                <c:ptCount val="1"/>
                <c:pt idx="0">
                  <c:v>0</c:v>
                </c:pt>
              </c:numCache>
            </c:numRef>
          </c:val>
          <c:extLst>
            <c:ext xmlns:c16="http://schemas.microsoft.com/office/drawing/2014/chart" uri="{C3380CC4-5D6E-409C-BE32-E72D297353CC}">
              <c16:uniqueId val="{00000002-AB19-461E-BFAB-C309CA9EA36A}"/>
            </c:ext>
          </c:extLst>
        </c:ser>
        <c:ser>
          <c:idx val="3"/>
          <c:order val="3"/>
          <c:spPr>
            <a:solidFill>
              <a:srgbClr val="00ADDC"/>
            </a:solidFill>
            <a:ln>
              <a:noFill/>
            </a:ln>
            <a:effectLst/>
          </c:spPr>
          <c:invertIfNegative val="0"/>
          <c:val>
            <c:numRef>
              <c:f>ERASMUS!$N$5</c:f>
              <c:numCache>
                <c:formatCode>0%</c:formatCode>
                <c:ptCount val="1"/>
                <c:pt idx="0">
                  <c:v>0</c:v>
                </c:pt>
              </c:numCache>
            </c:numRef>
          </c:val>
          <c:extLst>
            <c:ext xmlns:c16="http://schemas.microsoft.com/office/drawing/2014/chart" uri="{C3380CC4-5D6E-409C-BE32-E72D297353CC}">
              <c16:uniqueId val="{00000003-AB19-461E-BFAB-C309CA9EA36A}"/>
            </c:ext>
          </c:extLst>
        </c:ser>
        <c:ser>
          <c:idx val="4"/>
          <c:order val="4"/>
          <c:spPr>
            <a:solidFill>
              <a:srgbClr val="000000"/>
            </a:solidFill>
            <a:ln>
              <a:noFill/>
            </a:ln>
            <a:effectLst/>
          </c:spPr>
          <c:invertIfNegative val="0"/>
          <c:val>
            <c:numRef>
              <c:f>ERASMUS!$O$5</c:f>
              <c:numCache>
                <c:formatCode>0%</c:formatCode>
                <c:ptCount val="1"/>
                <c:pt idx="0">
                  <c:v>0</c:v>
                </c:pt>
              </c:numCache>
            </c:numRef>
          </c:val>
          <c:extLst>
            <c:ext xmlns:c16="http://schemas.microsoft.com/office/drawing/2014/chart" uri="{C3380CC4-5D6E-409C-BE32-E72D297353CC}">
              <c16:uniqueId val="{00000004-AB19-461E-BFAB-C309CA9EA36A}"/>
            </c:ext>
          </c:extLst>
        </c:ser>
        <c:ser>
          <c:idx val="5"/>
          <c:order val="5"/>
          <c:spPr>
            <a:solidFill>
              <a:srgbClr val="00ADDC"/>
            </a:solidFill>
            <a:ln>
              <a:noFill/>
            </a:ln>
            <a:effectLst/>
          </c:spPr>
          <c:invertIfNegative val="0"/>
          <c:val>
            <c:numRef>
              <c:f>ERASMUS!$P$5</c:f>
              <c:numCache>
                <c:formatCode>0%</c:formatCode>
                <c:ptCount val="1"/>
                <c:pt idx="0">
                  <c:v>0</c:v>
                </c:pt>
              </c:numCache>
            </c:numRef>
          </c:val>
          <c:extLst>
            <c:ext xmlns:c16="http://schemas.microsoft.com/office/drawing/2014/chart" uri="{C3380CC4-5D6E-409C-BE32-E72D297353CC}">
              <c16:uniqueId val="{00000005-AB19-461E-BFAB-C309CA9EA36A}"/>
            </c:ext>
          </c:extLst>
        </c:ser>
        <c:ser>
          <c:idx val="6"/>
          <c:order val="6"/>
          <c:spPr>
            <a:solidFill>
              <a:srgbClr val="28296E"/>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B19-461E-BFAB-C309CA9EA36A}"/>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ERASMUS!$Q$5</c:f>
              <c:numCache>
                <c:formatCode>0%</c:formatCode>
                <c:ptCount val="1"/>
                <c:pt idx="0">
                  <c:v>1</c:v>
                </c:pt>
              </c:numCache>
            </c:numRef>
          </c:val>
          <c:extLst>
            <c:ext xmlns:c16="http://schemas.microsoft.com/office/drawing/2014/chart" uri="{C3380CC4-5D6E-409C-BE32-E72D297353CC}">
              <c16:uniqueId val="{00000007-AB19-461E-BFAB-C309CA9EA36A}"/>
            </c:ext>
          </c:extLst>
        </c:ser>
        <c:ser>
          <c:idx val="7"/>
          <c:order val="7"/>
          <c:spPr>
            <a:solidFill>
              <a:srgbClr val="000000"/>
            </a:solidFill>
            <a:ln>
              <a:noFill/>
            </a:ln>
            <a:effectLst/>
          </c:spPr>
          <c:invertIfNegative val="0"/>
          <c:val>
            <c:numRef>
              <c:f>ERASMUS!$R$5</c:f>
              <c:numCache>
                <c:formatCode>0%</c:formatCode>
                <c:ptCount val="1"/>
                <c:pt idx="0">
                  <c:v>0</c:v>
                </c:pt>
              </c:numCache>
            </c:numRef>
          </c:val>
          <c:extLst>
            <c:ext xmlns:c16="http://schemas.microsoft.com/office/drawing/2014/chart" uri="{C3380CC4-5D6E-409C-BE32-E72D297353CC}">
              <c16:uniqueId val="{00000008-AB19-461E-BFAB-C309CA9EA36A}"/>
            </c:ext>
          </c:extLst>
        </c:ser>
        <c:ser>
          <c:idx val="8"/>
          <c:order val="8"/>
          <c:spPr>
            <a:solidFill>
              <a:srgbClr val="28296E"/>
            </a:solidFill>
            <a:ln>
              <a:noFill/>
            </a:ln>
            <a:effectLst/>
          </c:spPr>
          <c:invertIfNegative val="0"/>
          <c:val>
            <c:numRef>
              <c:f>ERASMUS!$S$5</c:f>
              <c:numCache>
                <c:formatCode>0%</c:formatCode>
                <c:ptCount val="1"/>
                <c:pt idx="0">
                  <c:v>0</c:v>
                </c:pt>
              </c:numCache>
            </c:numRef>
          </c:val>
          <c:extLst>
            <c:ext xmlns:c16="http://schemas.microsoft.com/office/drawing/2014/chart" uri="{C3380CC4-5D6E-409C-BE32-E72D297353CC}">
              <c16:uniqueId val="{00000009-AB19-461E-BFAB-C309CA9EA36A}"/>
            </c:ext>
          </c:extLst>
        </c:ser>
        <c:dLbls>
          <c:showLegendKey val="0"/>
          <c:showVal val="0"/>
          <c:showCatName val="0"/>
          <c:showSerName val="0"/>
          <c:showPercent val="0"/>
          <c:showBubbleSize val="0"/>
        </c:dLbls>
        <c:gapWidth val="0"/>
        <c:overlap val="100"/>
        <c:axId val="112263936"/>
        <c:axId val="112265472"/>
      </c:barChart>
      <c:catAx>
        <c:axId val="112263936"/>
        <c:scaling>
          <c:orientation val="minMax"/>
        </c:scaling>
        <c:delete val="1"/>
        <c:axPos val="l"/>
        <c:majorTickMark val="none"/>
        <c:minorTickMark val="none"/>
        <c:tickLblPos val="nextTo"/>
        <c:crossAx val="112265472"/>
        <c:crosses val="autoZero"/>
        <c:auto val="1"/>
        <c:lblAlgn val="ctr"/>
        <c:lblOffset val="100"/>
        <c:noMultiLvlLbl val="0"/>
      </c:catAx>
      <c:valAx>
        <c:axId val="112265472"/>
        <c:scaling>
          <c:orientation val="minMax"/>
          <c:max val="1"/>
        </c:scaling>
        <c:delete val="1"/>
        <c:axPos val="b"/>
        <c:numFmt formatCode="0%" sourceLinked="1"/>
        <c:majorTickMark val="none"/>
        <c:minorTickMark val="none"/>
        <c:tickLblPos val="nextTo"/>
        <c:crossAx val="11226393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ERASMUS!$K$11</c:f>
              <c:numCache>
                <c:formatCode>0%</c:formatCode>
                <c:ptCount val="1"/>
                <c:pt idx="0">
                  <c:v>1</c:v>
                </c:pt>
              </c:numCache>
            </c:numRef>
          </c:val>
          <c:extLst>
            <c:ext xmlns:c16="http://schemas.microsoft.com/office/drawing/2014/chart" uri="{C3380CC4-5D6E-409C-BE32-E72D297353CC}">
              <c16:uniqueId val="{00000000-7935-4BDB-9ADE-8A1CA3E96453}"/>
            </c:ext>
          </c:extLst>
        </c:ser>
        <c:ser>
          <c:idx val="1"/>
          <c:order val="1"/>
          <c:spPr>
            <a:solidFill>
              <a:srgbClr val="000000"/>
            </a:solidFill>
            <a:ln>
              <a:noFill/>
            </a:ln>
            <a:effectLst/>
          </c:spPr>
          <c:invertIfNegative val="0"/>
          <c:val>
            <c:numRef>
              <c:f>ERASMUS!$L$11</c:f>
              <c:numCache>
                <c:formatCode>0%</c:formatCode>
                <c:ptCount val="1"/>
                <c:pt idx="0">
                  <c:v>0</c:v>
                </c:pt>
              </c:numCache>
            </c:numRef>
          </c:val>
          <c:extLst>
            <c:ext xmlns:c16="http://schemas.microsoft.com/office/drawing/2014/chart" uri="{C3380CC4-5D6E-409C-BE32-E72D297353CC}">
              <c16:uniqueId val="{00000001-7935-4BDB-9ADE-8A1CA3E96453}"/>
            </c:ext>
          </c:extLst>
        </c:ser>
        <c:ser>
          <c:idx val="2"/>
          <c:order val="2"/>
          <c:spPr>
            <a:solidFill>
              <a:srgbClr val="DCE6F2"/>
            </a:solidFill>
            <a:ln>
              <a:noFill/>
            </a:ln>
            <a:effectLst/>
          </c:spPr>
          <c:invertIfNegative val="0"/>
          <c:val>
            <c:numRef>
              <c:f>ERASMUS!$M$11</c:f>
              <c:numCache>
                <c:formatCode>0%</c:formatCode>
                <c:ptCount val="1"/>
                <c:pt idx="0">
                  <c:v>0</c:v>
                </c:pt>
              </c:numCache>
            </c:numRef>
          </c:val>
          <c:extLst>
            <c:ext xmlns:c16="http://schemas.microsoft.com/office/drawing/2014/chart" uri="{C3380CC4-5D6E-409C-BE32-E72D297353CC}">
              <c16:uniqueId val="{00000002-7935-4BDB-9ADE-8A1CA3E96453}"/>
            </c:ext>
          </c:extLst>
        </c:ser>
        <c:ser>
          <c:idx val="3"/>
          <c:order val="3"/>
          <c:spPr>
            <a:solidFill>
              <a:srgbClr val="00ADDC"/>
            </a:solidFill>
            <a:ln>
              <a:noFill/>
            </a:ln>
            <a:effectLst/>
          </c:spPr>
          <c:invertIfNegative val="0"/>
          <c:val>
            <c:numRef>
              <c:f>ERASMUS!$N$11</c:f>
              <c:numCache>
                <c:formatCode>0%</c:formatCode>
                <c:ptCount val="1"/>
                <c:pt idx="0">
                  <c:v>0</c:v>
                </c:pt>
              </c:numCache>
            </c:numRef>
          </c:val>
          <c:extLst>
            <c:ext xmlns:c16="http://schemas.microsoft.com/office/drawing/2014/chart" uri="{C3380CC4-5D6E-409C-BE32-E72D297353CC}">
              <c16:uniqueId val="{00000003-7935-4BDB-9ADE-8A1CA3E96453}"/>
            </c:ext>
          </c:extLst>
        </c:ser>
        <c:ser>
          <c:idx val="4"/>
          <c:order val="4"/>
          <c:spPr>
            <a:solidFill>
              <a:srgbClr val="000000"/>
            </a:solidFill>
            <a:ln>
              <a:noFill/>
            </a:ln>
            <a:effectLst/>
          </c:spPr>
          <c:invertIfNegative val="0"/>
          <c:val>
            <c:numRef>
              <c:f>ERASMUS!$O$11</c:f>
              <c:numCache>
                <c:formatCode>0%</c:formatCode>
                <c:ptCount val="1"/>
                <c:pt idx="0">
                  <c:v>0</c:v>
                </c:pt>
              </c:numCache>
            </c:numRef>
          </c:val>
          <c:extLst>
            <c:ext xmlns:c16="http://schemas.microsoft.com/office/drawing/2014/chart" uri="{C3380CC4-5D6E-409C-BE32-E72D297353CC}">
              <c16:uniqueId val="{00000004-7935-4BDB-9ADE-8A1CA3E96453}"/>
            </c:ext>
          </c:extLst>
        </c:ser>
        <c:ser>
          <c:idx val="5"/>
          <c:order val="5"/>
          <c:spPr>
            <a:solidFill>
              <a:srgbClr val="00ADDC"/>
            </a:solidFill>
            <a:ln>
              <a:noFill/>
            </a:ln>
            <a:effectLst/>
          </c:spPr>
          <c:invertIfNegative val="0"/>
          <c:val>
            <c:numRef>
              <c:f>ERASMUS!$P$11</c:f>
              <c:numCache>
                <c:formatCode>0%</c:formatCode>
                <c:ptCount val="1"/>
                <c:pt idx="0">
                  <c:v>0</c:v>
                </c:pt>
              </c:numCache>
            </c:numRef>
          </c:val>
          <c:extLst>
            <c:ext xmlns:c16="http://schemas.microsoft.com/office/drawing/2014/chart" uri="{C3380CC4-5D6E-409C-BE32-E72D297353CC}">
              <c16:uniqueId val="{00000005-7935-4BDB-9ADE-8A1CA3E96453}"/>
            </c:ext>
          </c:extLst>
        </c:ser>
        <c:ser>
          <c:idx val="6"/>
          <c:order val="6"/>
          <c:spPr>
            <a:solidFill>
              <a:srgbClr val="28296E"/>
            </a:solidFill>
            <a:ln>
              <a:noFill/>
            </a:ln>
            <a:effectLst/>
          </c:spPr>
          <c:invertIfNegative val="0"/>
          <c:dLbls>
            <c:dLbl>
              <c:idx val="0"/>
              <c:tx>
                <c:rich>
                  <a:bodyPr/>
                  <a:lstStyle/>
                  <a:p>
                    <a:r>
                      <a:rPr lang="en-US"/>
                      <a:t>97%</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935-4BDB-9ADE-8A1CA3E96453}"/>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ERASMUS!$Q$11</c:f>
              <c:numCache>
                <c:formatCode>0%</c:formatCode>
                <c:ptCount val="1"/>
                <c:pt idx="0">
                  <c:v>0.96938775510204078</c:v>
                </c:pt>
              </c:numCache>
            </c:numRef>
          </c:val>
          <c:extLst>
            <c:ext xmlns:c16="http://schemas.microsoft.com/office/drawing/2014/chart" uri="{C3380CC4-5D6E-409C-BE32-E72D297353CC}">
              <c16:uniqueId val="{00000007-7935-4BDB-9ADE-8A1CA3E96453}"/>
            </c:ext>
          </c:extLst>
        </c:ser>
        <c:ser>
          <c:idx val="7"/>
          <c:order val="7"/>
          <c:spPr>
            <a:solidFill>
              <a:srgbClr val="000000"/>
            </a:solidFill>
            <a:ln>
              <a:noFill/>
            </a:ln>
            <a:effectLst/>
          </c:spPr>
          <c:invertIfNegative val="0"/>
          <c:val>
            <c:numRef>
              <c:f>ERASMUS!$R$11</c:f>
              <c:numCache>
                <c:formatCode>0%</c:formatCode>
                <c:ptCount val="1"/>
                <c:pt idx="0">
                  <c:v>0</c:v>
                </c:pt>
              </c:numCache>
            </c:numRef>
          </c:val>
          <c:extLst>
            <c:ext xmlns:c16="http://schemas.microsoft.com/office/drawing/2014/chart" uri="{C3380CC4-5D6E-409C-BE32-E72D297353CC}">
              <c16:uniqueId val="{00000008-7935-4BDB-9ADE-8A1CA3E96453}"/>
            </c:ext>
          </c:extLst>
        </c:ser>
        <c:ser>
          <c:idx val="8"/>
          <c:order val="8"/>
          <c:spPr>
            <a:solidFill>
              <a:srgbClr val="28296E"/>
            </a:solidFill>
            <a:ln>
              <a:noFill/>
            </a:ln>
            <a:effectLst/>
          </c:spPr>
          <c:invertIfNegative val="0"/>
          <c:val>
            <c:numRef>
              <c:f>ERASMUS!$S$11</c:f>
              <c:numCache>
                <c:formatCode>0%</c:formatCode>
                <c:ptCount val="1"/>
                <c:pt idx="0">
                  <c:v>0</c:v>
                </c:pt>
              </c:numCache>
            </c:numRef>
          </c:val>
          <c:extLst>
            <c:ext xmlns:c16="http://schemas.microsoft.com/office/drawing/2014/chart" uri="{C3380CC4-5D6E-409C-BE32-E72D297353CC}">
              <c16:uniqueId val="{00000009-7935-4BDB-9ADE-8A1CA3E96453}"/>
            </c:ext>
          </c:extLst>
        </c:ser>
        <c:dLbls>
          <c:showLegendKey val="0"/>
          <c:showVal val="0"/>
          <c:showCatName val="0"/>
          <c:showSerName val="0"/>
          <c:showPercent val="0"/>
          <c:showBubbleSize val="0"/>
        </c:dLbls>
        <c:gapWidth val="0"/>
        <c:overlap val="100"/>
        <c:axId val="112321280"/>
        <c:axId val="112322816"/>
      </c:barChart>
      <c:catAx>
        <c:axId val="112321280"/>
        <c:scaling>
          <c:orientation val="minMax"/>
        </c:scaling>
        <c:delete val="1"/>
        <c:axPos val="l"/>
        <c:majorTickMark val="none"/>
        <c:minorTickMark val="none"/>
        <c:tickLblPos val="nextTo"/>
        <c:crossAx val="112322816"/>
        <c:crosses val="autoZero"/>
        <c:auto val="1"/>
        <c:lblAlgn val="ctr"/>
        <c:lblOffset val="100"/>
        <c:noMultiLvlLbl val="0"/>
      </c:catAx>
      <c:valAx>
        <c:axId val="112322816"/>
        <c:scaling>
          <c:orientation val="minMax"/>
          <c:max val="1"/>
        </c:scaling>
        <c:delete val="1"/>
        <c:axPos val="b"/>
        <c:numFmt formatCode="0%" sourceLinked="1"/>
        <c:majorTickMark val="none"/>
        <c:minorTickMark val="none"/>
        <c:tickLblPos val="nextTo"/>
        <c:crossAx val="11232128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ERASMUS!$K$10</c:f>
              <c:numCache>
                <c:formatCode>0%</c:formatCode>
                <c:ptCount val="1"/>
                <c:pt idx="0">
                  <c:v>1</c:v>
                </c:pt>
              </c:numCache>
            </c:numRef>
          </c:val>
          <c:extLst>
            <c:ext xmlns:c16="http://schemas.microsoft.com/office/drawing/2014/chart" uri="{C3380CC4-5D6E-409C-BE32-E72D297353CC}">
              <c16:uniqueId val="{00000000-3AB7-4180-8E71-9FFFA38E079F}"/>
            </c:ext>
          </c:extLst>
        </c:ser>
        <c:ser>
          <c:idx val="1"/>
          <c:order val="1"/>
          <c:spPr>
            <a:solidFill>
              <a:srgbClr val="000000"/>
            </a:solidFill>
            <a:ln>
              <a:noFill/>
            </a:ln>
            <a:effectLst/>
          </c:spPr>
          <c:invertIfNegative val="0"/>
          <c:val>
            <c:numRef>
              <c:f>ERASMUS!$L$10</c:f>
              <c:numCache>
                <c:formatCode>0%</c:formatCode>
                <c:ptCount val="1"/>
                <c:pt idx="0">
                  <c:v>0</c:v>
                </c:pt>
              </c:numCache>
            </c:numRef>
          </c:val>
          <c:extLst>
            <c:ext xmlns:c16="http://schemas.microsoft.com/office/drawing/2014/chart" uri="{C3380CC4-5D6E-409C-BE32-E72D297353CC}">
              <c16:uniqueId val="{00000001-3AB7-4180-8E71-9FFFA38E079F}"/>
            </c:ext>
          </c:extLst>
        </c:ser>
        <c:ser>
          <c:idx val="2"/>
          <c:order val="2"/>
          <c:spPr>
            <a:solidFill>
              <a:srgbClr val="DCE6F2"/>
            </a:solidFill>
            <a:ln>
              <a:noFill/>
            </a:ln>
            <a:effectLst/>
          </c:spPr>
          <c:invertIfNegative val="0"/>
          <c:val>
            <c:numRef>
              <c:f>ERASMUS!$M$10</c:f>
              <c:numCache>
                <c:formatCode>0%</c:formatCode>
                <c:ptCount val="1"/>
                <c:pt idx="0">
                  <c:v>0</c:v>
                </c:pt>
              </c:numCache>
            </c:numRef>
          </c:val>
          <c:extLst>
            <c:ext xmlns:c16="http://schemas.microsoft.com/office/drawing/2014/chart" uri="{C3380CC4-5D6E-409C-BE32-E72D297353CC}">
              <c16:uniqueId val="{00000002-3AB7-4180-8E71-9FFFA38E079F}"/>
            </c:ext>
          </c:extLst>
        </c:ser>
        <c:ser>
          <c:idx val="3"/>
          <c:order val="3"/>
          <c:spPr>
            <a:solidFill>
              <a:srgbClr val="00ADDC"/>
            </a:solidFill>
            <a:ln>
              <a:noFill/>
            </a:ln>
            <a:effectLst/>
          </c:spPr>
          <c:invertIfNegative val="0"/>
          <c:val>
            <c:numRef>
              <c:f>ERASMUS!$N$10</c:f>
              <c:numCache>
                <c:formatCode>0%</c:formatCode>
                <c:ptCount val="1"/>
                <c:pt idx="0">
                  <c:v>0</c:v>
                </c:pt>
              </c:numCache>
            </c:numRef>
          </c:val>
          <c:extLst>
            <c:ext xmlns:c16="http://schemas.microsoft.com/office/drawing/2014/chart" uri="{C3380CC4-5D6E-409C-BE32-E72D297353CC}">
              <c16:uniqueId val="{00000003-3AB7-4180-8E71-9FFFA38E079F}"/>
            </c:ext>
          </c:extLst>
        </c:ser>
        <c:ser>
          <c:idx val="4"/>
          <c:order val="4"/>
          <c:spPr>
            <a:solidFill>
              <a:srgbClr val="000000"/>
            </a:solidFill>
            <a:ln>
              <a:noFill/>
            </a:ln>
            <a:effectLst/>
          </c:spPr>
          <c:invertIfNegative val="0"/>
          <c:val>
            <c:numRef>
              <c:f>ERASMUS!$O$10</c:f>
              <c:numCache>
                <c:formatCode>0%</c:formatCode>
                <c:ptCount val="1"/>
                <c:pt idx="0">
                  <c:v>0</c:v>
                </c:pt>
              </c:numCache>
            </c:numRef>
          </c:val>
          <c:extLst>
            <c:ext xmlns:c16="http://schemas.microsoft.com/office/drawing/2014/chart" uri="{C3380CC4-5D6E-409C-BE32-E72D297353CC}">
              <c16:uniqueId val="{00000004-3AB7-4180-8E71-9FFFA38E079F}"/>
            </c:ext>
          </c:extLst>
        </c:ser>
        <c:ser>
          <c:idx val="5"/>
          <c:order val="5"/>
          <c:spPr>
            <a:solidFill>
              <a:srgbClr val="00ADDC"/>
            </a:solidFill>
            <a:ln>
              <a:noFill/>
            </a:ln>
            <a:effectLst/>
          </c:spPr>
          <c:invertIfNegative val="0"/>
          <c:val>
            <c:numRef>
              <c:f>ERASMUS!$P$10</c:f>
              <c:numCache>
                <c:formatCode>0%</c:formatCode>
                <c:ptCount val="1"/>
                <c:pt idx="0">
                  <c:v>0</c:v>
                </c:pt>
              </c:numCache>
            </c:numRef>
          </c:val>
          <c:extLst>
            <c:ext xmlns:c16="http://schemas.microsoft.com/office/drawing/2014/chart" uri="{C3380CC4-5D6E-409C-BE32-E72D297353CC}">
              <c16:uniqueId val="{00000005-3AB7-4180-8E71-9FFFA38E079F}"/>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ERASMUS!$Q$10</c:f>
              <c:numCache>
                <c:formatCode>0%</c:formatCode>
                <c:ptCount val="1"/>
                <c:pt idx="0">
                  <c:v>0.84307692307692306</c:v>
                </c:pt>
              </c:numCache>
            </c:numRef>
          </c:val>
          <c:extLst>
            <c:ext xmlns:c16="http://schemas.microsoft.com/office/drawing/2014/chart" uri="{C3380CC4-5D6E-409C-BE32-E72D297353CC}">
              <c16:uniqueId val="{00000006-3AB7-4180-8E71-9FFFA38E079F}"/>
            </c:ext>
          </c:extLst>
        </c:ser>
        <c:ser>
          <c:idx val="7"/>
          <c:order val="7"/>
          <c:spPr>
            <a:solidFill>
              <a:srgbClr val="000000"/>
            </a:solidFill>
            <a:ln>
              <a:noFill/>
            </a:ln>
            <a:effectLst/>
          </c:spPr>
          <c:invertIfNegative val="0"/>
          <c:val>
            <c:numRef>
              <c:f>ERASMUS!$R$10</c:f>
              <c:numCache>
                <c:formatCode>0%</c:formatCode>
                <c:ptCount val="1"/>
                <c:pt idx="0">
                  <c:v>0</c:v>
                </c:pt>
              </c:numCache>
            </c:numRef>
          </c:val>
          <c:extLst>
            <c:ext xmlns:c16="http://schemas.microsoft.com/office/drawing/2014/chart" uri="{C3380CC4-5D6E-409C-BE32-E72D297353CC}">
              <c16:uniqueId val="{00000007-3AB7-4180-8E71-9FFFA38E079F}"/>
            </c:ext>
          </c:extLst>
        </c:ser>
        <c:ser>
          <c:idx val="8"/>
          <c:order val="8"/>
          <c:spPr>
            <a:solidFill>
              <a:srgbClr val="28296E"/>
            </a:solidFill>
            <a:ln>
              <a:noFill/>
            </a:ln>
            <a:effectLst/>
          </c:spPr>
          <c:invertIfNegative val="0"/>
          <c:val>
            <c:numRef>
              <c:f>ERASMUS!$S$10</c:f>
              <c:numCache>
                <c:formatCode>0%</c:formatCode>
                <c:ptCount val="1"/>
                <c:pt idx="0">
                  <c:v>0</c:v>
                </c:pt>
              </c:numCache>
            </c:numRef>
          </c:val>
          <c:extLst>
            <c:ext xmlns:c16="http://schemas.microsoft.com/office/drawing/2014/chart" uri="{C3380CC4-5D6E-409C-BE32-E72D297353CC}">
              <c16:uniqueId val="{00000008-3AB7-4180-8E71-9FFFA38E079F}"/>
            </c:ext>
          </c:extLst>
        </c:ser>
        <c:dLbls>
          <c:showLegendKey val="0"/>
          <c:showVal val="0"/>
          <c:showCatName val="0"/>
          <c:showSerName val="0"/>
          <c:showPercent val="0"/>
          <c:showBubbleSize val="0"/>
        </c:dLbls>
        <c:gapWidth val="0"/>
        <c:overlap val="100"/>
        <c:axId val="112377856"/>
        <c:axId val="112379392"/>
      </c:barChart>
      <c:catAx>
        <c:axId val="112377856"/>
        <c:scaling>
          <c:orientation val="minMax"/>
        </c:scaling>
        <c:delete val="1"/>
        <c:axPos val="l"/>
        <c:majorTickMark val="none"/>
        <c:minorTickMark val="none"/>
        <c:tickLblPos val="nextTo"/>
        <c:crossAx val="112379392"/>
        <c:crosses val="autoZero"/>
        <c:auto val="1"/>
        <c:lblAlgn val="ctr"/>
        <c:lblOffset val="100"/>
        <c:noMultiLvlLbl val="0"/>
      </c:catAx>
      <c:valAx>
        <c:axId val="112379392"/>
        <c:scaling>
          <c:orientation val="minMax"/>
          <c:max val="1"/>
        </c:scaling>
        <c:delete val="1"/>
        <c:axPos val="b"/>
        <c:numFmt formatCode="0%" sourceLinked="1"/>
        <c:majorTickMark val="none"/>
        <c:minorTickMark val="none"/>
        <c:tickLblPos val="nextTo"/>
        <c:crossAx val="11237785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00ADDC"/>
              </a:solidFill>
              <a:ln w="19050">
                <a:solidFill>
                  <a:schemeClr val="lt1"/>
                </a:solidFill>
              </a:ln>
              <a:effectLst/>
            </c:spPr>
            <c:extLst>
              <c:ext xmlns:c16="http://schemas.microsoft.com/office/drawing/2014/chart" uri="{C3380CC4-5D6E-409C-BE32-E72D297353CC}">
                <c16:uniqueId val="{00000001-75B6-4C36-91B3-5D8D9F9239A2}"/>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75B6-4C36-91B3-5D8D9F9239A2}"/>
              </c:ext>
            </c:extLst>
          </c:dPt>
          <c:cat>
            <c:strRef>
              <c:f>Sheet1!$A$2:$A$3</c:f>
              <c:strCache>
                <c:ptCount val="2"/>
                <c:pt idx="0">
                  <c:v>1st Qtr</c:v>
                </c:pt>
                <c:pt idx="1">
                  <c:v>2nd Qtr</c:v>
                </c:pt>
              </c:strCache>
            </c:strRef>
          </c:cat>
          <c:val>
            <c:numRef>
              <c:f>Sheet1!$B$2:$B$3</c:f>
              <c:numCache>
                <c:formatCode>0%</c:formatCode>
                <c:ptCount val="2"/>
                <c:pt idx="0">
                  <c:v>0.56999999999999995</c:v>
                </c:pt>
                <c:pt idx="1">
                  <c:v>0.43</c:v>
                </c:pt>
              </c:numCache>
            </c:numRef>
          </c:val>
          <c:extLst>
            <c:ext xmlns:c16="http://schemas.microsoft.com/office/drawing/2014/chart" uri="{C3380CC4-5D6E-409C-BE32-E72D297353CC}">
              <c16:uniqueId val="{00000004-75B6-4C36-91B3-5D8D9F9239A2}"/>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28296E"/>
              </a:solidFill>
              <a:ln w="19050">
                <a:noFill/>
              </a:ln>
              <a:effectLst/>
            </c:spPr>
            <c:extLst>
              <c:ext xmlns:c16="http://schemas.microsoft.com/office/drawing/2014/chart" uri="{C3380CC4-5D6E-409C-BE32-E72D297353CC}">
                <c16:uniqueId val="{00000001-DA4C-40F2-A25B-AC98D0142855}"/>
              </c:ext>
            </c:extLst>
          </c:dPt>
          <c:dPt>
            <c:idx val="1"/>
            <c:bubble3D val="0"/>
            <c:spPr>
              <a:noFill/>
              <a:ln w="19050">
                <a:noFill/>
              </a:ln>
              <a:effectLst/>
            </c:spPr>
            <c:extLst>
              <c:ext xmlns:c16="http://schemas.microsoft.com/office/drawing/2014/chart" uri="{C3380CC4-5D6E-409C-BE32-E72D297353CC}">
                <c16:uniqueId val="{00000003-DA4C-40F2-A25B-AC98D0142855}"/>
              </c:ext>
            </c:extLst>
          </c:dPt>
          <c:cat>
            <c:strRef>
              <c:f>Sheet1!$A$2:$A$3</c:f>
              <c:strCache>
                <c:ptCount val="2"/>
                <c:pt idx="0">
                  <c:v>1st Qtr</c:v>
                </c:pt>
                <c:pt idx="1">
                  <c:v>2nd Qtr</c:v>
                </c:pt>
              </c:strCache>
            </c:strRef>
          </c:cat>
          <c:val>
            <c:numRef>
              <c:f>Sheet1!$B$2:$B$3</c:f>
              <c:numCache>
                <c:formatCode>0%</c:formatCode>
                <c:ptCount val="2"/>
                <c:pt idx="0">
                  <c:v>0.85</c:v>
                </c:pt>
                <c:pt idx="1">
                  <c:v>0.15</c:v>
                </c:pt>
              </c:numCache>
            </c:numRef>
          </c:val>
          <c:extLst>
            <c:ext xmlns:c16="http://schemas.microsoft.com/office/drawing/2014/chart" uri="{C3380CC4-5D6E-409C-BE32-E72D297353CC}">
              <c16:uniqueId val="{00000004-DA4C-40F2-A25B-AC98D0142855}"/>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EaSI!$K$4</c:f>
              <c:numCache>
                <c:formatCode>0%</c:formatCode>
                <c:ptCount val="1"/>
                <c:pt idx="0">
                  <c:v>1</c:v>
                </c:pt>
              </c:numCache>
            </c:numRef>
          </c:val>
          <c:extLst>
            <c:ext xmlns:c16="http://schemas.microsoft.com/office/drawing/2014/chart" uri="{C3380CC4-5D6E-409C-BE32-E72D297353CC}">
              <c16:uniqueId val="{00000000-DCE5-4487-933A-FC63B65259A1}"/>
            </c:ext>
          </c:extLst>
        </c:ser>
        <c:ser>
          <c:idx val="1"/>
          <c:order val="1"/>
          <c:spPr>
            <a:solidFill>
              <a:srgbClr val="000000"/>
            </a:solidFill>
            <a:ln>
              <a:noFill/>
            </a:ln>
            <a:effectLst/>
          </c:spPr>
          <c:invertIfNegative val="0"/>
          <c:val>
            <c:numRef>
              <c:f>EaSI!$L$4</c:f>
              <c:numCache>
                <c:formatCode>0%</c:formatCode>
                <c:ptCount val="1"/>
                <c:pt idx="0">
                  <c:v>0</c:v>
                </c:pt>
              </c:numCache>
            </c:numRef>
          </c:val>
          <c:extLst>
            <c:ext xmlns:c16="http://schemas.microsoft.com/office/drawing/2014/chart" uri="{C3380CC4-5D6E-409C-BE32-E72D297353CC}">
              <c16:uniqueId val="{00000001-DCE5-4487-933A-FC63B65259A1}"/>
            </c:ext>
          </c:extLst>
        </c:ser>
        <c:ser>
          <c:idx val="2"/>
          <c:order val="2"/>
          <c:spPr>
            <a:solidFill>
              <a:srgbClr val="DCE6F2"/>
            </a:solidFill>
            <a:ln>
              <a:noFill/>
            </a:ln>
            <a:effectLst/>
          </c:spPr>
          <c:invertIfNegative val="0"/>
          <c:val>
            <c:numRef>
              <c:f>EaSI!$M$4</c:f>
              <c:numCache>
                <c:formatCode>0%</c:formatCode>
                <c:ptCount val="1"/>
                <c:pt idx="0">
                  <c:v>0</c:v>
                </c:pt>
              </c:numCache>
            </c:numRef>
          </c:val>
          <c:extLst>
            <c:ext xmlns:c16="http://schemas.microsoft.com/office/drawing/2014/chart" uri="{C3380CC4-5D6E-409C-BE32-E72D297353CC}">
              <c16:uniqueId val="{00000002-DCE5-4487-933A-FC63B65259A1}"/>
            </c:ext>
          </c:extLst>
        </c:ser>
        <c:ser>
          <c:idx val="3"/>
          <c:order val="3"/>
          <c:spPr>
            <a:solidFill>
              <a:srgbClr val="00ADDC"/>
            </a:solidFill>
            <a:ln>
              <a:noFill/>
            </a:ln>
            <a:effectLst/>
          </c:spPr>
          <c:invertIfNegative val="0"/>
          <c:val>
            <c:numRef>
              <c:f>EaSI!$N$4</c:f>
              <c:numCache>
                <c:formatCode>0%</c:formatCode>
                <c:ptCount val="1"/>
                <c:pt idx="0">
                  <c:v>0</c:v>
                </c:pt>
              </c:numCache>
            </c:numRef>
          </c:val>
          <c:extLst>
            <c:ext xmlns:c16="http://schemas.microsoft.com/office/drawing/2014/chart" uri="{C3380CC4-5D6E-409C-BE32-E72D297353CC}">
              <c16:uniqueId val="{00000003-DCE5-4487-933A-FC63B65259A1}"/>
            </c:ext>
          </c:extLst>
        </c:ser>
        <c:ser>
          <c:idx val="4"/>
          <c:order val="4"/>
          <c:spPr>
            <a:solidFill>
              <a:srgbClr val="000000"/>
            </a:solidFill>
            <a:ln>
              <a:noFill/>
            </a:ln>
            <a:effectLst/>
          </c:spPr>
          <c:invertIfNegative val="0"/>
          <c:val>
            <c:numRef>
              <c:f>EaSI!$O$4</c:f>
              <c:numCache>
                <c:formatCode>0%</c:formatCode>
                <c:ptCount val="1"/>
                <c:pt idx="0">
                  <c:v>0</c:v>
                </c:pt>
              </c:numCache>
            </c:numRef>
          </c:val>
          <c:extLst>
            <c:ext xmlns:c16="http://schemas.microsoft.com/office/drawing/2014/chart" uri="{C3380CC4-5D6E-409C-BE32-E72D297353CC}">
              <c16:uniqueId val="{00000004-DCE5-4487-933A-FC63B65259A1}"/>
            </c:ext>
          </c:extLst>
        </c:ser>
        <c:ser>
          <c:idx val="5"/>
          <c:order val="5"/>
          <c:spPr>
            <a:solidFill>
              <a:srgbClr val="00ADDC"/>
            </a:solidFill>
            <a:ln>
              <a:noFill/>
            </a:ln>
            <a:effectLst/>
          </c:spPr>
          <c:invertIfNegative val="0"/>
          <c:val>
            <c:numRef>
              <c:f>EaSI!$P$4</c:f>
              <c:numCache>
                <c:formatCode>0%</c:formatCode>
                <c:ptCount val="1"/>
                <c:pt idx="0">
                  <c:v>0</c:v>
                </c:pt>
              </c:numCache>
            </c:numRef>
          </c:val>
          <c:extLst>
            <c:ext xmlns:c16="http://schemas.microsoft.com/office/drawing/2014/chart" uri="{C3380CC4-5D6E-409C-BE32-E72D297353CC}">
              <c16:uniqueId val="{00000005-DCE5-4487-933A-FC63B65259A1}"/>
            </c:ext>
          </c:extLst>
        </c:ser>
        <c:ser>
          <c:idx val="6"/>
          <c:order val="6"/>
          <c:spPr>
            <a:solidFill>
              <a:srgbClr val="28296E"/>
            </a:solidFill>
            <a:ln>
              <a:noFill/>
            </a:ln>
            <a:effectLst/>
          </c:spPr>
          <c:invertIfNegative val="0"/>
          <c:dLbls>
            <c:dLbl>
              <c:idx val="0"/>
              <c:layout>
                <c:manualLayout>
                  <c:x val="-0.22506352442551825"/>
                  <c:y val="3.9567918331744586E-6"/>
                </c:manualLayout>
              </c:layout>
              <c:spPr>
                <a:noFill/>
                <a:ln>
                  <a:noFill/>
                </a:ln>
                <a:effectLst/>
              </c:spPr>
              <c:txPr>
                <a:bodyPr wrap="square" lIns="38100" tIns="19050" rIns="38100" bIns="19050" anchor="ctr">
                  <a:noAutofit/>
                </a:bodyPr>
                <a:lstStyle/>
                <a:p>
                  <a:pPr>
                    <a:defRPr sz="800">
                      <a:solidFill>
                        <a:srgbClr val="FFFFFF"/>
                      </a:solidFill>
                    </a:defRPr>
                  </a:pPr>
                  <a:endParaRPr lang="fr-FR"/>
                </a:p>
              </c:txPr>
              <c:dLblPos val="outEnd"/>
              <c:showLegendKey val="0"/>
              <c:showVal val="1"/>
              <c:showCatName val="0"/>
              <c:showSerName val="0"/>
              <c:showPercent val="0"/>
              <c:showBubbleSize val="0"/>
              <c:extLst>
                <c:ext xmlns:c15="http://schemas.microsoft.com/office/drawing/2012/chart" uri="{CE6537A1-D6FC-4f65-9D91-7224C49458BB}">
                  <c15:layout>
                    <c:manualLayout>
                      <c:w val="0.1774872448979592"/>
                      <c:h val="0.90200609345942295"/>
                    </c:manualLayout>
                  </c15:layout>
                </c:ext>
                <c:ext xmlns:c16="http://schemas.microsoft.com/office/drawing/2014/chart" uri="{C3380CC4-5D6E-409C-BE32-E72D297353CC}">
                  <c16:uniqueId val="{00000006-DCE5-4487-933A-FC63B65259A1}"/>
                </c:ext>
              </c:extLst>
            </c:dLbl>
            <c:spPr>
              <a:noFill/>
              <a:ln>
                <a:noFill/>
              </a:ln>
              <a:effectLst/>
            </c:spPr>
            <c:txPr>
              <a:bodyPr wrap="square" lIns="38100" tIns="19050" rIns="38100" bIns="19050" anchor="ctr">
                <a:spAutoFit/>
              </a:bodyPr>
              <a:lstStyle/>
              <a:p>
                <a:pPr>
                  <a:defRPr>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EaSI!$Q$4</c:f>
              <c:numCache>
                <c:formatCode>0%</c:formatCode>
                <c:ptCount val="1"/>
                <c:pt idx="0">
                  <c:v>0.63</c:v>
                </c:pt>
              </c:numCache>
            </c:numRef>
          </c:val>
          <c:extLst>
            <c:ext xmlns:c16="http://schemas.microsoft.com/office/drawing/2014/chart" uri="{C3380CC4-5D6E-409C-BE32-E72D297353CC}">
              <c16:uniqueId val="{00000007-DCE5-4487-933A-FC63B65259A1}"/>
            </c:ext>
          </c:extLst>
        </c:ser>
        <c:ser>
          <c:idx val="7"/>
          <c:order val="7"/>
          <c:spPr>
            <a:solidFill>
              <a:srgbClr val="000000"/>
            </a:solidFill>
            <a:ln>
              <a:noFill/>
            </a:ln>
            <a:effectLst/>
          </c:spPr>
          <c:invertIfNegative val="0"/>
          <c:val>
            <c:numRef>
              <c:f>EaSI!$R$4</c:f>
              <c:numCache>
                <c:formatCode>0%</c:formatCode>
                <c:ptCount val="1"/>
                <c:pt idx="0">
                  <c:v>0</c:v>
                </c:pt>
              </c:numCache>
            </c:numRef>
          </c:val>
          <c:extLst>
            <c:ext xmlns:c16="http://schemas.microsoft.com/office/drawing/2014/chart" uri="{C3380CC4-5D6E-409C-BE32-E72D297353CC}">
              <c16:uniqueId val="{00000008-DCE5-4487-933A-FC63B65259A1}"/>
            </c:ext>
          </c:extLst>
        </c:ser>
        <c:ser>
          <c:idx val="8"/>
          <c:order val="8"/>
          <c:spPr>
            <a:solidFill>
              <a:srgbClr val="28296E"/>
            </a:solidFill>
            <a:ln>
              <a:noFill/>
            </a:ln>
            <a:effectLst/>
          </c:spPr>
          <c:invertIfNegative val="0"/>
          <c:val>
            <c:numRef>
              <c:f>EaSI!$S$4</c:f>
              <c:numCache>
                <c:formatCode>0%</c:formatCode>
                <c:ptCount val="1"/>
                <c:pt idx="0">
                  <c:v>0</c:v>
                </c:pt>
              </c:numCache>
            </c:numRef>
          </c:val>
          <c:extLst>
            <c:ext xmlns:c16="http://schemas.microsoft.com/office/drawing/2014/chart" uri="{C3380CC4-5D6E-409C-BE32-E72D297353CC}">
              <c16:uniqueId val="{00000009-DCE5-4487-933A-FC63B65259A1}"/>
            </c:ext>
          </c:extLst>
        </c:ser>
        <c:dLbls>
          <c:showLegendKey val="0"/>
          <c:showVal val="0"/>
          <c:showCatName val="0"/>
          <c:showSerName val="0"/>
          <c:showPercent val="0"/>
          <c:showBubbleSize val="0"/>
        </c:dLbls>
        <c:gapWidth val="0"/>
        <c:overlap val="100"/>
        <c:axId val="110131456"/>
        <c:axId val="110145536"/>
      </c:barChart>
      <c:catAx>
        <c:axId val="110131456"/>
        <c:scaling>
          <c:orientation val="minMax"/>
        </c:scaling>
        <c:delete val="1"/>
        <c:axPos val="l"/>
        <c:majorTickMark val="none"/>
        <c:minorTickMark val="none"/>
        <c:tickLblPos val="nextTo"/>
        <c:crossAx val="110145536"/>
        <c:crosses val="autoZero"/>
        <c:auto val="1"/>
        <c:lblAlgn val="ctr"/>
        <c:lblOffset val="100"/>
        <c:noMultiLvlLbl val="0"/>
      </c:catAx>
      <c:valAx>
        <c:axId val="110145536"/>
        <c:scaling>
          <c:orientation val="minMax"/>
          <c:max val="1"/>
        </c:scaling>
        <c:delete val="1"/>
        <c:axPos val="b"/>
        <c:numFmt formatCode="0%" sourceLinked="1"/>
        <c:majorTickMark val="none"/>
        <c:minorTickMark val="none"/>
        <c:tickLblPos val="nextTo"/>
        <c:crossAx val="11013145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EaSI!$K$5</c:f>
              <c:numCache>
                <c:formatCode>0%</c:formatCode>
                <c:ptCount val="1"/>
                <c:pt idx="0">
                  <c:v>1</c:v>
                </c:pt>
              </c:numCache>
            </c:numRef>
          </c:val>
          <c:extLst>
            <c:ext xmlns:c16="http://schemas.microsoft.com/office/drawing/2014/chart" uri="{C3380CC4-5D6E-409C-BE32-E72D297353CC}">
              <c16:uniqueId val="{00000000-3880-405A-AD27-33D2C864D007}"/>
            </c:ext>
          </c:extLst>
        </c:ser>
        <c:ser>
          <c:idx val="1"/>
          <c:order val="1"/>
          <c:spPr>
            <a:solidFill>
              <a:srgbClr val="000000"/>
            </a:solidFill>
            <a:ln>
              <a:noFill/>
            </a:ln>
            <a:effectLst/>
          </c:spPr>
          <c:invertIfNegative val="0"/>
          <c:val>
            <c:numRef>
              <c:f>EaSI!$L$5</c:f>
              <c:numCache>
                <c:formatCode>0%</c:formatCode>
                <c:ptCount val="1"/>
                <c:pt idx="0">
                  <c:v>0</c:v>
                </c:pt>
              </c:numCache>
            </c:numRef>
          </c:val>
          <c:extLst>
            <c:ext xmlns:c16="http://schemas.microsoft.com/office/drawing/2014/chart" uri="{C3380CC4-5D6E-409C-BE32-E72D297353CC}">
              <c16:uniqueId val="{00000001-3880-405A-AD27-33D2C864D007}"/>
            </c:ext>
          </c:extLst>
        </c:ser>
        <c:ser>
          <c:idx val="2"/>
          <c:order val="2"/>
          <c:spPr>
            <a:solidFill>
              <a:srgbClr val="DCE6F2"/>
            </a:solidFill>
            <a:ln>
              <a:noFill/>
            </a:ln>
            <a:effectLst/>
          </c:spPr>
          <c:invertIfNegative val="0"/>
          <c:val>
            <c:numRef>
              <c:f>EaSI!$M$5</c:f>
              <c:numCache>
                <c:formatCode>0%</c:formatCode>
                <c:ptCount val="1"/>
                <c:pt idx="0">
                  <c:v>0</c:v>
                </c:pt>
              </c:numCache>
            </c:numRef>
          </c:val>
          <c:extLst>
            <c:ext xmlns:c16="http://schemas.microsoft.com/office/drawing/2014/chart" uri="{C3380CC4-5D6E-409C-BE32-E72D297353CC}">
              <c16:uniqueId val="{00000002-3880-405A-AD27-33D2C864D007}"/>
            </c:ext>
          </c:extLst>
        </c:ser>
        <c:ser>
          <c:idx val="3"/>
          <c:order val="3"/>
          <c:spPr>
            <a:solidFill>
              <a:srgbClr val="00ADDC"/>
            </a:solidFill>
            <a:ln>
              <a:noFill/>
            </a:ln>
            <a:effectLst/>
          </c:spPr>
          <c:invertIfNegative val="0"/>
          <c:val>
            <c:numRef>
              <c:f>EaSI!$N$5</c:f>
              <c:numCache>
                <c:formatCode>0%</c:formatCode>
                <c:ptCount val="1"/>
                <c:pt idx="0">
                  <c:v>0</c:v>
                </c:pt>
              </c:numCache>
            </c:numRef>
          </c:val>
          <c:extLst>
            <c:ext xmlns:c16="http://schemas.microsoft.com/office/drawing/2014/chart" uri="{C3380CC4-5D6E-409C-BE32-E72D297353CC}">
              <c16:uniqueId val="{00000003-3880-405A-AD27-33D2C864D007}"/>
            </c:ext>
          </c:extLst>
        </c:ser>
        <c:ser>
          <c:idx val="4"/>
          <c:order val="4"/>
          <c:spPr>
            <a:solidFill>
              <a:srgbClr val="000000"/>
            </a:solidFill>
            <a:ln>
              <a:noFill/>
            </a:ln>
            <a:effectLst/>
          </c:spPr>
          <c:invertIfNegative val="0"/>
          <c:val>
            <c:numRef>
              <c:f>EaSI!$O$5</c:f>
              <c:numCache>
                <c:formatCode>0%</c:formatCode>
                <c:ptCount val="1"/>
                <c:pt idx="0">
                  <c:v>0</c:v>
                </c:pt>
              </c:numCache>
            </c:numRef>
          </c:val>
          <c:extLst>
            <c:ext xmlns:c16="http://schemas.microsoft.com/office/drawing/2014/chart" uri="{C3380CC4-5D6E-409C-BE32-E72D297353CC}">
              <c16:uniqueId val="{00000004-3880-405A-AD27-33D2C864D007}"/>
            </c:ext>
          </c:extLst>
        </c:ser>
        <c:ser>
          <c:idx val="5"/>
          <c:order val="5"/>
          <c:spPr>
            <a:solidFill>
              <a:srgbClr val="00ADDC"/>
            </a:solidFill>
            <a:ln>
              <a:noFill/>
            </a:ln>
            <a:effectLst/>
          </c:spPr>
          <c:invertIfNegative val="0"/>
          <c:val>
            <c:numRef>
              <c:f>EaSI!$P$5</c:f>
              <c:numCache>
                <c:formatCode>0%</c:formatCode>
                <c:ptCount val="1"/>
                <c:pt idx="0">
                  <c:v>0</c:v>
                </c:pt>
              </c:numCache>
            </c:numRef>
          </c:val>
          <c:extLst>
            <c:ext xmlns:c16="http://schemas.microsoft.com/office/drawing/2014/chart" uri="{C3380CC4-5D6E-409C-BE32-E72D297353CC}">
              <c16:uniqueId val="{00000005-3880-405A-AD27-33D2C864D007}"/>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EaSI!$Q$5</c:f>
              <c:numCache>
                <c:formatCode>0%</c:formatCode>
                <c:ptCount val="1"/>
                <c:pt idx="0">
                  <c:v>0.91073333333333328</c:v>
                </c:pt>
              </c:numCache>
            </c:numRef>
          </c:val>
          <c:extLst>
            <c:ext xmlns:c16="http://schemas.microsoft.com/office/drawing/2014/chart" uri="{C3380CC4-5D6E-409C-BE32-E72D297353CC}">
              <c16:uniqueId val="{00000006-3880-405A-AD27-33D2C864D007}"/>
            </c:ext>
          </c:extLst>
        </c:ser>
        <c:ser>
          <c:idx val="7"/>
          <c:order val="7"/>
          <c:spPr>
            <a:solidFill>
              <a:srgbClr val="000000"/>
            </a:solidFill>
            <a:ln>
              <a:noFill/>
            </a:ln>
            <a:effectLst/>
          </c:spPr>
          <c:invertIfNegative val="0"/>
          <c:val>
            <c:numRef>
              <c:f>EaSI!$R$5</c:f>
              <c:numCache>
                <c:formatCode>0%</c:formatCode>
                <c:ptCount val="1"/>
                <c:pt idx="0">
                  <c:v>0</c:v>
                </c:pt>
              </c:numCache>
            </c:numRef>
          </c:val>
          <c:extLst>
            <c:ext xmlns:c16="http://schemas.microsoft.com/office/drawing/2014/chart" uri="{C3380CC4-5D6E-409C-BE32-E72D297353CC}">
              <c16:uniqueId val="{00000007-3880-405A-AD27-33D2C864D007}"/>
            </c:ext>
          </c:extLst>
        </c:ser>
        <c:ser>
          <c:idx val="8"/>
          <c:order val="8"/>
          <c:spPr>
            <a:solidFill>
              <a:srgbClr val="28296E"/>
            </a:solidFill>
            <a:ln>
              <a:noFill/>
            </a:ln>
            <a:effectLst/>
          </c:spPr>
          <c:invertIfNegative val="0"/>
          <c:val>
            <c:numRef>
              <c:f>EaSI!$S$5</c:f>
              <c:numCache>
                <c:formatCode>0%</c:formatCode>
                <c:ptCount val="1"/>
                <c:pt idx="0">
                  <c:v>0</c:v>
                </c:pt>
              </c:numCache>
            </c:numRef>
          </c:val>
          <c:extLst>
            <c:ext xmlns:c16="http://schemas.microsoft.com/office/drawing/2014/chart" uri="{C3380CC4-5D6E-409C-BE32-E72D297353CC}">
              <c16:uniqueId val="{00000008-3880-405A-AD27-33D2C864D007}"/>
            </c:ext>
          </c:extLst>
        </c:ser>
        <c:dLbls>
          <c:showLegendKey val="0"/>
          <c:showVal val="0"/>
          <c:showCatName val="0"/>
          <c:showSerName val="0"/>
          <c:showPercent val="0"/>
          <c:showBubbleSize val="0"/>
        </c:dLbls>
        <c:gapWidth val="0"/>
        <c:overlap val="100"/>
        <c:axId val="113735168"/>
        <c:axId val="113736704"/>
      </c:barChart>
      <c:catAx>
        <c:axId val="113735168"/>
        <c:scaling>
          <c:orientation val="minMax"/>
        </c:scaling>
        <c:delete val="1"/>
        <c:axPos val="l"/>
        <c:majorTickMark val="none"/>
        <c:minorTickMark val="none"/>
        <c:tickLblPos val="nextTo"/>
        <c:crossAx val="113736704"/>
        <c:crosses val="autoZero"/>
        <c:auto val="1"/>
        <c:lblAlgn val="ctr"/>
        <c:lblOffset val="100"/>
        <c:noMultiLvlLbl val="0"/>
      </c:catAx>
      <c:valAx>
        <c:axId val="113736704"/>
        <c:scaling>
          <c:orientation val="minMax"/>
          <c:max val="1"/>
        </c:scaling>
        <c:delete val="1"/>
        <c:axPos val="b"/>
        <c:numFmt formatCode="0%" sourceLinked="1"/>
        <c:majorTickMark val="none"/>
        <c:minorTickMark val="none"/>
        <c:tickLblPos val="nextTo"/>
        <c:crossAx val="11373516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EaSI!$K$6</c:f>
              <c:numCache>
                <c:formatCode>0%</c:formatCode>
                <c:ptCount val="1"/>
                <c:pt idx="0">
                  <c:v>1</c:v>
                </c:pt>
              </c:numCache>
            </c:numRef>
          </c:val>
          <c:extLst>
            <c:ext xmlns:c16="http://schemas.microsoft.com/office/drawing/2014/chart" uri="{C3380CC4-5D6E-409C-BE32-E72D297353CC}">
              <c16:uniqueId val="{00000000-258D-453D-A156-25F2D82161C3}"/>
            </c:ext>
          </c:extLst>
        </c:ser>
        <c:ser>
          <c:idx val="1"/>
          <c:order val="1"/>
          <c:spPr>
            <a:solidFill>
              <a:srgbClr val="000000"/>
            </a:solidFill>
            <a:ln>
              <a:noFill/>
            </a:ln>
            <a:effectLst/>
          </c:spPr>
          <c:invertIfNegative val="0"/>
          <c:val>
            <c:numRef>
              <c:f>EaSI!$L$6</c:f>
              <c:numCache>
                <c:formatCode>0%</c:formatCode>
                <c:ptCount val="1"/>
                <c:pt idx="0">
                  <c:v>0</c:v>
                </c:pt>
              </c:numCache>
            </c:numRef>
          </c:val>
          <c:extLst>
            <c:ext xmlns:c16="http://schemas.microsoft.com/office/drawing/2014/chart" uri="{C3380CC4-5D6E-409C-BE32-E72D297353CC}">
              <c16:uniqueId val="{00000001-258D-453D-A156-25F2D82161C3}"/>
            </c:ext>
          </c:extLst>
        </c:ser>
        <c:ser>
          <c:idx val="2"/>
          <c:order val="2"/>
          <c:spPr>
            <a:solidFill>
              <a:srgbClr val="DCE6F2"/>
            </a:solidFill>
            <a:ln>
              <a:noFill/>
            </a:ln>
            <a:effectLst/>
          </c:spPr>
          <c:invertIfNegative val="0"/>
          <c:val>
            <c:numRef>
              <c:f>EaSI!$M$6</c:f>
              <c:numCache>
                <c:formatCode>0%</c:formatCode>
                <c:ptCount val="1"/>
                <c:pt idx="0">
                  <c:v>0</c:v>
                </c:pt>
              </c:numCache>
            </c:numRef>
          </c:val>
          <c:extLst>
            <c:ext xmlns:c16="http://schemas.microsoft.com/office/drawing/2014/chart" uri="{C3380CC4-5D6E-409C-BE32-E72D297353CC}">
              <c16:uniqueId val="{00000002-258D-453D-A156-25F2D82161C3}"/>
            </c:ext>
          </c:extLst>
        </c:ser>
        <c:ser>
          <c:idx val="3"/>
          <c:order val="3"/>
          <c:spPr>
            <a:solidFill>
              <a:srgbClr val="00ADDC"/>
            </a:solidFill>
            <a:ln>
              <a:noFill/>
            </a:ln>
            <a:effectLst/>
          </c:spPr>
          <c:invertIfNegative val="0"/>
          <c:val>
            <c:numRef>
              <c:f>EaSI!$N$6</c:f>
              <c:numCache>
                <c:formatCode>0%</c:formatCode>
                <c:ptCount val="1"/>
                <c:pt idx="0">
                  <c:v>0</c:v>
                </c:pt>
              </c:numCache>
            </c:numRef>
          </c:val>
          <c:extLst>
            <c:ext xmlns:c16="http://schemas.microsoft.com/office/drawing/2014/chart" uri="{C3380CC4-5D6E-409C-BE32-E72D297353CC}">
              <c16:uniqueId val="{00000003-258D-453D-A156-25F2D82161C3}"/>
            </c:ext>
          </c:extLst>
        </c:ser>
        <c:ser>
          <c:idx val="4"/>
          <c:order val="4"/>
          <c:spPr>
            <a:solidFill>
              <a:srgbClr val="000000"/>
            </a:solidFill>
            <a:ln>
              <a:noFill/>
            </a:ln>
            <a:effectLst/>
          </c:spPr>
          <c:invertIfNegative val="0"/>
          <c:val>
            <c:numRef>
              <c:f>EaSI!$O$6</c:f>
              <c:numCache>
                <c:formatCode>0%</c:formatCode>
                <c:ptCount val="1"/>
                <c:pt idx="0">
                  <c:v>0</c:v>
                </c:pt>
              </c:numCache>
            </c:numRef>
          </c:val>
          <c:extLst>
            <c:ext xmlns:c16="http://schemas.microsoft.com/office/drawing/2014/chart" uri="{C3380CC4-5D6E-409C-BE32-E72D297353CC}">
              <c16:uniqueId val="{00000004-258D-453D-A156-25F2D82161C3}"/>
            </c:ext>
          </c:extLst>
        </c:ser>
        <c:ser>
          <c:idx val="5"/>
          <c:order val="5"/>
          <c:spPr>
            <a:solidFill>
              <a:srgbClr val="00ADDC"/>
            </a:solidFill>
            <a:ln>
              <a:noFill/>
            </a:ln>
            <a:effectLst/>
          </c:spPr>
          <c:invertIfNegative val="0"/>
          <c:val>
            <c:numRef>
              <c:f>EaSI!$P$6</c:f>
              <c:numCache>
                <c:formatCode>0%</c:formatCode>
                <c:ptCount val="1"/>
                <c:pt idx="0">
                  <c:v>0</c:v>
                </c:pt>
              </c:numCache>
            </c:numRef>
          </c:val>
          <c:extLst>
            <c:ext xmlns:c16="http://schemas.microsoft.com/office/drawing/2014/chart" uri="{C3380CC4-5D6E-409C-BE32-E72D297353CC}">
              <c16:uniqueId val="{00000005-258D-453D-A156-25F2D82161C3}"/>
            </c:ext>
          </c:extLst>
        </c:ser>
        <c:ser>
          <c:idx val="6"/>
          <c:order val="6"/>
          <c:spPr>
            <a:solidFill>
              <a:srgbClr val="28296E"/>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58D-453D-A156-25F2D82161C3}"/>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EaSI!$Q$6</c:f>
              <c:numCache>
                <c:formatCode>0%</c:formatCode>
                <c:ptCount val="1"/>
                <c:pt idx="0">
                  <c:v>1</c:v>
                </c:pt>
              </c:numCache>
            </c:numRef>
          </c:val>
          <c:extLst>
            <c:ext xmlns:c16="http://schemas.microsoft.com/office/drawing/2014/chart" uri="{C3380CC4-5D6E-409C-BE32-E72D297353CC}">
              <c16:uniqueId val="{00000007-258D-453D-A156-25F2D82161C3}"/>
            </c:ext>
          </c:extLst>
        </c:ser>
        <c:ser>
          <c:idx val="7"/>
          <c:order val="7"/>
          <c:spPr>
            <a:solidFill>
              <a:srgbClr val="000000"/>
            </a:solidFill>
            <a:ln>
              <a:noFill/>
            </a:ln>
            <a:effectLst/>
          </c:spPr>
          <c:invertIfNegative val="0"/>
          <c:val>
            <c:numRef>
              <c:f>EaSI!$R$6</c:f>
              <c:numCache>
                <c:formatCode>0%</c:formatCode>
                <c:ptCount val="1"/>
                <c:pt idx="0">
                  <c:v>0</c:v>
                </c:pt>
              </c:numCache>
            </c:numRef>
          </c:val>
          <c:extLst>
            <c:ext xmlns:c16="http://schemas.microsoft.com/office/drawing/2014/chart" uri="{C3380CC4-5D6E-409C-BE32-E72D297353CC}">
              <c16:uniqueId val="{00000008-258D-453D-A156-25F2D82161C3}"/>
            </c:ext>
          </c:extLst>
        </c:ser>
        <c:ser>
          <c:idx val="8"/>
          <c:order val="8"/>
          <c:spPr>
            <a:solidFill>
              <a:srgbClr val="28296E"/>
            </a:solidFill>
            <a:ln>
              <a:noFill/>
            </a:ln>
            <a:effectLst/>
          </c:spPr>
          <c:invertIfNegative val="0"/>
          <c:val>
            <c:numRef>
              <c:f>EaSI!$S$6</c:f>
              <c:numCache>
                <c:formatCode>0%</c:formatCode>
                <c:ptCount val="1"/>
                <c:pt idx="0">
                  <c:v>0</c:v>
                </c:pt>
              </c:numCache>
            </c:numRef>
          </c:val>
          <c:extLst>
            <c:ext xmlns:c16="http://schemas.microsoft.com/office/drawing/2014/chart" uri="{C3380CC4-5D6E-409C-BE32-E72D297353CC}">
              <c16:uniqueId val="{00000009-258D-453D-A156-25F2D82161C3}"/>
            </c:ext>
          </c:extLst>
        </c:ser>
        <c:dLbls>
          <c:showLegendKey val="0"/>
          <c:showVal val="0"/>
          <c:showCatName val="0"/>
          <c:showSerName val="0"/>
          <c:showPercent val="0"/>
          <c:showBubbleSize val="0"/>
        </c:dLbls>
        <c:gapWidth val="0"/>
        <c:overlap val="100"/>
        <c:axId val="113808512"/>
        <c:axId val="113810048"/>
      </c:barChart>
      <c:catAx>
        <c:axId val="113808512"/>
        <c:scaling>
          <c:orientation val="minMax"/>
        </c:scaling>
        <c:delete val="1"/>
        <c:axPos val="l"/>
        <c:majorTickMark val="none"/>
        <c:minorTickMark val="none"/>
        <c:tickLblPos val="nextTo"/>
        <c:crossAx val="113810048"/>
        <c:crosses val="autoZero"/>
        <c:auto val="1"/>
        <c:lblAlgn val="ctr"/>
        <c:lblOffset val="100"/>
        <c:noMultiLvlLbl val="0"/>
      </c:catAx>
      <c:valAx>
        <c:axId val="113810048"/>
        <c:scaling>
          <c:orientation val="minMax"/>
          <c:max val="1"/>
        </c:scaling>
        <c:delete val="1"/>
        <c:axPos val="b"/>
        <c:numFmt formatCode="0%" sourceLinked="1"/>
        <c:majorTickMark val="none"/>
        <c:minorTickMark val="none"/>
        <c:tickLblPos val="nextTo"/>
        <c:crossAx val="11380851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EaSI!$K$7</c:f>
              <c:numCache>
                <c:formatCode>0%</c:formatCode>
                <c:ptCount val="1"/>
                <c:pt idx="0">
                  <c:v>1</c:v>
                </c:pt>
              </c:numCache>
            </c:numRef>
          </c:val>
          <c:extLst>
            <c:ext xmlns:c16="http://schemas.microsoft.com/office/drawing/2014/chart" uri="{C3380CC4-5D6E-409C-BE32-E72D297353CC}">
              <c16:uniqueId val="{00000000-1C65-438A-9AB2-E72514C262E5}"/>
            </c:ext>
          </c:extLst>
        </c:ser>
        <c:ser>
          <c:idx val="1"/>
          <c:order val="1"/>
          <c:spPr>
            <a:solidFill>
              <a:srgbClr val="000000"/>
            </a:solidFill>
            <a:ln>
              <a:noFill/>
            </a:ln>
            <a:effectLst/>
          </c:spPr>
          <c:invertIfNegative val="0"/>
          <c:val>
            <c:numRef>
              <c:f>EaSI!$L$7</c:f>
              <c:numCache>
                <c:formatCode>0%</c:formatCode>
                <c:ptCount val="1"/>
                <c:pt idx="0">
                  <c:v>0</c:v>
                </c:pt>
              </c:numCache>
            </c:numRef>
          </c:val>
          <c:extLst>
            <c:ext xmlns:c16="http://schemas.microsoft.com/office/drawing/2014/chart" uri="{C3380CC4-5D6E-409C-BE32-E72D297353CC}">
              <c16:uniqueId val="{00000001-1C65-438A-9AB2-E72514C262E5}"/>
            </c:ext>
          </c:extLst>
        </c:ser>
        <c:ser>
          <c:idx val="2"/>
          <c:order val="2"/>
          <c:spPr>
            <a:solidFill>
              <a:srgbClr val="DCE6F2"/>
            </a:solidFill>
            <a:ln>
              <a:noFill/>
            </a:ln>
            <a:effectLst/>
          </c:spPr>
          <c:invertIfNegative val="0"/>
          <c:val>
            <c:numRef>
              <c:f>EaSI!$M$7</c:f>
              <c:numCache>
                <c:formatCode>0%</c:formatCode>
                <c:ptCount val="1"/>
                <c:pt idx="0">
                  <c:v>0</c:v>
                </c:pt>
              </c:numCache>
            </c:numRef>
          </c:val>
          <c:extLst>
            <c:ext xmlns:c16="http://schemas.microsoft.com/office/drawing/2014/chart" uri="{C3380CC4-5D6E-409C-BE32-E72D297353CC}">
              <c16:uniqueId val="{00000002-1C65-438A-9AB2-E72514C262E5}"/>
            </c:ext>
          </c:extLst>
        </c:ser>
        <c:ser>
          <c:idx val="3"/>
          <c:order val="3"/>
          <c:spPr>
            <a:solidFill>
              <a:srgbClr val="00ADDC"/>
            </a:solidFill>
            <a:ln>
              <a:noFill/>
            </a:ln>
            <a:effectLst/>
          </c:spPr>
          <c:invertIfNegative val="0"/>
          <c:val>
            <c:numRef>
              <c:f>EaSI!$N$7</c:f>
              <c:numCache>
                <c:formatCode>0%</c:formatCode>
                <c:ptCount val="1"/>
                <c:pt idx="0">
                  <c:v>0</c:v>
                </c:pt>
              </c:numCache>
            </c:numRef>
          </c:val>
          <c:extLst>
            <c:ext xmlns:c16="http://schemas.microsoft.com/office/drawing/2014/chart" uri="{C3380CC4-5D6E-409C-BE32-E72D297353CC}">
              <c16:uniqueId val="{00000003-1C65-438A-9AB2-E72514C262E5}"/>
            </c:ext>
          </c:extLst>
        </c:ser>
        <c:ser>
          <c:idx val="4"/>
          <c:order val="4"/>
          <c:spPr>
            <a:solidFill>
              <a:srgbClr val="000000"/>
            </a:solidFill>
            <a:ln>
              <a:noFill/>
            </a:ln>
            <a:effectLst/>
          </c:spPr>
          <c:invertIfNegative val="0"/>
          <c:val>
            <c:numRef>
              <c:f>EaSI!$O$7</c:f>
              <c:numCache>
                <c:formatCode>0%</c:formatCode>
                <c:ptCount val="1"/>
                <c:pt idx="0">
                  <c:v>0</c:v>
                </c:pt>
              </c:numCache>
            </c:numRef>
          </c:val>
          <c:extLst>
            <c:ext xmlns:c16="http://schemas.microsoft.com/office/drawing/2014/chart" uri="{C3380CC4-5D6E-409C-BE32-E72D297353CC}">
              <c16:uniqueId val="{00000004-1C65-438A-9AB2-E72514C262E5}"/>
            </c:ext>
          </c:extLst>
        </c:ser>
        <c:ser>
          <c:idx val="5"/>
          <c:order val="5"/>
          <c:spPr>
            <a:solidFill>
              <a:srgbClr val="00ADDC"/>
            </a:solidFill>
            <a:ln>
              <a:noFill/>
            </a:ln>
            <a:effectLst/>
          </c:spPr>
          <c:invertIfNegative val="0"/>
          <c:val>
            <c:numRef>
              <c:f>EaSI!$P$7</c:f>
              <c:numCache>
                <c:formatCode>0%</c:formatCode>
                <c:ptCount val="1"/>
                <c:pt idx="0">
                  <c:v>0</c:v>
                </c:pt>
              </c:numCache>
            </c:numRef>
          </c:val>
          <c:extLst>
            <c:ext xmlns:c16="http://schemas.microsoft.com/office/drawing/2014/chart" uri="{C3380CC4-5D6E-409C-BE32-E72D297353CC}">
              <c16:uniqueId val="{00000005-1C65-438A-9AB2-E72514C262E5}"/>
            </c:ext>
          </c:extLst>
        </c:ser>
        <c:ser>
          <c:idx val="6"/>
          <c:order val="6"/>
          <c:spPr>
            <a:solidFill>
              <a:srgbClr val="28296E"/>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C65-438A-9AB2-E72514C262E5}"/>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EaSI!$Q$7</c:f>
              <c:numCache>
                <c:formatCode>0%</c:formatCode>
                <c:ptCount val="1"/>
                <c:pt idx="0">
                  <c:v>1</c:v>
                </c:pt>
              </c:numCache>
            </c:numRef>
          </c:val>
          <c:extLst>
            <c:ext xmlns:c16="http://schemas.microsoft.com/office/drawing/2014/chart" uri="{C3380CC4-5D6E-409C-BE32-E72D297353CC}">
              <c16:uniqueId val="{00000007-1C65-438A-9AB2-E72514C262E5}"/>
            </c:ext>
          </c:extLst>
        </c:ser>
        <c:ser>
          <c:idx val="7"/>
          <c:order val="7"/>
          <c:spPr>
            <a:solidFill>
              <a:srgbClr val="000000"/>
            </a:solidFill>
            <a:ln>
              <a:noFill/>
            </a:ln>
            <a:effectLst/>
          </c:spPr>
          <c:invertIfNegative val="0"/>
          <c:val>
            <c:numRef>
              <c:f>EaSI!$R$7</c:f>
              <c:numCache>
                <c:formatCode>0%</c:formatCode>
                <c:ptCount val="1"/>
                <c:pt idx="0">
                  <c:v>0</c:v>
                </c:pt>
              </c:numCache>
            </c:numRef>
          </c:val>
          <c:extLst>
            <c:ext xmlns:c16="http://schemas.microsoft.com/office/drawing/2014/chart" uri="{C3380CC4-5D6E-409C-BE32-E72D297353CC}">
              <c16:uniqueId val="{00000008-1C65-438A-9AB2-E72514C262E5}"/>
            </c:ext>
          </c:extLst>
        </c:ser>
        <c:ser>
          <c:idx val="8"/>
          <c:order val="8"/>
          <c:spPr>
            <a:solidFill>
              <a:srgbClr val="28296E"/>
            </a:solidFill>
            <a:ln>
              <a:noFill/>
            </a:ln>
            <a:effectLst/>
          </c:spPr>
          <c:invertIfNegative val="0"/>
          <c:val>
            <c:numRef>
              <c:f>EaSI!$S$7</c:f>
              <c:numCache>
                <c:formatCode>0%</c:formatCode>
                <c:ptCount val="1"/>
                <c:pt idx="0">
                  <c:v>0</c:v>
                </c:pt>
              </c:numCache>
            </c:numRef>
          </c:val>
          <c:extLst>
            <c:ext xmlns:c16="http://schemas.microsoft.com/office/drawing/2014/chart" uri="{C3380CC4-5D6E-409C-BE32-E72D297353CC}">
              <c16:uniqueId val="{00000009-1C65-438A-9AB2-E72514C262E5}"/>
            </c:ext>
          </c:extLst>
        </c:ser>
        <c:dLbls>
          <c:showLegendKey val="0"/>
          <c:showVal val="0"/>
          <c:showCatName val="0"/>
          <c:showSerName val="0"/>
          <c:showPercent val="0"/>
          <c:showBubbleSize val="0"/>
        </c:dLbls>
        <c:gapWidth val="0"/>
        <c:overlap val="100"/>
        <c:axId val="113607424"/>
        <c:axId val="113608960"/>
      </c:barChart>
      <c:catAx>
        <c:axId val="113607424"/>
        <c:scaling>
          <c:orientation val="minMax"/>
        </c:scaling>
        <c:delete val="1"/>
        <c:axPos val="l"/>
        <c:majorTickMark val="none"/>
        <c:minorTickMark val="none"/>
        <c:tickLblPos val="nextTo"/>
        <c:crossAx val="113608960"/>
        <c:crosses val="autoZero"/>
        <c:auto val="1"/>
        <c:lblAlgn val="ctr"/>
        <c:lblOffset val="100"/>
        <c:noMultiLvlLbl val="0"/>
      </c:catAx>
      <c:valAx>
        <c:axId val="113608960"/>
        <c:scaling>
          <c:orientation val="minMax"/>
          <c:max val="1"/>
        </c:scaling>
        <c:delete val="1"/>
        <c:axPos val="b"/>
        <c:numFmt formatCode="0%" sourceLinked="1"/>
        <c:majorTickMark val="none"/>
        <c:minorTickMark val="none"/>
        <c:tickLblPos val="nextTo"/>
        <c:crossAx val="11360742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00ADDC"/>
              </a:solidFill>
              <a:ln w="19050">
                <a:solidFill>
                  <a:schemeClr val="lt1"/>
                </a:solidFill>
              </a:ln>
              <a:effectLst/>
            </c:spPr>
            <c:extLst>
              <c:ext xmlns:c16="http://schemas.microsoft.com/office/drawing/2014/chart" uri="{C3380CC4-5D6E-409C-BE32-E72D297353CC}">
                <c16:uniqueId val="{00000001-A450-4790-BA1A-D7066B34A30B}"/>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A450-4790-BA1A-D7066B34A30B}"/>
              </c:ext>
            </c:extLst>
          </c:dPt>
          <c:cat>
            <c:strRef>
              <c:f>Sheet1!$A$2:$A$3</c:f>
              <c:strCache>
                <c:ptCount val="2"/>
                <c:pt idx="0">
                  <c:v>1st Qtr</c:v>
                </c:pt>
                <c:pt idx="1">
                  <c:v>2nd Qtr</c:v>
                </c:pt>
              </c:strCache>
            </c:strRef>
          </c:cat>
          <c:val>
            <c:numRef>
              <c:f>Sheet1!$B$2:$B$3</c:f>
              <c:numCache>
                <c:formatCode>0%</c:formatCode>
                <c:ptCount val="2"/>
                <c:pt idx="0">
                  <c:v>0.55000000000000004</c:v>
                </c:pt>
                <c:pt idx="1">
                  <c:v>0.45</c:v>
                </c:pt>
              </c:numCache>
            </c:numRef>
          </c:val>
          <c:extLst>
            <c:ext xmlns:c16="http://schemas.microsoft.com/office/drawing/2014/chart" uri="{C3380CC4-5D6E-409C-BE32-E72D297353CC}">
              <c16:uniqueId val="{00000004-A450-4790-BA1A-D7066B34A30B}"/>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EaSI!$K$8</c:f>
              <c:numCache>
                <c:formatCode>0%</c:formatCode>
                <c:ptCount val="1"/>
                <c:pt idx="0">
                  <c:v>1</c:v>
                </c:pt>
              </c:numCache>
            </c:numRef>
          </c:val>
          <c:extLst>
            <c:ext xmlns:c16="http://schemas.microsoft.com/office/drawing/2014/chart" uri="{C3380CC4-5D6E-409C-BE32-E72D297353CC}">
              <c16:uniqueId val="{00000000-A649-46D4-9057-4A2F9BB884AF}"/>
            </c:ext>
          </c:extLst>
        </c:ser>
        <c:ser>
          <c:idx val="1"/>
          <c:order val="1"/>
          <c:spPr>
            <a:solidFill>
              <a:srgbClr val="000000"/>
            </a:solidFill>
            <a:ln>
              <a:noFill/>
            </a:ln>
            <a:effectLst/>
          </c:spPr>
          <c:invertIfNegative val="0"/>
          <c:val>
            <c:numRef>
              <c:f>EaSI!$L$8</c:f>
              <c:numCache>
                <c:formatCode>0%</c:formatCode>
                <c:ptCount val="1"/>
                <c:pt idx="0">
                  <c:v>0</c:v>
                </c:pt>
              </c:numCache>
            </c:numRef>
          </c:val>
          <c:extLst>
            <c:ext xmlns:c16="http://schemas.microsoft.com/office/drawing/2014/chart" uri="{C3380CC4-5D6E-409C-BE32-E72D297353CC}">
              <c16:uniqueId val="{00000001-A649-46D4-9057-4A2F9BB884AF}"/>
            </c:ext>
          </c:extLst>
        </c:ser>
        <c:ser>
          <c:idx val="2"/>
          <c:order val="2"/>
          <c:spPr>
            <a:solidFill>
              <a:srgbClr val="DCE6F2"/>
            </a:solidFill>
            <a:ln>
              <a:noFill/>
            </a:ln>
            <a:effectLst/>
          </c:spPr>
          <c:invertIfNegative val="0"/>
          <c:val>
            <c:numRef>
              <c:f>EaSI!$M$8</c:f>
              <c:numCache>
                <c:formatCode>0%</c:formatCode>
                <c:ptCount val="1"/>
                <c:pt idx="0">
                  <c:v>0</c:v>
                </c:pt>
              </c:numCache>
            </c:numRef>
          </c:val>
          <c:extLst>
            <c:ext xmlns:c16="http://schemas.microsoft.com/office/drawing/2014/chart" uri="{C3380CC4-5D6E-409C-BE32-E72D297353CC}">
              <c16:uniqueId val="{00000002-A649-46D4-9057-4A2F9BB884AF}"/>
            </c:ext>
          </c:extLst>
        </c:ser>
        <c:ser>
          <c:idx val="3"/>
          <c:order val="3"/>
          <c:spPr>
            <a:solidFill>
              <a:srgbClr val="00ADDC"/>
            </a:solidFill>
            <a:ln>
              <a:noFill/>
            </a:ln>
            <a:effectLst/>
          </c:spPr>
          <c:invertIfNegative val="0"/>
          <c:val>
            <c:numRef>
              <c:f>EaSI!$N$8</c:f>
              <c:numCache>
                <c:formatCode>0%</c:formatCode>
                <c:ptCount val="1"/>
                <c:pt idx="0">
                  <c:v>0</c:v>
                </c:pt>
              </c:numCache>
            </c:numRef>
          </c:val>
          <c:extLst>
            <c:ext xmlns:c16="http://schemas.microsoft.com/office/drawing/2014/chart" uri="{C3380CC4-5D6E-409C-BE32-E72D297353CC}">
              <c16:uniqueId val="{00000003-A649-46D4-9057-4A2F9BB884AF}"/>
            </c:ext>
          </c:extLst>
        </c:ser>
        <c:ser>
          <c:idx val="4"/>
          <c:order val="4"/>
          <c:spPr>
            <a:solidFill>
              <a:srgbClr val="000000"/>
            </a:solidFill>
            <a:ln>
              <a:noFill/>
            </a:ln>
            <a:effectLst/>
          </c:spPr>
          <c:invertIfNegative val="0"/>
          <c:val>
            <c:numRef>
              <c:f>EaSI!$O$8</c:f>
              <c:numCache>
                <c:formatCode>0%</c:formatCode>
                <c:ptCount val="1"/>
                <c:pt idx="0">
                  <c:v>0</c:v>
                </c:pt>
              </c:numCache>
            </c:numRef>
          </c:val>
          <c:extLst>
            <c:ext xmlns:c16="http://schemas.microsoft.com/office/drawing/2014/chart" uri="{C3380CC4-5D6E-409C-BE32-E72D297353CC}">
              <c16:uniqueId val="{00000004-A649-46D4-9057-4A2F9BB884AF}"/>
            </c:ext>
          </c:extLst>
        </c:ser>
        <c:ser>
          <c:idx val="5"/>
          <c:order val="5"/>
          <c:spPr>
            <a:solidFill>
              <a:srgbClr val="00ADDC"/>
            </a:solidFill>
            <a:ln>
              <a:noFill/>
            </a:ln>
            <a:effectLst/>
          </c:spPr>
          <c:invertIfNegative val="0"/>
          <c:val>
            <c:numRef>
              <c:f>EaSI!$P$8</c:f>
              <c:numCache>
                <c:formatCode>0%</c:formatCode>
                <c:ptCount val="1"/>
                <c:pt idx="0">
                  <c:v>0</c:v>
                </c:pt>
              </c:numCache>
            </c:numRef>
          </c:val>
          <c:extLst>
            <c:ext xmlns:c16="http://schemas.microsoft.com/office/drawing/2014/chart" uri="{C3380CC4-5D6E-409C-BE32-E72D297353CC}">
              <c16:uniqueId val="{00000005-A649-46D4-9057-4A2F9BB884AF}"/>
            </c:ext>
          </c:extLst>
        </c:ser>
        <c:ser>
          <c:idx val="6"/>
          <c:order val="6"/>
          <c:spPr>
            <a:solidFill>
              <a:srgbClr val="28296E"/>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49-46D4-9057-4A2F9BB884AF}"/>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EaSI!$Q$8</c:f>
              <c:numCache>
                <c:formatCode>0%</c:formatCode>
                <c:ptCount val="1"/>
                <c:pt idx="0">
                  <c:v>1</c:v>
                </c:pt>
              </c:numCache>
            </c:numRef>
          </c:val>
          <c:extLst>
            <c:ext xmlns:c16="http://schemas.microsoft.com/office/drawing/2014/chart" uri="{C3380CC4-5D6E-409C-BE32-E72D297353CC}">
              <c16:uniqueId val="{00000007-A649-46D4-9057-4A2F9BB884AF}"/>
            </c:ext>
          </c:extLst>
        </c:ser>
        <c:ser>
          <c:idx val="7"/>
          <c:order val="7"/>
          <c:spPr>
            <a:solidFill>
              <a:srgbClr val="000000"/>
            </a:solidFill>
            <a:ln>
              <a:noFill/>
            </a:ln>
            <a:effectLst/>
          </c:spPr>
          <c:invertIfNegative val="0"/>
          <c:val>
            <c:numRef>
              <c:f>EaSI!$R$8</c:f>
              <c:numCache>
                <c:formatCode>0%</c:formatCode>
                <c:ptCount val="1"/>
                <c:pt idx="0">
                  <c:v>0</c:v>
                </c:pt>
              </c:numCache>
            </c:numRef>
          </c:val>
          <c:extLst>
            <c:ext xmlns:c16="http://schemas.microsoft.com/office/drawing/2014/chart" uri="{C3380CC4-5D6E-409C-BE32-E72D297353CC}">
              <c16:uniqueId val="{00000008-A649-46D4-9057-4A2F9BB884AF}"/>
            </c:ext>
          </c:extLst>
        </c:ser>
        <c:ser>
          <c:idx val="8"/>
          <c:order val="8"/>
          <c:spPr>
            <a:solidFill>
              <a:srgbClr val="28296E"/>
            </a:solidFill>
            <a:ln>
              <a:noFill/>
            </a:ln>
            <a:effectLst/>
          </c:spPr>
          <c:invertIfNegative val="0"/>
          <c:val>
            <c:numRef>
              <c:f>EaSI!$S$8</c:f>
              <c:numCache>
                <c:formatCode>0%</c:formatCode>
                <c:ptCount val="1"/>
                <c:pt idx="0">
                  <c:v>0</c:v>
                </c:pt>
              </c:numCache>
            </c:numRef>
          </c:val>
          <c:extLst>
            <c:ext xmlns:c16="http://schemas.microsoft.com/office/drawing/2014/chart" uri="{C3380CC4-5D6E-409C-BE32-E72D297353CC}">
              <c16:uniqueId val="{00000009-A649-46D4-9057-4A2F9BB884AF}"/>
            </c:ext>
          </c:extLst>
        </c:ser>
        <c:dLbls>
          <c:showLegendKey val="0"/>
          <c:showVal val="0"/>
          <c:showCatName val="0"/>
          <c:showSerName val="0"/>
          <c:showPercent val="0"/>
          <c:showBubbleSize val="0"/>
        </c:dLbls>
        <c:gapWidth val="0"/>
        <c:overlap val="100"/>
        <c:axId val="114123136"/>
        <c:axId val="114124672"/>
      </c:barChart>
      <c:catAx>
        <c:axId val="114123136"/>
        <c:scaling>
          <c:orientation val="minMax"/>
        </c:scaling>
        <c:delete val="1"/>
        <c:axPos val="l"/>
        <c:majorTickMark val="none"/>
        <c:minorTickMark val="none"/>
        <c:tickLblPos val="nextTo"/>
        <c:crossAx val="114124672"/>
        <c:crosses val="autoZero"/>
        <c:auto val="1"/>
        <c:lblAlgn val="ctr"/>
        <c:lblOffset val="100"/>
        <c:noMultiLvlLbl val="0"/>
      </c:catAx>
      <c:valAx>
        <c:axId val="114124672"/>
        <c:scaling>
          <c:orientation val="minMax"/>
          <c:max val="1"/>
        </c:scaling>
        <c:delete val="1"/>
        <c:axPos val="b"/>
        <c:numFmt formatCode="0%" sourceLinked="1"/>
        <c:majorTickMark val="none"/>
        <c:minorTickMark val="none"/>
        <c:tickLblPos val="nextTo"/>
        <c:crossAx val="11412313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EaSI!$K$9</c:f>
              <c:numCache>
                <c:formatCode>0%</c:formatCode>
                <c:ptCount val="1"/>
                <c:pt idx="0">
                  <c:v>1</c:v>
                </c:pt>
              </c:numCache>
            </c:numRef>
          </c:val>
          <c:extLst>
            <c:ext xmlns:c16="http://schemas.microsoft.com/office/drawing/2014/chart" uri="{C3380CC4-5D6E-409C-BE32-E72D297353CC}">
              <c16:uniqueId val="{00000000-6C8D-4EF8-9946-C1F1553557F3}"/>
            </c:ext>
          </c:extLst>
        </c:ser>
        <c:ser>
          <c:idx val="1"/>
          <c:order val="1"/>
          <c:spPr>
            <a:solidFill>
              <a:srgbClr val="000000"/>
            </a:solidFill>
            <a:ln>
              <a:noFill/>
            </a:ln>
            <a:effectLst/>
          </c:spPr>
          <c:invertIfNegative val="0"/>
          <c:val>
            <c:numRef>
              <c:f>EaSI!$L$9</c:f>
              <c:numCache>
                <c:formatCode>0%</c:formatCode>
                <c:ptCount val="1"/>
                <c:pt idx="0">
                  <c:v>0</c:v>
                </c:pt>
              </c:numCache>
            </c:numRef>
          </c:val>
          <c:extLst>
            <c:ext xmlns:c16="http://schemas.microsoft.com/office/drawing/2014/chart" uri="{C3380CC4-5D6E-409C-BE32-E72D297353CC}">
              <c16:uniqueId val="{00000001-6C8D-4EF8-9946-C1F1553557F3}"/>
            </c:ext>
          </c:extLst>
        </c:ser>
        <c:ser>
          <c:idx val="2"/>
          <c:order val="2"/>
          <c:spPr>
            <a:solidFill>
              <a:srgbClr val="DCE6F2"/>
            </a:solidFill>
            <a:ln>
              <a:noFill/>
            </a:ln>
            <a:effectLst/>
          </c:spPr>
          <c:invertIfNegative val="0"/>
          <c:val>
            <c:numRef>
              <c:f>EaSI!$M$9</c:f>
              <c:numCache>
                <c:formatCode>0%</c:formatCode>
                <c:ptCount val="1"/>
                <c:pt idx="0">
                  <c:v>0</c:v>
                </c:pt>
              </c:numCache>
            </c:numRef>
          </c:val>
          <c:extLst>
            <c:ext xmlns:c16="http://schemas.microsoft.com/office/drawing/2014/chart" uri="{C3380CC4-5D6E-409C-BE32-E72D297353CC}">
              <c16:uniqueId val="{00000002-6C8D-4EF8-9946-C1F1553557F3}"/>
            </c:ext>
          </c:extLst>
        </c:ser>
        <c:ser>
          <c:idx val="3"/>
          <c:order val="3"/>
          <c:spPr>
            <a:solidFill>
              <a:srgbClr val="00ADDC"/>
            </a:solidFill>
            <a:ln>
              <a:noFill/>
            </a:ln>
            <a:effectLst/>
          </c:spPr>
          <c:invertIfNegative val="0"/>
          <c:val>
            <c:numRef>
              <c:f>EaSI!$N$9</c:f>
              <c:numCache>
                <c:formatCode>0%</c:formatCode>
                <c:ptCount val="1"/>
                <c:pt idx="0">
                  <c:v>0</c:v>
                </c:pt>
              </c:numCache>
            </c:numRef>
          </c:val>
          <c:extLst>
            <c:ext xmlns:c16="http://schemas.microsoft.com/office/drawing/2014/chart" uri="{C3380CC4-5D6E-409C-BE32-E72D297353CC}">
              <c16:uniqueId val="{00000003-6C8D-4EF8-9946-C1F1553557F3}"/>
            </c:ext>
          </c:extLst>
        </c:ser>
        <c:ser>
          <c:idx val="4"/>
          <c:order val="4"/>
          <c:spPr>
            <a:solidFill>
              <a:srgbClr val="000000"/>
            </a:solidFill>
            <a:ln>
              <a:noFill/>
            </a:ln>
            <a:effectLst/>
          </c:spPr>
          <c:invertIfNegative val="0"/>
          <c:val>
            <c:numRef>
              <c:f>EaSI!$O$9</c:f>
              <c:numCache>
                <c:formatCode>0%</c:formatCode>
                <c:ptCount val="1"/>
                <c:pt idx="0">
                  <c:v>0</c:v>
                </c:pt>
              </c:numCache>
            </c:numRef>
          </c:val>
          <c:extLst>
            <c:ext xmlns:c16="http://schemas.microsoft.com/office/drawing/2014/chart" uri="{C3380CC4-5D6E-409C-BE32-E72D297353CC}">
              <c16:uniqueId val="{00000004-6C8D-4EF8-9946-C1F1553557F3}"/>
            </c:ext>
          </c:extLst>
        </c:ser>
        <c:ser>
          <c:idx val="5"/>
          <c:order val="5"/>
          <c:spPr>
            <a:solidFill>
              <a:srgbClr val="00ADDC"/>
            </a:solidFill>
            <a:ln>
              <a:noFill/>
            </a:ln>
            <a:effectLst/>
          </c:spPr>
          <c:invertIfNegative val="0"/>
          <c:val>
            <c:numRef>
              <c:f>EaSI!$P$9</c:f>
              <c:numCache>
                <c:formatCode>0%</c:formatCode>
                <c:ptCount val="1"/>
                <c:pt idx="0">
                  <c:v>0</c:v>
                </c:pt>
              </c:numCache>
            </c:numRef>
          </c:val>
          <c:extLst>
            <c:ext xmlns:c16="http://schemas.microsoft.com/office/drawing/2014/chart" uri="{C3380CC4-5D6E-409C-BE32-E72D297353CC}">
              <c16:uniqueId val="{00000005-6C8D-4EF8-9946-C1F1553557F3}"/>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EaSI!$Q$9</c:f>
              <c:numCache>
                <c:formatCode>0%</c:formatCode>
                <c:ptCount val="1"/>
                <c:pt idx="0">
                  <c:v>0.27900000000000003</c:v>
                </c:pt>
              </c:numCache>
            </c:numRef>
          </c:val>
          <c:extLst>
            <c:ext xmlns:c16="http://schemas.microsoft.com/office/drawing/2014/chart" uri="{C3380CC4-5D6E-409C-BE32-E72D297353CC}">
              <c16:uniqueId val="{00000006-6C8D-4EF8-9946-C1F1553557F3}"/>
            </c:ext>
          </c:extLst>
        </c:ser>
        <c:ser>
          <c:idx val="7"/>
          <c:order val="7"/>
          <c:spPr>
            <a:solidFill>
              <a:srgbClr val="000000"/>
            </a:solidFill>
            <a:ln>
              <a:noFill/>
            </a:ln>
            <a:effectLst/>
          </c:spPr>
          <c:invertIfNegative val="0"/>
          <c:val>
            <c:numRef>
              <c:f>EaSI!$R$9</c:f>
              <c:numCache>
                <c:formatCode>0%</c:formatCode>
                <c:ptCount val="1"/>
                <c:pt idx="0">
                  <c:v>0</c:v>
                </c:pt>
              </c:numCache>
            </c:numRef>
          </c:val>
          <c:extLst>
            <c:ext xmlns:c16="http://schemas.microsoft.com/office/drawing/2014/chart" uri="{C3380CC4-5D6E-409C-BE32-E72D297353CC}">
              <c16:uniqueId val="{00000007-6C8D-4EF8-9946-C1F1553557F3}"/>
            </c:ext>
          </c:extLst>
        </c:ser>
        <c:ser>
          <c:idx val="8"/>
          <c:order val="8"/>
          <c:spPr>
            <a:solidFill>
              <a:srgbClr val="28296E"/>
            </a:solidFill>
            <a:ln>
              <a:noFill/>
            </a:ln>
            <a:effectLst/>
          </c:spPr>
          <c:invertIfNegative val="0"/>
          <c:val>
            <c:numRef>
              <c:f>EaSI!$S$9</c:f>
              <c:numCache>
                <c:formatCode>0%</c:formatCode>
                <c:ptCount val="1"/>
                <c:pt idx="0">
                  <c:v>0</c:v>
                </c:pt>
              </c:numCache>
            </c:numRef>
          </c:val>
          <c:extLst>
            <c:ext xmlns:c16="http://schemas.microsoft.com/office/drawing/2014/chart" uri="{C3380CC4-5D6E-409C-BE32-E72D297353CC}">
              <c16:uniqueId val="{00000008-6C8D-4EF8-9946-C1F1553557F3}"/>
            </c:ext>
          </c:extLst>
        </c:ser>
        <c:dLbls>
          <c:showLegendKey val="0"/>
          <c:showVal val="0"/>
          <c:showCatName val="0"/>
          <c:showSerName val="0"/>
          <c:showPercent val="0"/>
          <c:showBubbleSize val="0"/>
        </c:dLbls>
        <c:gapWidth val="0"/>
        <c:overlap val="100"/>
        <c:axId val="114171264"/>
        <c:axId val="114181248"/>
      </c:barChart>
      <c:catAx>
        <c:axId val="114171264"/>
        <c:scaling>
          <c:orientation val="minMax"/>
        </c:scaling>
        <c:delete val="1"/>
        <c:axPos val="l"/>
        <c:majorTickMark val="none"/>
        <c:minorTickMark val="none"/>
        <c:tickLblPos val="nextTo"/>
        <c:crossAx val="114181248"/>
        <c:crosses val="autoZero"/>
        <c:auto val="1"/>
        <c:lblAlgn val="ctr"/>
        <c:lblOffset val="100"/>
        <c:noMultiLvlLbl val="0"/>
      </c:catAx>
      <c:valAx>
        <c:axId val="114181248"/>
        <c:scaling>
          <c:orientation val="minMax"/>
          <c:max val="1"/>
        </c:scaling>
        <c:delete val="1"/>
        <c:axPos val="b"/>
        <c:numFmt formatCode="0%" sourceLinked="1"/>
        <c:majorTickMark val="none"/>
        <c:minorTickMark val="none"/>
        <c:tickLblPos val="nextTo"/>
        <c:crossAx val="11417126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00ADDC"/>
              </a:solidFill>
              <a:ln w="19050">
                <a:solidFill>
                  <a:schemeClr val="lt1"/>
                </a:solidFill>
              </a:ln>
              <a:effectLst/>
            </c:spPr>
            <c:extLst>
              <c:ext xmlns:c16="http://schemas.microsoft.com/office/drawing/2014/chart" uri="{C3380CC4-5D6E-409C-BE32-E72D297353CC}">
                <c16:uniqueId val="{00000001-DB48-4CBA-9A69-01A5D1448F2D}"/>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DB48-4CBA-9A69-01A5D1448F2D}"/>
              </c:ext>
            </c:extLst>
          </c:dPt>
          <c:cat>
            <c:strRef>
              <c:f>Sheet1!$A$2:$A$3</c:f>
              <c:strCache>
                <c:ptCount val="2"/>
                <c:pt idx="0">
                  <c:v>1st Qtr</c:v>
                </c:pt>
                <c:pt idx="1">
                  <c:v>2nd Qtr</c:v>
                </c:pt>
              </c:strCache>
            </c:strRef>
          </c:cat>
          <c:val>
            <c:numRef>
              <c:f>Sheet1!$B$2:$B$3</c:f>
              <c:numCache>
                <c:formatCode>0%</c:formatCode>
                <c:ptCount val="2"/>
                <c:pt idx="0">
                  <c:v>0.37</c:v>
                </c:pt>
                <c:pt idx="1">
                  <c:v>0.63</c:v>
                </c:pt>
              </c:numCache>
            </c:numRef>
          </c:val>
          <c:extLst>
            <c:ext xmlns:c16="http://schemas.microsoft.com/office/drawing/2014/chart" uri="{C3380CC4-5D6E-409C-BE32-E72D297353CC}">
              <c16:uniqueId val="{00000004-DB48-4CBA-9A69-01A5D1448F2D}"/>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28296E"/>
              </a:solidFill>
              <a:ln w="19050">
                <a:noFill/>
              </a:ln>
              <a:effectLst/>
            </c:spPr>
            <c:extLst>
              <c:ext xmlns:c16="http://schemas.microsoft.com/office/drawing/2014/chart" uri="{C3380CC4-5D6E-409C-BE32-E72D297353CC}">
                <c16:uniqueId val="{00000001-1A02-41C0-A6DF-4C35C55A0FBC}"/>
              </c:ext>
            </c:extLst>
          </c:dPt>
          <c:dPt>
            <c:idx val="1"/>
            <c:bubble3D val="0"/>
            <c:spPr>
              <a:noFill/>
              <a:ln w="19050">
                <a:noFill/>
              </a:ln>
              <a:effectLst/>
            </c:spPr>
            <c:extLst>
              <c:ext xmlns:c16="http://schemas.microsoft.com/office/drawing/2014/chart" uri="{C3380CC4-5D6E-409C-BE32-E72D297353CC}">
                <c16:uniqueId val="{00000003-1A02-41C0-A6DF-4C35C55A0FBC}"/>
              </c:ext>
            </c:extLst>
          </c:dPt>
          <c:cat>
            <c:strRef>
              <c:f>Sheet1!$A$2:$A$3</c:f>
              <c:strCache>
                <c:ptCount val="2"/>
                <c:pt idx="0">
                  <c:v>1st Qtr</c:v>
                </c:pt>
                <c:pt idx="1">
                  <c:v>2nd Qtr</c:v>
                </c:pt>
              </c:strCache>
            </c:strRef>
          </c:cat>
          <c:val>
            <c:numRef>
              <c:f>Sheet1!$B$2:$B$3</c:f>
              <c:numCache>
                <c:formatCode>0%</c:formatCode>
                <c:ptCount val="2"/>
                <c:pt idx="0">
                  <c:v>0.53</c:v>
                </c:pt>
                <c:pt idx="1">
                  <c:v>0.47</c:v>
                </c:pt>
              </c:numCache>
            </c:numRef>
          </c:val>
          <c:extLst>
            <c:ext xmlns:c16="http://schemas.microsoft.com/office/drawing/2014/chart" uri="{C3380CC4-5D6E-409C-BE32-E72D297353CC}">
              <c16:uniqueId val="{00000004-1A02-41C0-A6DF-4C35C55A0FBC}"/>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ESC!$K$4</c:f>
              <c:numCache>
                <c:formatCode>0%</c:formatCode>
                <c:ptCount val="1"/>
                <c:pt idx="0">
                  <c:v>1</c:v>
                </c:pt>
              </c:numCache>
            </c:numRef>
          </c:val>
          <c:extLst>
            <c:ext xmlns:c16="http://schemas.microsoft.com/office/drawing/2014/chart" uri="{C3380CC4-5D6E-409C-BE32-E72D297353CC}">
              <c16:uniqueId val="{00000000-3163-4F0E-A3CE-335F319712E5}"/>
            </c:ext>
          </c:extLst>
        </c:ser>
        <c:ser>
          <c:idx val="1"/>
          <c:order val="1"/>
          <c:spPr>
            <a:solidFill>
              <a:srgbClr val="000000"/>
            </a:solidFill>
            <a:ln>
              <a:noFill/>
            </a:ln>
            <a:effectLst/>
          </c:spPr>
          <c:invertIfNegative val="0"/>
          <c:val>
            <c:numRef>
              <c:f>ESC!$L$4</c:f>
              <c:numCache>
                <c:formatCode>0%</c:formatCode>
                <c:ptCount val="1"/>
                <c:pt idx="0">
                  <c:v>0</c:v>
                </c:pt>
              </c:numCache>
            </c:numRef>
          </c:val>
          <c:extLst>
            <c:ext xmlns:c16="http://schemas.microsoft.com/office/drawing/2014/chart" uri="{C3380CC4-5D6E-409C-BE32-E72D297353CC}">
              <c16:uniqueId val="{00000001-3163-4F0E-A3CE-335F319712E5}"/>
            </c:ext>
          </c:extLst>
        </c:ser>
        <c:ser>
          <c:idx val="2"/>
          <c:order val="2"/>
          <c:spPr>
            <a:solidFill>
              <a:srgbClr val="DCE6F2"/>
            </a:solidFill>
            <a:ln>
              <a:noFill/>
            </a:ln>
            <a:effectLst/>
          </c:spPr>
          <c:invertIfNegative val="0"/>
          <c:val>
            <c:numRef>
              <c:f>ESC!$M$4</c:f>
              <c:numCache>
                <c:formatCode>0%</c:formatCode>
                <c:ptCount val="1"/>
                <c:pt idx="0">
                  <c:v>0</c:v>
                </c:pt>
              </c:numCache>
            </c:numRef>
          </c:val>
          <c:extLst>
            <c:ext xmlns:c16="http://schemas.microsoft.com/office/drawing/2014/chart" uri="{C3380CC4-5D6E-409C-BE32-E72D297353CC}">
              <c16:uniqueId val="{00000002-3163-4F0E-A3CE-335F319712E5}"/>
            </c:ext>
          </c:extLst>
        </c:ser>
        <c:ser>
          <c:idx val="3"/>
          <c:order val="3"/>
          <c:spPr>
            <a:solidFill>
              <a:srgbClr val="00ADDC"/>
            </a:solidFill>
            <a:ln>
              <a:noFill/>
            </a:ln>
            <a:effectLst/>
          </c:spPr>
          <c:invertIfNegative val="0"/>
          <c:val>
            <c:numRef>
              <c:f>ESC!$N$4</c:f>
              <c:numCache>
                <c:formatCode>0%</c:formatCode>
                <c:ptCount val="1"/>
                <c:pt idx="0">
                  <c:v>0</c:v>
                </c:pt>
              </c:numCache>
            </c:numRef>
          </c:val>
          <c:extLst>
            <c:ext xmlns:c16="http://schemas.microsoft.com/office/drawing/2014/chart" uri="{C3380CC4-5D6E-409C-BE32-E72D297353CC}">
              <c16:uniqueId val="{00000003-3163-4F0E-A3CE-335F319712E5}"/>
            </c:ext>
          </c:extLst>
        </c:ser>
        <c:ser>
          <c:idx val="4"/>
          <c:order val="4"/>
          <c:spPr>
            <a:solidFill>
              <a:srgbClr val="000000"/>
            </a:solidFill>
            <a:ln>
              <a:noFill/>
            </a:ln>
            <a:effectLst/>
          </c:spPr>
          <c:invertIfNegative val="0"/>
          <c:val>
            <c:numRef>
              <c:f>ESC!$O$4</c:f>
              <c:numCache>
                <c:formatCode>0%</c:formatCode>
                <c:ptCount val="1"/>
                <c:pt idx="0">
                  <c:v>0</c:v>
                </c:pt>
              </c:numCache>
            </c:numRef>
          </c:val>
          <c:extLst>
            <c:ext xmlns:c16="http://schemas.microsoft.com/office/drawing/2014/chart" uri="{C3380CC4-5D6E-409C-BE32-E72D297353CC}">
              <c16:uniqueId val="{00000004-3163-4F0E-A3CE-335F319712E5}"/>
            </c:ext>
          </c:extLst>
        </c:ser>
        <c:ser>
          <c:idx val="5"/>
          <c:order val="5"/>
          <c:spPr>
            <a:solidFill>
              <a:srgbClr val="00ADDC"/>
            </a:solidFill>
            <a:ln>
              <a:noFill/>
            </a:ln>
            <a:effectLst/>
          </c:spPr>
          <c:invertIfNegative val="0"/>
          <c:val>
            <c:numRef>
              <c:f>ESC!$P$4</c:f>
              <c:numCache>
                <c:formatCode>0%</c:formatCode>
                <c:ptCount val="1"/>
                <c:pt idx="0">
                  <c:v>0</c:v>
                </c:pt>
              </c:numCache>
            </c:numRef>
          </c:val>
          <c:extLst>
            <c:ext xmlns:c16="http://schemas.microsoft.com/office/drawing/2014/chart" uri="{C3380CC4-5D6E-409C-BE32-E72D297353CC}">
              <c16:uniqueId val="{00000005-3163-4F0E-A3CE-335F319712E5}"/>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ESC!$Q$4</c:f>
              <c:numCache>
                <c:formatCode>0%</c:formatCode>
                <c:ptCount val="1"/>
                <c:pt idx="0">
                  <c:v>0.20066235864297255</c:v>
                </c:pt>
              </c:numCache>
            </c:numRef>
          </c:val>
          <c:extLst>
            <c:ext xmlns:c16="http://schemas.microsoft.com/office/drawing/2014/chart" uri="{C3380CC4-5D6E-409C-BE32-E72D297353CC}">
              <c16:uniqueId val="{00000006-3163-4F0E-A3CE-335F319712E5}"/>
            </c:ext>
          </c:extLst>
        </c:ser>
        <c:ser>
          <c:idx val="7"/>
          <c:order val="7"/>
          <c:spPr>
            <a:solidFill>
              <a:srgbClr val="000000"/>
            </a:solidFill>
            <a:ln>
              <a:noFill/>
            </a:ln>
            <a:effectLst/>
          </c:spPr>
          <c:invertIfNegative val="0"/>
          <c:val>
            <c:numRef>
              <c:f>ESC!$R$4</c:f>
              <c:numCache>
                <c:formatCode>0%</c:formatCode>
                <c:ptCount val="1"/>
                <c:pt idx="0">
                  <c:v>0</c:v>
                </c:pt>
              </c:numCache>
            </c:numRef>
          </c:val>
          <c:extLst>
            <c:ext xmlns:c16="http://schemas.microsoft.com/office/drawing/2014/chart" uri="{C3380CC4-5D6E-409C-BE32-E72D297353CC}">
              <c16:uniqueId val="{00000007-3163-4F0E-A3CE-335F319712E5}"/>
            </c:ext>
          </c:extLst>
        </c:ser>
        <c:ser>
          <c:idx val="8"/>
          <c:order val="8"/>
          <c:spPr>
            <a:solidFill>
              <a:srgbClr val="28296E"/>
            </a:solidFill>
            <a:ln>
              <a:noFill/>
            </a:ln>
            <a:effectLst/>
          </c:spPr>
          <c:invertIfNegative val="0"/>
          <c:val>
            <c:numRef>
              <c:f>ESC!$S$4</c:f>
              <c:numCache>
                <c:formatCode>0%</c:formatCode>
                <c:ptCount val="1"/>
                <c:pt idx="0">
                  <c:v>0</c:v>
                </c:pt>
              </c:numCache>
            </c:numRef>
          </c:val>
          <c:extLst>
            <c:ext xmlns:c16="http://schemas.microsoft.com/office/drawing/2014/chart" uri="{C3380CC4-5D6E-409C-BE32-E72D297353CC}">
              <c16:uniqueId val="{00000008-3163-4F0E-A3CE-335F319712E5}"/>
            </c:ext>
          </c:extLst>
        </c:ser>
        <c:dLbls>
          <c:showLegendKey val="0"/>
          <c:showVal val="0"/>
          <c:showCatName val="0"/>
          <c:showSerName val="0"/>
          <c:showPercent val="0"/>
          <c:showBubbleSize val="0"/>
        </c:dLbls>
        <c:gapWidth val="0"/>
        <c:overlap val="100"/>
        <c:axId val="114816128"/>
        <c:axId val="114817664"/>
      </c:barChart>
      <c:catAx>
        <c:axId val="114816128"/>
        <c:scaling>
          <c:orientation val="minMax"/>
        </c:scaling>
        <c:delete val="1"/>
        <c:axPos val="l"/>
        <c:majorTickMark val="none"/>
        <c:minorTickMark val="none"/>
        <c:tickLblPos val="nextTo"/>
        <c:crossAx val="114817664"/>
        <c:crosses val="autoZero"/>
        <c:auto val="1"/>
        <c:lblAlgn val="ctr"/>
        <c:lblOffset val="100"/>
        <c:noMultiLvlLbl val="0"/>
      </c:catAx>
      <c:valAx>
        <c:axId val="114817664"/>
        <c:scaling>
          <c:orientation val="minMax"/>
          <c:max val="1"/>
        </c:scaling>
        <c:delete val="1"/>
        <c:axPos val="b"/>
        <c:numFmt formatCode="0%" sourceLinked="1"/>
        <c:majorTickMark val="none"/>
        <c:minorTickMark val="none"/>
        <c:tickLblPos val="nextTo"/>
        <c:crossAx val="11481612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ESC!$K$5</c:f>
              <c:numCache>
                <c:formatCode>0%</c:formatCode>
                <c:ptCount val="1"/>
                <c:pt idx="0">
                  <c:v>1</c:v>
                </c:pt>
              </c:numCache>
            </c:numRef>
          </c:val>
          <c:extLst>
            <c:ext xmlns:c16="http://schemas.microsoft.com/office/drawing/2014/chart" uri="{C3380CC4-5D6E-409C-BE32-E72D297353CC}">
              <c16:uniqueId val="{00000000-2BDC-47B9-93C1-5ADC3FDE8671}"/>
            </c:ext>
          </c:extLst>
        </c:ser>
        <c:ser>
          <c:idx val="1"/>
          <c:order val="1"/>
          <c:spPr>
            <a:solidFill>
              <a:srgbClr val="000000"/>
            </a:solidFill>
            <a:ln>
              <a:noFill/>
            </a:ln>
            <a:effectLst/>
          </c:spPr>
          <c:invertIfNegative val="0"/>
          <c:val>
            <c:numRef>
              <c:f>ESC!$L$5</c:f>
              <c:numCache>
                <c:formatCode>0%</c:formatCode>
                <c:ptCount val="1"/>
                <c:pt idx="0">
                  <c:v>0</c:v>
                </c:pt>
              </c:numCache>
            </c:numRef>
          </c:val>
          <c:extLst>
            <c:ext xmlns:c16="http://schemas.microsoft.com/office/drawing/2014/chart" uri="{C3380CC4-5D6E-409C-BE32-E72D297353CC}">
              <c16:uniqueId val="{00000001-2BDC-47B9-93C1-5ADC3FDE8671}"/>
            </c:ext>
          </c:extLst>
        </c:ser>
        <c:ser>
          <c:idx val="2"/>
          <c:order val="2"/>
          <c:spPr>
            <a:solidFill>
              <a:srgbClr val="DCE6F2"/>
            </a:solidFill>
            <a:ln>
              <a:noFill/>
            </a:ln>
            <a:effectLst/>
          </c:spPr>
          <c:invertIfNegative val="0"/>
          <c:val>
            <c:numRef>
              <c:f>ESC!$M$5</c:f>
              <c:numCache>
                <c:formatCode>0%</c:formatCode>
                <c:ptCount val="1"/>
                <c:pt idx="0">
                  <c:v>0</c:v>
                </c:pt>
              </c:numCache>
            </c:numRef>
          </c:val>
          <c:extLst>
            <c:ext xmlns:c16="http://schemas.microsoft.com/office/drawing/2014/chart" uri="{C3380CC4-5D6E-409C-BE32-E72D297353CC}">
              <c16:uniqueId val="{00000002-2BDC-47B9-93C1-5ADC3FDE8671}"/>
            </c:ext>
          </c:extLst>
        </c:ser>
        <c:ser>
          <c:idx val="3"/>
          <c:order val="3"/>
          <c:spPr>
            <a:solidFill>
              <a:srgbClr val="00ADDC"/>
            </a:solidFill>
            <a:ln>
              <a:noFill/>
            </a:ln>
            <a:effectLst/>
          </c:spPr>
          <c:invertIfNegative val="0"/>
          <c:val>
            <c:numRef>
              <c:f>ESC!$N$5</c:f>
              <c:numCache>
                <c:formatCode>0%</c:formatCode>
                <c:ptCount val="1"/>
                <c:pt idx="0">
                  <c:v>0</c:v>
                </c:pt>
              </c:numCache>
            </c:numRef>
          </c:val>
          <c:extLst>
            <c:ext xmlns:c16="http://schemas.microsoft.com/office/drawing/2014/chart" uri="{C3380CC4-5D6E-409C-BE32-E72D297353CC}">
              <c16:uniqueId val="{00000003-2BDC-47B9-93C1-5ADC3FDE8671}"/>
            </c:ext>
          </c:extLst>
        </c:ser>
        <c:ser>
          <c:idx val="4"/>
          <c:order val="4"/>
          <c:spPr>
            <a:solidFill>
              <a:srgbClr val="000000"/>
            </a:solidFill>
            <a:ln>
              <a:noFill/>
            </a:ln>
            <a:effectLst/>
          </c:spPr>
          <c:invertIfNegative val="0"/>
          <c:val>
            <c:numRef>
              <c:f>ESC!$O$5</c:f>
              <c:numCache>
                <c:formatCode>0%</c:formatCode>
                <c:ptCount val="1"/>
                <c:pt idx="0">
                  <c:v>0</c:v>
                </c:pt>
              </c:numCache>
            </c:numRef>
          </c:val>
          <c:extLst>
            <c:ext xmlns:c16="http://schemas.microsoft.com/office/drawing/2014/chart" uri="{C3380CC4-5D6E-409C-BE32-E72D297353CC}">
              <c16:uniqueId val="{00000004-2BDC-47B9-93C1-5ADC3FDE8671}"/>
            </c:ext>
          </c:extLst>
        </c:ser>
        <c:ser>
          <c:idx val="5"/>
          <c:order val="5"/>
          <c:spPr>
            <a:solidFill>
              <a:srgbClr val="00ADDC"/>
            </a:solidFill>
            <a:ln>
              <a:noFill/>
            </a:ln>
            <a:effectLst/>
          </c:spPr>
          <c:invertIfNegative val="0"/>
          <c:val>
            <c:numRef>
              <c:f>ESC!$P$5</c:f>
              <c:numCache>
                <c:formatCode>0%</c:formatCode>
                <c:ptCount val="1"/>
                <c:pt idx="0">
                  <c:v>0</c:v>
                </c:pt>
              </c:numCache>
            </c:numRef>
          </c:val>
          <c:extLst>
            <c:ext xmlns:c16="http://schemas.microsoft.com/office/drawing/2014/chart" uri="{C3380CC4-5D6E-409C-BE32-E72D297353CC}">
              <c16:uniqueId val="{00000005-2BDC-47B9-93C1-5ADC3FDE8671}"/>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00000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ESC!$Q$5</c:f>
              <c:numCache>
                <c:formatCode>0%</c:formatCode>
                <c:ptCount val="1"/>
                <c:pt idx="0">
                  <c:v>3.7142857142857144E-2</c:v>
                </c:pt>
              </c:numCache>
            </c:numRef>
          </c:val>
          <c:extLst>
            <c:ext xmlns:c16="http://schemas.microsoft.com/office/drawing/2014/chart" uri="{C3380CC4-5D6E-409C-BE32-E72D297353CC}">
              <c16:uniqueId val="{00000006-2BDC-47B9-93C1-5ADC3FDE8671}"/>
            </c:ext>
          </c:extLst>
        </c:ser>
        <c:ser>
          <c:idx val="7"/>
          <c:order val="7"/>
          <c:spPr>
            <a:solidFill>
              <a:srgbClr val="000000"/>
            </a:solidFill>
            <a:ln>
              <a:noFill/>
            </a:ln>
            <a:effectLst/>
          </c:spPr>
          <c:invertIfNegative val="0"/>
          <c:val>
            <c:numRef>
              <c:f>ESC!$R$5</c:f>
              <c:numCache>
                <c:formatCode>0%</c:formatCode>
                <c:ptCount val="1"/>
                <c:pt idx="0">
                  <c:v>0</c:v>
                </c:pt>
              </c:numCache>
            </c:numRef>
          </c:val>
          <c:extLst>
            <c:ext xmlns:c16="http://schemas.microsoft.com/office/drawing/2014/chart" uri="{C3380CC4-5D6E-409C-BE32-E72D297353CC}">
              <c16:uniqueId val="{00000007-2BDC-47B9-93C1-5ADC3FDE8671}"/>
            </c:ext>
          </c:extLst>
        </c:ser>
        <c:ser>
          <c:idx val="8"/>
          <c:order val="8"/>
          <c:spPr>
            <a:solidFill>
              <a:srgbClr val="28296E"/>
            </a:solidFill>
            <a:ln>
              <a:noFill/>
            </a:ln>
            <a:effectLst/>
          </c:spPr>
          <c:invertIfNegative val="0"/>
          <c:val>
            <c:numRef>
              <c:f>ESC!$S$5</c:f>
              <c:numCache>
                <c:formatCode>0%</c:formatCode>
                <c:ptCount val="1"/>
                <c:pt idx="0">
                  <c:v>0</c:v>
                </c:pt>
              </c:numCache>
            </c:numRef>
          </c:val>
          <c:extLst>
            <c:ext xmlns:c16="http://schemas.microsoft.com/office/drawing/2014/chart" uri="{C3380CC4-5D6E-409C-BE32-E72D297353CC}">
              <c16:uniqueId val="{00000008-2BDC-47B9-93C1-5ADC3FDE8671}"/>
            </c:ext>
          </c:extLst>
        </c:ser>
        <c:dLbls>
          <c:showLegendKey val="0"/>
          <c:showVal val="0"/>
          <c:showCatName val="0"/>
          <c:showSerName val="0"/>
          <c:showPercent val="0"/>
          <c:showBubbleSize val="0"/>
        </c:dLbls>
        <c:gapWidth val="0"/>
        <c:overlap val="100"/>
        <c:axId val="114069888"/>
        <c:axId val="114071424"/>
      </c:barChart>
      <c:catAx>
        <c:axId val="114069888"/>
        <c:scaling>
          <c:orientation val="minMax"/>
        </c:scaling>
        <c:delete val="1"/>
        <c:axPos val="l"/>
        <c:majorTickMark val="none"/>
        <c:minorTickMark val="none"/>
        <c:tickLblPos val="nextTo"/>
        <c:crossAx val="114071424"/>
        <c:crosses val="autoZero"/>
        <c:auto val="1"/>
        <c:lblAlgn val="ctr"/>
        <c:lblOffset val="100"/>
        <c:noMultiLvlLbl val="0"/>
      </c:catAx>
      <c:valAx>
        <c:axId val="114071424"/>
        <c:scaling>
          <c:orientation val="minMax"/>
          <c:max val="1"/>
        </c:scaling>
        <c:delete val="1"/>
        <c:axPos val="b"/>
        <c:numFmt formatCode="0%" sourceLinked="1"/>
        <c:majorTickMark val="none"/>
        <c:minorTickMark val="none"/>
        <c:tickLblPos val="nextTo"/>
        <c:crossAx val="11406988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ESC!$K$6</c:f>
              <c:numCache>
                <c:formatCode>0%</c:formatCode>
                <c:ptCount val="1"/>
                <c:pt idx="0">
                  <c:v>1</c:v>
                </c:pt>
              </c:numCache>
            </c:numRef>
          </c:val>
          <c:extLst>
            <c:ext xmlns:c16="http://schemas.microsoft.com/office/drawing/2014/chart" uri="{C3380CC4-5D6E-409C-BE32-E72D297353CC}">
              <c16:uniqueId val="{00000000-5953-4037-B659-B1DC4DAF2E08}"/>
            </c:ext>
          </c:extLst>
        </c:ser>
        <c:ser>
          <c:idx val="1"/>
          <c:order val="1"/>
          <c:spPr>
            <a:solidFill>
              <a:srgbClr val="000000"/>
            </a:solidFill>
            <a:ln>
              <a:noFill/>
            </a:ln>
            <a:effectLst/>
          </c:spPr>
          <c:invertIfNegative val="0"/>
          <c:val>
            <c:numRef>
              <c:f>ESC!$L$6</c:f>
              <c:numCache>
                <c:formatCode>0%</c:formatCode>
                <c:ptCount val="1"/>
                <c:pt idx="0">
                  <c:v>0</c:v>
                </c:pt>
              </c:numCache>
            </c:numRef>
          </c:val>
          <c:extLst>
            <c:ext xmlns:c16="http://schemas.microsoft.com/office/drawing/2014/chart" uri="{C3380CC4-5D6E-409C-BE32-E72D297353CC}">
              <c16:uniqueId val="{00000001-5953-4037-B659-B1DC4DAF2E08}"/>
            </c:ext>
          </c:extLst>
        </c:ser>
        <c:ser>
          <c:idx val="2"/>
          <c:order val="2"/>
          <c:spPr>
            <a:solidFill>
              <a:srgbClr val="DCE6F2"/>
            </a:solidFill>
            <a:ln>
              <a:noFill/>
            </a:ln>
            <a:effectLst/>
          </c:spPr>
          <c:invertIfNegative val="0"/>
          <c:val>
            <c:numRef>
              <c:f>ESC!$M$6</c:f>
              <c:numCache>
                <c:formatCode>0%</c:formatCode>
                <c:ptCount val="1"/>
                <c:pt idx="0">
                  <c:v>0</c:v>
                </c:pt>
              </c:numCache>
            </c:numRef>
          </c:val>
          <c:extLst>
            <c:ext xmlns:c16="http://schemas.microsoft.com/office/drawing/2014/chart" uri="{C3380CC4-5D6E-409C-BE32-E72D297353CC}">
              <c16:uniqueId val="{00000002-5953-4037-B659-B1DC4DAF2E08}"/>
            </c:ext>
          </c:extLst>
        </c:ser>
        <c:ser>
          <c:idx val="3"/>
          <c:order val="3"/>
          <c:spPr>
            <a:solidFill>
              <a:srgbClr val="00ADDC"/>
            </a:solidFill>
            <a:ln>
              <a:noFill/>
            </a:ln>
            <a:effectLst/>
          </c:spPr>
          <c:invertIfNegative val="0"/>
          <c:val>
            <c:numRef>
              <c:f>ESC!$N$6</c:f>
              <c:numCache>
                <c:formatCode>0%</c:formatCode>
                <c:ptCount val="1"/>
                <c:pt idx="0">
                  <c:v>0</c:v>
                </c:pt>
              </c:numCache>
            </c:numRef>
          </c:val>
          <c:extLst>
            <c:ext xmlns:c16="http://schemas.microsoft.com/office/drawing/2014/chart" uri="{C3380CC4-5D6E-409C-BE32-E72D297353CC}">
              <c16:uniqueId val="{00000003-5953-4037-B659-B1DC4DAF2E08}"/>
            </c:ext>
          </c:extLst>
        </c:ser>
        <c:ser>
          <c:idx val="4"/>
          <c:order val="4"/>
          <c:spPr>
            <a:solidFill>
              <a:srgbClr val="000000"/>
            </a:solidFill>
            <a:ln>
              <a:noFill/>
            </a:ln>
            <a:effectLst/>
          </c:spPr>
          <c:invertIfNegative val="0"/>
          <c:val>
            <c:numRef>
              <c:f>ESC!$O$6</c:f>
              <c:numCache>
                <c:formatCode>0%</c:formatCode>
                <c:ptCount val="1"/>
                <c:pt idx="0">
                  <c:v>0</c:v>
                </c:pt>
              </c:numCache>
            </c:numRef>
          </c:val>
          <c:extLst>
            <c:ext xmlns:c16="http://schemas.microsoft.com/office/drawing/2014/chart" uri="{C3380CC4-5D6E-409C-BE32-E72D297353CC}">
              <c16:uniqueId val="{00000004-5953-4037-B659-B1DC4DAF2E08}"/>
            </c:ext>
          </c:extLst>
        </c:ser>
        <c:ser>
          <c:idx val="5"/>
          <c:order val="5"/>
          <c:spPr>
            <a:solidFill>
              <a:srgbClr val="00ADDC"/>
            </a:solidFill>
            <a:ln>
              <a:noFill/>
            </a:ln>
            <a:effectLst/>
          </c:spPr>
          <c:invertIfNegative val="0"/>
          <c:val>
            <c:numRef>
              <c:f>ESC!$P$6</c:f>
              <c:numCache>
                <c:formatCode>0%</c:formatCode>
                <c:ptCount val="1"/>
                <c:pt idx="0">
                  <c:v>0</c:v>
                </c:pt>
              </c:numCache>
            </c:numRef>
          </c:val>
          <c:extLst>
            <c:ext xmlns:c16="http://schemas.microsoft.com/office/drawing/2014/chart" uri="{C3380CC4-5D6E-409C-BE32-E72D297353CC}">
              <c16:uniqueId val="{00000005-5953-4037-B659-B1DC4DAF2E08}"/>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ESC!$Q$6</c:f>
              <c:numCache>
                <c:formatCode>0%</c:formatCode>
                <c:ptCount val="1"/>
                <c:pt idx="0">
                  <c:v>0.21179894179894179</c:v>
                </c:pt>
              </c:numCache>
            </c:numRef>
          </c:val>
          <c:extLst>
            <c:ext xmlns:c16="http://schemas.microsoft.com/office/drawing/2014/chart" uri="{C3380CC4-5D6E-409C-BE32-E72D297353CC}">
              <c16:uniqueId val="{00000006-5953-4037-B659-B1DC4DAF2E08}"/>
            </c:ext>
          </c:extLst>
        </c:ser>
        <c:ser>
          <c:idx val="7"/>
          <c:order val="7"/>
          <c:spPr>
            <a:solidFill>
              <a:srgbClr val="000000"/>
            </a:solidFill>
            <a:ln>
              <a:noFill/>
            </a:ln>
            <a:effectLst/>
          </c:spPr>
          <c:invertIfNegative val="0"/>
          <c:val>
            <c:numRef>
              <c:f>ESC!$R$6</c:f>
              <c:numCache>
                <c:formatCode>0%</c:formatCode>
                <c:ptCount val="1"/>
                <c:pt idx="0">
                  <c:v>0</c:v>
                </c:pt>
              </c:numCache>
            </c:numRef>
          </c:val>
          <c:extLst>
            <c:ext xmlns:c16="http://schemas.microsoft.com/office/drawing/2014/chart" uri="{C3380CC4-5D6E-409C-BE32-E72D297353CC}">
              <c16:uniqueId val="{00000007-5953-4037-B659-B1DC4DAF2E08}"/>
            </c:ext>
          </c:extLst>
        </c:ser>
        <c:ser>
          <c:idx val="8"/>
          <c:order val="8"/>
          <c:spPr>
            <a:solidFill>
              <a:srgbClr val="28296E"/>
            </a:solidFill>
            <a:ln>
              <a:noFill/>
            </a:ln>
            <a:effectLst/>
          </c:spPr>
          <c:invertIfNegative val="0"/>
          <c:val>
            <c:numRef>
              <c:f>ESC!$S$6</c:f>
              <c:numCache>
                <c:formatCode>0%</c:formatCode>
                <c:ptCount val="1"/>
                <c:pt idx="0">
                  <c:v>0</c:v>
                </c:pt>
              </c:numCache>
            </c:numRef>
          </c:val>
          <c:extLst>
            <c:ext xmlns:c16="http://schemas.microsoft.com/office/drawing/2014/chart" uri="{C3380CC4-5D6E-409C-BE32-E72D297353CC}">
              <c16:uniqueId val="{00000008-5953-4037-B659-B1DC4DAF2E08}"/>
            </c:ext>
          </c:extLst>
        </c:ser>
        <c:dLbls>
          <c:showLegendKey val="0"/>
          <c:showVal val="0"/>
          <c:showCatName val="0"/>
          <c:showSerName val="0"/>
          <c:showPercent val="0"/>
          <c:showBubbleSize val="0"/>
        </c:dLbls>
        <c:gapWidth val="0"/>
        <c:overlap val="100"/>
        <c:axId val="108621184"/>
        <c:axId val="108635264"/>
      </c:barChart>
      <c:catAx>
        <c:axId val="108621184"/>
        <c:scaling>
          <c:orientation val="minMax"/>
        </c:scaling>
        <c:delete val="1"/>
        <c:axPos val="l"/>
        <c:majorTickMark val="none"/>
        <c:minorTickMark val="none"/>
        <c:tickLblPos val="nextTo"/>
        <c:crossAx val="108635264"/>
        <c:crosses val="autoZero"/>
        <c:auto val="1"/>
        <c:lblAlgn val="ctr"/>
        <c:lblOffset val="100"/>
        <c:noMultiLvlLbl val="0"/>
      </c:catAx>
      <c:valAx>
        <c:axId val="108635264"/>
        <c:scaling>
          <c:orientation val="minMax"/>
          <c:max val="1"/>
        </c:scaling>
        <c:delete val="1"/>
        <c:axPos val="b"/>
        <c:numFmt formatCode="0%" sourceLinked="1"/>
        <c:majorTickMark val="none"/>
        <c:minorTickMark val="none"/>
        <c:tickLblPos val="nextTo"/>
        <c:crossAx val="10862118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00ADDC"/>
              </a:solidFill>
              <a:ln w="19050">
                <a:solidFill>
                  <a:schemeClr val="lt1"/>
                </a:solidFill>
              </a:ln>
              <a:effectLst/>
            </c:spPr>
            <c:extLst>
              <c:ext xmlns:c16="http://schemas.microsoft.com/office/drawing/2014/chart" uri="{C3380CC4-5D6E-409C-BE32-E72D297353CC}">
                <c16:uniqueId val="{00000001-86CD-4F87-91DE-9090DB0FFB2B}"/>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86CD-4F87-91DE-9090DB0FFB2B}"/>
              </c:ext>
            </c:extLst>
          </c:dPt>
          <c:cat>
            <c:strRef>
              <c:f>Sheet1!$A$2:$A$3</c:f>
              <c:strCache>
                <c:ptCount val="2"/>
                <c:pt idx="0">
                  <c:v>1st Qtr</c:v>
                </c:pt>
                <c:pt idx="1">
                  <c:v>2nd Qtr</c:v>
                </c:pt>
              </c:strCache>
            </c:strRef>
          </c:cat>
          <c:val>
            <c:numRef>
              <c:f>Sheet1!$B$2:$B$3</c:f>
              <c:numCache>
                <c:formatCode>0%</c:formatCode>
                <c:ptCount val="2"/>
                <c:pt idx="0">
                  <c:v>0.63</c:v>
                </c:pt>
                <c:pt idx="1">
                  <c:v>0.37</c:v>
                </c:pt>
              </c:numCache>
            </c:numRef>
          </c:val>
          <c:extLst>
            <c:ext xmlns:c16="http://schemas.microsoft.com/office/drawing/2014/chart" uri="{C3380CC4-5D6E-409C-BE32-E72D297353CC}">
              <c16:uniqueId val="{00000004-86CD-4F87-91DE-9090DB0FFB2B}"/>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5534052847042"/>
          <c:y val="3.4253852239761757E-3"/>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28296E"/>
              </a:solidFill>
              <a:ln w="19050">
                <a:noFill/>
              </a:ln>
              <a:effectLst/>
            </c:spPr>
            <c:extLst>
              <c:ext xmlns:c16="http://schemas.microsoft.com/office/drawing/2014/chart" uri="{C3380CC4-5D6E-409C-BE32-E72D297353CC}">
                <c16:uniqueId val="{00000001-062B-45C1-9AB2-0BAD8A0F2823}"/>
              </c:ext>
            </c:extLst>
          </c:dPt>
          <c:dPt>
            <c:idx val="1"/>
            <c:bubble3D val="0"/>
            <c:spPr>
              <a:noFill/>
              <a:ln w="19050">
                <a:noFill/>
              </a:ln>
              <a:effectLst/>
            </c:spPr>
            <c:extLst>
              <c:ext xmlns:c16="http://schemas.microsoft.com/office/drawing/2014/chart" uri="{C3380CC4-5D6E-409C-BE32-E72D297353CC}">
                <c16:uniqueId val="{00000003-062B-45C1-9AB2-0BAD8A0F2823}"/>
              </c:ext>
            </c:extLst>
          </c:dPt>
          <c:cat>
            <c:strRef>
              <c:f>Sheet1!$A$2:$A$3</c:f>
              <c:strCache>
                <c:ptCount val="2"/>
                <c:pt idx="0">
                  <c:v>1st Qtr</c:v>
                </c:pt>
                <c:pt idx="1">
                  <c:v>2nd Qtr</c:v>
                </c:pt>
              </c:strCache>
            </c:strRef>
          </c:cat>
          <c:val>
            <c:numRef>
              <c:f>Sheet1!$B$2:$B$3</c:f>
              <c:numCache>
                <c:formatCode>0%</c:formatCode>
                <c:ptCount val="2"/>
                <c:pt idx="0">
                  <c:v>0.86</c:v>
                </c:pt>
                <c:pt idx="1">
                  <c:v>0.14000000000000001</c:v>
                </c:pt>
              </c:numCache>
            </c:numRef>
          </c:val>
          <c:extLst>
            <c:ext xmlns:c16="http://schemas.microsoft.com/office/drawing/2014/chart" uri="{C3380CC4-5D6E-409C-BE32-E72D297353CC}">
              <c16:uniqueId val="{00000004-062B-45C1-9AB2-0BAD8A0F2823}"/>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Custom2020!$K$4</c:f>
              <c:numCache>
                <c:formatCode>0%</c:formatCode>
                <c:ptCount val="1"/>
                <c:pt idx="0">
                  <c:v>1</c:v>
                </c:pt>
              </c:numCache>
            </c:numRef>
          </c:val>
          <c:extLst>
            <c:ext xmlns:c16="http://schemas.microsoft.com/office/drawing/2014/chart" uri="{C3380CC4-5D6E-409C-BE32-E72D297353CC}">
              <c16:uniqueId val="{00000000-AEC0-4359-99E8-67575B20F733}"/>
            </c:ext>
          </c:extLst>
        </c:ser>
        <c:ser>
          <c:idx val="1"/>
          <c:order val="1"/>
          <c:spPr>
            <a:solidFill>
              <a:srgbClr val="000000"/>
            </a:solidFill>
            <a:ln>
              <a:noFill/>
            </a:ln>
            <a:effectLst/>
          </c:spPr>
          <c:invertIfNegative val="0"/>
          <c:val>
            <c:numRef>
              <c:f>Custom2020!$L$4</c:f>
              <c:numCache>
                <c:formatCode>0%</c:formatCode>
                <c:ptCount val="1"/>
                <c:pt idx="0">
                  <c:v>0</c:v>
                </c:pt>
              </c:numCache>
            </c:numRef>
          </c:val>
          <c:extLst>
            <c:ext xmlns:c16="http://schemas.microsoft.com/office/drawing/2014/chart" uri="{C3380CC4-5D6E-409C-BE32-E72D297353CC}">
              <c16:uniqueId val="{00000001-AEC0-4359-99E8-67575B20F733}"/>
            </c:ext>
          </c:extLst>
        </c:ser>
        <c:ser>
          <c:idx val="2"/>
          <c:order val="2"/>
          <c:spPr>
            <a:solidFill>
              <a:srgbClr val="DCE6F2"/>
            </a:solidFill>
            <a:ln>
              <a:noFill/>
            </a:ln>
            <a:effectLst/>
          </c:spPr>
          <c:invertIfNegative val="0"/>
          <c:val>
            <c:numRef>
              <c:f>Custom2020!$M$4</c:f>
              <c:numCache>
                <c:formatCode>0%</c:formatCode>
                <c:ptCount val="1"/>
                <c:pt idx="0">
                  <c:v>0</c:v>
                </c:pt>
              </c:numCache>
            </c:numRef>
          </c:val>
          <c:extLst>
            <c:ext xmlns:c16="http://schemas.microsoft.com/office/drawing/2014/chart" uri="{C3380CC4-5D6E-409C-BE32-E72D297353CC}">
              <c16:uniqueId val="{00000002-AEC0-4359-99E8-67575B20F733}"/>
            </c:ext>
          </c:extLst>
        </c:ser>
        <c:ser>
          <c:idx val="3"/>
          <c:order val="3"/>
          <c:spPr>
            <a:solidFill>
              <a:srgbClr val="00ADDC"/>
            </a:solidFill>
            <a:ln>
              <a:noFill/>
            </a:ln>
            <a:effectLst/>
          </c:spPr>
          <c:invertIfNegative val="0"/>
          <c:val>
            <c:numRef>
              <c:f>Custom2020!$N$4</c:f>
              <c:numCache>
                <c:formatCode>0%</c:formatCode>
                <c:ptCount val="1"/>
                <c:pt idx="0">
                  <c:v>0</c:v>
                </c:pt>
              </c:numCache>
            </c:numRef>
          </c:val>
          <c:extLst>
            <c:ext xmlns:c16="http://schemas.microsoft.com/office/drawing/2014/chart" uri="{C3380CC4-5D6E-409C-BE32-E72D297353CC}">
              <c16:uniqueId val="{00000003-AEC0-4359-99E8-67575B20F733}"/>
            </c:ext>
          </c:extLst>
        </c:ser>
        <c:ser>
          <c:idx val="4"/>
          <c:order val="4"/>
          <c:spPr>
            <a:solidFill>
              <a:srgbClr val="000000"/>
            </a:solidFill>
            <a:ln>
              <a:noFill/>
            </a:ln>
            <a:effectLst/>
          </c:spPr>
          <c:invertIfNegative val="0"/>
          <c:val>
            <c:numRef>
              <c:f>Custom2020!$O$4</c:f>
              <c:numCache>
                <c:formatCode>0%</c:formatCode>
                <c:ptCount val="1"/>
                <c:pt idx="0">
                  <c:v>0</c:v>
                </c:pt>
              </c:numCache>
            </c:numRef>
          </c:val>
          <c:extLst>
            <c:ext xmlns:c16="http://schemas.microsoft.com/office/drawing/2014/chart" uri="{C3380CC4-5D6E-409C-BE32-E72D297353CC}">
              <c16:uniqueId val="{00000004-AEC0-4359-99E8-67575B20F733}"/>
            </c:ext>
          </c:extLst>
        </c:ser>
        <c:ser>
          <c:idx val="5"/>
          <c:order val="5"/>
          <c:spPr>
            <a:solidFill>
              <a:srgbClr val="00ADDC"/>
            </a:solidFill>
            <a:ln>
              <a:noFill/>
            </a:ln>
            <a:effectLst/>
          </c:spPr>
          <c:invertIfNegative val="0"/>
          <c:val>
            <c:numRef>
              <c:f>Custom2020!$P$4</c:f>
              <c:numCache>
                <c:formatCode>0%</c:formatCode>
                <c:ptCount val="1"/>
                <c:pt idx="0">
                  <c:v>0</c:v>
                </c:pt>
              </c:numCache>
            </c:numRef>
          </c:val>
          <c:extLst>
            <c:ext xmlns:c16="http://schemas.microsoft.com/office/drawing/2014/chart" uri="{C3380CC4-5D6E-409C-BE32-E72D297353CC}">
              <c16:uniqueId val="{00000005-AEC0-4359-99E8-67575B20F733}"/>
            </c:ext>
          </c:extLst>
        </c:ser>
        <c:ser>
          <c:idx val="6"/>
          <c:order val="6"/>
          <c:spPr>
            <a:solidFill>
              <a:srgbClr val="28296E"/>
            </a:solidFill>
            <a:ln>
              <a:noFill/>
            </a:ln>
            <a:effectLst/>
          </c:spPr>
          <c:invertIfNegative val="0"/>
          <c:dLbls>
            <c:dLbl>
              <c:idx val="0"/>
              <c:tx>
                <c:rich>
                  <a:bodyPr/>
                  <a:lstStyle/>
                  <a:p>
                    <a:r>
                      <a:rPr lang="en-US"/>
                      <a:t>&gt;100%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C0-4359-99E8-67575B20F733}"/>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Custom2020!$Q$4</c:f>
              <c:numCache>
                <c:formatCode>0%</c:formatCode>
                <c:ptCount val="1"/>
                <c:pt idx="0">
                  <c:v>1</c:v>
                </c:pt>
              </c:numCache>
            </c:numRef>
          </c:val>
          <c:extLst>
            <c:ext xmlns:c16="http://schemas.microsoft.com/office/drawing/2014/chart" uri="{C3380CC4-5D6E-409C-BE32-E72D297353CC}">
              <c16:uniqueId val="{00000007-AEC0-4359-99E8-67575B20F733}"/>
            </c:ext>
          </c:extLst>
        </c:ser>
        <c:ser>
          <c:idx val="7"/>
          <c:order val="7"/>
          <c:spPr>
            <a:solidFill>
              <a:srgbClr val="000000"/>
            </a:solidFill>
            <a:ln>
              <a:noFill/>
            </a:ln>
            <a:effectLst/>
          </c:spPr>
          <c:invertIfNegative val="0"/>
          <c:val>
            <c:numRef>
              <c:f>Custom2020!$R$4</c:f>
              <c:numCache>
                <c:formatCode>0%</c:formatCode>
                <c:ptCount val="1"/>
                <c:pt idx="0">
                  <c:v>0</c:v>
                </c:pt>
              </c:numCache>
            </c:numRef>
          </c:val>
          <c:extLst>
            <c:ext xmlns:c16="http://schemas.microsoft.com/office/drawing/2014/chart" uri="{C3380CC4-5D6E-409C-BE32-E72D297353CC}">
              <c16:uniqueId val="{00000008-AEC0-4359-99E8-67575B20F733}"/>
            </c:ext>
          </c:extLst>
        </c:ser>
        <c:ser>
          <c:idx val="8"/>
          <c:order val="8"/>
          <c:spPr>
            <a:solidFill>
              <a:srgbClr val="28296E"/>
            </a:solidFill>
            <a:ln>
              <a:noFill/>
            </a:ln>
            <a:effectLst/>
          </c:spPr>
          <c:invertIfNegative val="0"/>
          <c:val>
            <c:numRef>
              <c:f>Custom2020!$S$4</c:f>
              <c:numCache>
                <c:formatCode>0%</c:formatCode>
                <c:ptCount val="1"/>
                <c:pt idx="0">
                  <c:v>0</c:v>
                </c:pt>
              </c:numCache>
            </c:numRef>
          </c:val>
          <c:extLst>
            <c:ext xmlns:c16="http://schemas.microsoft.com/office/drawing/2014/chart" uri="{C3380CC4-5D6E-409C-BE32-E72D297353CC}">
              <c16:uniqueId val="{00000009-AEC0-4359-99E8-67575B20F733}"/>
            </c:ext>
          </c:extLst>
        </c:ser>
        <c:dLbls>
          <c:showLegendKey val="0"/>
          <c:showVal val="0"/>
          <c:showCatName val="0"/>
          <c:showSerName val="0"/>
          <c:showPercent val="0"/>
          <c:showBubbleSize val="0"/>
        </c:dLbls>
        <c:gapWidth val="0"/>
        <c:overlap val="100"/>
        <c:axId val="115057408"/>
        <c:axId val="115058944"/>
      </c:barChart>
      <c:catAx>
        <c:axId val="115057408"/>
        <c:scaling>
          <c:orientation val="minMax"/>
        </c:scaling>
        <c:delete val="1"/>
        <c:axPos val="l"/>
        <c:majorTickMark val="none"/>
        <c:minorTickMark val="none"/>
        <c:tickLblPos val="nextTo"/>
        <c:crossAx val="115058944"/>
        <c:crosses val="autoZero"/>
        <c:auto val="1"/>
        <c:lblAlgn val="ctr"/>
        <c:lblOffset val="100"/>
        <c:noMultiLvlLbl val="0"/>
      </c:catAx>
      <c:valAx>
        <c:axId val="115058944"/>
        <c:scaling>
          <c:orientation val="minMax"/>
          <c:max val="1"/>
        </c:scaling>
        <c:delete val="1"/>
        <c:axPos val="b"/>
        <c:numFmt formatCode="0%" sourceLinked="1"/>
        <c:majorTickMark val="none"/>
        <c:minorTickMark val="none"/>
        <c:tickLblPos val="nextTo"/>
        <c:crossAx val="11505740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91356165146273"/>
          <c:y val="3.1345364126134946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28296E"/>
              </a:solidFill>
              <a:ln w="19050">
                <a:noFill/>
              </a:ln>
              <a:effectLst/>
            </c:spPr>
            <c:extLst>
              <c:ext xmlns:c16="http://schemas.microsoft.com/office/drawing/2014/chart" uri="{C3380CC4-5D6E-409C-BE32-E72D297353CC}">
                <c16:uniqueId val="{00000001-E6AE-4530-8C6B-11764F71BDED}"/>
              </c:ext>
            </c:extLst>
          </c:dPt>
          <c:dPt>
            <c:idx val="1"/>
            <c:bubble3D val="0"/>
            <c:spPr>
              <a:noFill/>
              <a:ln w="19050">
                <a:noFill/>
              </a:ln>
              <a:effectLst/>
            </c:spPr>
            <c:extLst>
              <c:ext xmlns:c16="http://schemas.microsoft.com/office/drawing/2014/chart" uri="{C3380CC4-5D6E-409C-BE32-E72D297353CC}">
                <c16:uniqueId val="{00000003-E6AE-4530-8C6B-11764F71BDED}"/>
              </c:ext>
            </c:extLst>
          </c:dPt>
          <c:cat>
            <c:strRef>
              <c:f>Sheet1!$A$2:$A$3</c:f>
              <c:strCache>
                <c:ptCount val="2"/>
                <c:pt idx="0">
                  <c:v>1st Qtr</c:v>
                </c:pt>
                <c:pt idx="1">
                  <c:v>2nd Qtr</c:v>
                </c:pt>
              </c:strCache>
            </c:strRef>
          </c:cat>
          <c:val>
            <c:numRef>
              <c:f>Sheet1!$B$2:$B$3</c:f>
              <c:numCache>
                <c:formatCode>0%</c:formatCode>
                <c:ptCount val="2"/>
                <c:pt idx="0">
                  <c:v>0.87</c:v>
                </c:pt>
                <c:pt idx="1">
                  <c:v>0.13</c:v>
                </c:pt>
              </c:numCache>
            </c:numRef>
          </c:val>
          <c:extLst>
            <c:ext xmlns:c16="http://schemas.microsoft.com/office/drawing/2014/chart" uri="{C3380CC4-5D6E-409C-BE32-E72D297353CC}">
              <c16:uniqueId val="{00000004-E6AE-4530-8C6B-11764F71BDED}"/>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Custom2020!$K$5</c:f>
              <c:numCache>
                <c:formatCode>0%</c:formatCode>
                <c:ptCount val="1"/>
                <c:pt idx="0">
                  <c:v>1</c:v>
                </c:pt>
              </c:numCache>
            </c:numRef>
          </c:val>
          <c:extLst>
            <c:ext xmlns:c16="http://schemas.microsoft.com/office/drawing/2014/chart" uri="{C3380CC4-5D6E-409C-BE32-E72D297353CC}">
              <c16:uniqueId val="{00000000-34D9-45ED-8D8A-998646CD4D18}"/>
            </c:ext>
          </c:extLst>
        </c:ser>
        <c:ser>
          <c:idx val="1"/>
          <c:order val="1"/>
          <c:spPr>
            <a:solidFill>
              <a:srgbClr val="000000"/>
            </a:solidFill>
            <a:ln>
              <a:noFill/>
            </a:ln>
            <a:effectLst/>
          </c:spPr>
          <c:invertIfNegative val="0"/>
          <c:val>
            <c:numRef>
              <c:f>Custom2020!$L$5</c:f>
              <c:numCache>
                <c:formatCode>0%</c:formatCode>
                <c:ptCount val="1"/>
                <c:pt idx="0">
                  <c:v>0</c:v>
                </c:pt>
              </c:numCache>
            </c:numRef>
          </c:val>
          <c:extLst>
            <c:ext xmlns:c16="http://schemas.microsoft.com/office/drawing/2014/chart" uri="{C3380CC4-5D6E-409C-BE32-E72D297353CC}">
              <c16:uniqueId val="{00000001-34D9-45ED-8D8A-998646CD4D18}"/>
            </c:ext>
          </c:extLst>
        </c:ser>
        <c:ser>
          <c:idx val="2"/>
          <c:order val="2"/>
          <c:spPr>
            <a:solidFill>
              <a:srgbClr val="DCE6F2"/>
            </a:solidFill>
            <a:ln>
              <a:noFill/>
            </a:ln>
            <a:effectLst/>
          </c:spPr>
          <c:invertIfNegative val="0"/>
          <c:val>
            <c:numRef>
              <c:f>Custom2020!$M$5</c:f>
              <c:numCache>
                <c:formatCode>0%</c:formatCode>
                <c:ptCount val="1"/>
                <c:pt idx="0">
                  <c:v>0</c:v>
                </c:pt>
              </c:numCache>
            </c:numRef>
          </c:val>
          <c:extLst>
            <c:ext xmlns:c16="http://schemas.microsoft.com/office/drawing/2014/chart" uri="{C3380CC4-5D6E-409C-BE32-E72D297353CC}">
              <c16:uniqueId val="{00000002-34D9-45ED-8D8A-998646CD4D18}"/>
            </c:ext>
          </c:extLst>
        </c:ser>
        <c:ser>
          <c:idx val="3"/>
          <c:order val="3"/>
          <c:spPr>
            <a:solidFill>
              <a:srgbClr val="00ADDC"/>
            </a:solidFill>
            <a:ln>
              <a:noFill/>
            </a:ln>
            <a:effectLst/>
          </c:spPr>
          <c:invertIfNegative val="0"/>
          <c:val>
            <c:numRef>
              <c:f>Custom2020!$N$5</c:f>
              <c:numCache>
                <c:formatCode>0%</c:formatCode>
                <c:ptCount val="1"/>
                <c:pt idx="0">
                  <c:v>0</c:v>
                </c:pt>
              </c:numCache>
            </c:numRef>
          </c:val>
          <c:extLst>
            <c:ext xmlns:c16="http://schemas.microsoft.com/office/drawing/2014/chart" uri="{C3380CC4-5D6E-409C-BE32-E72D297353CC}">
              <c16:uniqueId val="{00000003-34D9-45ED-8D8A-998646CD4D18}"/>
            </c:ext>
          </c:extLst>
        </c:ser>
        <c:ser>
          <c:idx val="4"/>
          <c:order val="4"/>
          <c:spPr>
            <a:solidFill>
              <a:srgbClr val="000000"/>
            </a:solidFill>
            <a:ln>
              <a:noFill/>
            </a:ln>
            <a:effectLst/>
          </c:spPr>
          <c:invertIfNegative val="0"/>
          <c:val>
            <c:numRef>
              <c:f>Custom2020!$O$5</c:f>
              <c:numCache>
                <c:formatCode>0%</c:formatCode>
                <c:ptCount val="1"/>
                <c:pt idx="0">
                  <c:v>0</c:v>
                </c:pt>
              </c:numCache>
            </c:numRef>
          </c:val>
          <c:extLst>
            <c:ext xmlns:c16="http://schemas.microsoft.com/office/drawing/2014/chart" uri="{C3380CC4-5D6E-409C-BE32-E72D297353CC}">
              <c16:uniqueId val="{00000004-34D9-45ED-8D8A-998646CD4D18}"/>
            </c:ext>
          </c:extLst>
        </c:ser>
        <c:ser>
          <c:idx val="5"/>
          <c:order val="5"/>
          <c:spPr>
            <a:solidFill>
              <a:srgbClr val="00ADDC"/>
            </a:solidFill>
            <a:ln>
              <a:noFill/>
            </a:ln>
            <a:effectLst/>
          </c:spPr>
          <c:invertIfNegative val="0"/>
          <c:val>
            <c:numRef>
              <c:f>Custom2020!$P$5</c:f>
              <c:numCache>
                <c:formatCode>0%</c:formatCode>
                <c:ptCount val="1"/>
                <c:pt idx="0">
                  <c:v>0</c:v>
                </c:pt>
              </c:numCache>
            </c:numRef>
          </c:val>
          <c:extLst>
            <c:ext xmlns:c16="http://schemas.microsoft.com/office/drawing/2014/chart" uri="{C3380CC4-5D6E-409C-BE32-E72D297353CC}">
              <c16:uniqueId val="{00000005-34D9-45ED-8D8A-998646CD4D18}"/>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Custom2020!$Q$5</c:f>
              <c:numCache>
                <c:formatCode>0%</c:formatCode>
                <c:ptCount val="1"/>
                <c:pt idx="0">
                  <c:v>0.91478124999999988</c:v>
                </c:pt>
              </c:numCache>
            </c:numRef>
          </c:val>
          <c:extLst>
            <c:ext xmlns:c16="http://schemas.microsoft.com/office/drawing/2014/chart" uri="{C3380CC4-5D6E-409C-BE32-E72D297353CC}">
              <c16:uniqueId val="{00000006-34D9-45ED-8D8A-998646CD4D18}"/>
            </c:ext>
          </c:extLst>
        </c:ser>
        <c:ser>
          <c:idx val="7"/>
          <c:order val="7"/>
          <c:spPr>
            <a:solidFill>
              <a:srgbClr val="000000"/>
            </a:solidFill>
            <a:ln>
              <a:noFill/>
            </a:ln>
            <a:effectLst/>
          </c:spPr>
          <c:invertIfNegative val="0"/>
          <c:val>
            <c:numRef>
              <c:f>Custom2020!$R$5</c:f>
              <c:numCache>
                <c:formatCode>0%</c:formatCode>
                <c:ptCount val="1"/>
                <c:pt idx="0">
                  <c:v>0</c:v>
                </c:pt>
              </c:numCache>
            </c:numRef>
          </c:val>
          <c:extLst>
            <c:ext xmlns:c16="http://schemas.microsoft.com/office/drawing/2014/chart" uri="{C3380CC4-5D6E-409C-BE32-E72D297353CC}">
              <c16:uniqueId val="{00000007-34D9-45ED-8D8A-998646CD4D18}"/>
            </c:ext>
          </c:extLst>
        </c:ser>
        <c:ser>
          <c:idx val="8"/>
          <c:order val="8"/>
          <c:spPr>
            <a:solidFill>
              <a:srgbClr val="28296E"/>
            </a:solidFill>
            <a:ln>
              <a:noFill/>
            </a:ln>
            <a:effectLst/>
          </c:spPr>
          <c:invertIfNegative val="0"/>
          <c:val>
            <c:numRef>
              <c:f>Custom2020!$S$5</c:f>
              <c:numCache>
                <c:formatCode>0%</c:formatCode>
                <c:ptCount val="1"/>
                <c:pt idx="0">
                  <c:v>0</c:v>
                </c:pt>
              </c:numCache>
            </c:numRef>
          </c:val>
          <c:extLst>
            <c:ext xmlns:c16="http://schemas.microsoft.com/office/drawing/2014/chart" uri="{C3380CC4-5D6E-409C-BE32-E72D297353CC}">
              <c16:uniqueId val="{00000008-34D9-45ED-8D8A-998646CD4D18}"/>
            </c:ext>
          </c:extLst>
        </c:ser>
        <c:dLbls>
          <c:showLegendKey val="0"/>
          <c:showVal val="0"/>
          <c:showCatName val="0"/>
          <c:showSerName val="0"/>
          <c:showPercent val="0"/>
          <c:showBubbleSize val="0"/>
        </c:dLbls>
        <c:gapWidth val="0"/>
        <c:overlap val="100"/>
        <c:axId val="114995200"/>
        <c:axId val="114996736"/>
      </c:barChart>
      <c:catAx>
        <c:axId val="114995200"/>
        <c:scaling>
          <c:orientation val="minMax"/>
        </c:scaling>
        <c:delete val="1"/>
        <c:axPos val="l"/>
        <c:majorTickMark val="none"/>
        <c:minorTickMark val="none"/>
        <c:tickLblPos val="nextTo"/>
        <c:crossAx val="114996736"/>
        <c:crosses val="autoZero"/>
        <c:auto val="1"/>
        <c:lblAlgn val="ctr"/>
        <c:lblOffset val="100"/>
        <c:noMultiLvlLbl val="0"/>
      </c:catAx>
      <c:valAx>
        <c:axId val="114996736"/>
        <c:scaling>
          <c:orientation val="minMax"/>
          <c:max val="1"/>
        </c:scaling>
        <c:delete val="1"/>
        <c:axPos val="b"/>
        <c:numFmt formatCode="0%" sourceLinked="1"/>
        <c:majorTickMark val="none"/>
        <c:minorTickMark val="none"/>
        <c:tickLblPos val="nextTo"/>
        <c:crossAx val="114995200"/>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Custom2020!$K$6</c:f>
              <c:numCache>
                <c:formatCode>0%</c:formatCode>
                <c:ptCount val="1"/>
                <c:pt idx="0">
                  <c:v>1</c:v>
                </c:pt>
              </c:numCache>
            </c:numRef>
          </c:val>
          <c:extLst>
            <c:ext xmlns:c16="http://schemas.microsoft.com/office/drawing/2014/chart" uri="{C3380CC4-5D6E-409C-BE32-E72D297353CC}">
              <c16:uniqueId val="{00000000-78B9-4861-80F0-490B4FDD2B21}"/>
            </c:ext>
          </c:extLst>
        </c:ser>
        <c:ser>
          <c:idx val="1"/>
          <c:order val="1"/>
          <c:spPr>
            <a:solidFill>
              <a:srgbClr val="000000"/>
            </a:solidFill>
            <a:ln>
              <a:noFill/>
            </a:ln>
            <a:effectLst/>
          </c:spPr>
          <c:invertIfNegative val="0"/>
          <c:val>
            <c:numRef>
              <c:f>Custom2020!$L$6</c:f>
              <c:numCache>
                <c:formatCode>0%</c:formatCode>
                <c:ptCount val="1"/>
                <c:pt idx="0">
                  <c:v>0</c:v>
                </c:pt>
              </c:numCache>
            </c:numRef>
          </c:val>
          <c:extLst>
            <c:ext xmlns:c16="http://schemas.microsoft.com/office/drawing/2014/chart" uri="{C3380CC4-5D6E-409C-BE32-E72D297353CC}">
              <c16:uniqueId val="{00000001-78B9-4861-80F0-490B4FDD2B21}"/>
            </c:ext>
          </c:extLst>
        </c:ser>
        <c:ser>
          <c:idx val="2"/>
          <c:order val="2"/>
          <c:spPr>
            <a:solidFill>
              <a:srgbClr val="DCE6F2"/>
            </a:solidFill>
            <a:ln>
              <a:noFill/>
            </a:ln>
            <a:effectLst/>
          </c:spPr>
          <c:invertIfNegative val="0"/>
          <c:val>
            <c:numRef>
              <c:f>Custom2020!$M$6</c:f>
              <c:numCache>
                <c:formatCode>0%</c:formatCode>
                <c:ptCount val="1"/>
                <c:pt idx="0">
                  <c:v>0</c:v>
                </c:pt>
              </c:numCache>
            </c:numRef>
          </c:val>
          <c:extLst>
            <c:ext xmlns:c16="http://schemas.microsoft.com/office/drawing/2014/chart" uri="{C3380CC4-5D6E-409C-BE32-E72D297353CC}">
              <c16:uniqueId val="{00000002-78B9-4861-80F0-490B4FDD2B21}"/>
            </c:ext>
          </c:extLst>
        </c:ser>
        <c:ser>
          <c:idx val="3"/>
          <c:order val="3"/>
          <c:spPr>
            <a:solidFill>
              <a:srgbClr val="00ADDC"/>
            </a:solidFill>
            <a:ln>
              <a:noFill/>
            </a:ln>
            <a:effectLst/>
          </c:spPr>
          <c:invertIfNegative val="0"/>
          <c:val>
            <c:numRef>
              <c:f>Custom2020!$N$6</c:f>
              <c:numCache>
                <c:formatCode>0%</c:formatCode>
                <c:ptCount val="1"/>
                <c:pt idx="0">
                  <c:v>0</c:v>
                </c:pt>
              </c:numCache>
            </c:numRef>
          </c:val>
          <c:extLst>
            <c:ext xmlns:c16="http://schemas.microsoft.com/office/drawing/2014/chart" uri="{C3380CC4-5D6E-409C-BE32-E72D297353CC}">
              <c16:uniqueId val="{00000003-78B9-4861-80F0-490B4FDD2B21}"/>
            </c:ext>
          </c:extLst>
        </c:ser>
        <c:ser>
          <c:idx val="4"/>
          <c:order val="4"/>
          <c:spPr>
            <a:solidFill>
              <a:srgbClr val="000000"/>
            </a:solidFill>
            <a:ln>
              <a:noFill/>
            </a:ln>
            <a:effectLst/>
          </c:spPr>
          <c:invertIfNegative val="0"/>
          <c:val>
            <c:numRef>
              <c:f>Custom2020!$O$6</c:f>
              <c:numCache>
                <c:formatCode>0%</c:formatCode>
                <c:ptCount val="1"/>
                <c:pt idx="0">
                  <c:v>0</c:v>
                </c:pt>
              </c:numCache>
            </c:numRef>
          </c:val>
          <c:extLst>
            <c:ext xmlns:c16="http://schemas.microsoft.com/office/drawing/2014/chart" uri="{C3380CC4-5D6E-409C-BE32-E72D297353CC}">
              <c16:uniqueId val="{00000004-78B9-4861-80F0-490B4FDD2B21}"/>
            </c:ext>
          </c:extLst>
        </c:ser>
        <c:ser>
          <c:idx val="5"/>
          <c:order val="5"/>
          <c:spPr>
            <a:solidFill>
              <a:srgbClr val="00ADDC"/>
            </a:solidFill>
            <a:ln>
              <a:noFill/>
            </a:ln>
            <a:effectLst/>
          </c:spPr>
          <c:invertIfNegative val="0"/>
          <c:val>
            <c:numRef>
              <c:f>Custom2020!$P$6</c:f>
              <c:numCache>
                <c:formatCode>0%</c:formatCode>
                <c:ptCount val="1"/>
                <c:pt idx="0">
                  <c:v>0</c:v>
                </c:pt>
              </c:numCache>
            </c:numRef>
          </c:val>
          <c:extLst>
            <c:ext xmlns:c16="http://schemas.microsoft.com/office/drawing/2014/chart" uri="{C3380CC4-5D6E-409C-BE32-E72D297353CC}">
              <c16:uniqueId val="{00000005-78B9-4861-80F0-490B4FDD2B21}"/>
            </c:ext>
          </c:extLst>
        </c:ser>
        <c:ser>
          <c:idx val="6"/>
          <c:order val="6"/>
          <c:spPr>
            <a:solidFill>
              <a:srgbClr val="28296E"/>
            </a:solidFill>
            <a:ln>
              <a:noFill/>
            </a:ln>
            <a:effectLst/>
          </c:spPr>
          <c:invertIfNegative val="0"/>
          <c:dLbls>
            <c:dLbl>
              <c:idx val="0"/>
              <c:tx>
                <c:rich>
                  <a:bodyPr/>
                  <a:lstStyle/>
                  <a:p>
                    <a:r>
                      <a:rPr lang="en-US"/>
                      <a:t>&gt;100%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B9-4861-80F0-490B4FDD2B21}"/>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Custom2020!$Q$6</c:f>
              <c:numCache>
                <c:formatCode>0%</c:formatCode>
                <c:ptCount val="1"/>
                <c:pt idx="0">
                  <c:v>1</c:v>
                </c:pt>
              </c:numCache>
            </c:numRef>
          </c:val>
          <c:extLst>
            <c:ext xmlns:c16="http://schemas.microsoft.com/office/drawing/2014/chart" uri="{C3380CC4-5D6E-409C-BE32-E72D297353CC}">
              <c16:uniqueId val="{00000007-78B9-4861-80F0-490B4FDD2B21}"/>
            </c:ext>
          </c:extLst>
        </c:ser>
        <c:ser>
          <c:idx val="7"/>
          <c:order val="7"/>
          <c:spPr>
            <a:solidFill>
              <a:srgbClr val="000000"/>
            </a:solidFill>
            <a:ln>
              <a:noFill/>
            </a:ln>
            <a:effectLst/>
          </c:spPr>
          <c:invertIfNegative val="0"/>
          <c:val>
            <c:numRef>
              <c:f>Custom2020!$R$6</c:f>
              <c:numCache>
                <c:formatCode>0%</c:formatCode>
                <c:ptCount val="1"/>
                <c:pt idx="0">
                  <c:v>0</c:v>
                </c:pt>
              </c:numCache>
            </c:numRef>
          </c:val>
          <c:extLst>
            <c:ext xmlns:c16="http://schemas.microsoft.com/office/drawing/2014/chart" uri="{C3380CC4-5D6E-409C-BE32-E72D297353CC}">
              <c16:uniqueId val="{00000008-78B9-4861-80F0-490B4FDD2B21}"/>
            </c:ext>
          </c:extLst>
        </c:ser>
        <c:ser>
          <c:idx val="8"/>
          <c:order val="8"/>
          <c:spPr>
            <a:solidFill>
              <a:srgbClr val="28296E"/>
            </a:solidFill>
            <a:ln>
              <a:noFill/>
            </a:ln>
            <a:effectLst/>
          </c:spPr>
          <c:invertIfNegative val="0"/>
          <c:val>
            <c:numRef>
              <c:f>Custom2020!$S$6</c:f>
              <c:numCache>
                <c:formatCode>0%</c:formatCode>
                <c:ptCount val="1"/>
                <c:pt idx="0">
                  <c:v>0</c:v>
                </c:pt>
              </c:numCache>
            </c:numRef>
          </c:val>
          <c:extLst>
            <c:ext xmlns:c16="http://schemas.microsoft.com/office/drawing/2014/chart" uri="{C3380CC4-5D6E-409C-BE32-E72D297353CC}">
              <c16:uniqueId val="{00000009-78B9-4861-80F0-490B4FDD2B21}"/>
            </c:ext>
          </c:extLst>
        </c:ser>
        <c:dLbls>
          <c:showLegendKey val="0"/>
          <c:showVal val="0"/>
          <c:showCatName val="0"/>
          <c:showSerName val="0"/>
          <c:showPercent val="0"/>
          <c:showBubbleSize val="0"/>
        </c:dLbls>
        <c:gapWidth val="0"/>
        <c:overlap val="100"/>
        <c:axId val="115109888"/>
        <c:axId val="115111424"/>
      </c:barChart>
      <c:catAx>
        <c:axId val="115109888"/>
        <c:scaling>
          <c:orientation val="minMax"/>
        </c:scaling>
        <c:delete val="1"/>
        <c:axPos val="l"/>
        <c:majorTickMark val="none"/>
        <c:minorTickMark val="none"/>
        <c:tickLblPos val="nextTo"/>
        <c:crossAx val="115111424"/>
        <c:crosses val="autoZero"/>
        <c:auto val="1"/>
        <c:lblAlgn val="ctr"/>
        <c:lblOffset val="100"/>
        <c:noMultiLvlLbl val="0"/>
      </c:catAx>
      <c:valAx>
        <c:axId val="115111424"/>
        <c:scaling>
          <c:orientation val="minMax"/>
          <c:max val="1"/>
        </c:scaling>
        <c:delete val="1"/>
        <c:axPos val="b"/>
        <c:numFmt formatCode="0%" sourceLinked="1"/>
        <c:majorTickMark val="none"/>
        <c:minorTickMark val="none"/>
        <c:tickLblPos val="nextTo"/>
        <c:crossAx val="11510988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Custom2020!$K$7</c:f>
              <c:numCache>
                <c:formatCode>0%</c:formatCode>
                <c:ptCount val="1"/>
                <c:pt idx="0">
                  <c:v>1</c:v>
                </c:pt>
              </c:numCache>
            </c:numRef>
          </c:val>
          <c:extLst>
            <c:ext xmlns:c16="http://schemas.microsoft.com/office/drawing/2014/chart" uri="{C3380CC4-5D6E-409C-BE32-E72D297353CC}">
              <c16:uniqueId val="{00000000-D4DC-44FB-AA0A-E9A6A4AFB93C}"/>
            </c:ext>
          </c:extLst>
        </c:ser>
        <c:ser>
          <c:idx val="1"/>
          <c:order val="1"/>
          <c:spPr>
            <a:solidFill>
              <a:srgbClr val="000000"/>
            </a:solidFill>
            <a:ln>
              <a:noFill/>
            </a:ln>
            <a:effectLst/>
          </c:spPr>
          <c:invertIfNegative val="0"/>
          <c:val>
            <c:numRef>
              <c:f>Custom2020!$L$7</c:f>
              <c:numCache>
                <c:formatCode>0%</c:formatCode>
                <c:ptCount val="1"/>
                <c:pt idx="0">
                  <c:v>0</c:v>
                </c:pt>
              </c:numCache>
            </c:numRef>
          </c:val>
          <c:extLst>
            <c:ext xmlns:c16="http://schemas.microsoft.com/office/drawing/2014/chart" uri="{C3380CC4-5D6E-409C-BE32-E72D297353CC}">
              <c16:uniqueId val="{00000001-D4DC-44FB-AA0A-E9A6A4AFB93C}"/>
            </c:ext>
          </c:extLst>
        </c:ser>
        <c:ser>
          <c:idx val="2"/>
          <c:order val="2"/>
          <c:spPr>
            <a:solidFill>
              <a:srgbClr val="DCE6F2"/>
            </a:solidFill>
            <a:ln>
              <a:noFill/>
            </a:ln>
            <a:effectLst/>
          </c:spPr>
          <c:invertIfNegative val="0"/>
          <c:val>
            <c:numRef>
              <c:f>Custom2020!$M$7</c:f>
              <c:numCache>
                <c:formatCode>0%</c:formatCode>
                <c:ptCount val="1"/>
                <c:pt idx="0">
                  <c:v>0</c:v>
                </c:pt>
              </c:numCache>
            </c:numRef>
          </c:val>
          <c:extLst>
            <c:ext xmlns:c16="http://schemas.microsoft.com/office/drawing/2014/chart" uri="{C3380CC4-5D6E-409C-BE32-E72D297353CC}">
              <c16:uniqueId val="{00000002-D4DC-44FB-AA0A-E9A6A4AFB93C}"/>
            </c:ext>
          </c:extLst>
        </c:ser>
        <c:ser>
          <c:idx val="3"/>
          <c:order val="3"/>
          <c:spPr>
            <a:solidFill>
              <a:srgbClr val="00ADDC"/>
            </a:solidFill>
            <a:ln>
              <a:noFill/>
            </a:ln>
            <a:effectLst/>
          </c:spPr>
          <c:invertIfNegative val="0"/>
          <c:val>
            <c:numRef>
              <c:f>Custom2020!$N$7</c:f>
              <c:numCache>
                <c:formatCode>0%</c:formatCode>
                <c:ptCount val="1"/>
                <c:pt idx="0">
                  <c:v>0</c:v>
                </c:pt>
              </c:numCache>
            </c:numRef>
          </c:val>
          <c:extLst>
            <c:ext xmlns:c16="http://schemas.microsoft.com/office/drawing/2014/chart" uri="{C3380CC4-5D6E-409C-BE32-E72D297353CC}">
              <c16:uniqueId val="{00000003-D4DC-44FB-AA0A-E9A6A4AFB93C}"/>
            </c:ext>
          </c:extLst>
        </c:ser>
        <c:ser>
          <c:idx val="4"/>
          <c:order val="4"/>
          <c:spPr>
            <a:solidFill>
              <a:srgbClr val="000000"/>
            </a:solidFill>
            <a:ln>
              <a:noFill/>
            </a:ln>
            <a:effectLst/>
          </c:spPr>
          <c:invertIfNegative val="0"/>
          <c:val>
            <c:numRef>
              <c:f>Custom2020!$O$7</c:f>
              <c:numCache>
                <c:formatCode>0%</c:formatCode>
                <c:ptCount val="1"/>
                <c:pt idx="0">
                  <c:v>0</c:v>
                </c:pt>
              </c:numCache>
            </c:numRef>
          </c:val>
          <c:extLst>
            <c:ext xmlns:c16="http://schemas.microsoft.com/office/drawing/2014/chart" uri="{C3380CC4-5D6E-409C-BE32-E72D297353CC}">
              <c16:uniqueId val="{00000004-D4DC-44FB-AA0A-E9A6A4AFB93C}"/>
            </c:ext>
          </c:extLst>
        </c:ser>
        <c:ser>
          <c:idx val="5"/>
          <c:order val="5"/>
          <c:spPr>
            <a:solidFill>
              <a:srgbClr val="00ADDC"/>
            </a:solidFill>
            <a:ln>
              <a:noFill/>
            </a:ln>
            <a:effectLst/>
          </c:spPr>
          <c:invertIfNegative val="0"/>
          <c:val>
            <c:numRef>
              <c:f>Custom2020!$P$7</c:f>
              <c:numCache>
                <c:formatCode>0%</c:formatCode>
                <c:ptCount val="1"/>
                <c:pt idx="0">
                  <c:v>0</c:v>
                </c:pt>
              </c:numCache>
            </c:numRef>
          </c:val>
          <c:extLst>
            <c:ext xmlns:c16="http://schemas.microsoft.com/office/drawing/2014/chart" uri="{C3380CC4-5D6E-409C-BE32-E72D297353CC}">
              <c16:uniqueId val="{00000005-D4DC-44FB-AA0A-E9A6A4AFB93C}"/>
            </c:ext>
          </c:extLst>
        </c:ser>
        <c:ser>
          <c:idx val="6"/>
          <c:order val="6"/>
          <c:spPr>
            <a:solidFill>
              <a:srgbClr val="28296E"/>
            </a:solidFill>
            <a:ln>
              <a:noFill/>
            </a:ln>
            <a:effectLst/>
          </c:spPr>
          <c:invertIfNegative val="0"/>
          <c:dLbls>
            <c:dLbl>
              <c:idx val="0"/>
              <c:tx>
                <c:rich>
                  <a:bodyPr/>
                  <a:lstStyle/>
                  <a:p>
                    <a:r>
                      <a:rPr lang="en-US"/>
                      <a:t>&gt;100%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4DC-44FB-AA0A-E9A6A4AFB93C}"/>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Custom2020!$Q$7</c:f>
              <c:numCache>
                <c:formatCode>0%</c:formatCode>
                <c:ptCount val="1"/>
                <c:pt idx="0">
                  <c:v>1</c:v>
                </c:pt>
              </c:numCache>
            </c:numRef>
          </c:val>
          <c:extLst>
            <c:ext xmlns:c16="http://schemas.microsoft.com/office/drawing/2014/chart" uri="{C3380CC4-5D6E-409C-BE32-E72D297353CC}">
              <c16:uniqueId val="{00000007-D4DC-44FB-AA0A-E9A6A4AFB93C}"/>
            </c:ext>
          </c:extLst>
        </c:ser>
        <c:ser>
          <c:idx val="7"/>
          <c:order val="7"/>
          <c:spPr>
            <a:solidFill>
              <a:srgbClr val="000000"/>
            </a:solidFill>
            <a:ln>
              <a:noFill/>
            </a:ln>
            <a:effectLst/>
          </c:spPr>
          <c:invertIfNegative val="0"/>
          <c:val>
            <c:numRef>
              <c:f>Custom2020!$R$7</c:f>
              <c:numCache>
                <c:formatCode>0%</c:formatCode>
                <c:ptCount val="1"/>
                <c:pt idx="0">
                  <c:v>0</c:v>
                </c:pt>
              </c:numCache>
            </c:numRef>
          </c:val>
          <c:extLst>
            <c:ext xmlns:c16="http://schemas.microsoft.com/office/drawing/2014/chart" uri="{C3380CC4-5D6E-409C-BE32-E72D297353CC}">
              <c16:uniqueId val="{00000008-D4DC-44FB-AA0A-E9A6A4AFB93C}"/>
            </c:ext>
          </c:extLst>
        </c:ser>
        <c:ser>
          <c:idx val="8"/>
          <c:order val="8"/>
          <c:spPr>
            <a:solidFill>
              <a:srgbClr val="28296E"/>
            </a:solidFill>
            <a:ln>
              <a:noFill/>
            </a:ln>
            <a:effectLst/>
          </c:spPr>
          <c:invertIfNegative val="0"/>
          <c:val>
            <c:numRef>
              <c:f>Custom2020!$S$7</c:f>
              <c:numCache>
                <c:formatCode>0%</c:formatCode>
                <c:ptCount val="1"/>
                <c:pt idx="0">
                  <c:v>0</c:v>
                </c:pt>
              </c:numCache>
            </c:numRef>
          </c:val>
          <c:extLst>
            <c:ext xmlns:c16="http://schemas.microsoft.com/office/drawing/2014/chart" uri="{C3380CC4-5D6E-409C-BE32-E72D297353CC}">
              <c16:uniqueId val="{00000009-D4DC-44FB-AA0A-E9A6A4AFB93C}"/>
            </c:ext>
          </c:extLst>
        </c:ser>
        <c:dLbls>
          <c:showLegendKey val="0"/>
          <c:showVal val="0"/>
          <c:showCatName val="0"/>
          <c:showSerName val="0"/>
          <c:showPercent val="0"/>
          <c:showBubbleSize val="0"/>
        </c:dLbls>
        <c:gapWidth val="0"/>
        <c:overlap val="100"/>
        <c:axId val="115830144"/>
        <c:axId val="115848320"/>
      </c:barChart>
      <c:catAx>
        <c:axId val="115830144"/>
        <c:scaling>
          <c:orientation val="minMax"/>
        </c:scaling>
        <c:delete val="1"/>
        <c:axPos val="l"/>
        <c:majorTickMark val="none"/>
        <c:minorTickMark val="none"/>
        <c:tickLblPos val="nextTo"/>
        <c:crossAx val="115848320"/>
        <c:crosses val="autoZero"/>
        <c:auto val="1"/>
        <c:lblAlgn val="ctr"/>
        <c:lblOffset val="100"/>
        <c:noMultiLvlLbl val="0"/>
      </c:catAx>
      <c:valAx>
        <c:axId val="115848320"/>
        <c:scaling>
          <c:orientation val="minMax"/>
          <c:max val="1"/>
        </c:scaling>
        <c:delete val="1"/>
        <c:axPos val="b"/>
        <c:numFmt formatCode="0%" sourceLinked="1"/>
        <c:majorTickMark val="none"/>
        <c:minorTickMark val="none"/>
        <c:tickLblPos val="nextTo"/>
        <c:crossAx val="11583014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Custom2020!$K$8</c:f>
              <c:numCache>
                <c:formatCode>0%</c:formatCode>
                <c:ptCount val="1"/>
                <c:pt idx="0">
                  <c:v>1</c:v>
                </c:pt>
              </c:numCache>
            </c:numRef>
          </c:val>
          <c:extLst>
            <c:ext xmlns:c16="http://schemas.microsoft.com/office/drawing/2014/chart" uri="{C3380CC4-5D6E-409C-BE32-E72D297353CC}">
              <c16:uniqueId val="{00000000-79EE-42B7-95D2-8823D185AD91}"/>
            </c:ext>
          </c:extLst>
        </c:ser>
        <c:ser>
          <c:idx val="1"/>
          <c:order val="1"/>
          <c:spPr>
            <a:solidFill>
              <a:srgbClr val="000000"/>
            </a:solidFill>
            <a:ln>
              <a:noFill/>
            </a:ln>
            <a:effectLst/>
          </c:spPr>
          <c:invertIfNegative val="0"/>
          <c:val>
            <c:numRef>
              <c:f>Custom2020!$L$8</c:f>
              <c:numCache>
                <c:formatCode>0%</c:formatCode>
                <c:ptCount val="1"/>
                <c:pt idx="0">
                  <c:v>0</c:v>
                </c:pt>
              </c:numCache>
            </c:numRef>
          </c:val>
          <c:extLst>
            <c:ext xmlns:c16="http://schemas.microsoft.com/office/drawing/2014/chart" uri="{C3380CC4-5D6E-409C-BE32-E72D297353CC}">
              <c16:uniqueId val="{00000001-79EE-42B7-95D2-8823D185AD91}"/>
            </c:ext>
          </c:extLst>
        </c:ser>
        <c:ser>
          <c:idx val="2"/>
          <c:order val="2"/>
          <c:spPr>
            <a:solidFill>
              <a:srgbClr val="DCE6F2"/>
            </a:solidFill>
            <a:ln>
              <a:noFill/>
            </a:ln>
            <a:effectLst/>
          </c:spPr>
          <c:invertIfNegative val="0"/>
          <c:val>
            <c:numRef>
              <c:f>Custom2020!$M$8</c:f>
              <c:numCache>
                <c:formatCode>0%</c:formatCode>
                <c:ptCount val="1"/>
                <c:pt idx="0">
                  <c:v>0</c:v>
                </c:pt>
              </c:numCache>
            </c:numRef>
          </c:val>
          <c:extLst>
            <c:ext xmlns:c16="http://schemas.microsoft.com/office/drawing/2014/chart" uri="{C3380CC4-5D6E-409C-BE32-E72D297353CC}">
              <c16:uniqueId val="{00000002-79EE-42B7-95D2-8823D185AD91}"/>
            </c:ext>
          </c:extLst>
        </c:ser>
        <c:ser>
          <c:idx val="3"/>
          <c:order val="3"/>
          <c:spPr>
            <a:solidFill>
              <a:srgbClr val="00ADDC"/>
            </a:solidFill>
            <a:ln>
              <a:noFill/>
            </a:ln>
            <a:effectLst/>
          </c:spPr>
          <c:invertIfNegative val="0"/>
          <c:val>
            <c:numRef>
              <c:f>Custom2020!$N$8</c:f>
              <c:numCache>
                <c:formatCode>0%</c:formatCode>
                <c:ptCount val="1"/>
                <c:pt idx="0">
                  <c:v>0</c:v>
                </c:pt>
              </c:numCache>
            </c:numRef>
          </c:val>
          <c:extLst>
            <c:ext xmlns:c16="http://schemas.microsoft.com/office/drawing/2014/chart" uri="{C3380CC4-5D6E-409C-BE32-E72D297353CC}">
              <c16:uniqueId val="{00000003-79EE-42B7-95D2-8823D185AD91}"/>
            </c:ext>
          </c:extLst>
        </c:ser>
        <c:ser>
          <c:idx val="4"/>
          <c:order val="4"/>
          <c:spPr>
            <a:solidFill>
              <a:srgbClr val="000000"/>
            </a:solidFill>
            <a:ln>
              <a:noFill/>
            </a:ln>
            <a:effectLst/>
          </c:spPr>
          <c:invertIfNegative val="0"/>
          <c:val>
            <c:numRef>
              <c:f>Custom2020!$O$8</c:f>
              <c:numCache>
                <c:formatCode>0%</c:formatCode>
                <c:ptCount val="1"/>
                <c:pt idx="0">
                  <c:v>0</c:v>
                </c:pt>
              </c:numCache>
            </c:numRef>
          </c:val>
          <c:extLst>
            <c:ext xmlns:c16="http://schemas.microsoft.com/office/drawing/2014/chart" uri="{C3380CC4-5D6E-409C-BE32-E72D297353CC}">
              <c16:uniqueId val="{00000004-79EE-42B7-95D2-8823D185AD91}"/>
            </c:ext>
          </c:extLst>
        </c:ser>
        <c:ser>
          <c:idx val="5"/>
          <c:order val="5"/>
          <c:spPr>
            <a:solidFill>
              <a:srgbClr val="00ADDC"/>
            </a:solidFill>
            <a:ln>
              <a:noFill/>
            </a:ln>
            <a:effectLst/>
          </c:spPr>
          <c:invertIfNegative val="0"/>
          <c:val>
            <c:numRef>
              <c:f>Custom2020!$P$8</c:f>
              <c:numCache>
                <c:formatCode>0%</c:formatCode>
                <c:ptCount val="1"/>
                <c:pt idx="0">
                  <c:v>0</c:v>
                </c:pt>
              </c:numCache>
            </c:numRef>
          </c:val>
          <c:extLst>
            <c:ext xmlns:c16="http://schemas.microsoft.com/office/drawing/2014/chart" uri="{C3380CC4-5D6E-409C-BE32-E72D297353CC}">
              <c16:uniqueId val="{00000005-79EE-42B7-95D2-8823D185AD91}"/>
            </c:ext>
          </c:extLst>
        </c:ser>
        <c:ser>
          <c:idx val="6"/>
          <c:order val="6"/>
          <c:spPr>
            <a:solidFill>
              <a:srgbClr val="28296E"/>
            </a:solidFill>
            <a:ln>
              <a:noFill/>
            </a:ln>
            <a:effectLst/>
          </c:spPr>
          <c:invertIfNegative val="0"/>
          <c:dLbls>
            <c:dLbl>
              <c:idx val="0"/>
              <c:tx>
                <c:rich>
                  <a:bodyPr/>
                  <a:lstStyle/>
                  <a:p>
                    <a:r>
                      <a:rPr lang="en-US"/>
                      <a:t>&gt;100%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9EE-42B7-95D2-8823D185AD91}"/>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Custom2020!$Q$8</c:f>
              <c:numCache>
                <c:formatCode>0%</c:formatCode>
                <c:ptCount val="1"/>
                <c:pt idx="0">
                  <c:v>1</c:v>
                </c:pt>
              </c:numCache>
            </c:numRef>
          </c:val>
          <c:extLst>
            <c:ext xmlns:c16="http://schemas.microsoft.com/office/drawing/2014/chart" uri="{C3380CC4-5D6E-409C-BE32-E72D297353CC}">
              <c16:uniqueId val="{00000007-79EE-42B7-95D2-8823D185AD91}"/>
            </c:ext>
          </c:extLst>
        </c:ser>
        <c:ser>
          <c:idx val="7"/>
          <c:order val="7"/>
          <c:spPr>
            <a:solidFill>
              <a:srgbClr val="000000"/>
            </a:solidFill>
            <a:ln>
              <a:noFill/>
            </a:ln>
            <a:effectLst/>
          </c:spPr>
          <c:invertIfNegative val="0"/>
          <c:val>
            <c:numRef>
              <c:f>Custom2020!$R$8</c:f>
              <c:numCache>
                <c:formatCode>0%</c:formatCode>
                <c:ptCount val="1"/>
                <c:pt idx="0">
                  <c:v>0</c:v>
                </c:pt>
              </c:numCache>
            </c:numRef>
          </c:val>
          <c:extLst>
            <c:ext xmlns:c16="http://schemas.microsoft.com/office/drawing/2014/chart" uri="{C3380CC4-5D6E-409C-BE32-E72D297353CC}">
              <c16:uniqueId val="{00000008-79EE-42B7-95D2-8823D185AD91}"/>
            </c:ext>
          </c:extLst>
        </c:ser>
        <c:ser>
          <c:idx val="8"/>
          <c:order val="8"/>
          <c:spPr>
            <a:solidFill>
              <a:srgbClr val="28296E"/>
            </a:solidFill>
            <a:ln>
              <a:noFill/>
            </a:ln>
            <a:effectLst/>
          </c:spPr>
          <c:invertIfNegative val="0"/>
          <c:val>
            <c:numRef>
              <c:f>Custom2020!$S$8</c:f>
              <c:numCache>
                <c:formatCode>0%</c:formatCode>
                <c:ptCount val="1"/>
                <c:pt idx="0">
                  <c:v>0</c:v>
                </c:pt>
              </c:numCache>
            </c:numRef>
          </c:val>
          <c:extLst>
            <c:ext xmlns:c16="http://schemas.microsoft.com/office/drawing/2014/chart" uri="{C3380CC4-5D6E-409C-BE32-E72D297353CC}">
              <c16:uniqueId val="{00000009-79EE-42B7-95D2-8823D185AD91}"/>
            </c:ext>
          </c:extLst>
        </c:ser>
        <c:dLbls>
          <c:showLegendKey val="0"/>
          <c:showVal val="0"/>
          <c:showCatName val="0"/>
          <c:showSerName val="0"/>
          <c:showPercent val="0"/>
          <c:showBubbleSize val="0"/>
        </c:dLbls>
        <c:gapWidth val="0"/>
        <c:overlap val="100"/>
        <c:axId val="115756032"/>
        <c:axId val="115761920"/>
      </c:barChart>
      <c:catAx>
        <c:axId val="115756032"/>
        <c:scaling>
          <c:orientation val="minMax"/>
        </c:scaling>
        <c:delete val="1"/>
        <c:axPos val="l"/>
        <c:majorTickMark val="none"/>
        <c:minorTickMark val="none"/>
        <c:tickLblPos val="nextTo"/>
        <c:crossAx val="115761920"/>
        <c:crosses val="autoZero"/>
        <c:auto val="1"/>
        <c:lblAlgn val="ctr"/>
        <c:lblOffset val="100"/>
        <c:noMultiLvlLbl val="0"/>
      </c:catAx>
      <c:valAx>
        <c:axId val="115761920"/>
        <c:scaling>
          <c:orientation val="minMax"/>
          <c:max val="1"/>
        </c:scaling>
        <c:delete val="1"/>
        <c:axPos val="b"/>
        <c:numFmt formatCode="0%" sourceLinked="1"/>
        <c:majorTickMark val="none"/>
        <c:minorTickMark val="none"/>
        <c:tickLblPos val="nextTo"/>
        <c:crossAx val="115756032"/>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Custom2020!$K$9</c:f>
              <c:numCache>
                <c:formatCode>0%</c:formatCode>
                <c:ptCount val="1"/>
                <c:pt idx="0">
                  <c:v>1</c:v>
                </c:pt>
              </c:numCache>
            </c:numRef>
          </c:val>
          <c:extLst>
            <c:ext xmlns:c16="http://schemas.microsoft.com/office/drawing/2014/chart" uri="{C3380CC4-5D6E-409C-BE32-E72D297353CC}">
              <c16:uniqueId val="{00000000-03CB-4B87-83B0-367852EC03C1}"/>
            </c:ext>
          </c:extLst>
        </c:ser>
        <c:ser>
          <c:idx val="1"/>
          <c:order val="1"/>
          <c:spPr>
            <a:solidFill>
              <a:srgbClr val="000000"/>
            </a:solidFill>
            <a:ln>
              <a:noFill/>
            </a:ln>
            <a:effectLst/>
          </c:spPr>
          <c:invertIfNegative val="0"/>
          <c:val>
            <c:numRef>
              <c:f>Custom2020!$L$9</c:f>
              <c:numCache>
                <c:formatCode>0%</c:formatCode>
                <c:ptCount val="1"/>
                <c:pt idx="0">
                  <c:v>0</c:v>
                </c:pt>
              </c:numCache>
            </c:numRef>
          </c:val>
          <c:extLst>
            <c:ext xmlns:c16="http://schemas.microsoft.com/office/drawing/2014/chart" uri="{C3380CC4-5D6E-409C-BE32-E72D297353CC}">
              <c16:uniqueId val="{00000001-03CB-4B87-83B0-367852EC03C1}"/>
            </c:ext>
          </c:extLst>
        </c:ser>
        <c:ser>
          <c:idx val="2"/>
          <c:order val="2"/>
          <c:spPr>
            <a:solidFill>
              <a:srgbClr val="DCE6F2"/>
            </a:solidFill>
            <a:ln>
              <a:noFill/>
            </a:ln>
            <a:effectLst/>
          </c:spPr>
          <c:invertIfNegative val="0"/>
          <c:val>
            <c:numRef>
              <c:f>Custom2020!$M$9</c:f>
              <c:numCache>
                <c:formatCode>0%</c:formatCode>
                <c:ptCount val="1"/>
                <c:pt idx="0">
                  <c:v>0</c:v>
                </c:pt>
              </c:numCache>
            </c:numRef>
          </c:val>
          <c:extLst>
            <c:ext xmlns:c16="http://schemas.microsoft.com/office/drawing/2014/chart" uri="{C3380CC4-5D6E-409C-BE32-E72D297353CC}">
              <c16:uniqueId val="{00000002-03CB-4B87-83B0-367852EC03C1}"/>
            </c:ext>
          </c:extLst>
        </c:ser>
        <c:ser>
          <c:idx val="3"/>
          <c:order val="3"/>
          <c:spPr>
            <a:solidFill>
              <a:srgbClr val="00ADDC"/>
            </a:solidFill>
            <a:ln>
              <a:noFill/>
            </a:ln>
            <a:effectLst/>
          </c:spPr>
          <c:invertIfNegative val="0"/>
          <c:val>
            <c:numRef>
              <c:f>Custom2020!$N$9</c:f>
              <c:numCache>
                <c:formatCode>0%</c:formatCode>
                <c:ptCount val="1"/>
                <c:pt idx="0">
                  <c:v>0</c:v>
                </c:pt>
              </c:numCache>
            </c:numRef>
          </c:val>
          <c:extLst>
            <c:ext xmlns:c16="http://schemas.microsoft.com/office/drawing/2014/chart" uri="{C3380CC4-5D6E-409C-BE32-E72D297353CC}">
              <c16:uniqueId val="{00000003-03CB-4B87-83B0-367852EC03C1}"/>
            </c:ext>
          </c:extLst>
        </c:ser>
        <c:ser>
          <c:idx val="4"/>
          <c:order val="4"/>
          <c:spPr>
            <a:solidFill>
              <a:srgbClr val="000000"/>
            </a:solidFill>
            <a:ln>
              <a:noFill/>
            </a:ln>
            <a:effectLst/>
          </c:spPr>
          <c:invertIfNegative val="0"/>
          <c:val>
            <c:numRef>
              <c:f>Custom2020!$O$9</c:f>
              <c:numCache>
                <c:formatCode>0%</c:formatCode>
                <c:ptCount val="1"/>
                <c:pt idx="0">
                  <c:v>0</c:v>
                </c:pt>
              </c:numCache>
            </c:numRef>
          </c:val>
          <c:extLst>
            <c:ext xmlns:c16="http://schemas.microsoft.com/office/drawing/2014/chart" uri="{C3380CC4-5D6E-409C-BE32-E72D297353CC}">
              <c16:uniqueId val="{00000004-03CB-4B87-83B0-367852EC03C1}"/>
            </c:ext>
          </c:extLst>
        </c:ser>
        <c:ser>
          <c:idx val="5"/>
          <c:order val="5"/>
          <c:spPr>
            <a:solidFill>
              <a:srgbClr val="00ADDC"/>
            </a:solidFill>
            <a:ln>
              <a:noFill/>
            </a:ln>
            <a:effectLst/>
          </c:spPr>
          <c:invertIfNegative val="0"/>
          <c:val>
            <c:numRef>
              <c:f>Custom2020!$P$9</c:f>
              <c:numCache>
                <c:formatCode>0%</c:formatCode>
                <c:ptCount val="1"/>
                <c:pt idx="0">
                  <c:v>0</c:v>
                </c:pt>
              </c:numCache>
            </c:numRef>
          </c:val>
          <c:extLst>
            <c:ext xmlns:c16="http://schemas.microsoft.com/office/drawing/2014/chart" uri="{C3380CC4-5D6E-409C-BE32-E72D297353CC}">
              <c16:uniqueId val="{00000005-03CB-4B87-83B0-367852EC03C1}"/>
            </c:ext>
          </c:extLst>
        </c:ser>
        <c:ser>
          <c:idx val="6"/>
          <c:order val="6"/>
          <c:spPr>
            <a:solidFill>
              <a:srgbClr val="28296E"/>
            </a:solidFill>
            <a:ln>
              <a:noFill/>
            </a:ln>
            <a:effectLst/>
          </c:spPr>
          <c:invertIfNegative val="0"/>
          <c:dLbls>
            <c:dLbl>
              <c:idx val="0"/>
              <c:tx>
                <c:rich>
                  <a:bodyPr/>
                  <a:lstStyle/>
                  <a:p>
                    <a:r>
                      <a:rPr lang="en-US"/>
                      <a:t>&gt;100%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3CB-4B87-83B0-367852EC03C1}"/>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Custom2020!$Q$9</c:f>
              <c:numCache>
                <c:formatCode>0%</c:formatCode>
                <c:ptCount val="1"/>
                <c:pt idx="0">
                  <c:v>1</c:v>
                </c:pt>
              </c:numCache>
            </c:numRef>
          </c:val>
          <c:extLst>
            <c:ext xmlns:c16="http://schemas.microsoft.com/office/drawing/2014/chart" uri="{C3380CC4-5D6E-409C-BE32-E72D297353CC}">
              <c16:uniqueId val="{00000007-03CB-4B87-83B0-367852EC03C1}"/>
            </c:ext>
          </c:extLst>
        </c:ser>
        <c:ser>
          <c:idx val="7"/>
          <c:order val="7"/>
          <c:spPr>
            <a:solidFill>
              <a:srgbClr val="000000"/>
            </a:solidFill>
            <a:ln>
              <a:noFill/>
            </a:ln>
            <a:effectLst/>
          </c:spPr>
          <c:invertIfNegative val="0"/>
          <c:val>
            <c:numRef>
              <c:f>Custom2020!$R$9</c:f>
              <c:numCache>
                <c:formatCode>0%</c:formatCode>
                <c:ptCount val="1"/>
                <c:pt idx="0">
                  <c:v>0</c:v>
                </c:pt>
              </c:numCache>
            </c:numRef>
          </c:val>
          <c:extLst>
            <c:ext xmlns:c16="http://schemas.microsoft.com/office/drawing/2014/chart" uri="{C3380CC4-5D6E-409C-BE32-E72D297353CC}">
              <c16:uniqueId val="{00000008-03CB-4B87-83B0-367852EC03C1}"/>
            </c:ext>
          </c:extLst>
        </c:ser>
        <c:ser>
          <c:idx val="8"/>
          <c:order val="8"/>
          <c:spPr>
            <a:solidFill>
              <a:srgbClr val="28296E"/>
            </a:solidFill>
            <a:ln>
              <a:noFill/>
            </a:ln>
            <a:effectLst/>
          </c:spPr>
          <c:invertIfNegative val="0"/>
          <c:val>
            <c:numRef>
              <c:f>Custom2020!$S$9</c:f>
              <c:numCache>
                <c:formatCode>0%</c:formatCode>
                <c:ptCount val="1"/>
                <c:pt idx="0">
                  <c:v>0</c:v>
                </c:pt>
              </c:numCache>
            </c:numRef>
          </c:val>
          <c:extLst>
            <c:ext xmlns:c16="http://schemas.microsoft.com/office/drawing/2014/chart" uri="{C3380CC4-5D6E-409C-BE32-E72D297353CC}">
              <c16:uniqueId val="{00000009-03CB-4B87-83B0-367852EC03C1}"/>
            </c:ext>
          </c:extLst>
        </c:ser>
        <c:dLbls>
          <c:showLegendKey val="0"/>
          <c:showVal val="0"/>
          <c:showCatName val="0"/>
          <c:showSerName val="0"/>
          <c:showPercent val="0"/>
          <c:showBubbleSize val="0"/>
        </c:dLbls>
        <c:gapWidth val="0"/>
        <c:overlap val="100"/>
        <c:axId val="115542656"/>
        <c:axId val="115564928"/>
      </c:barChart>
      <c:catAx>
        <c:axId val="115542656"/>
        <c:scaling>
          <c:orientation val="minMax"/>
        </c:scaling>
        <c:delete val="1"/>
        <c:axPos val="l"/>
        <c:majorTickMark val="none"/>
        <c:minorTickMark val="none"/>
        <c:tickLblPos val="nextTo"/>
        <c:crossAx val="115564928"/>
        <c:crosses val="autoZero"/>
        <c:auto val="1"/>
        <c:lblAlgn val="ctr"/>
        <c:lblOffset val="100"/>
        <c:noMultiLvlLbl val="0"/>
      </c:catAx>
      <c:valAx>
        <c:axId val="115564928"/>
        <c:scaling>
          <c:orientation val="minMax"/>
          <c:max val="1"/>
        </c:scaling>
        <c:delete val="1"/>
        <c:axPos val="b"/>
        <c:numFmt formatCode="0%" sourceLinked="1"/>
        <c:majorTickMark val="none"/>
        <c:minorTickMark val="none"/>
        <c:tickLblPos val="nextTo"/>
        <c:crossAx val="115542656"/>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2181094352017"/>
          <c:y val="4.9844238902451606E-2"/>
          <c:w val="0.62452204945195"/>
          <c:h val="0.90393013100436681"/>
        </c:manualLayout>
      </c:layout>
      <c:doughnutChart>
        <c:varyColors val="1"/>
        <c:ser>
          <c:idx val="0"/>
          <c:order val="0"/>
          <c:tx>
            <c:strRef>
              <c:f>Sheet1!$B$1</c:f>
              <c:strCache>
                <c:ptCount val="1"/>
                <c:pt idx="0">
                  <c:v>Sales</c:v>
                </c:pt>
              </c:strCache>
            </c:strRef>
          </c:tx>
          <c:spPr>
            <a:solidFill>
              <a:srgbClr val="00ADDC"/>
            </a:solidFill>
          </c:spPr>
          <c:dPt>
            <c:idx val="0"/>
            <c:bubble3D val="0"/>
            <c:spPr>
              <a:solidFill>
                <a:srgbClr val="00ADDC"/>
              </a:solidFill>
              <a:ln w="19050">
                <a:solidFill>
                  <a:schemeClr val="lt1"/>
                </a:solidFill>
              </a:ln>
              <a:effectLst/>
            </c:spPr>
            <c:extLst>
              <c:ext xmlns:c16="http://schemas.microsoft.com/office/drawing/2014/chart" uri="{C3380CC4-5D6E-409C-BE32-E72D297353CC}">
                <c16:uniqueId val="{00000001-5650-4BFC-AA77-3592E0BC7B4E}"/>
              </c:ext>
            </c:extLst>
          </c:dPt>
          <c:dPt>
            <c:idx val="1"/>
            <c:bubble3D val="0"/>
            <c:spPr>
              <a:solidFill>
                <a:schemeClr val="bg1"/>
              </a:solidFill>
              <a:ln w="19050">
                <a:solidFill>
                  <a:schemeClr val="lt1"/>
                </a:solidFill>
              </a:ln>
              <a:effectLst/>
            </c:spPr>
            <c:extLst>
              <c:ext xmlns:c16="http://schemas.microsoft.com/office/drawing/2014/chart" uri="{C3380CC4-5D6E-409C-BE32-E72D297353CC}">
                <c16:uniqueId val="{00000003-5650-4BFC-AA77-3592E0BC7B4E}"/>
              </c:ext>
            </c:extLst>
          </c:dPt>
          <c:cat>
            <c:strRef>
              <c:f>Sheet1!$A$2:$A$3</c:f>
              <c:strCache>
                <c:ptCount val="2"/>
                <c:pt idx="0">
                  <c:v>1st Qtr</c:v>
                </c:pt>
                <c:pt idx="1">
                  <c:v>2nd Qtr</c:v>
                </c:pt>
              </c:strCache>
            </c:strRef>
          </c:cat>
          <c:val>
            <c:numRef>
              <c:f>Sheet1!$B$2:$B$3</c:f>
              <c:numCache>
                <c:formatCode>0%</c:formatCode>
                <c:ptCount val="2"/>
                <c:pt idx="0">
                  <c:v>0.68</c:v>
                </c:pt>
                <c:pt idx="1">
                  <c:v>0.32</c:v>
                </c:pt>
              </c:numCache>
            </c:numRef>
          </c:val>
          <c:extLst>
            <c:ext xmlns:c16="http://schemas.microsoft.com/office/drawing/2014/chart" uri="{C3380CC4-5D6E-409C-BE32-E72D297353CC}">
              <c16:uniqueId val="{00000004-5650-4BFC-AA77-3592E0BC7B4E}"/>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3518427892829"/>
          <c:y val="2.9386278868251517E-4"/>
          <c:w val="0.42876820908311913"/>
          <c:h val="0.73503121557106132"/>
        </c:manualLayout>
      </c:layout>
      <c:doughnutChart>
        <c:varyColors val="1"/>
        <c:ser>
          <c:idx val="0"/>
          <c:order val="0"/>
          <c:tx>
            <c:strRef>
              <c:f>Sheet1!$B$1</c:f>
              <c:strCache>
                <c:ptCount val="1"/>
                <c:pt idx="0">
                  <c:v>Sales</c:v>
                </c:pt>
              </c:strCache>
            </c:strRef>
          </c:tx>
          <c:spPr>
            <a:solidFill>
              <a:schemeClr val="accent1"/>
            </a:solidFill>
            <a:ln>
              <a:noFill/>
            </a:ln>
          </c:spPr>
          <c:dPt>
            <c:idx val="0"/>
            <c:bubble3D val="0"/>
            <c:spPr>
              <a:solidFill>
                <a:srgbClr val="28296E"/>
              </a:solidFill>
              <a:ln w="19050">
                <a:noFill/>
              </a:ln>
              <a:effectLst/>
            </c:spPr>
            <c:extLst>
              <c:ext xmlns:c16="http://schemas.microsoft.com/office/drawing/2014/chart" uri="{C3380CC4-5D6E-409C-BE32-E72D297353CC}">
                <c16:uniqueId val="{00000001-11E2-4A25-84DB-243CA52A7FDA}"/>
              </c:ext>
            </c:extLst>
          </c:dPt>
          <c:dPt>
            <c:idx val="1"/>
            <c:bubble3D val="0"/>
            <c:spPr>
              <a:noFill/>
              <a:ln w="19050">
                <a:noFill/>
              </a:ln>
              <a:effectLst/>
            </c:spPr>
            <c:extLst>
              <c:ext xmlns:c16="http://schemas.microsoft.com/office/drawing/2014/chart" uri="{C3380CC4-5D6E-409C-BE32-E72D297353CC}">
                <c16:uniqueId val="{00000003-11E2-4A25-84DB-243CA52A7FDA}"/>
              </c:ext>
            </c:extLst>
          </c:dPt>
          <c:cat>
            <c:strRef>
              <c:f>Sheet1!$A$2:$A$3</c:f>
              <c:strCache>
                <c:ptCount val="2"/>
                <c:pt idx="0">
                  <c:v>1st Qtr</c:v>
                </c:pt>
                <c:pt idx="1">
                  <c:v>2nd Qtr</c:v>
                </c:pt>
              </c:strCache>
            </c:strRef>
          </c:cat>
          <c:val>
            <c:numRef>
              <c:f>Sheet1!$B$2:$B$3</c:f>
              <c:numCache>
                <c:formatCode>0%</c:formatCode>
                <c:ptCount val="2"/>
                <c:pt idx="0">
                  <c:v>0.85</c:v>
                </c:pt>
                <c:pt idx="1">
                  <c:v>0.15</c:v>
                </c:pt>
              </c:numCache>
            </c:numRef>
          </c:val>
          <c:extLst>
            <c:ext xmlns:c16="http://schemas.microsoft.com/office/drawing/2014/chart" uri="{C3380CC4-5D6E-409C-BE32-E72D297353CC}">
              <c16:uniqueId val="{00000004-11E2-4A25-84DB-243CA52A7FDA}"/>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Fiscalis2020!$K$4</c:f>
              <c:numCache>
                <c:formatCode>0%</c:formatCode>
                <c:ptCount val="1"/>
                <c:pt idx="0">
                  <c:v>1</c:v>
                </c:pt>
              </c:numCache>
            </c:numRef>
          </c:val>
          <c:extLst>
            <c:ext xmlns:c16="http://schemas.microsoft.com/office/drawing/2014/chart" uri="{C3380CC4-5D6E-409C-BE32-E72D297353CC}">
              <c16:uniqueId val="{00000000-E43C-40DC-A398-B62D0F2A485A}"/>
            </c:ext>
          </c:extLst>
        </c:ser>
        <c:ser>
          <c:idx val="1"/>
          <c:order val="1"/>
          <c:spPr>
            <a:solidFill>
              <a:srgbClr val="000000"/>
            </a:solidFill>
            <a:ln>
              <a:noFill/>
            </a:ln>
            <a:effectLst/>
          </c:spPr>
          <c:invertIfNegative val="0"/>
          <c:val>
            <c:numRef>
              <c:f>Fiscalis2020!$L$4</c:f>
              <c:numCache>
                <c:formatCode>0%</c:formatCode>
                <c:ptCount val="1"/>
                <c:pt idx="0">
                  <c:v>0</c:v>
                </c:pt>
              </c:numCache>
            </c:numRef>
          </c:val>
          <c:extLst>
            <c:ext xmlns:c16="http://schemas.microsoft.com/office/drawing/2014/chart" uri="{C3380CC4-5D6E-409C-BE32-E72D297353CC}">
              <c16:uniqueId val="{00000001-E43C-40DC-A398-B62D0F2A485A}"/>
            </c:ext>
          </c:extLst>
        </c:ser>
        <c:ser>
          <c:idx val="2"/>
          <c:order val="2"/>
          <c:spPr>
            <a:solidFill>
              <a:srgbClr val="DCE6F2"/>
            </a:solidFill>
            <a:ln>
              <a:noFill/>
            </a:ln>
            <a:effectLst/>
          </c:spPr>
          <c:invertIfNegative val="0"/>
          <c:val>
            <c:numRef>
              <c:f>Fiscalis2020!$M$4</c:f>
              <c:numCache>
                <c:formatCode>0%</c:formatCode>
                <c:ptCount val="1"/>
                <c:pt idx="0">
                  <c:v>0</c:v>
                </c:pt>
              </c:numCache>
            </c:numRef>
          </c:val>
          <c:extLst>
            <c:ext xmlns:c16="http://schemas.microsoft.com/office/drawing/2014/chart" uri="{C3380CC4-5D6E-409C-BE32-E72D297353CC}">
              <c16:uniqueId val="{00000002-E43C-40DC-A398-B62D0F2A485A}"/>
            </c:ext>
          </c:extLst>
        </c:ser>
        <c:ser>
          <c:idx val="3"/>
          <c:order val="3"/>
          <c:spPr>
            <a:solidFill>
              <a:srgbClr val="00ADDC"/>
            </a:solidFill>
            <a:ln>
              <a:noFill/>
            </a:ln>
            <a:effectLst/>
          </c:spPr>
          <c:invertIfNegative val="0"/>
          <c:val>
            <c:numRef>
              <c:f>Fiscalis2020!$N$4</c:f>
              <c:numCache>
                <c:formatCode>0%</c:formatCode>
                <c:ptCount val="1"/>
                <c:pt idx="0">
                  <c:v>0</c:v>
                </c:pt>
              </c:numCache>
            </c:numRef>
          </c:val>
          <c:extLst>
            <c:ext xmlns:c16="http://schemas.microsoft.com/office/drawing/2014/chart" uri="{C3380CC4-5D6E-409C-BE32-E72D297353CC}">
              <c16:uniqueId val="{00000003-E43C-40DC-A398-B62D0F2A485A}"/>
            </c:ext>
          </c:extLst>
        </c:ser>
        <c:ser>
          <c:idx val="4"/>
          <c:order val="4"/>
          <c:spPr>
            <a:solidFill>
              <a:srgbClr val="000000"/>
            </a:solidFill>
            <a:ln>
              <a:noFill/>
            </a:ln>
            <a:effectLst/>
          </c:spPr>
          <c:invertIfNegative val="0"/>
          <c:val>
            <c:numRef>
              <c:f>Fiscalis2020!$O$4</c:f>
              <c:numCache>
                <c:formatCode>0%</c:formatCode>
                <c:ptCount val="1"/>
                <c:pt idx="0">
                  <c:v>0</c:v>
                </c:pt>
              </c:numCache>
            </c:numRef>
          </c:val>
          <c:extLst>
            <c:ext xmlns:c16="http://schemas.microsoft.com/office/drawing/2014/chart" uri="{C3380CC4-5D6E-409C-BE32-E72D297353CC}">
              <c16:uniqueId val="{00000004-E43C-40DC-A398-B62D0F2A485A}"/>
            </c:ext>
          </c:extLst>
        </c:ser>
        <c:ser>
          <c:idx val="5"/>
          <c:order val="5"/>
          <c:spPr>
            <a:solidFill>
              <a:srgbClr val="00ADDC"/>
            </a:solidFill>
            <a:ln>
              <a:noFill/>
            </a:ln>
            <a:effectLst/>
          </c:spPr>
          <c:invertIfNegative val="0"/>
          <c:val>
            <c:numRef>
              <c:f>Fiscalis2020!$P$4</c:f>
              <c:numCache>
                <c:formatCode>0%</c:formatCode>
                <c:ptCount val="1"/>
                <c:pt idx="0">
                  <c:v>0</c:v>
                </c:pt>
              </c:numCache>
            </c:numRef>
          </c:val>
          <c:extLst>
            <c:ext xmlns:c16="http://schemas.microsoft.com/office/drawing/2014/chart" uri="{C3380CC4-5D6E-409C-BE32-E72D297353CC}">
              <c16:uniqueId val="{00000005-E43C-40DC-A398-B62D0F2A485A}"/>
            </c:ext>
          </c:extLst>
        </c:ser>
        <c:ser>
          <c:idx val="6"/>
          <c:order val="6"/>
          <c:spPr>
            <a:solidFill>
              <a:srgbClr val="28296E"/>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3C-40DC-A398-B62D0F2A485A}"/>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Fiscalis2020!$Q$4</c:f>
              <c:numCache>
                <c:formatCode>0%</c:formatCode>
                <c:ptCount val="1"/>
                <c:pt idx="0">
                  <c:v>1</c:v>
                </c:pt>
              </c:numCache>
            </c:numRef>
          </c:val>
          <c:extLst>
            <c:ext xmlns:c16="http://schemas.microsoft.com/office/drawing/2014/chart" uri="{C3380CC4-5D6E-409C-BE32-E72D297353CC}">
              <c16:uniqueId val="{00000007-E43C-40DC-A398-B62D0F2A485A}"/>
            </c:ext>
          </c:extLst>
        </c:ser>
        <c:ser>
          <c:idx val="7"/>
          <c:order val="7"/>
          <c:spPr>
            <a:solidFill>
              <a:srgbClr val="000000"/>
            </a:solidFill>
            <a:ln>
              <a:noFill/>
            </a:ln>
            <a:effectLst/>
          </c:spPr>
          <c:invertIfNegative val="0"/>
          <c:val>
            <c:numRef>
              <c:f>Fiscalis2020!$R$4</c:f>
              <c:numCache>
                <c:formatCode>0%</c:formatCode>
                <c:ptCount val="1"/>
                <c:pt idx="0">
                  <c:v>0</c:v>
                </c:pt>
              </c:numCache>
            </c:numRef>
          </c:val>
          <c:extLst>
            <c:ext xmlns:c16="http://schemas.microsoft.com/office/drawing/2014/chart" uri="{C3380CC4-5D6E-409C-BE32-E72D297353CC}">
              <c16:uniqueId val="{00000008-E43C-40DC-A398-B62D0F2A485A}"/>
            </c:ext>
          </c:extLst>
        </c:ser>
        <c:ser>
          <c:idx val="8"/>
          <c:order val="8"/>
          <c:spPr>
            <a:solidFill>
              <a:srgbClr val="28296E"/>
            </a:solidFill>
            <a:ln>
              <a:noFill/>
            </a:ln>
            <a:effectLst/>
          </c:spPr>
          <c:invertIfNegative val="0"/>
          <c:val>
            <c:numRef>
              <c:f>Fiscalis2020!$S$4</c:f>
              <c:numCache>
                <c:formatCode>0%</c:formatCode>
                <c:ptCount val="1"/>
                <c:pt idx="0">
                  <c:v>0</c:v>
                </c:pt>
              </c:numCache>
            </c:numRef>
          </c:val>
          <c:extLst>
            <c:ext xmlns:c16="http://schemas.microsoft.com/office/drawing/2014/chart" uri="{C3380CC4-5D6E-409C-BE32-E72D297353CC}">
              <c16:uniqueId val="{00000009-E43C-40DC-A398-B62D0F2A485A}"/>
            </c:ext>
          </c:extLst>
        </c:ser>
        <c:dLbls>
          <c:showLegendKey val="0"/>
          <c:showVal val="0"/>
          <c:showCatName val="0"/>
          <c:showSerName val="0"/>
          <c:showPercent val="0"/>
          <c:showBubbleSize val="0"/>
        </c:dLbls>
        <c:gapWidth val="0"/>
        <c:overlap val="100"/>
        <c:axId val="116513024"/>
        <c:axId val="116514816"/>
      </c:barChart>
      <c:catAx>
        <c:axId val="116513024"/>
        <c:scaling>
          <c:orientation val="minMax"/>
        </c:scaling>
        <c:delete val="1"/>
        <c:axPos val="l"/>
        <c:majorTickMark val="none"/>
        <c:minorTickMark val="none"/>
        <c:tickLblPos val="nextTo"/>
        <c:crossAx val="116514816"/>
        <c:crosses val="autoZero"/>
        <c:auto val="1"/>
        <c:lblAlgn val="ctr"/>
        <c:lblOffset val="100"/>
        <c:noMultiLvlLbl val="0"/>
      </c:catAx>
      <c:valAx>
        <c:axId val="116514816"/>
        <c:scaling>
          <c:orientation val="minMax"/>
          <c:max val="1"/>
        </c:scaling>
        <c:delete val="1"/>
        <c:axPos val="b"/>
        <c:numFmt formatCode="0%" sourceLinked="1"/>
        <c:majorTickMark val="none"/>
        <c:minorTickMark val="none"/>
        <c:tickLblPos val="nextTo"/>
        <c:crossAx val="116513024"/>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Fiscalis2020!$K$5</c:f>
              <c:numCache>
                <c:formatCode>0%</c:formatCode>
                <c:ptCount val="1"/>
                <c:pt idx="0">
                  <c:v>1</c:v>
                </c:pt>
              </c:numCache>
            </c:numRef>
          </c:val>
          <c:extLst>
            <c:ext xmlns:c16="http://schemas.microsoft.com/office/drawing/2014/chart" uri="{C3380CC4-5D6E-409C-BE32-E72D297353CC}">
              <c16:uniqueId val="{00000000-A70A-49E8-A902-DB3A004DC1A2}"/>
            </c:ext>
          </c:extLst>
        </c:ser>
        <c:ser>
          <c:idx val="1"/>
          <c:order val="1"/>
          <c:spPr>
            <a:solidFill>
              <a:srgbClr val="000000"/>
            </a:solidFill>
            <a:ln>
              <a:noFill/>
            </a:ln>
            <a:effectLst/>
          </c:spPr>
          <c:invertIfNegative val="0"/>
          <c:val>
            <c:numRef>
              <c:f>Fiscalis2020!$L$5</c:f>
              <c:numCache>
                <c:formatCode>0%</c:formatCode>
                <c:ptCount val="1"/>
                <c:pt idx="0">
                  <c:v>0</c:v>
                </c:pt>
              </c:numCache>
            </c:numRef>
          </c:val>
          <c:extLst>
            <c:ext xmlns:c16="http://schemas.microsoft.com/office/drawing/2014/chart" uri="{C3380CC4-5D6E-409C-BE32-E72D297353CC}">
              <c16:uniqueId val="{00000001-A70A-49E8-A902-DB3A004DC1A2}"/>
            </c:ext>
          </c:extLst>
        </c:ser>
        <c:ser>
          <c:idx val="2"/>
          <c:order val="2"/>
          <c:spPr>
            <a:solidFill>
              <a:srgbClr val="DCE6F2"/>
            </a:solidFill>
            <a:ln>
              <a:noFill/>
            </a:ln>
            <a:effectLst/>
          </c:spPr>
          <c:invertIfNegative val="0"/>
          <c:val>
            <c:numRef>
              <c:f>Fiscalis2020!$M$5</c:f>
              <c:numCache>
                <c:formatCode>0%</c:formatCode>
                <c:ptCount val="1"/>
                <c:pt idx="0">
                  <c:v>0</c:v>
                </c:pt>
              </c:numCache>
            </c:numRef>
          </c:val>
          <c:extLst>
            <c:ext xmlns:c16="http://schemas.microsoft.com/office/drawing/2014/chart" uri="{C3380CC4-5D6E-409C-BE32-E72D297353CC}">
              <c16:uniqueId val="{00000002-A70A-49E8-A902-DB3A004DC1A2}"/>
            </c:ext>
          </c:extLst>
        </c:ser>
        <c:ser>
          <c:idx val="3"/>
          <c:order val="3"/>
          <c:spPr>
            <a:solidFill>
              <a:srgbClr val="00ADDC"/>
            </a:solidFill>
            <a:ln>
              <a:noFill/>
            </a:ln>
            <a:effectLst/>
          </c:spPr>
          <c:invertIfNegative val="0"/>
          <c:val>
            <c:numRef>
              <c:f>Fiscalis2020!$N$5</c:f>
              <c:numCache>
                <c:formatCode>0%</c:formatCode>
                <c:ptCount val="1"/>
                <c:pt idx="0">
                  <c:v>0</c:v>
                </c:pt>
              </c:numCache>
            </c:numRef>
          </c:val>
          <c:extLst>
            <c:ext xmlns:c16="http://schemas.microsoft.com/office/drawing/2014/chart" uri="{C3380CC4-5D6E-409C-BE32-E72D297353CC}">
              <c16:uniqueId val="{00000003-A70A-49E8-A902-DB3A004DC1A2}"/>
            </c:ext>
          </c:extLst>
        </c:ser>
        <c:ser>
          <c:idx val="4"/>
          <c:order val="4"/>
          <c:spPr>
            <a:solidFill>
              <a:srgbClr val="000000"/>
            </a:solidFill>
            <a:ln>
              <a:noFill/>
            </a:ln>
            <a:effectLst/>
          </c:spPr>
          <c:invertIfNegative val="0"/>
          <c:val>
            <c:numRef>
              <c:f>Fiscalis2020!$O$5</c:f>
              <c:numCache>
                <c:formatCode>0%</c:formatCode>
                <c:ptCount val="1"/>
                <c:pt idx="0">
                  <c:v>0</c:v>
                </c:pt>
              </c:numCache>
            </c:numRef>
          </c:val>
          <c:extLst>
            <c:ext xmlns:c16="http://schemas.microsoft.com/office/drawing/2014/chart" uri="{C3380CC4-5D6E-409C-BE32-E72D297353CC}">
              <c16:uniqueId val="{00000004-A70A-49E8-A902-DB3A004DC1A2}"/>
            </c:ext>
          </c:extLst>
        </c:ser>
        <c:ser>
          <c:idx val="5"/>
          <c:order val="5"/>
          <c:spPr>
            <a:solidFill>
              <a:srgbClr val="00ADDC"/>
            </a:solidFill>
            <a:ln>
              <a:noFill/>
            </a:ln>
            <a:effectLst/>
          </c:spPr>
          <c:invertIfNegative val="0"/>
          <c:val>
            <c:numRef>
              <c:f>Fiscalis2020!$P$5</c:f>
              <c:numCache>
                <c:formatCode>0%</c:formatCode>
                <c:ptCount val="1"/>
                <c:pt idx="0">
                  <c:v>0</c:v>
                </c:pt>
              </c:numCache>
            </c:numRef>
          </c:val>
          <c:extLst>
            <c:ext xmlns:c16="http://schemas.microsoft.com/office/drawing/2014/chart" uri="{C3380CC4-5D6E-409C-BE32-E72D297353CC}">
              <c16:uniqueId val="{00000005-A70A-49E8-A902-DB3A004DC1A2}"/>
            </c:ext>
          </c:extLst>
        </c:ser>
        <c:ser>
          <c:idx val="6"/>
          <c:order val="6"/>
          <c:spPr>
            <a:solidFill>
              <a:srgbClr val="28296E"/>
            </a:solidFill>
            <a:ln>
              <a:noFill/>
            </a:ln>
            <a:effectLst/>
          </c:spPr>
          <c:invertIfNegative val="0"/>
          <c:dLbls>
            <c:dLbl>
              <c:idx val="0"/>
              <c:tx>
                <c:rich>
                  <a:bodyPr/>
                  <a:lstStyle/>
                  <a:p>
                    <a:r>
                      <a:rPr lang="en-US"/>
                      <a:t>&gt; 100%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70A-49E8-A902-DB3A004DC1A2}"/>
                </c:ext>
              </c:extLst>
            </c:dLbl>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Fiscalis2020!$Q$5</c:f>
              <c:numCache>
                <c:formatCode>0%</c:formatCode>
                <c:ptCount val="1"/>
                <c:pt idx="0">
                  <c:v>1</c:v>
                </c:pt>
              </c:numCache>
            </c:numRef>
          </c:val>
          <c:extLst>
            <c:ext xmlns:c16="http://schemas.microsoft.com/office/drawing/2014/chart" uri="{C3380CC4-5D6E-409C-BE32-E72D297353CC}">
              <c16:uniqueId val="{00000007-A70A-49E8-A902-DB3A004DC1A2}"/>
            </c:ext>
          </c:extLst>
        </c:ser>
        <c:ser>
          <c:idx val="7"/>
          <c:order val="7"/>
          <c:spPr>
            <a:solidFill>
              <a:srgbClr val="000000"/>
            </a:solidFill>
            <a:ln>
              <a:noFill/>
            </a:ln>
            <a:effectLst/>
          </c:spPr>
          <c:invertIfNegative val="0"/>
          <c:val>
            <c:numRef>
              <c:f>Fiscalis2020!$R$5</c:f>
              <c:numCache>
                <c:formatCode>0%</c:formatCode>
                <c:ptCount val="1"/>
                <c:pt idx="0">
                  <c:v>0</c:v>
                </c:pt>
              </c:numCache>
            </c:numRef>
          </c:val>
          <c:extLst>
            <c:ext xmlns:c16="http://schemas.microsoft.com/office/drawing/2014/chart" uri="{C3380CC4-5D6E-409C-BE32-E72D297353CC}">
              <c16:uniqueId val="{00000008-A70A-49E8-A902-DB3A004DC1A2}"/>
            </c:ext>
          </c:extLst>
        </c:ser>
        <c:ser>
          <c:idx val="8"/>
          <c:order val="8"/>
          <c:spPr>
            <a:solidFill>
              <a:srgbClr val="28296E"/>
            </a:solidFill>
            <a:ln>
              <a:noFill/>
            </a:ln>
            <a:effectLst/>
          </c:spPr>
          <c:invertIfNegative val="0"/>
          <c:val>
            <c:numRef>
              <c:f>Fiscalis2020!$S$5</c:f>
              <c:numCache>
                <c:formatCode>0%</c:formatCode>
                <c:ptCount val="1"/>
                <c:pt idx="0">
                  <c:v>0</c:v>
                </c:pt>
              </c:numCache>
            </c:numRef>
          </c:val>
          <c:extLst>
            <c:ext xmlns:c16="http://schemas.microsoft.com/office/drawing/2014/chart" uri="{C3380CC4-5D6E-409C-BE32-E72D297353CC}">
              <c16:uniqueId val="{00000009-A70A-49E8-A902-DB3A004DC1A2}"/>
            </c:ext>
          </c:extLst>
        </c:ser>
        <c:dLbls>
          <c:showLegendKey val="0"/>
          <c:showVal val="0"/>
          <c:showCatName val="0"/>
          <c:showSerName val="0"/>
          <c:showPercent val="0"/>
          <c:showBubbleSize val="0"/>
        </c:dLbls>
        <c:gapWidth val="0"/>
        <c:overlap val="100"/>
        <c:axId val="116647808"/>
        <c:axId val="116649344"/>
      </c:barChart>
      <c:catAx>
        <c:axId val="116647808"/>
        <c:scaling>
          <c:orientation val="minMax"/>
        </c:scaling>
        <c:delete val="1"/>
        <c:axPos val="l"/>
        <c:majorTickMark val="none"/>
        <c:minorTickMark val="none"/>
        <c:tickLblPos val="nextTo"/>
        <c:crossAx val="116649344"/>
        <c:crosses val="autoZero"/>
        <c:auto val="1"/>
        <c:lblAlgn val="ctr"/>
        <c:lblOffset val="100"/>
        <c:noMultiLvlLbl val="0"/>
      </c:catAx>
      <c:valAx>
        <c:axId val="116649344"/>
        <c:scaling>
          <c:orientation val="minMax"/>
          <c:max val="1"/>
        </c:scaling>
        <c:delete val="1"/>
        <c:axPos val="b"/>
        <c:numFmt formatCode="0%" sourceLinked="1"/>
        <c:majorTickMark val="none"/>
        <c:minorTickMark val="none"/>
        <c:tickLblPos val="nextTo"/>
        <c:crossAx val="116647808"/>
        <c:crosses val="autoZero"/>
        <c:crossBetween val="between"/>
      </c:valAx>
      <c:spPr>
        <a:noFill/>
        <a:ln>
          <a:noFill/>
        </a:ln>
        <a:effectLst/>
        <a:extLs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0"/>
          <c:y val="0"/>
          <c:w val="1"/>
          <c:h val="1"/>
        </c:manualLayout>
      </c:layout>
      <c:barChart>
        <c:barDir val="bar"/>
        <c:grouping val="clustered"/>
        <c:varyColors val="0"/>
        <c:ser>
          <c:idx val="0"/>
          <c:order val="0"/>
          <c:spPr>
            <a:solidFill>
              <a:srgbClr val="DCE6F2"/>
            </a:solidFill>
            <a:ln>
              <a:noFill/>
            </a:ln>
            <a:effectLst/>
          </c:spPr>
          <c:invertIfNegative val="0"/>
          <c:val>
            <c:numRef>
              <c:f>Fiscalis2020!$K$6</c:f>
              <c:numCache>
                <c:formatCode>0%</c:formatCode>
                <c:ptCount val="1"/>
                <c:pt idx="0">
                  <c:v>1</c:v>
                </c:pt>
              </c:numCache>
            </c:numRef>
          </c:val>
          <c:extLst>
            <c:ext xmlns:c16="http://schemas.microsoft.com/office/drawing/2014/chart" uri="{C3380CC4-5D6E-409C-BE32-E72D297353CC}">
              <c16:uniqueId val="{00000000-C296-41F3-8F59-B105CB61B7B7}"/>
            </c:ext>
          </c:extLst>
        </c:ser>
        <c:ser>
          <c:idx val="1"/>
          <c:order val="1"/>
          <c:spPr>
            <a:solidFill>
              <a:srgbClr val="000000"/>
            </a:solidFill>
            <a:ln>
              <a:noFill/>
            </a:ln>
            <a:effectLst/>
          </c:spPr>
          <c:invertIfNegative val="0"/>
          <c:val>
            <c:numRef>
              <c:f>Fiscalis2020!$L$6</c:f>
              <c:numCache>
                <c:formatCode>0%</c:formatCode>
                <c:ptCount val="1"/>
                <c:pt idx="0">
                  <c:v>0</c:v>
                </c:pt>
              </c:numCache>
            </c:numRef>
          </c:val>
          <c:extLst>
            <c:ext xmlns:c16="http://schemas.microsoft.com/office/drawing/2014/chart" uri="{C3380CC4-5D6E-409C-BE32-E72D297353CC}">
              <c16:uniqueId val="{00000001-C296-41F3-8F59-B105CB61B7B7}"/>
            </c:ext>
          </c:extLst>
        </c:ser>
        <c:ser>
          <c:idx val="2"/>
          <c:order val="2"/>
          <c:spPr>
            <a:solidFill>
              <a:srgbClr val="DCE6F2"/>
            </a:solidFill>
            <a:ln>
              <a:noFill/>
            </a:ln>
            <a:effectLst/>
          </c:spPr>
          <c:invertIfNegative val="0"/>
          <c:val>
            <c:numRef>
              <c:f>Fiscalis2020!$M$6</c:f>
              <c:numCache>
                <c:formatCode>0%</c:formatCode>
                <c:ptCount val="1"/>
                <c:pt idx="0">
                  <c:v>0</c:v>
                </c:pt>
              </c:numCache>
            </c:numRef>
          </c:val>
          <c:extLst>
            <c:ext xmlns:c16="http://schemas.microsoft.com/office/drawing/2014/chart" uri="{C3380CC4-5D6E-409C-BE32-E72D297353CC}">
              <c16:uniqueId val="{00000002-C296-41F3-8F59-B105CB61B7B7}"/>
            </c:ext>
          </c:extLst>
        </c:ser>
        <c:ser>
          <c:idx val="3"/>
          <c:order val="3"/>
          <c:spPr>
            <a:solidFill>
              <a:srgbClr val="00ADDC"/>
            </a:solidFill>
            <a:ln>
              <a:noFill/>
            </a:ln>
            <a:effectLst/>
          </c:spPr>
          <c:invertIfNegative val="0"/>
          <c:val>
            <c:numRef>
              <c:f>Fiscalis2020!$N$6</c:f>
              <c:numCache>
                <c:formatCode>0%</c:formatCode>
                <c:ptCount val="1"/>
                <c:pt idx="0">
                  <c:v>0</c:v>
                </c:pt>
              </c:numCache>
            </c:numRef>
          </c:val>
          <c:extLst>
            <c:ext xmlns:c16="http://schemas.microsoft.com/office/drawing/2014/chart" uri="{C3380CC4-5D6E-409C-BE32-E72D297353CC}">
              <c16:uniqueId val="{00000003-C296-41F3-8F59-B105CB61B7B7}"/>
            </c:ext>
          </c:extLst>
        </c:ser>
        <c:ser>
          <c:idx val="4"/>
          <c:order val="4"/>
          <c:spPr>
            <a:solidFill>
              <a:srgbClr val="000000"/>
            </a:solidFill>
            <a:ln>
              <a:noFill/>
            </a:ln>
            <a:effectLst/>
          </c:spPr>
          <c:invertIfNegative val="0"/>
          <c:val>
            <c:numRef>
              <c:f>Fiscalis2020!$O$6</c:f>
              <c:numCache>
                <c:formatCode>0%</c:formatCode>
                <c:ptCount val="1"/>
                <c:pt idx="0">
                  <c:v>0</c:v>
                </c:pt>
              </c:numCache>
            </c:numRef>
          </c:val>
          <c:extLst>
            <c:ext xmlns:c16="http://schemas.microsoft.com/office/drawing/2014/chart" uri="{C3380CC4-5D6E-409C-BE32-E72D297353CC}">
              <c16:uniqueId val="{00000004-C296-41F3-8F59-B105CB61B7B7}"/>
            </c:ext>
          </c:extLst>
        </c:ser>
        <c:ser>
          <c:idx val="5"/>
          <c:order val="5"/>
          <c:spPr>
            <a:solidFill>
              <a:srgbClr val="00ADDC"/>
            </a:solidFill>
            <a:ln>
              <a:noFill/>
            </a:ln>
            <a:effectLst/>
          </c:spPr>
          <c:invertIfNegative val="0"/>
          <c:val>
            <c:numRef>
              <c:f>Fiscalis2020!$P$6</c:f>
              <c:numCache>
                <c:formatCode>0%</c:formatCode>
                <c:ptCount val="1"/>
                <c:pt idx="0">
                  <c:v>0</c:v>
                </c:pt>
              </c:numCache>
            </c:numRef>
          </c:val>
          <c:extLst>
            <c:ext xmlns:c16="http://schemas.microsoft.com/office/drawing/2014/chart" uri="{C3380CC4-5D6E-409C-BE32-E72D297353CC}">
              <c16:uniqueId val="{00000005-C296-41F3-8F59-B105CB61B7B7}"/>
            </c:ext>
          </c:extLst>
        </c:ser>
        <c:ser>
          <c:idx val="6"/>
          <c:order val="6"/>
          <c:spPr>
            <a:solidFill>
              <a:srgbClr val="28296E"/>
            </a:solidFill>
            <a:ln>
              <a:noFill/>
            </a:ln>
            <a:effectLst/>
          </c:spPr>
          <c:invertIfNegative val="0"/>
          <c:dLbls>
            <c:spPr>
              <a:noFill/>
              <a:ln>
                <a:noFill/>
              </a:ln>
              <a:effectLst/>
            </c:spPr>
            <c:txPr>
              <a:bodyPr wrap="square" lIns="0" tIns="0" rIns="38100" bIns="19050" anchor="ctr">
                <a:spAutoFit/>
              </a:bodyPr>
              <a:lstStyle/>
              <a:p>
                <a:pPr>
                  <a:defRPr sz="800">
                    <a:solidFill>
                      <a:srgbClr val="FFFFFF"/>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Fiscalis2020!$Q$6</c:f>
              <c:numCache>
                <c:formatCode>0%</c:formatCode>
                <c:ptCount val="1"/>
                <c:pt idx="0">
                  <c:v>0.90888229927007302</c:v>
                </c:pt>
              </c:numCache>
            </c:numRef>
          </c:val>
          <c:extLst>
            <c:ext xmlns:c16="http://schemas.microsoft.com/office/drawing/2014/chart" uri="{C3380CC4-5D6E-409C-BE32-E72D297353CC}">
              <c16:uniqueId val="{00000006-C296-41F3-8F59-B105CB61B7B7}"/>
            </c:ext>
          </c:extLst>
        </c:ser>
        <c:ser>
          <c:idx val="7"/>
          <c:order val="7"/>
          <c:spPr>
            <a:solidFill>
              <a:srgbClr val="000000"/>
            </a:solidFill>
            <a:ln>
              <a:noFill/>
            </a:ln>
            <a:effectLst/>
          </c:spPr>
          <c:invertIfNegative val="0"/>
          <c:val>
            <c:numRef>
              <c:f>Fiscalis2020!$R$6</c:f>
              <c:numCache>
                <c:formatCode>0%</c:formatCode>
                <c:ptCount val="1"/>
                <c:pt idx="0">
                  <c:v>0</c:v>
                </c:pt>
              </c:numCache>
            </c:numRef>
          </c:val>
          <c:extLst>
            <c:ext xmlns:c16="http://schemas.microsoft.com/office/drawing/2014/chart" uri="{C3380CC4-5D6E-409C-BE32-E72D297353CC}">
              <c16:uniqueId val="{00000007-C296-41F3-8F59-B105CB61B7B7}"/>
            </c:ext>
          </c:extLst>
        </c:ser>
        <c:ser>
          <c:idx val="8"/>
          <c:order val="8"/>
          <c:spPr>
            <a:solidFill>
              <a:srgbClr val="28296E"/>
            </a:solidFill>
            <a:ln>
              <a:noFill/>
            </a:ln>
            <a:effectLst/>
          </c:spPr>
          <c:invertIfNegative val="0"/>
          <c:val>
            <c:numRef>
              <c:f>Fiscalis2020!$S$6</c:f>
              <c:numCache>
                <c:formatCode>0%</c:formatCode>
                <c:ptCount val="1"/>
                <c:pt idx="0">
                  <c:v>0</c:v>
                </c:pt>
              </c:numCache>
            </c:numRef>
          </c:val>
          <c:extLst>
            <c:ext xmlns:c16="http://schemas.microsoft.com/office/drawing/2014/chart" uri="{C3380CC4-5D6E-409C-BE32-E72D297353CC}">
              <c16:uniqueId val="{00000008-C296-41F3-8F59-B105CB61B7B7}"/>
            </c:ext>
          </c:extLst>
        </c:ser>
        <c:dLbls>
          <c:showLegendKey val="0"/>
          <c:showVal val="0"/>
          <c:showCatName val="0"/>
          <c:showSerName val="0"/>
          <c:showPercent val="0"/>
          <c:showBubbleSize val="0"/>
        </c:dLbls>
        <c:gapWidth val="0"/>
        <c:overlap val="100"/>
        <c:axId val="115987584"/>
        <c:axId val="115989120"/>
      </c:barChart>
      <c:catAx>
        <c:axId val="115987584"/>
        <c:scaling>
          <c:orientation val="minMax"/>
        </c:scaling>
        <c:delete val="1"/>
        <c:axPos val="l"/>
        <c:majorTickMark val="none"/>
        <c:minorTickMark val="none"/>
        <c:tickLblPos val="nextTo"/>
        <c:crossAx val="115989120"/>
        <c:crosses val="autoZero"/>
        <c:auto val="1"/>
        <c:lblAlgn val="ctr"/>
        <c:lblOffset val="100"/>
        <c:noMultiLvlLbl val="0"/>
      </c:catAx>
      <c:valAx>
        <c:axId val="115989120"/>
        <c:scaling>
          <c:orientation val="minMax"/>
          <c:max val="1"/>
        </c:scaling>
        <c:delete val="1"/>
        <c:axPos val="b"/>
        <c:numFmt formatCode="0%" sourceLinked="1"/>
        <c:majorTickMark val="none"/>
        <c:minorTickMark val="none"/>
        <c:tickLblPos val="nextTo"/>
        <c:crossAx val="115987584"/>
        <c:crosses val="autoZero"/>
        <c:crossBetween val="between"/>
      </c:valAx>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fr-F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8</Pages>
  <Words>27796</Words>
  <Characters>160107</Characters>
  <Application>Microsoft Office Word</Application>
  <DocSecurity>4</DocSecurity>
  <Lines>4447</Lines>
  <Paragraphs>2159</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185744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VERLO Ann Catrin (SG)</dc:creator>
  <cp:keywords/>
  <dc:description/>
  <cp:lastModifiedBy>HEILEMANN Stefanie (SG)</cp:lastModifiedBy>
  <cp:revision>2</cp:revision>
  <dcterms:created xsi:type="dcterms:W3CDTF">2020-06-24T07:21:00Z</dcterms:created>
  <dcterms:modified xsi:type="dcterms:W3CDTF">2020-06-24T07:21:00Z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1</vt:lpwstr>
  </property>
  <property fmtid="{D5CDD505-2E9C-101B-9397-08002B2CF9AE}" pid="5" name="Unique annex">
    <vt:lpwstr>0</vt:lpwstr>
  </property>
  <property fmtid="{D5CDD505-2E9C-101B-9397-08002B2CF9AE}" pid="6" name="Part">
    <vt:lpwstr>1</vt:lpwstr>
  </property>
  <property fmtid="{D5CDD505-2E9C-101B-9397-08002B2CF9AE}" pid="7" name="Total parts">
    <vt:lpwstr>3</vt:lpwstr>
  </property>
  <property fmtid="{D5CDD505-2E9C-101B-9397-08002B2CF9AE}" pid="8" name="DocStatus">
    <vt:lpwstr>Green</vt:lpwstr>
  </property>
  <property fmtid="{D5CDD505-2E9C-101B-9397-08002B2CF9AE}" pid="9" name="CPTemplateID">
    <vt:lpwstr>CP-039</vt:lpwstr>
  </property>
  <property fmtid="{D5CDD505-2E9C-101B-9397-08002B2CF9AE}" pid="10" name="Last edited using">
    <vt:lpwstr>LW 7.0.1, Build 20190916</vt:lpwstr>
  </property>
  <property fmtid="{D5CDD505-2E9C-101B-9397-08002B2CF9AE}" pid="11" name="Created using">
    <vt:lpwstr>LW 7.0.1, Build 20190916</vt:lpwstr>
  </property>
</Properties>
</file>