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29C32E8-33AE-4B74-9D2D-C3F13D20DE94" style="width:451.35pt;height:39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spacing w:after="0" w:line="240" w:lineRule="auto"/>
        <w:jc w:val="both"/>
        <w:rPr>
          <w:rFonts w:ascii="Times New Roman" w:eastAsia="Times New Roman" w:hAnsi="Times New Roman" w:cs="Times New Roman"/>
          <w:bCs/>
          <w:noProof/>
          <w:sz w:val="24"/>
          <w:szCs w:val="24"/>
        </w:rPr>
      </w:pPr>
      <w:bookmarkStart w:id="1" w:name="_GoBack"/>
      <w:bookmarkEnd w:id="1"/>
      <w:r>
        <w:rPr>
          <w:rFonts w:ascii="Times New Roman" w:hAnsi="Times New Roman"/>
          <w:b/>
          <w:noProof/>
          <w:sz w:val="24"/>
          <w:szCs w:val="24"/>
        </w:rPr>
        <w:lastRenderedPageBreak/>
        <w:t>ПРИЛОЖЕНИЕ I: Актове, които попадат в обхвата на прегледа, но не изискват изменения</w:t>
      </w:r>
    </w:p>
    <w:p>
      <w:pPr>
        <w:tabs>
          <w:tab w:val="left" w:pos="1276"/>
        </w:tabs>
        <w:spacing w:before="120" w:after="0" w:line="240" w:lineRule="auto"/>
        <w:ind w:left="850" w:right="-27" w:hanging="850"/>
        <w:jc w:val="both"/>
        <w:rPr>
          <w:rFonts w:ascii="Times New Roman" w:eastAsia="Calibri" w:hAnsi="Times New Roman" w:cs="Times New Roman"/>
          <w:bCs/>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Актове, които не съдържат специални правила за защита на данните и поради това не се смятат за „заварено положение“, което означава, че Директивата относно правоприлагането в областта на защитата на данните вече се прилага за тях (7 акта):</w:t>
      </w:r>
    </w:p>
    <w:p>
      <w:pPr>
        <w:numPr>
          <w:ilvl w:val="0"/>
          <w:numId w:val="6"/>
        </w:numPr>
        <w:tabs>
          <w:tab w:val="left" w:pos="1276"/>
        </w:tabs>
        <w:spacing w:after="120" w:line="240" w:lineRule="auto"/>
        <w:ind w:left="567" w:right="-27" w:hanging="425"/>
        <w:jc w:val="both"/>
        <w:rPr>
          <w:rFonts w:ascii="Times New Roman" w:eastAsia="Calibri" w:hAnsi="Times New Roman" w:cs="Times New Roman"/>
          <w:noProof/>
          <w:sz w:val="24"/>
          <w:szCs w:val="24"/>
        </w:rPr>
      </w:pPr>
      <w:r>
        <w:rPr>
          <w:rFonts w:ascii="Times New Roman" w:hAnsi="Times New Roman"/>
          <w:bCs/>
          <w:noProof/>
          <w:sz w:val="24"/>
          <w:szCs w:val="24"/>
        </w:rPr>
        <w:t>Рамково решение 2002/584/ПВР на Съвета от 13 юни 2002 г. относно европейската заповед за арест и процедурите за предаване между държавите членки</w:t>
      </w:r>
      <w:r>
        <w:rPr>
          <w:rFonts w:ascii="Times New Roman" w:eastAsia="Calibri" w:hAnsi="Times New Roman" w:cs="Times New Roman"/>
          <w:bCs/>
          <w:noProof/>
          <w:sz w:val="24"/>
          <w:szCs w:val="24"/>
          <w:vertAlign w:val="superscript"/>
        </w:rPr>
        <w:footnoteReference w:id="2"/>
      </w:r>
      <w:r>
        <w:rPr>
          <w:rFonts w:ascii="Times New Roman" w:hAnsi="Times New Roman"/>
          <w:b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2003/577/ПВР на Съвета от 22 юли 2003 г. за изпълнение в Европейския съюз на решения за обезпечаване на имущество или доказателства</w:t>
      </w:r>
      <w:r>
        <w:rPr>
          <w:rFonts w:ascii="Times New Roman" w:eastAsia="Calibri" w:hAnsi="Times New Roman" w:cs="Times New Roman"/>
          <w:bCs/>
          <w:noProof/>
          <w:sz w:val="24"/>
          <w:szCs w:val="24"/>
          <w:vertAlign w:val="superscript"/>
        </w:rPr>
        <w:footnoteReference w:id="3"/>
      </w:r>
      <w:r>
        <w:rPr>
          <w:rFonts w:ascii="Times New Roman" w:hAnsi="Times New Roman"/>
          <w:b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iCs/>
          <w:noProof/>
          <w:sz w:val="24"/>
          <w:szCs w:val="24"/>
        </w:rPr>
      </w:pPr>
      <w:r>
        <w:rPr>
          <w:rFonts w:ascii="Times New Roman" w:hAnsi="Times New Roman"/>
          <w:bCs/>
          <w:iCs/>
          <w:noProof/>
          <w:sz w:val="24"/>
          <w:szCs w:val="24"/>
        </w:rPr>
        <w:t>Обща позиция 2005/69/ПВР на Съвета от 24 януари 2005 г. за обмен на някои данни с Интерпол</w:t>
      </w:r>
      <w:r>
        <w:rPr>
          <w:rFonts w:ascii="Times New Roman" w:eastAsia="Calibri" w:hAnsi="Times New Roman" w:cs="Times New Roman"/>
          <w:bCs/>
          <w:iCs/>
          <w:noProof/>
          <w:sz w:val="24"/>
          <w:szCs w:val="24"/>
          <w:vertAlign w:val="superscript"/>
        </w:rPr>
        <w:footnoteReference w:id="4"/>
      </w:r>
      <w:r>
        <w:rPr>
          <w:rFonts w:ascii="Times New Roman" w:hAnsi="Times New Roman"/>
          <w:bCs/>
          <w:i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iCs/>
          <w:noProof/>
          <w:sz w:val="24"/>
          <w:szCs w:val="24"/>
        </w:rPr>
      </w:pPr>
      <w:r>
        <w:rPr>
          <w:rFonts w:ascii="Times New Roman" w:hAnsi="Times New Roman"/>
          <w:bCs/>
          <w:iCs/>
          <w:noProof/>
          <w:sz w:val="24"/>
          <w:szCs w:val="24"/>
        </w:rPr>
        <w:t>Рамково решение 2005/214/ПВР на Съвета от 24 февруари 2005 г. относно прилагането на принципа за взаимно признаване на финансови санкции</w:t>
      </w:r>
      <w:r>
        <w:rPr>
          <w:rStyle w:val="FootnoteReference"/>
          <w:rFonts w:ascii="Times New Roman" w:eastAsia="Calibri" w:hAnsi="Times New Roman" w:cs="Times New Roman"/>
          <w:bCs/>
          <w:iCs/>
          <w:noProof/>
          <w:sz w:val="24"/>
          <w:szCs w:val="24"/>
        </w:rPr>
        <w:footnoteReference w:id="5"/>
      </w:r>
      <w:r>
        <w:rPr>
          <w:rFonts w:ascii="Times New Roman" w:hAnsi="Times New Roman"/>
          <w:bCs/>
          <w:i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2006/783/ПВР на Съвета от 6 октомври 2006 г. за прилагане на принципа за взаимно признаване на решения за конфискация</w:t>
      </w:r>
      <w:r>
        <w:rPr>
          <w:rFonts w:ascii="Times New Roman" w:eastAsia="Calibri" w:hAnsi="Times New Roman" w:cs="Times New Roman"/>
          <w:bCs/>
          <w:noProof/>
          <w:sz w:val="24"/>
          <w:szCs w:val="24"/>
          <w:vertAlign w:val="superscript"/>
        </w:rPr>
        <w:footnoteReference w:id="6"/>
      </w:r>
      <w:r>
        <w:rPr>
          <w:rFonts w:ascii="Times New Roman" w:hAnsi="Times New Roman"/>
          <w:b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bCs/>
          <w:iCs/>
          <w:noProof/>
          <w:sz w:val="24"/>
          <w:szCs w:val="24"/>
        </w:rPr>
      </w:pPr>
      <w:r>
        <w:rPr>
          <w:rFonts w:ascii="Times New Roman" w:hAnsi="Times New Roman"/>
          <w:bCs/>
          <w:noProof/>
          <w:sz w:val="24"/>
          <w:szCs w:val="24"/>
        </w:rPr>
        <w:t>Рамково решение 2008/947/ПВР на Съвета от 27 ноември 2008 г. за прилагане на принципа на взаимното признаване към съдебни решения и решения за пробация с оглед на надзора върху пробационните мерки и алтернативните санкции</w:t>
      </w:r>
      <w:r>
        <w:rPr>
          <w:rFonts w:ascii="Times New Roman" w:eastAsia="Calibri" w:hAnsi="Times New Roman" w:cs="Times New Roman"/>
          <w:bCs/>
          <w:noProof/>
          <w:sz w:val="24"/>
          <w:szCs w:val="24"/>
          <w:vertAlign w:val="superscript"/>
        </w:rPr>
        <w:footnoteReference w:id="7"/>
      </w:r>
      <w:r>
        <w:rPr>
          <w:rFonts w:ascii="Times New Roman" w:hAnsi="Times New Roman"/>
          <w:bCs/>
          <w:noProof/>
          <w:sz w:val="24"/>
          <w:szCs w:val="24"/>
        </w:rPr>
        <w:t>;</w:t>
      </w:r>
    </w:p>
    <w:p>
      <w:pPr>
        <w:numPr>
          <w:ilvl w:val="0"/>
          <w:numId w:val="6"/>
        </w:numPr>
        <w:tabs>
          <w:tab w:val="left" w:pos="1276"/>
        </w:tabs>
        <w:spacing w:after="120" w:line="240" w:lineRule="auto"/>
        <w:ind w:left="567" w:right="-27" w:hanging="425"/>
        <w:jc w:val="both"/>
        <w:rPr>
          <w:rFonts w:ascii="Times New Roman" w:eastAsia="Calibri" w:hAnsi="Times New Roman" w:cs="Times New Roman"/>
          <w:noProof/>
          <w:sz w:val="24"/>
          <w:szCs w:val="24"/>
        </w:rPr>
      </w:pPr>
      <w:r>
        <w:rPr>
          <w:rFonts w:ascii="Times New Roman" w:hAnsi="Times New Roman"/>
          <w:noProof/>
          <w:sz w:val="24"/>
          <w:szCs w:val="24"/>
        </w:rPr>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w:t>
      </w:r>
      <w:r>
        <w:rPr>
          <w:rFonts w:ascii="Times New Roman" w:eastAsia="Calibri" w:hAnsi="Times New Roman" w:cs="Times New Roman"/>
          <w:noProof/>
          <w:sz w:val="24"/>
          <w:szCs w:val="24"/>
          <w:vertAlign w:val="superscript"/>
        </w:rPr>
        <w:footnoteReference w:id="8"/>
      </w:r>
      <w:r>
        <w:rPr>
          <w:rFonts w:ascii="Times New Roman" w:hAnsi="Times New Roman"/>
          <w:noProof/>
          <w:sz w:val="24"/>
          <w:szCs w:val="24"/>
        </w:rPr>
        <w:t>.</w:t>
      </w:r>
    </w:p>
    <w:p>
      <w:pPr>
        <w:tabs>
          <w:tab w:val="left" w:pos="1276"/>
        </w:tabs>
        <w:spacing w:after="120" w:line="240" w:lineRule="auto"/>
        <w:ind w:left="567" w:right="-27"/>
        <w:jc w:val="both"/>
        <w:rPr>
          <w:rFonts w:ascii="Times New Roman" w:eastAsia="Calibri" w:hAnsi="Times New Roman" w:cs="Times New Roman"/>
          <w:bCs/>
          <w:iCs/>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Актове, които съдържат позоваване на Рамково решение 2008/977/ПВР на Съвета, което се тълкува като позоваване на Директивата относно правоприлагането в областта на защитата на данните съгласно член 59, параграф 2 от нея, и не съдържат специални правила за защита на данните (3 акта):</w:t>
      </w:r>
    </w:p>
    <w:p>
      <w:pPr>
        <w:numPr>
          <w:ilvl w:val="0"/>
          <w:numId w:val="16"/>
        </w:numPr>
        <w:tabs>
          <w:tab w:val="left" w:pos="1276"/>
        </w:tabs>
        <w:spacing w:after="120" w:line="240" w:lineRule="auto"/>
        <w:ind w:right="-27"/>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2009/829/ПВР на Съвета от 23 октомври 2009 г. за прилагане между държавите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w:t>
      </w:r>
      <w:r>
        <w:rPr>
          <w:rStyle w:val="FootnoteReference"/>
          <w:rFonts w:ascii="Times New Roman" w:eastAsia="Calibri" w:hAnsi="Times New Roman" w:cs="Times New Roman"/>
          <w:bCs/>
          <w:noProof/>
          <w:sz w:val="24"/>
          <w:szCs w:val="24"/>
        </w:rPr>
        <w:footnoteReference w:id="9"/>
      </w:r>
      <w:r>
        <w:rPr>
          <w:rFonts w:ascii="Times New Roman" w:hAnsi="Times New Roman"/>
          <w:bCs/>
          <w:noProof/>
          <w:sz w:val="24"/>
          <w:szCs w:val="24"/>
        </w:rPr>
        <w:t>;</w:t>
      </w:r>
    </w:p>
    <w:p>
      <w:pPr>
        <w:numPr>
          <w:ilvl w:val="0"/>
          <w:numId w:val="16"/>
        </w:numPr>
        <w:tabs>
          <w:tab w:val="left" w:pos="1276"/>
        </w:tabs>
        <w:spacing w:after="120" w:line="240" w:lineRule="auto"/>
        <w:ind w:left="567" w:right="-27" w:hanging="425"/>
        <w:jc w:val="both"/>
        <w:rPr>
          <w:rFonts w:ascii="Times New Roman" w:eastAsia="Calibri" w:hAnsi="Times New Roman" w:cs="Times New Roman"/>
          <w:bCs/>
          <w:noProof/>
          <w:sz w:val="24"/>
          <w:szCs w:val="24"/>
        </w:rPr>
      </w:pPr>
      <w:r>
        <w:rPr>
          <w:rFonts w:ascii="Times New Roman" w:hAnsi="Times New Roman"/>
          <w:bCs/>
          <w:noProof/>
          <w:sz w:val="24"/>
          <w:szCs w:val="24"/>
        </w:rPr>
        <w:t>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w:t>
      </w:r>
      <w:r>
        <w:rPr>
          <w:rStyle w:val="FootnoteReference"/>
          <w:rFonts w:ascii="Times New Roman" w:eastAsia="Calibri" w:hAnsi="Times New Roman" w:cs="Times New Roman"/>
          <w:bCs/>
          <w:noProof/>
          <w:sz w:val="24"/>
          <w:szCs w:val="24"/>
        </w:rPr>
        <w:footnoteReference w:id="10"/>
      </w:r>
      <w:r>
        <w:rPr>
          <w:rFonts w:ascii="Times New Roman" w:hAnsi="Times New Roman"/>
          <w:bCs/>
          <w:noProof/>
          <w:sz w:val="24"/>
          <w:szCs w:val="24"/>
        </w:rPr>
        <w:t>; и</w:t>
      </w:r>
    </w:p>
    <w:p>
      <w:pPr>
        <w:numPr>
          <w:ilvl w:val="0"/>
          <w:numId w:val="16"/>
        </w:numPr>
        <w:tabs>
          <w:tab w:val="left" w:pos="1276"/>
        </w:tabs>
        <w:spacing w:after="120" w:line="240" w:lineRule="auto"/>
        <w:ind w:left="567" w:right="-27" w:hanging="425"/>
        <w:jc w:val="both"/>
        <w:rPr>
          <w:rFonts w:ascii="Times New Roman" w:eastAsia="Times New Roman" w:hAnsi="Times New Roman" w:cs="Times New Roman"/>
          <w:noProof/>
          <w:spacing w:val="-4"/>
          <w:sz w:val="24"/>
          <w:szCs w:val="24"/>
        </w:rPr>
      </w:pPr>
      <w:r>
        <w:rPr>
          <w:rFonts w:ascii="Times New Roman" w:hAnsi="Times New Roman"/>
          <w:bCs/>
          <w:noProof/>
          <w:spacing w:val="-4"/>
          <w:sz w:val="24"/>
          <w:szCs w:val="24"/>
        </w:rPr>
        <w:t>Директива 2011/99/ЕС на Европейския парламент и на Съвета от 13 декември 2011 г. относно европейската заповед за защита</w:t>
      </w:r>
      <w:r>
        <w:rPr>
          <w:rFonts w:ascii="Times New Roman" w:eastAsia="Calibri" w:hAnsi="Times New Roman" w:cs="Times New Roman"/>
          <w:bCs/>
          <w:noProof/>
          <w:spacing w:val="-4"/>
          <w:sz w:val="24"/>
          <w:szCs w:val="24"/>
          <w:vertAlign w:val="superscript"/>
        </w:rPr>
        <w:footnoteReference w:id="11"/>
      </w:r>
      <w:r>
        <w:rPr>
          <w:rFonts w:ascii="Times New Roman" w:hAnsi="Times New Roman"/>
          <w:bCs/>
          <w:noProof/>
          <w:spacing w:val="-4"/>
          <w:sz w:val="24"/>
          <w:szCs w:val="24"/>
        </w:rPr>
        <w:t>.</w:t>
      </w:r>
      <w:r>
        <w:rPr>
          <w:noProof/>
          <w:spacing w:val="-4"/>
        </w:rPr>
        <w:br w:type="page"/>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t>Актове, за които вече се обсъждат изменения (2 акта):</w:t>
      </w:r>
    </w:p>
    <w:p>
      <w:pPr>
        <w:pStyle w:val="ListParagraph"/>
        <w:numPr>
          <w:ilvl w:val="0"/>
          <w:numId w:val="18"/>
        </w:numPr>
        <w:tabs>
          <w:tab w:val="left" w:pos="1276"/>
        </w:tabs>
        <w:spacing w:after="120" w:line="240" w:lineRule="auto"/>
        <w:ind w:right="-28"/>
        <w:contextualSpacing w:val="0"/>
        <w:jc w:val="both"/>
        <w:rPr>
          <w:rFonts w:ascii="Times New Roman" w:eastAsia="Calibri" w:hAnsi="Times New Roman" w:cs="Times New Roman"/>
          <w:iCs/>
          <w:noProof/>
          <w:sz w:val="24"/>
          <w:szCs w:val="24"/>
        </w:rPr>
      </w:pPr>
      <w:r>
        <w:rPr>
          <w:rFonts w:ascii="Times New Roman" w:hAnsi="Times New Roman"/>
          <w:iCs/>
          <w:noProof/>
          <w:sz w:val="24"/>
          <w:szCs w:val="24"/>
        </w:rPr>
        <w:t>Решение 2008/633/ПВР на Съвета от 23 юни 2008 г. урежда достъпа до ВИС с цел</w:t>
      </w:r>
      <w:r>
        <w:rPr>
          <w:rFonts w:ascii="Times New Roman" w:hAnsi="Times New Roman"/>
          <w:noProof/>
          <w:sz w:val="24"/>
          <w:szCs w:val="24"/>
        </w:rPr>
        <w:t xml:space="preserve"> предотвратяване</w:t>
      </w:r>
      <w:r>
        <w:rPr>
          <w:rFonts w:ascii="Times New Roman" w:hAnsi="Times New Roman"/>
          <w:iCs/>
          <w:noProof/>
          <w:sz w:val="24"/>
          <w:szCs w:val="24"/>
        </w:rPr>
        <w:t>, разкриване и разследване на терористични действия и други тежки престъпления</w:t>
      </w:r>
      <w:r>
        <w:rPr>
          <w:noProof/>
          <w:vertAlign w:val="superscript"/>
          <w:lang w:val="en"/>
        </w:rPr>
        <w:footnoteReference w:id="12"/>
      </w:r>
      <w:r>
        <w:rPr>
          <w:rFonts w:ascii="Times New Roman" w:hAnsi="Times New Roman"/>
          <w:iCs/>
          <w:noProof/>
          <w:sz w:val="24"/>
          <w:szCs w:val="24"/>
        </w:rPr>
        <w:t>, което предстои да бъде отменено с 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w:t>
      </w:r>
      <w:r>
        <w:rPr>
          <w:rStyle w:val="FootnoteReference"/>
          <w:rFonts w:ascii="Times New Roman" w:eastAsia="Calibri" w:hAnsi="Times New Roman" w:cs="Times New Roman"/>
          <w:iCs/>
          <w:noProof/>
          <w:sz w:val="24"/>
          <w:szCs w:val="24"/>
          <w:lang w:val="en"/>
        </w:rPr>
        <w:footnoteReference w:id="13"/>
      </w:r>
      <w:r>
        <w:rPr>
          <w:rFonts w:ascii="Times New Roman" w:hAnsi="Times New Roman"/>
          <w:iCs/>
          <w:noProof/>
          <w:sz w:val="24"/>
          <w:szCs w:val="24"/>
        </w:rPr>
        <w:t>;</w:t>
      </w:r>
    </w:p>
    <w:p>
      <w:pPr>
        <w:pStyle w:val="ListParagraph"/>
        <w:numPr>
          <w:ilvl w:val="0"/>
          <w:numId w:val="18"/>
        </w:numPr>
        <w:tabs>
          <w:tab w:val="left" w:pos="1276"/>
        </w:tabs>
        <w:spacing w:after="120" w:line="240" w:lineRule="auto"/>
        <w:ind w:right="-28"/>
        <w:contextualSpacing w:val="0"/>
        <w:jc w:val="both"/>
        <w:rPr>
          <w:rFonts w:ascii="Times New Roman" w:eastAsia="Calibri" w:hAnsi="Times New Roman" w:cs="Times New Roman"/>
          <w:bCs/>
          <w:noProof/>
          <w:sz w:val="24"/>
          <w:szCs w:val="24"/>
        </w:rPr>
      </w:pPr>
      <w:r>
        <w:rPr>
          <w:rFonts w:ascii="Times New Roman" w:hAnsi="Times New Roman"/>
          <w:iCs/>
          <w:noProof/>
          <w:sz w:val="24"/>
          <w:szCs w:val="24"/>
        </w:rPr>
        <w:t>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noProof/>
          <w:vertAlign w:val="superscript"/>
        </w:rPr>
        <w:footnoteReference w:id="14"/>
      </w:r>
      <w:r>
        <w:rPr>
          <w:rFonts w:ascii="Times New Roman" w:hAnsi="Times New Roman"/>
          <w:iCs/>
          <w:noProof/>
          <w:sz w:val="24"/>
          <w:szCs w:val="24"/>
        </w:rPr>
        <w:t>; предстои да бъде отменен с</w:t>
      </w:r>
      <w:r>
        <w:rPr>
          <w:rFonts w:ascii="Times New Roman" w:hAnsi="Times New Roman"/>
          <w:noProof/>
          <w:sz w:val="24"/>
          <w:szCs w:val="24"/>
        </w:rPr>
        <w:t xml:space="preserve"> Предложение за </w:t>
      </w:r>
      <w:r>
        <w:rPr>
          <w:rFonts w:ascii="Times New Roman" w:hAnsi="Times New Roman"/>
          <w:bCs/>
          <w:noProof/>
          <w:sz w:val="24"/>
          <w:szCs w:val="24"/>
        </w:rPr>
        <w:t>регламент на Европейския парламент и на Съвета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w:t>
      </w:r>
      <w:r>
        <w:rPr>
          <w:rFonts w:ascii="Times New Roman" w:hAnsi="Times New Roman"/>
          <w:noProof/>
          <w:sz w:val="24"/>
          <w:szCs w:val="24"/>
        </w:rPr>
        <w:t xml:space="preserve"> пребиваващ </w:t>
      </w:r>
      <w:r>
        <w:rPr>
          <w:rFonts w:ascii="Times New Roman" w:hAnsi="Times New Roman"/>
          <w:bCs/>
          <w:noProof/>
          <w:sz w:val="24"/>
          <w:szCs w:val="24"/>
        </w:rPr>
        <w:t>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r>
        <w:rPr>
          <w:rStyle w:val="FootnoteReference"/>
          <w:rFonts w:ascii="Times New Roman" w:eastAsia="Calibri" w:hAnsi="Times New Roman" w:cs="Times New Roman"/>
          <w:bCs/>
          <w:noProof/>
          <w:sz w:val="24"/>
          <w:szCs w:val="24"/>
        </w:rPr>
        <w:footnoteReference w:id="15"/>
      </w:r>
      <w:r>
        <w:rPr>
          <w:rFonts w:ascii="Times New Roman" w:hAnsi="Times New Roman"/>
          <w:bCs/>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Международни споразумения, които обвързват единствено държавите членки или държавите от Шенгенското пространство, които са длъжни да транспонират Директивата относно правоприлагането в областта на защитата на данните в своя национален правен ред, и по които международни споразумения обработването на лични данни от компетентните органи за целите на правоприлагането по тях е предмет на националните закони, с които се транспонира Директивата (3 акта):</w:t>
      </w:r>
    </w:p>
    <w:p>
      <w:pPr>
        <w:numPr>
          <w:ilvl w:val="0"/>
          <w:numId w:val="17"/>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 xml:space="preserve">Конвенция, съставена на основание член К.3 от Договора за Европейския съюз, за взаимопомощ и сътрудничество между митническите администрации </w:t>
      </w:r>
      <w:r>
        <w:rPr>
          <w:rFonts w:ascii="Times New Roman" w:hAnsi="Times New Roman"/>
          <w:bCs/>
          <w:iCs/>
          <w:noProof/>
          <w:sz w:val="24"/>
          <w:szCs w:val="24"/>
        </w:rPr>
        <w:t>(Конвенция „Неапол ІІ“)</w:t>
      </w:r>
      <w:r>
        <w:rPr>
          <w:rFonts w:ascii="Times New Roman" w:hAnsi="Times New Roman" w:cs="Times New Roman"/>
          <w:noProof/>
          <w:sz w:val="24"/>
          <w:szCs w:val="24"/>
          <w:vertAlign w:val="superscript"/>
        </w:rPr>
        <w:footnoteReference w:id="16"/>
      </w:r>
      <w:r>
        <w:rPr>
          <w:rFonts w:ascii="Times New Roman" w:hAnsi="Times New Roman"/>
          <w:bCs/>
          <w:iCs/>
          <w:noProof/>
          <w:sz w:val="24"/>
          <w:szCs w:val="24"/>
        </w:rPr>
        <w:t>;</w:t>
      </w:r>
    </w:p>
    <w:p>
      <w:pPr>
        <w:numPr>
          <w:ilvl w:val="0"/>
          <w:numId w:val="17"/>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Акт на Съвета от 29 май 2000 г. за съставяне на Конвенция за взаимопомощ по наказателноправни въпроси между държавите — членки на Европейския съюз, в съответствие с член 34 от Договора за Европейски съюз</w:t>
      </w:r>
      <w:r>
        <w:rPr>
          <w:rFonts w:ascii="Times New Roman" w:hAnsi="Times New Roman" w:cs="Times New Roman"/>
          <w:noProof/>
          <w:sz w:val="24"/>
          <w:szCs w:val="24"/>
          <w:vertAlign w:val="superscript"/>
        </w:rPr>
        <w:footnoteReference w:id="17"/>
      </w:r>
      <w:r>
        <w:rPr>
          <w:rFonts w:ascii="Times New Roman" w:hAnsi="Times New Roman"/>
          <w:noProof/>
          <w:sz w:val="24"/>
          <w:szCs w:val="24"/>
        </w:rPr>
        <w:t>;</w:t>
      </w:r>
    </w:p>
    <w:p>
      <w:pPr>
        <w:numPr>
          <w:ilvl w:val="0"/>
          <w:numId w:val="17"/>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 xml:space="preserve">Споразумение </w:t>
      </w:r>
      <w:r>
        <w:rPr>
          <w:rFonts w:ascii="Times New Roman" w:hAnsi="Times New Roman"/>
          <w:bCs/>
          <w:iCs/>
          <w:noProof/>
          <w:sz w:val="24"/>
          <w:szCs w:val="24"/>
        </w:rPr>
        <w:t>между Европейския съюз и Република Исландия и Кралство Норвегия за прилагане на определени разпоредби на Конвенцията от 29 май 2000 година за взаимопомощ по наказателни дела между държавите — членки на Европейския съюз, и Протокола от 2001 година към нея</w:t>
      </w:r>
      <w:r>
        <w:rPr>
          <w:rFonts w:ascii="Times New Roman" w:eastAsia="Calibri" w:hAnsi="Times New Roman" w:cs="Times New Roman"/>
          <w:bCs/>
          <w:iCs/>
          <w:noProof/>
          <w:sz w:val="24"/>
          <w:szCs w:val="24"/>
          <w:vertAlign w:val="superscript"/>
          <w:lang w:val="en"/>
        </w:rPr>
        <w:footnoteReference w:id="18"/>
      </w:r>
      <w:r>
        <w:rPr>
          <w:rFonts w:ascii="Times New Roman" w:hAnsi="Times New Roman"/>
          <w:bCs/>
          <w:iCs/>
          <w:noProof/>
          <w:sz w:val="24"/>
          <w:szCs w:val="24"/>
        </w:rPr>
        <w:t>.</w:t>
      </w:r>
    </w:p>
    <w:p>
      <w:pPr>
        <w:spacing w:after="200" w:line="276" w:lineRule="auto"/>
        <w:ind w:left="142"/>
        <w:jc w:val="both"/>
        <w:rPr>
          <w:rFonts w:ascii="Times New Roman" w:hAnsi="Times New Roman" w:cs="Times New Roman"/>
          <w:bCs/>
          <w:noProof/>
          <w:sz w:val="24"/>
          <w:szCs w:val="24"/>
        </w:rPr>
      </w:pPr>
      <w:r>
        <w:rPr>
          <w:rFonts w:ascii="Times New Roman" w:hAnsi="Times New Roman"/>
          <w:bCs/>
          <w:noProof/>
          <w:sz w:val="24"/>
          <w:szCs w:val="24"/>
        </w:rPr>
        <w:t>Договор за правна взаимопомощ между ЕС и САЩ:</w:t>
      </w:r>
    </w:p>
    <w:p>
      <w:pPr>
        <w:numPr>
          <w:ilvl w:val="0"/>
          <w:numId w:val="25"/>
        </w:numPr>
        <w:tabs>
          <w:tab w:val="left" w:pos="1276"/>
        </w:tabs>
        <w:spacing w:after="120" w:line="240" w:lineRule="auto"/>
        <w:ind w:right="-27"/>
        <w:jc w:val="both"/>
        <w:rPr>
          <w:rFonts w:ascii="Times New Roman" w:eastAsia="Calibri" w:hAnsi="Times New Roman" w:cs="Times New Roman"/>
          <w:bCs/>
          <w:iCs/>
          <w:noProof/>
          <w:sz w:val="24"/>
          <w:szCs w:val="24"/>
        </w:rPr>
      </w:pPr>
      <w:r>
        <w:rPr>
          <w:rFonts w:ascii="Times New Roman" w:hAnsi="Times New Roman"/>
          <w:noProof/>
          <w:sz w:val="24"/>
          <w:szCs w:val="24"/>
        </w:rPr>
        <w:t xml:space="preserve">Споразумение </w:t>
      </w:r>
      <w:r>
        <w:rPr>
          <w:rFonts w:ascii="Times New Roman" w:hAnsi="Times New Roman"/>
          <w:bCs/>
          <w:iCs/>
          <w:noProof/>
          <w:sz w:val="24"/>
          <w:szCs w:val="24"/>
        </w:rPr>
        <w:t>за правна взаимопомощ между Европейския съюз и Съединените американски щати</w:t>
      </w:r>
      <w:r>
        <w:rPr>
          <w:rFonts w:ascii="Times New Roman" w:eastAsia="Calibri" w:hAnsi="Times New Roman" w:cs="Times New Roman"/>
          <w:bCs/>
          <w:iCs/>
          <w:noProof/>
          <w:sz w:val="24"/>
          <w:szCs w:val="24"/>
          <w:vertAlign w:val="superscript"/>
          <w:lang w:val="en"/>
        </w:rPr>
        <w:footnoteReference w:id="19"/>
      </w:r>
      <w:r>
        <w:rPr>
          <w:rFonts w:ascii="Times New Roman" w:hAnsi="Times New Roman"/>
          <w:bCs/>
          <w:iCs/>
          <w:noProof/>
          <w:sz w:val="24"/>
          <w:szCs w:val="24"/>
        </w:rPr>
        <w:t>.</w:t>
      </w:r>
    </w:p>
    <w:p>
      <w:pPr>
        <w:rPr>
          <w:rFonts w:ascii="Times New Roman" w:hAnsi="Times New Roman" w:cs="Times New Roman"/>
          <w:b/>
          <w:noProof/>
          <w:sz w:val="24"/>
          <w:szCs w:val="24"/>
        </w:rPr>
      </w:pPr>
      <w:r>
        <w:rPr>
          <w:rFonts w:ascii="Times New Roman" w:hAnsi="Times New Roman"/>
          <w:b/>
          <w:noProof/>
          <w:sz w:val="24"/>
          <w:szCs w:val="24"/>
        </w:rPr>
        <w:br w:type="page"/>
        <w:t>ПРИЛОЖЕНИЕ II Актове, които изискват изменения</w:t>
      </w:r>
    </w:p>
    <w:p>
      <w:pPr>
        <w:pStyle w:val="ListParagraph"/>
        <w:numPr>
          <w:ilvl w:val="0"/>
          <w:numId w:val="15"/>
        </w:numPr>
        <w:ind w:left="567"/>
        <w:jc w:val="both"/>
        <w:rPr>
          <w:rFonts w:ascii="Times New Roman" w:hAnsi="Times New Roman" w:cs="Times New Roman"/>
          <w:noProof/>
          <w:sz w:val="24"/>
          <w:szCs w:val="24"/>
        </w:rPr>
      </w:pPr>
      <w:r>
        <w:rPr>
          <w:rFonts w:ascii="Times New Roman" w:hAnsi="Times New Roman"/>
          <w:bCs/>
          <w:iCs/>
          <w:noProof/>
          <w:sz w:val="24"/>
          <w:szCs w:val="24"/>
        </w:rPr>
        <w:t>Рамково решение 2002/465/ПВР на Съвета от 13 юни 2002 г. относно съвместните екипи за разследване</w:t>
      </w:r>
      <w:r>
        <w:rPr>
          <w:rFonts w:ascii="Times New Roman" w:hAnsi="Times New Roman" w:cs="Times New Roman"/>
          <w:noProof/>
          <w:sz w:val="24"/>
          <w:szCs w:val="24"/>
          <w:vertAlign w:val="superscript"/>
        </w:rPr>
        <w:footnoteReference w:id="20"/>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noProof/>
          <w:sz w:val="24"/>
          <w:szCs w:val="24"/>
        </w:rPr>
      </w:pPr>
      <w:r>
        <w:rPr>
          <w:rFonts w:ascii="Times New Roman" w:hAnsi="Times New Roman"/>
          <w:noProof/>
          <w:sz w:val="24"/>
          <w:szCs w:val="24"/>
        </w:rPr>
        <w:t>Решение 2005/671/ПВР на Съвета от 20 септември 2005 г. относно обмена на информация и сътрудничеството по отношение на терористични престъпления</w:t>
      </w:r>
      <w:r>
        <w:rPr>
          <w:rFonts w:ascii="Times New Roman" w:hAnsi="Times New Roman" w:cs="Times New Roman"/>
          <w:noProof/>
          <w:sz w:val="24"/>
          <w:szCs w:val="24"/>
          <w:vertAlign w:val="superscript"/>
        </w:rPr>
        <w:footnoteReference w:id="21"/>
      </w:r>
      <w:r>
        <w:rPr>
          <w:rFonts w:ascii="Times New Roman" w:hAnsi="Times New Roman"/>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Рамково решение 2006/960/ПВР на Съвета</w:t>
      </w:r>
      <w:r>
        <w:rPr>
          <w:rFonts w:ascii="Times New Roman" w:hAnsi="Times New Roman"/>
          <w:bCs/>
          <w:iCs/>
          <w:noProof/>
          <w:vanish/>
          <w:sz w:val="24"/>
          <w:szCs w:val="24"/>
          <w:lang w:val="en"/>
        </w:rPr>
        <w:t>Framework</w:t>
      </w:r>
      <w:r>
        <w:rPr>
          <w:rFonts w:ascii="Times New Roman" w:hAnsi="Times New Roman"/>
          <w:bCs/>
          <w:iCs/>
          <w:noProof/>
          <w:sz w:val="24"/>
          <w:szCs w:val="24"/>
        </w:rPr>
        <w:t xml:space="preserve"> от 18 декември 2006 г. за опростяване обмена на информация и сведения между правоприлагащите органи на държавите — членки на Европейския съюз</w:t>
      </w:r>
      <w:r>
        <w:rPr>
          <w:rFonts w:ascii="Times New Roman" w:hAnsi="Times New Roman" w:cs="Times New Roman"/>
          <w:noProof/>
          <w:sz w:val="24"/>
          <w:szCs w:val="24"/>
          <w:vertAlign w:val="superscript"/>
        </w:rPr>
        <w:footnoteReference w:id="22"/>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 xml:space="preserve">Решение 2007/845/ПВР на Съвета от 6 декември 2007 г. относно сътрудничеството </w:t>
      </w:r>
      <w:r>
        <w:rPr>
          <w:rFonts w:ascii="Times New Roman" w:hAnsi="Times New Roman"/>
          <w:noProof/>
          <w:sz w:val="24"/>
          <w:szCs w:val="24"/>
        </w:rPr>
        <w:t>между</w:t>
      </w:r>
      <w:r>
        <w:rPr>
          <w:rFonts w:ascii="Times New Roman" w:hAnsi="Times New Roman"/>
          <w:bCs/>
          <w:iCs/>
          <w:noProof/>
          <w:sz w:val="24"/>
          <w:szCs w:val="24"/>
        </w:rPr>
        <w:t xml:space="preserve"> Службите за възстановяване на активи на държавите членки при проследяване и установяване на облаги или друго имущество, свързани с престъпления, задължава държавите членки да създадат служба за възстановяване на активи и да осигури рамката за обмен на данни между службите за възстановяване на активи на държавите членки</w:t>
      </w:r>
      <w:r>
        <w:rPr>
          <w:rFonts w:ascii="Times New Roman" w:hAnsi="Times New Roman" w:cs="Times New Roman"/>
          <w:noProof/>
          <w:sz w:val="24"/>
          <w:szCs w:val="24"/>
          <w:vertAlign w:val="superscript"/>
        </w:rPr>
        <w:footnoteReference w:id="23"/>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Решение 2008/615/ПВР на Съвета от 23 юни 2008 г. за засилване на трансграничното сътрудничество, по-специално в борбата срещу тероризма и трансграничната престъпност</w:t>
      </w:r>
      <w:r>
        <w:rPr>
          <w:rFonts w:ascii="Times New Roman" w:hAnsi="Times New Roman" w:cs="Times New Roman"/>
          <w:noProof/>
          <w:sz w:val="24"/>
          <w:szCs w:val="24"/>
          <w:vertAlign w:val="superscript"/>
        </w:rPr>
        <w:footnoteReference w:id="24"/>
      </w:r>
      <w:r>
        <w:rPr>
          <w:rFonts w:ascii="Times New Roman" w:hAnsi="Times New Roman"/>
          <w:bCs/>
          <w:iCs/>
          <w:noProof/>
          <w:sz w:val="24"/>
          <w:szCs w:val="24"/>
        </w:rPr>
        <w:t>, и Решение 2008/616/ПВР на Съвета от 23 юни 2008 г.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w:t>
      </w:r>
      <w:r>
        <w:rPr>
          <w:rFonts w:ascii="Times New Roman" w:hAnsi="Times New Roman" w:cs="Times New Roman"/>
          <w:noProof/>
          <w:sz w:val="24"/>
          <w:szCs w:val="24"/>
          <w:vertAlign w:val="superscript"/>
        </w:rPr>
        <w:footnoteReference w:id="25"/>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Решение 2009/917/ПВР на Съвета от 30 ноември 2009 г. относно използването на информационни технологии за митнически цели</w:t>
      </w:r>
      <w:r>
        <w:rPr>
          <w:rFonts w:ascii="Times New Roman" w:hAnsi="Times New Roman" w:cs="Times New Roman"/>
          <w:noProof/>
          <w:sz w:val="24"/>
          <w:szCs w:val="24"/>
          <w:vertAlign w:val="superscript"/>
        </w:rPr>
        <w:footnoteReference w:id="26"/>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Споразумение между Европейския Съюз и Япония за правна взаимопомощ по наказателноправни въпроси</w:t>
      </w:r>
      <w:r>
        <w:rPr>
          <w:rFonts w:ascii="Times New Roman" w:hAnsi="Times New Roman" w:cs="Times New Roman"/>
          <w:noProof/>
          <w:sz w:val="24"/>
          <w:szCs w:val="24"/>
          <w:vertAlign w:val="superscript"/>
        </w:rPr>
        <w:footnoteReference w:id="27"/>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Директива 2014/41/ЕС на Европейския парламент и на Съвета от 3 април 2014 г. относно Европейска заповед за разследване по наказателноправни въпроси</w:t>
      </w:r>
      <w:r>
        <w:rPr>
          <w:rFonts w:ascii="Times New Roman" w:hAnsi="Times New Roman" w:cs="Times New Roman"/>
          <w:noProof/>
          <w:sz w:val="24"/>
          <w:szCs w:val="24"/>
          <w:vertAlign w:val="superscript"/>
        </w:rPr>
        <w:footnoteReference w:id="28"/>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Директива (ЕС) 2015/413 на Европейския парламент и на Съвета от 11 март 2015 г. за улесняване на трансграничния обмен на информация относно пътнотранспортни нарушения, свързани с безопасността по пътищата</w:t>
      </w:r>
      <w:r>
        <w:rPr>
          <w:rFonts w:ascii="Times New Roman" w:hAnsi="Times New Roman" w:cs="Times New Roman"/>
          <w:noProof/>
          <w:sz w:val="24"/>
          <w:szCs w:val="24"/>
          <w:vertAlign w:val="superscript"/>
        </w:rPr>
        <w:footnoteReference w:id="29"/>
      </w:r>
      <w:r>
        <w:rPr>
          <w:rFonts w:ascii="Times New Roman" w:hAnsi="Times New Roman"/>
          <w:bCs/>
          <w:iCs/>
          <w:noProof/>
          <w:sz w:val="24"/>
          <w:szCs w:val="24"/>
        </w:rPr>
        <w:t>;</w:t>
      </w:r>
    </w:p>
    <w:p>
      <w:pPr>
        <w:pStyle w:val="ListParagraph"/>
        <w:numPr>
          <w:ilvl w:val="0"/>
          <w:numId w:val="15"/>
        </w:numPr>
        <w:ind w:left="567"/>
        <w:jc w:val="both"/>
        <w:rPr>
          <w:rFonts w:ascii="Times New Roman" w:hAnsi="Times New Roman" w:cs="Times New Roman"/>
          <w:bCs/>
          <w:iCs/>
          <w:noProof/>
          <w:sz w:val="24"/>
          <w:szCs w:val="24"/>
        </w:rPr>
      </w:pPr>
      <w:r>
        <w:rPr>
          <w:rFonts w:ascii="Times New Roman" w:hAnsi="Times New Roman"/>
          <w:bCs/>
          <w:iCs/>
          <w:noProof/>
          <w:sz w:val="24"/>
          <w:szCs w:val="24"/>
        </w:rPr>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w:t>
      </w:r>
      <w:r>
        <w:rPr>
          <w:rFonts w:ascii="Times New Roman" w:hAnsi="Times New Roman" w:cs="Times New Roman"/>
          <w:noProof/>
          <w:sz w:val="24"/>
          <w:szCs w:val="24"/>
          <w:vertAlign w:val="superscript"/>
        </w:rPr>
        <w:footnoteReference w:id="30"/>
      </w:r>
      <w:r>
        <w:rPr>
          <w:rFonts w:ascii="Times New Roman" w:hAnsi="Times New Roman"/>
          <w:bCs/>
          <w:iCs/>
          <w:noProof/>
          <w:sz w:val="24"/>
          <w:szCs w:val="24"/>
        </w:rPr>
        <w:t>.</w:t>
      </w:r>
    </w:p>
    <w:p>
      <w:pPr>
        <w:ind w:left="360"/>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83CC" w16cex:dateUtc="2020-04-21T12:38:00Z"/>
  <w16cex:commentExtensible w16cex:durableId="2249865E" w16cex:dateUtc="2020-04-21T12:49:00Z"/>
  <w16cex:commentExtensible w16cex:durableId="224984BB" w16cex:dateUtc="2020-04-21T12:42:00Z"/>
  <w16cex:commentExtensible w16cex:durableId="22498581" w16cex:dateUtc="2020-04-21T12:45:00Z"/>
  <w16cex:commentExtensible w16cex:durableId="224985D4" w16cex:dateUtc="2020-04-21T12:46:00Z"/>
  <w16cex:commentExtensible w16cex:durableId="224987C1" w16cex:dateUtc="2020-04-21T12:54:00Z"/>
  <w16cex:commentExtensible w16cex:durableId="224987F6" w16cex:dateUtc="2020-04-21T12:55:00Z"/>
  <w16cex:commentExtensible w16cex:durableId="2249894E" w16cex:dateUtc="2020-04-21T13:01:00Z"/>
  <w16cex:commentExtensible w16cex:durableId="22498A2D" w16cex:dateUtc="2020-04-21T13:05:00Z"/>
  <w16cex:commentExtensible w16cex:durableId="22498C78" w16cex:dateUtc="2020-04-21T13:15:00Z"/>
  <w16cex:commentExtensible w16cex:durableId="22498CA7" w16cex:dateUtc="2020-04-21T13:15:00Z"/>
  <w16cex:commentExtensible w16cex:durableId="22498CB7" w16cex:dateUtc="2020-04-21T13:16:00Z"/>
  <w16cex:commentExtensible w16cex:durableId="22498B1E" w16cex:dateUtc="2020-04-21T13:09:00Z"/>
  <w16cex:commentExtensible w16cex:durableId="22499056" w16cex:dateUtc="2020-04-21T13:31:00Z"/>
  <w16cex:commentExtensible w16cex:durableId="22499595" w16cex:dateUtc="2020-04-21T13:53:00Z"/>
  <w16cex:commentExtensible w16cex:durableId="224995C7" w16cex:dateUtc="2020-04-21T13:54:00Z"/>
  <w16cex:commentExtensible w16cex:durableId="22498E5E" w16cex:dateUtc="2020-04-21T13:23:00Z"/>
  <w16cex:commentExtensible w16cex:durableId="22499143" w16cex:dateUtc="2020-04-21T13:35:00Z"/>
  <w16cex:commentExtensible w16cex:durableId="22498FB7" w16cex:dateUtc="2020-04-21T13:28:00Z"/>
  <w16cex:commentExtensible w16cex:durableId="22499087" w16cex:dateUtc="2020-04-21T13:32:00Z"/>
  <w16cex:commentExtensible w16cex:durableId="22499215" w16cex:dateUtc="2020-04-21T13:39:00Z"/>
  <w16cex:commentExtensible w16cex:durableId="224996C2" w16cex:dateUtc="2020-04-21T13:58:00Z"/>
  <w16cex:commentExtensible w16cex:durableId="22499702" w16cex:dateUtc="2020-04-21T14:00:00Z"/>
  <w16cex:commentExtensible w16cex:durableId="22499792" w16cex:dateUtc="2020-04-21T14:02:00Z"/>
  <w16cex:commentExtensible w16cex:durableId="2249980C" w16cex:dateUtc="2020-04-21T14:04:00Z"/>
  <w16cex:commentExtensible w16cex:durableId="224998A4" w16cex:dateUtc="2020-04-21T14:07:00Z"/>
  <w16cex:commentExtensible w16cex:durableId="22499883" w16cex:dateUtc="2020-04-21T14:06:00Z"/>
  <w16cex:commentExtensible w16cex:durableId="22499945" w16cex:dateUtc="2020-04-21T14:09:00Z"/>
  <w16cex:commentExtensible w16cex:durableId="2249A0AA" w16cex:dateUtc="2020-04-21T14:41:00Z"/>
  <w16cex:commentExtensible w16cex:durableId="22499A6F" w16cex:dateUtc="2020-04-21T14:14:00Z"/>
  <w16cex:commentExtensible w16cex:durableId="22499B80" w16cex:dateUtc="2020-04-21T14:19:00Z"/>
  <w16cex:commentExtensible w16cex:durableId="22499C72" w16cex:dateUtc="2020-04-21T14:23:00Z"/>
  <w16cex:commentExtensible w16cex:durableId="22499EDE" w16cex:dateUtc="2020-04-21T14:33:00Z"/>
  <w16cex:commentExtensible w16cex:durableId="22499F68" w16cex:dateUtc="2020-04-21T14:35:00Z"/>
  <w16cex:commentExtensible w16cex:durableId="2249A1AA" w16cex:dateUtc="2020-04-21T14:45:00Z"/>
  <w16cex:commentExtensible w16cex:durableId="2249A1CA" w16cex:dateUtc="2020-04-21T14:46:00Z"/>
  <w16cex:commentExtensible w16cex:durableId="2249A339" w16cex:dateUtc="2020-04-21T14:52:00Z"/>
  <w16cex:commentExtensible w16cex:durableId="2249A353" w16cex:dateUtc="2020-04-21T14:52:00Z"/>
  <w16cex:commentExtensible w16cex:durableId="2249A566" w16cex:dateUtc="2020-04-21T15:01:00Z"/>
  <w16cex:commentExtensible w16cex:durableId="2249A50C" w16cex:dateUtc="2020-04-21T14:59:00Z"/>
  <w16cex:commentExtensible w16cex:durableId="2249A6F8" w16cex:dateUtc="2020-04-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0FB75" w16cid:durableId="224981DF"/>
  <w16cid:commentId w16cid:paraId="3FD67A0E" w16cid:durableId="224983CC"/>
  <w16cid:commentId w16cid:paraId="26F32795" w16cid:durableId="2249865E"/>
  <w16cid:commentId w16cid:paraId="35393B71" w16cid:durableId="224984BB"/>
  <w16cid:commentId w16cid:paraId="4C358D75" w16cid:durableId="22498581"/>
  <w16cid:commentId w16cid:paraId="06908AB3" w16cid:durableId="224985D4"/>
  <w16cid:commentId w16cid:paraId="0EF826CA" w16cid:durableId="224987C1"/>
  <w16cid:commentId w16cid:paraId="35BE1771" w16cid:durableId="224987F6"/>
  <w16cid:commentId w16cid:paraId="3D4EEC45" w16cid:durableId="224981E0"/>
  <w16cid:commentId w16cid:paraId="33F47594" w16cid:durableId="224981E1"/>
  <w16cid:commentId w16cid:paraId="1E81B629" w16cid:durableId="2249894E"/>
  <w16cid:commentId w16cid:paraId="49AF33B0" w16cid:durableId="22498A2D"/>
  <w16cid:commentId w16cid:paraId="14CC36EB" w16cid:durableId="224981E2"/>
  <w16cid:commentId w16cid:paraId="34C979AC" w16cid:durableId="224981E3"/>
  <w16cid:commentId w16cid:paraId="1311AF5F" w16cid:durableId="22498C78"/>
  <w16cid:commentId w16cid:paraId="3FD2CAF7" w16cid:durableId="22498CA7"/>
  <w16cid:commentId w16cid:paraId="5AC0F25F" w16cid:durableId="22498CB7"/>
  <w16cid:commentId w16cid:paraId="6B3B03EE" w16cid:durableId="22498B1E"/>
  <w16cid:commentId w16cid:paraId="40F05F6D" w16cid:durableId="224981E4"/>
  <w16cid:commentId w16cid:paraId="7DCDB27F" w16cid:durableId="224981E5"/>
  <w16cid:commentId w16cid:paraId="2C1DEFF5" w16cid:durableId="224981E6"/>
  <w16cid:commentId w16cid:paraId="5918DBE7" w16cid:durableId="224981E7"/>
  <w16cid:commentId w16cid:paraId="78243666" w16cid:durableId="224981E8"/>
  <w16cid:commentId w16cid:paraId="762084AC" w16cid:durableId="224981E9"/>
  <w16cid:commentId w16cid:paraId="4C1A6577" w16cid:durableId="224981EA"/>
  <w16cid:commentId w16cid:paraId="607ADD1F" w16cid:durableId="22499056"/>
  <w16cid:commentId w16cid:paraId="79335811" w16cid:durableId="224981EB"/>
  <w16cid:commentId w16cid:paraId="298255CD" w16cid:durableId="224981EC"/>
  <w16cid:commentId w16cid:paraId="4F1E7AF3" w16cid:durableId="22499595"/>
  <w16cid:commentId w16cid:paraId="65533ACB" w16cid:durableId="224995C7"/>
  <w16cid:commentId w16cid:paraId="128ADC3E" w16cid:durableId="224981ED"/>
  <w16cid:commentId w16cid:paraId="0E52D645" w16cid:durableId="224981EE"/>
  <w16cid:commentId w16cid:paraId="72919A7F" w16cid:durableId="22498E5E"/>
  <w16cid:commentId w16cid:paraId="49E4E922" w16cid:durableId="224981EF"/>
  <w16cid:commentId w16cid:paraId="59C14F87" w16cid:durableId="224981F0"/>
  <w16cid:commentId w16cid:paraId="0412390C" w16cid:durableId="224981F1"/>
  <w16cid:commentId w16cid:paraId="0F476375" w16cid:durableId="224981F2"/>
  <w16cid:commentId w16cid:paraId="1CB0FC37" w16cid:durableId="224981F3"/>
  <w16cid:commentId w16cid:paraId="085D6690" w16cid:durableId="22499143"/>
  <w16cid:commentId w16cid:paraId="360F4847" w16cid:durableId="22498FB7"/>
  <w16cid:commentId w16cid:paraId="3D594F3D" w16cid:durableId="22499087"/>
  <w16cid:commentId w16cid:paraId="3DCBBECE" w16cid:durableId="224981F4"/>
  <w16cid:commentId w16cid:paraId="604B0173" w16cid:durableId="224981F5"/>
  <w16cid:commentId w16cid:paraId="7BD8388C" w16cid:durableId="22499215"/>
  <w16cid:commentId w16cid:paraId="4927858B" w16cid:durableId="224996C2"/>
  <w16cid:commentId w16cid:paraId="1B6A8A73" w16cid:durableId="224981F6"/>
  <w16cid:commentId w16cid:paraId="6CC6970A" w16cid:durableId="224981F7"/>
  <w16cid:commentId w16cid:paraId="07899D6E" w16cid:durableId="22499702"/>
  <w16cid:commentId w16cid:paraId="2DC220C7" w16cid:durableId="224981F8"/>
  <w16cid:commentId w16cid:paraId="33D951DD" w16cid:durableId="224981F9"/>
  <w16cid:commentId w16cid:paraId="3E120906" w16cid:durableId="22499792"/>
  <w16cid:commentId w16cid:paraId="04CDCE66" w16cid:durableId="224981FA"/>
  <w16cid:commentId w16cid:paraId="5D4A2BD2" w16cid:durableId="2249980C"/>
  <w16cid:commentId w16cid:paraId="719A2359" w16cid:durableId="224981FB"/>
  <w16cid:commentId w16cid:paraId="7379429B" w16cid:durableId="224981FC"/>
  <w16cid:commentId w16cid:paraId="7EC46A72" w16cid:durableId="224981FD"/>
  <w16cid:commentId w16cid:paraId="3C0578CF" w16cid:durableId="224998A4"/>
  <w16cid:commentId w16cid:paraId="1BE763AD" w16cid:durableId="22499883"/>
  <w16cid:commentId w16cid:paraId="36329F4C" w16cid:durableId="224981FE"/>
  <w16cid:commentId w16cid:paraId="20CEEE5E" w16cid:durableId="224981FF"/>
  <w16cid:commentId w16cid:paraId="4D0A4B68" w16cid:durableId="22498200"/>
  <w16cid:commentId w16cid:paraId="72B225E7" w16cid:durableId="22499945"/>
  <w16cid:commentId w16cid:paraId="769DFA5D" w16cid:durableId="22498201"/>
  <w16cid:commentId w16cid:paraId="62B315A5" w16cid:durableId="2249A0AA"/>
  <w16cid:commentId w16cid:paraId="125790F3" w16cid:durableId="22498202"/>
  <w16cid:commentId w16cid:paraId="6D6FF297" w16cid:durableId="22498203"/>
  <w16cid:commentId w16cid:paraId="3E3DFA94" w16cid:durableId="22498204"/>
  <w16cid:commentId w16cid:paraId="6DF110A2" w16cid:durableId="22499A6F"/>
  <w16cid:commentId w16cid:paraId="1CD6A2D3" w16cid:durableId="22499B80"/>
  <w16cid:commentId w16cid:paraId="5DDF2B6A" w16cid:durableId="22498205"/>
  <w16cid:commentId w16cid:paraId="3885942B" w16cid:durableId="22498206"/>
  <w16cid:commentId w16cid:paraId="2511BA0C" w16cid:durableId="22498207"/>
  <w16cid:commentId w16cid:paraId="35C2F267" w16cid:durableId="22499C72"/>
  <w16cid:commentId w16cid:paraId="16669F3D" w16cid:durableId="22498208"/>
  <w16cid:commentId w16cid:paraId="2FBF1AF8" w16cid:durableId="22498209"/>
  <w16cid:commentId w16cid:paraId="7ABAB943" w16cid:durableId="2249820A"/>
  <w16cid:commentId w16cid:paraId="59E5BCBF" w16cid:durableId="2249820B"/>
  <w16cid:commentId w16cid:paraId="2A8BC6C7" w16cid:durableId="22499EDE"/>
  <w16cid:commentId w16cid:paraId="07BD8618" w16cid:durableId="2249820C"/>
  <w16cid:commentId w16cid:paraId="0D8B6845" w16cid:durableId="2249820D"/>
  <w16cid:commentId w16cid:paraId="65150F17" w16cid:durableId="2249820E"/>
  <w16cid:commentId w16cid:paraId="10009159" w16cid:durableId="2249820F"/>
  <w16cid:commentId w16cid:paraId="3975E198" w16cid:durableId="22499F68"/>
  <w16cid:commentId w16cid:paraId="0A9CACB6" w16cid:durableId="22498210"/>
  <w16cid:commentId w16cid:paraId="6DE0CC76" w16cid:durableId="22498211"/>
  <w16cid:commentId w16cid:paraId="662BBA87" w16cid:durableId="22498212"/>
  <w16cid:commentId w16cid:paraId="586A4738" w16cid:durableId="2249A1AA"/>
  <w16cid:commentId w16cid:paraId="242D30B5" w16cid:durableId="2249A1CA"/>
  <w16cid:commentId w16cid:paraId="1D77E8DD" w16cid:durableId="22498213"/>
  <w16cid:commentId w16cid:paraId="136C6111" w16cid:durableId="22498214"/>
  <w16cid:commentId w16cid:paraId="01D1031F" w16cid:durableId="22498215"/>
  <w16cid:commentId w16cid:paraId="0C458643" w16cid:durableId="22498216"/>
  <w16cid:commentId w16cid:paraId="267954E7" w16cid:durableId="22498217"/>
  <w16cid:commentId w16cid:paraId="2A6F7D88" w16cid:durableId="22498218"/>
  <w16cid:commentId w16cid:paraId="531293AA" w16cid:durableId="22498219"/>
  <w16cid:commentId w16cid:paraId="628FDAC5" w16cid:durableId="2249A339"/>
  <w16cid:commentId w16cid:paraId="524C41BB" w16cid:durableId="2249A353"/>
  <w16cid:commentId w16cid:paraId="1BB4BA7A" w16cid:durableId="2249821A"/>
  <w16cid:commentId w16cid:paraId="1FCC9C4B" w16cid:durableId="2249821B"/>
  <w16cid:commentId w16cid:paraId="5EC29E9D" w16cid:durableId="2249821C"/>
  <w16cid:commentId w16cid:paraId="6E8FEC26" w16cid:durableId="2249A566"/>
  <w16cid:commentId w16cid:paraId="048C53CD" w16cid:durableId="2249821D"/>
  <w16cid:commentId w16cid:paraId="0C8AE7C5" w16cid:durableId="2249821E"/>
  <w16cid:commentId w16cid:paraId="28FC89AA" w16cid:durableId="2249A50C"/>
  <w16cid:commentId w16cid:paraId="70AABA5F" w16cid:durableId="2249821F"/>
  <w16cid:commentId w16cid:paraId="1C2B3907" w16cid:durableId="22498220"/>
  <w16cid:commentId w16cid:paraId="4E662D66" w16cid:durableId="22498221"/>
  <w16cid:commentId w16cid:paraId="43529A0C" w16cid:durableId="22498222"/>
  <w16cid:commentId w16cid:paraId="529AC246" w16cid:durableId="22498223"/>
  <w16cid:commentId w16cid:paraId="249F5BA8" w16cid:durableId="22498224"/>
  <w16cid:commentId w16cid:paraId="19EBA4D8" w16cid:durableId="2249A6F8"/>
  <w16cid:commentId w16cid:paraId="12E378BB" w16cid:durableId="22498225"/>
  <w16cid:commentId w16cid:paraId="1788D0C6" w16cid:durableId="22498226"/>
  <w16cid:commentId w16cid:paraId="5B199B95" w16cid:durableId="22498227"/>
  <w16cid:commentId w16cid:paraId="2DE70B9F" w16cid:durableId="22498228"/>
  <w16cid:commentId w16cid:paraId="3B92D618" w16cid:durableId="22498229"/>
  <w16cid:commentId w16cid:paraId="024E2DCA" w16cid:durableId="2249822A"/>
  <w16cid:commentId w16cid:paraId="22531EB4" w16cid:durableId="2249822B"/>
  <w16cid:commentId w16cid:paraId="4A717F3F" w16cid:durableId="224982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260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Fonts w:ascii="Times New Roman" w:hAnsi="Times New Roman"/>
        </w:rPr>
      </w:pPr>
      <w:r>
        <w:rPr>
          <w:rStyle w:val="FootnoteReference"/>
          <w:rFonts w:ascii="Times New Roman" w:hAnsi="Times New Roman" w:cs="Times New Roman"/>
        </w:rPr>
        <w:footnoteRef/>
      </w:r>
      <w:r>
        <w:tab/>
      </w:r>
      <w:r>
        <w:rPr>
          <w:rFonts w:ascii="Times New Roman" w:hAnsi="Times New Roman"/>
        </w:rPr>
        <w:t>ОВ L 190, 18.7.2002 г., стр. 1—20.</w:t>
      </w:r>
    </w:p>
  </w:footnote>
  <w:footnote w:id="3">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 xml:space="preserve">ОВ L </w:t>
      </w:r>
      <w:r>
        <w:rPr>
          <w:rFonts w:ascii="Times New Roman" w:hAnsi="Times New Roman"/>
        </w:rPr>
        <w:t>196</w:t>
      </w:r>
      <w:r>
        <w:rPr>
          <w:rFonts w:ascii="Times New Roman" w:hAnsi="Times New Roman"/>
          <w:bCs/>
        </w:rPr>
        <w:t>, 2.8.2003 г., стр. 45—55.</w:t>
      </w:r>
    </w:p>
  </w:footnote>
  <w:footnote w:id="4">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27, 29.1.2005 г., стр. 61—62</w:t>
      </w:r>
      <w:r>
        <w:rPr>
          <w:rFonts w:ascii="Times New Roman" w:hAnsi="Times New Roman"/>
        </w:rPr>
        <w:t>.</w:t>
      </w:r>
    </w:p>
  </w:footnote>
  <w:footnote w:id="5">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76, 22.3.2005 г., стр. 16—30.</w:t>
      </w:r>
    </w:p>
  </w:footnote>
  <w:footnote w:id="6">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 xml:space="preserve">ОВ L </w:t>
      </w:r>
      <w:r>
        <w:rPr>
          <w:rFonts w:ascii="Times New Roman" w:hAnsi="Times New Roman"/>
        </w:rPr>
        <w:t>328</w:t>
      </w:r>
      <w:r>
        <w:rPr>
          <w:rFonts w:ascii="Times New Roman" w:hAnsi="Times New Roman"/>
          <w:bCs/>
        </w:rPr>
        <w:t>, 24.11.2006 г., стр. 59—78.</w:t>
      </w:r>
    </w:p>
  </w:footnote>
  <w:footnote w:id="7">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337, 16.12.2008 г., стр. 102—122.</w:t>
      </w:r>
    </w:p>
  </w:footnote>
  <w:footnote w:id="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327, 5.12.2008 г., стр. 27—46.</w:t>
      </w:r>
    </w:p>
  </w:footnote>
  <w:footnote w:id="9">
    <w:p>
      <w:pPr>
        <w:pStyle w:val="FootnoteText"/>
        <w:ind w:left="426" w:hanging="426"/>
      </w:pPr>
      <w:r>
        <w:rPr>
          <w:rStyle w:val="FootnoteReference"/>
        </w:rPr>
        <w:footnoteRef/>
      </w:r>
      <w:r>
        <w:tab/>
      </w:r>
      <w:r>
        <w:rPr>
          <w:rFonts w:ascii="Times New Roman" w:hAnsi="Times New Roman"/>
        </w:rPr>
        <w:t>ОВ L 294, 11.11.2009 г., стр. 20—40.</w:t>
      </w:r>
    </w:p>
  </w:footnote>
  <w:footnote w:id="10">
    <w:p>
      <w:pPr>
        <w:pStyle w:val="FootnoteText"/>
        <w:ind w:left="426" w:hanging="426"/>
      </w:pPr>
      <w:r>
        <w:rPr>
          <w:rStyle w:val="FootnoteReference"/>
        </w:rPr>
        <w:footnoteRef/>
      </w:r>
      <w:r>
        <w:tab/>
      </w:r>
      <w:r>
        <w:rPr>
          <w:rFonts w:ascii="Times New Roman" w:hAnsi="Times New Roman"/>
        </w:rPr>
        <w:t>ОВ L 328, 15.12.2009 г., стр. 42—47.</w:t>
      </w:r>
    </w:p>
  </w:footnote>
  <w:footnote w:id="11">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ОВ L 338, 21.12.2011 г., стр. 2—18.</w:t>
      </w:r>
    </w:p>
  </w:footnote>
  <w:footnote w:id="12">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218, 13.8.2008 г., стр. 129—136.</w:t>
      </w:r>
    </w:p>
  </w:footnote>
  <w:footnote w:id="13">
    <w:p>
      <w:pPr>
        <w:pStyle w:val="FootnoteText"/>
        <w:ind w:left="426" w:hanging="426"/>
      </w:pPr>
      <w:r>
        <w:rPr>
          <w:rStyle w:val="FootnoteReference"/>
        </w:rPr>
        <w:footnoteRef/>
      </w:r>
      <w:r>
        <w:tab/>
      </w:r>
      <w:r>
        <w:rPr>
          <w:rFonts w:ascii="Times New Roman" w:hAnsi="Times New Roman"/>
        </w:rPr>
        <w:t>COM(2018) 302 final.</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180, 29.6.2013 г., стр. 31—59.</w:t>
      </w:r>
    </w:p>
  </w:footnote>
  <w:footnote w:id="15">
    <w:p>
      <w:pPr>
        <w:pStyle w:val="FootnoteText"/>
        <w:ind w:left="426" w:hanging="426"/>
      </w:pPr>
      <w:r>
        <w:rPr>
          <w:rStyle w:val="FootnoteReference"/>
        </w:rPr>
        <w:footnoteRef/>
      </w:r>
      <w:r>
        <w:tab/>
      </w:r>
      <w:r>
        <w:rPr>
          <w:rFonts w:ascii="Times New Roman" w:hAnsi="Times New Roman"/>
        </w:rPr>
        <w:t>COM/2016/0272 final — 2016/0132 (COD).</w:t>
      </w:r>
    </w:p>
  </w:footnote>
  <w:footnote w:id="1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C 24, 23.1.1998 г., стр. 2—22.</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C 197, 12.7.2000 г., стр. 1—2.</w:t>
      </w:r>
    </w:p>
  </w:footnote>
  <w:footnote w:id="18">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ОВ L 26, 29.1.2004 г., стр. 3—9.</w:t>
      </w:r>
    </w:p>
  </w:footnote>
  <w:footnote w:id="19">
    <w:p>
      <w:pPr>
        <w:pStyle w:val="FootnoteText"/>
        <w:ind w:left="426" w:hanging="426"/>
        <w:jc w:val="both"/>
      </w:pPr>
      <w:r>
        <w:rPr>
          <w:rStyle w:val="FootnoteReference"/>
          <w:rFonts w:ascii="Times New Roman" w:hAnsi="Times New Roman" w:cs="Times New Roman"/>
        </w:rPr>
        <w:footnoteRef/>
      </w:r>
      <w:r>
        <w:tab/>
      </w:r>
      <w:r>
        <w:rPr>
          <w:rFonts w:ascii="Times New Roman" w:hAnsi="Times New Roman"/>
          <w:bCs/>
          <w:iCs/>
        </w:rPr>
        <w:t>ОВ L 181, 19.7.2003 г., стр. 34—42.</w:t>
      </w:r>
    </w:p>
  </w:footnote>
  <w:footnote w:id="20">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162, 20.6.2002 г., стр. 1—3.</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253, 29.9.2005 г., стр. 22—24.</w:t>
      </w:r>
    </w:p>
  </w:footnote>
  <w:footnote w:id="2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ОВ L 386, 29.12.2006 г., стр. 89—100.</w:t>
      </w:r>
    </w:p>
  </w:footnote>
  <w:footnote w:id="23">
    <w:p>
      <w:pPr>
        <w:pStyle w:val="FootnoteText"/>
        <w:ind w:left="426" w:hanging="426"/>
        <w:jc w:val="both"/>
        <w:rPr>
          <w:rFonts w:ascii="Times New Roman" w:hAnsi="Times New Roman" w:cs="Times New Roman"/>
          <w:iCs/>
        </w:rPr>
      </w:pPr>
      <w:r>
        <w:rPr>
          <w:rStyle w:val="FootnoteReference"/>
        </w:rPr>
        <w:footnoteRef/>
      </w:r>
      <w:r>
        <w:tab/>
      </w:r>
      <w:r>
        <w:rPr>
          <w:rFonts w:ascii="Times New Roman" w:hAnsi="Times New Roman"/>
          <w:iCs/>
        </w:rPr>
        <w:t>ОВ L 332, 18.12.2007 г., стр. 103—105.</w:t>
      </w:r>
    </w:p>
  </w:footnote>
  <w:footnote w:id="2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210, 6.8.2008 г., стр. 1—11.</w:t>
      </w:r>
    </w:p>
  </w:footnote>
  <w:footnote w:id="25">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ОВ L 210, 6.8.2008 г., стр. 12—72.</w:t>
      </w:r>
    </w:p>
  </w:footnote>
  <w:footnote w:id="2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323, 10.12.2009 г., стр. 20—30.</w:t>
      </w:r>
    </w:p>
  </w:footnote>
  <w:footnote w:id="27">
    <w:p>
      <w:pPr>
        <w:pStyle w:val="FootnoteText"/>
        <w:ind w:left="426" w:hanging="426"/>
      </w:pPr>
      <w:r>
        <w:rPr>
          <w:rStyle w:val="FootnoteReference"/>
        </w:rPr>
        <w:footnoteRef/>
      </w:r>
      <w:r>
        <w:tab/>
      </w:r>
      <w:r>
        <w:rPr>
          <w:rFonts w:ascii="Times New Roman" w:hAnsi="Times New Roman"/>
          <w:iCs/>
        </w:rPr>
        <w:t>ОВ L 39, 12.2.2010 г., стр. 20—35.</w:t>
      </w:r>
    </w:p>
  </w:footnote>
  <w:footnote w:id="2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130, 1.5.2014 г., стр. 1—36.</w:t>
      </w:r>
    </w:p>
  </w:footnote>
  <w:footnote w:id="2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68, 13.3.2015 г., стр. 9—25.</w:t>
      </w:r>
    </w:p>
  </w:footnote>
  <w:footnote w:id="3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ОВ L 119, 4.5.2016 г., стр. 132—149.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CE0EE82"/>
    <w:lvl w:ilvl="0">
      <w:start w:val="1"/>
      <w:numFmt w:val="decimal"/>
      <w:pStyle w:val="ListNumber"/>
      <w:lvlText w:val="%1."/>
      <w:lvlJc w:val="left"/>
      <w:pPr>
        <w:tabs>
          <w:tab w:val="num" w:pos="360"/>
        </w:tabs>
        <w:ind w:left="360" w:hanging="360"/>
      </w:pPr>
    </w:lvl>
  </w:abstractNum>
  <w:abstractNum w:abstractNumId="1">
    <w:nsid w:val="FFFFFF89"/>
    <w:multiLevelType w:val="singleLevel"/>
    <w:tmpl w:val="1F4C19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33FA9"/>
    <w:multiLevelType w:val="hybridMultilevel"/>
    <w:tmpl w:val="F4A2AD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A60983"/>
    <w:multiLevelType w:val="hybridMultilevel"/>
    <w:tmpl w:val="F384B1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3BE5104"/>
    <w:multiLevelType w:val="hybridMultilevel"/>
    <w:tmpl w:val="42EA97B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0AA6317A"/>
    <w:multiLevelType w:val="hybridMultilevel"/>
    <w:tmpl w:val="9D184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4069B"/>
    <w:multiLevelType w:val="hybridMultilevel"/>
    <w:tmpl w:val="05DE7F5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0F6E2A32"/>
    <w:multiLevelType w:val="hybridMultilevel"/>
    <w:tmpl w:val="EA929CAA"/>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F9E5189"/>
    <w:multiLevelType w:val="hybridMultilevel"/>
    <w:tmpl w:val="9B1CF5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1221306F"/>
    <w:multiLevelType w:val="hybridMultilevel"/>
    <w:tmpl w:val="C70A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74CF1"/>
    <w:multiLevelType w:val="hybridMultilevel"/>
    <w:tmpl w:val="1E9C8D0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59D6FEA"/>
    <w:multiLevelType w:val="hybridMultilevel"/>
    <w:tmpl w:val="1BB07C34"/>
    <w:lvl w:ilvl="0" w:tplc="D8165512">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F0A447E"/>
    <w:multiLevelType w:val="hybridMultilevel"/>
    <w:tmpl w:val="ADAAC778"/>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59B145A"/>
    <w:multiLevelType w:val="hybridMultilevel"/>
    <w:tmpl w:val="CC08EFA2"/>
    <w:lvl w:ilvl="0" w:tplc="04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C643927"/>
    <w:multiLevelType w:val="hybridMultilevel"/>
    <w:tmpl w:val="A86C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223DB1"/>
    <w:multiLevelType w:val="hybridMultilevel"/>
    <w:tmpl w:val="DD0A5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DEF7576"/>
    <w:multiLevelType w:val="hybridMultilevel"/>
    <w:tmpl w:val="8F58A5B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F4535C4"/>
    <w:multiLevelType w:val="hybridMultilevel"/>
    <w:tmpl w:val="F384B118"/>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0">
    <w:nsid w:val="60AC0270"/>
    <w:multiLevelType w:val="hybridMultilevel"/>
    <w:tmpl w:val="74C6725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EC6B95"/>
    <w:multiLevelType w:val="hybridMultilevel"/>
    <w:tmpl w:val="C6426FA2"/>
    <w:lvl w:ilvl="0" w:tplc="FB1C06D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nsid w:val="65A36FB0"/>
    <w:multiLevelType w:val="hybridMultilevel"/>
    <w:tmpl w:val="1B4C8042"/>
    <w:lvl w:ilvl="0" w:tplc="CF02387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BE0995"/>
    <w:multiLevelType w:val="hybridMultilevel"/>
    <w:tmpl w:val="B3F2D50C"/>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15"/>
  </w:num>
  <w:num w:numId="2">
    <w:abstractNumId w:val="14"/>
    <w:lvlOverride w:ilvl="0">
      <w:startOverride w:val="1"/>
    </w:lvlOverride>
  </w:num>
  <w:num w:numId="3">
    <w:abstractNumId w:val="2"/>
  </w:num>
  <w:num w:numId="4">
    <w:abstractNumId w:val="0"/>
  </w:num>
  <w:num w:numId="5">
    <w:abstractNumId w:val="18"/>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20"/>
  </w:num>
  <w:num w:numId="11">
    <w:abstractNumId w:val="7"/>
  </w:num>
  <w:num w:numId="12">
    <w:abstractNumId w:val="1"/>
  </w:num>
  <w:num w:numId="13">
    <w:abstractNumId w:val="6"/>
  </w:num>
  <w:num w:numId="14">
    <w:abstractNumId w:val="4"/>
  </w:num>
  <w:num w:numId="15">
    <w:abstractNumId w:val="17"/>
  </w:num>
  <w:num w:numId="16">
    <w:abstractNumId w:val="19"/>
  </w:num>
  <w:num w:numId="17">
    <w:abstractNumId w:val="23"/>
  </w:num>
  <w:num w:numId="18">
    <w:abstractNumId w:val="16"/>
  </w:num>
  <w:num w:numId="19">
    <w:abstractNumId w:val="11"/>
  </w:num>
  <w:num w:numId="20">
    <w:abstractNumId w:val="12"/>
  </w:num>
  <w:num w:numId="21">
    <w:abstractNumId w:val="21"/>
  </w:num>
  <w:num w:numId="22">
    <w:abstractNumId w:val="8"/>
  </w:num>
  <w:num w:numId="23">
    <w:abstractNumId w:val="5"/>
  </w:num>
  <w:num w:numId="24">
    <w:abstractNumId w:val="9"/>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229C32E8-33AE-4B74-9D2D-C3F13D20DE94"/>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7?\u1083?\u1077?\u1076?\u1074?\u1072?\u1097?\u1080? \u1089?\u1090?\u1098?\u1087?\u1082?\u1080? \u1079?\u1072? \u1087?\u1088?\u1080?\u1074?\u1077?\u1078?\u1076?\u1072?\u1085?\u1077? \u1085?\u1072? \u1076?\u1086?\u1089?\u1090?\u1080?\u1078?\u1077?\u1085?\u1080?\u1103?\u1090?\u1072? \u1085?\u1072? \u1087?\u1088?\u1072?\u1074?\u1086?\u1090?\u1086? \u1085?\u1072? \u1045?\u1057? \u1086?\u1090? \u1073?\u1080?\u1074?\u1096?\u1080?\u1103? \u1090?\u1088?\u1077?\u1090?\u1080? \u1089?\u1090?\u1098?\u1083?\u1073? \u1074? \u1089?\u1098?\u1086?\u1090?\u1074?\u1077?\u1090?\u1089?\u1090?\u1074?\u1080?\u1077? \u1089? \u1087?\u1088?\u1072?\u1074?\u1080?\u1083?\u1072?\u1090?\u1072? \u1079?\u1072? \u1079?\u1072?\u1097?\u1080?\u1090?\u1072? \u1085?\u1072? \u1076?\u1072?\u1085?\u1085?\u1080?\u1090?\u1077?"/>
    <w:docVar w:name="LW_PART_NBR" w:val="&lt;UNUSED&gt;"/>
    <w:docVar w:name="LW_PART_NBR_TOTAL" w:val="&lt;UNUSED&gt;"/>
    <w:docVar w:name="LW_REF.INST.NEW" w:val="COM"/>
    <w:docVar w:name="LW_REF.INST.NEW_ADOPTED" w:val="final"/>
    <w:docVar w:name="LW_REF.INST.NEW_TEXT" w:val="(2020)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u1058?\u105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5513">
      <w:bodyDiv w:val="1"/>
      <w:marLeft w:val="0"/>
      <w:marRight w:val="0"/>
      <w:marTop w:val="0"/>
      <w:marBottom w:val="0"/>
      <w:divBdr>
        <w:top w:val="none" w:sz="0" w:space="0" w:color="auto"/>
        <w:left w:val="none" w:sz="0" w:space="0" w:color="auto"/>
        <w:bottom w:val="none" w:sz="0" w:space="0" w:color="auto"/>
        <w:right w:val="none" w:sz="0" w:space="0" w:color="auto"/>
      </w:divBdr>
    </w:div>
    <w:div w:id="490023401">
      <w:bodyDiv w:val="1"/>
      <w:marLeft w:val="0"/>
      <w:marRight w:val="0"/>
      <w:marTop w:val="0"/>
      <w:marBottom w:val="0"/>
      <w:divBdr>
        <w:top w:val="none" w:sz="0" w:space="0" w:color="auto"/>
        <w:left w:val="none" w:sz="0" w:space="0" w:color="auto"/>
        <w:bottom w:val="none" w:sz="0" w:space="0" w:color="auto"/>
        <w:right w:val="none" w:sz="0" w:space="0" w:color="auto"/>
      </w:divBdr>
    </w:div>
    <w:div w:id="671876767">
      <w:bodyDiv w:val="1"/>
      <w:marLeft w:val="0"/>
      <w:marRight w:val="0"/>
      <w:marTop w:val="0"/>
      <w:marBottom w:val="0"/>
      <w:divBdr>
        <w:top w:val="none" w:sz="0" w:space="0" w:color="auto"/>
        <w:left w:val="none" w:sz="0" w:space="0" w:color="auto"/>
        <w:bottom w:val="none" w:sz="0" w:space="0" w:color="auto"/>
        <w:right w:val="none" w:sz="0" w:space="0" w:color="auto"/>
      </w:divBdr>
    </w:div>
    <w:div w:id="926841770">
      <w:bodyDiv w:val="1"/>
      <w:marLeft w:val="0"/>
      <w:marRight w:val="0"/>
      <w:marTop w:val="0"/>
      <w:marBottom w:val="0"/>
      <w:divBdr>
        <w:top w:val="none" w:sz="0" w:space="0" w:color="auto"/>
        <w:left w:val="none" w:sz="0" w:space="0" w:color="auto"/>
        <w:bottom w:val="none" w:sz="0" w:space="0" w:color="auto"/>
        <w:right w:val="none" w:sz="0" w:space="0" w:color="auto"/>
      </w:divBdr>
    </w:div>
    <w:div w:id="1023559111">
      <w:bodyDiv w:val="1"/>
      <w:marLeft w:val="0"/>
      <w:marRight w:val="0"/>
      <w:marTop w:val="0"/>
      <w:marBottom w:val="0"/>
      <w:divBdr>
        <w:top w:val="none" w:sz="0" w:space="0" w:color="auto"/>
        <w:left w:val="none" w:sz="0" w:space="0" w:color="auto"/>
        <w:bottom w:val="none" w:sz="0" w:space="0" w:color="auto"/>
        <w:right w:val="none" w:sz="0" w:space="0" w:color="auto"/>
      </w:divBdr>
    </w:div>
    <w:div w:id="1083259019">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349522557">
      <w:bodyDiv w:val="1"/>
      <w:marLeft w:val="0"/>
      <w:marRight w:val="0"/>
      <w:marTop w:val="0"/>
      <w:marBottom w:val="0"/>
      <w:divBdr>
        <w:top w:val="none" w:sz="0" w:space="0" w:color="auto"/>
        <w:left w:val="none" w:sz="0" w:space="0" w:color="auto"/>
        <w:bottom w:val="none" w:sz="0" w:space="0" w:color="auto"/>
        <w:right w:val="none" w:sz="0" w:space="0" w:color="auto"/>
      </w:divBdr>
    </w:div>
    <w:div w:id="1374967067">
      <w:bodyDiv w:val="1"/>
      <w:marLeft w:val="0"/>
      <w:marRight w:val="0"/>
      <w:marTop w:val="0"/>
      <w:marBottom w:val="0"/>
      <w:divBdr>
        <w:top w:val="none" w:sz="0" w:space="0" w:color="auto"/>
        <w:left w:val="none" w:sz="0" w:space="0" w:color="auto"/>
        <w:bottom w:val="none" w:sz="0" w:space="0" w:color="auto"/>
        <w:right w:val="none" w:sz="0" w:space="0" w:color="auto"/>
      </w:divBdr>
    </w:div>
    <w:div w:id="1442146703">
      <w:bodyDiv w:val="1"/>
      <w:marLeft w:val="0"/>
      <w:marRight w:val="0"/>
      <w:marTop w:val="0"/>
      <w:marBottom w:val="0"/>
      <w:divBdr>
        <w:top w:val="none" w:sz="0" w:space="0" w:color="auto"/>
        <w:left w:val="none" w:sz="0" w:space="0" w:color="auto"/>
        <w:bottom w:val="none" w:sz="0" w:space="0" w:color="auto"/>
        <w:right w:val="none" w:sz="0" w:space="0" w:color="auto"/>
      </w:divBdr>
    </w:div>
    <w:div w:id="1579359674">
      <w:bodyDiv w:val="1"/>
      <w:marLeft w:val="0"/>
      <w:marRight w:val="0"/>
      <w:marTop w:val="0"/>
      <w:marBottom w:val="0"/>
      <w:divBdr>
        <w:top w:val="none" w:sz="0" w:space="0" w:color="auto"/>
        <w:left w:val="none" w:sz="0" w:space="0" w:color="auto"/>
        <w:bottom w:val="none" w:sz="0" w:space="0" w:color="auto"/>
        <w:right w:val="none" w:sz="0" w:space="0" w:color="auto"/>
      </w:divBdr>
    </w:div>
    <w:div w:id="1643388341">
      <w:bodyDiv w:val="1"/>
      <w:marLeft w:val="0"/>
      <w:marRight w:val="0"/>
      <w:marTop w:val="0"/>
      <w:marBottom w:val="0"/>
      <w:divBdr>
        <w:top w:val="none" w:sz="0" w:space="0" w:color="auto"/>
        <w:left w:val="none" w:sz="0" w:space="0" w:color="auto"/>
        <w:bottom w:val="none" w:sz="0" w:space="0" w:color="auto"/>
        <w:right w:val="none" w:sz="0" w:space="0" w:color="auto"/>
      </w:divBdr>
    </w:div>
    <w:div w:id="1689063776">
      <w:bodyDiv w:val="1"/>
      <w:marLeft w:val="0"/>
      <w:marRight w:val="0"/>
      <w:marTop w:val="0"/>
      <w:marBottom w:val="0"/>
      <w:divBdr>
        <w:top w:val="none" w:sz="0" w:space="0" w:color="auto"/>
        <w:left w:val="none" w:sz="0" w:space="0" w:color="auto"/>
        <w:bottom w:val="none" w:sz="0" w:space="0" w:color="auto"/>
        <w:right w:val="none" w:sz="0" w:space="0" w:color="auto"/>
      </w:divBdr>
    </w:div>
    <w:div w:id="1775128996">
      <w:bodyDiv w:val="1"/>
      <w:marLeft w:val="0"/>
      <w:marRight w:val="0"/>
      <w:marTop w:val="0"/>
      <w:marBottom w:val="0"/>
      <w:divBdr>
        <w:top w:val="none" w:sz="0" w:space="0" w:color="auto"/>
        <w:left w:val="none" w:sz="0" w:space="0" w:color="auto"/>
        <w:bottom w:val="none" w:sz="0" w:space="0" w:color="auto"/>
        <w:right w:val="none" w:sz="0" w:space="0" w:color="auto"/>
      </w:divBdr>
    </w:div>
    <w:div w:id="1786728991">
      <w:bodyDiv w:val="1"/>
      <w:marLeft w:val="0"/>
      <w:marRight w:val="0"/>
      <w:marTop w:val="0"/>
      <w:marBottom w:val="0"/>
      <w:divBdr>
        <w:top w:val="none" w:sz="0" w:space="0" w:color="auto"/>
        <w:left w:val="none" w:sz="0" w:space="0" w:color="auto"/>
        <w:bottom w:val="none" w:sz="0" w:space="0" w:color="auto"/>
        <w:right w:val="none" w:sz="0" w:space="0" w:color="auto"/>
      </w:divBdr>
    </w:div>
    <w:div w:id="1900092334">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2021812332">
      <w:bodyDiv w:val="1"/>
      <w:marLeft w:val="0"/>
      <w:marRight w:val="0"/>
      <w:marTop w:val="0"/>
      <w:marBottom w:val="0"/>
      <w:divBdr>
        <w:top w:val="none" w:sz="0" w:space="0" w:color="auto"/>
        <w:left w:val="none" w:sz="0" w:space="0" w:color="auto"/>
        <w:bottom w:val="none" w:sz="0" w:space="0" w:color="auto"/>
        <w:right w:val="none" w:sz="0" w:space="0" w:color="auto"/>
      </w:divBdr>
    </w:div>
    <w:div w:id="20538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DF0BF-E97D-4759-BABE-58B98CC1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1103</Words>
  <Characters>6201</Characters>
  <Application>Microsoft Office Word</Application>
  <DocSecurity>0</DocSecurity>
  <Lines>114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MOSCIBRODA Anna (JUST)</dc:creator>
  <cp:keywords/>
  <dc:description/>
  <cp:lastModifiedBy>WES PDFC Administrator</cp:lastModifiedBy>
  <cp:revision>17</cp:revision>
  <cp:lastPrinted>2020-03-05T20:03:00Z</cp:lastPrinted>
  <dcterms:created xsi:type="dcterms:W3CDTF">2020-06-19T12:33:00Z</dcterms:created>
  <dcterms:modified xsi:type="dcterms:W3CDTF">2020-06-24T10:28:00Z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