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525CC7D-A7F4-4E0B-800D-00358CBA9D97" style="width:451pt;height:3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spacing w:after="0" w:line="240" w:lineRule="auto"/>
        <w:jc w:val="both"/>
        <w:rPr>
          <w:rFonts w:ascii="Times New Roman" w:eastAsia="Times New Roman" w:hAnsi="Times New Roman" w:cs="Times New Roman"/>
          <w:bCs/>
          <w:noProof/>
          <w:sz w:val="24"/>
          <w:szCs w:val="24"/>
        </w:rPr>
      </w:pPr>
      <w:bookmarkStart w:id="1" w:name="_GoBack"/>
      <w:bookmarkEnd w:id="1"/>
      <w:r>
        <w:rPr>
          <w:rFonts w:ascii="Times New Roman" w:hAnsi="Times New Roman"/>
          <w:b/>
          <w:noProof/>
          <w:sz w:val="24"/>
          <w:szCs w:val="24"/>
        </w:rPr>
        <w:lastRenderedPageBreak/>
        <w:t>ANNEXE I: Actes relevant du réexamen mais ne nécessitant pas de modification</w:t>
      </w:r>
      <w:r>
        <w:rPr>
          <w:rFonts w:ascii="Times New Roman" w:hAnsi="Times New Roman"/>
          <w:bCs/>
          <w:noProof/>
          <w:sz w:val="24"/>
          <w:szCs w:val="24"/>
        </w:rPr>
        <w:t xml:space="preserve"> </w:t>
      </w:r>
    </w:p>
    <w:p>
      <w:pPr>
        <w:tabs>
          <w:tab w:val="left" w:pos="1276"/>
        </w:tabs>
        <w:spacing w:before="120" w:after="0" w:line="240" w:lineRule="auto"/>
        <w:ind w:left="850" w:right="-27" w:hanging="850"/>
        <w:jc w:val="both"/>
        <w:rPr>
          <w:rFonts w:ascii="Times New Roman" w:eastAsia="Calibri" w:hAnsi="Times New Roman" w:cs="Times New Roman"/>
          <w:bCs/>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Actes qui ne contiennent pas de règles spécifiques en matière de protection des données et qui, de ce fait, ne bénéficient pas de la clause d’antériorité, ce qui signifie que la directive s'y applique déjà (7 actes):</w:t>
      </w:r>
    </w:p>
    <w:p>
      <w:pPr>
        <w:numPr>
          <w:ilvl w:val="0"/>
          <w:numId w:val="6"/>
        </w:numPr>
        <w:tabs>
          <w:tab w:val="left" w:pos="1276"/>
        </w:tabs>
        <w:spacing w:after="120" w:line="240" w:lineRule="auto"/>
        <w:ind w:left="567" w:right="-27" w:hanging="425"/>
        <w:jc w:val="both"/>
        <w:rPr>
          <w:rFonts w:ascii="Times New Roman" w:eastAsia="Calibri" w:hAnsi="Times New Roman" w:cs="Times New Roman"/>
          <w:noProof/>
          <w:sz w:val="24"/>
          <w:szCs w:val="24"/>
        </w:rPr>
      </w:pPr>
      <w:r>
        <w:rPr>
          <w:rFonts w:ascii="Times New Roman" w:hAnsi="Times New Roman"/>
          <w:bCs/>
          <w:noProof/>
          <w:sz w:val="24"/>
          <w:szCs w:val="24"/>
        </w:rPr>
        <w:t>Décision-cadre 2002/584/JAI du Conseil du 13 juin 2002 relative au mandat d’arrêt européen et aux procédures de remise entre États membres</w:t>
      </w:r>
      <w:r>
        <w:rPr>
          <w:rFonts w:ascii="Times New Roman" w:eastAsia="Calibri" w:hAnsi="Times New Roman" w:cs="Times New Roman"/>
          <w:bCs/>
          <w:noProof/>
          <w:sz w:val="24"/>
          <w:szCs w:val="24"/>
          <w:vertAlign w:val="superscript"/>
        </w:rPr>
        <w:footnoteReference w:id="2"/>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Décision-cadre 2003/577/JAI du Conseil du 22 juillet 2003 relative à l’exécution dans l’Union européenne des décisions de gel de biens ou d’éléments de preuve</w:t>
      </w:r>
      <w:r>
        <w:rPr>
          <w:rFonts w:ascii="Times New Roman" w:eastAsia="Calibri" w:hAnsi="Times New Roman" w:cs="Times New Roman"/>
          <w:bCs/>
          <w:noProof/>
          <w:sz w:val="24"/>
          <w:szCs w:val="24"/>
          <w:vertAlign w:val="superscript"/>
        </w:rPr>
        <w:footnoteReference w:id="3"/>
      </w:r>
      <w:r>
        <w:rPr>
          <w:rFonts w:ascii="Times New Roman" w:hAnsi="Times New Roman"/>
          <w:bCs/>
          <w:noProof/>
          <w:sz w:val="24"/>
          <w:szCs w:val="24"/>
        </w:rPr>
        <w:t>.</w:t>
      </w:r>
      <w:r>
        <w:rPr>
          <w:rFonts w:ascii="Times New Roman" w:hAnsi="Times New Roman"/>
          <w:bCs/>
          <w:iCs/>
          <w:noProof/>
          <w:sz w:val="24"/>
          <w:szCs w:val="24"/>
        </w:rPr>
        <w:t xml:space="preserve"> </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iCs/>
          <w:noProof/>
          <w:sz w:val="24"/>
          <w:szCs w:val="24"/>
        </w:rPr>
        <w:t>Position commune 2005/69/JAI du Conseil du 24 janvier 2005 relative à l’échange de certaines données avec Interpol</w:t>
      </w:r>
      <w:r>
        <w:rPr>
          <w:rFonts w:ascii="Times New Roman" w:eastAsia="Calibri" w:hAnsi="Times New Roman" w:cs="Times New Roman"/>
          <w:bCs/>
          <w:iCs/>
          <w:noProof/>
          <w:sz w:val="24"/>
          <w:szCs w:val="24"/>
          <w:vertAlign w:val="superscript"/>
        </w:rPr>
        <w:footnoteReference w:id="4"/>
      </w:r>
      <w:r>
        <w:rPr>
          <w:rFonts w:ascii="Times New Roman" w:hAnsi="Times New Roman"/>
          <w:bCs/>
          <w:i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iCs/>
          <w:noProof/>
          <w:sz w:val="24"/>
          <w:szCs w:val="24"/>
        </w:rPr>
        <w:t>Décision-cadre 2005/214/JAI du Conseil du 24 février 2005 concernant l'application du principe de reconnaissance mutuelle aux sanctions pécuniaires</w:t>
      </w:r>
      <w:r>
        <w:rPr>
          <w:rStyle w:val="FootnoteReference"/>
          <w:rFonts w:ascii="Times New Roman" w:eastAsia="Calibri" w:hAnsi="Times New Roman" w:cs="Times New Roman"/>
          <w:bCs/>
          <w:iCs/>
          <w:noProof/>
          <w:sz w:val="24"/>
          <w:szCs w:val="24"/>
        </w:rPr>
        <w:footnoteReference w:id="5"/>
      </w:r>
      <w:r>
        <w:rPr>
          <w:rFonts w:ascii="Times New Roman" w:hAnsi="Times New Roman"/>
          <w:bCs/>
          <w:i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Décision-cadre 2006/783/JAI du Conseil du 6 octobre 2006 relative à l’application du principe de reconnaissance mutuelle aux décisions de confiscation</w:t>
      </w:r>
      <w:r>
        <w:rPr>
          <w:rFonts w:ascii="Times New Roman" w:eastAsia="Calibri" w:hAnsi="Times New Roman" w:cs="Times New Roman"/>
          <w:bCs/>
          <w:noProof/>
          <w:sz w:val="24"/>
          <w:szCs w:val="24"/>
          <w:vertAlign w:val="superscript"/>
        </w:rPr>
        <w:footnoteReference w:id="6"/>
      </w:r>
      <w:r>
        <w:rPr>
          <w:rFonts w:ascii="Times New Roman" w:hAnsi="Times New Roman"/>
          <w:bCs/>
          <w:noProof/>
          <w:sz w:val="24"/>
          <w:szCs w:val="24"/>
        </w:rPr>
        <w:t xml:space="preserve">. </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noProof/>
          <w:sz w:val="24"/>
          <w:szCs w:val="24"/>
        </w:rPr>
        <w:t>Décision-cadre 2008/947/JAI du Conseil du 27 novembre 2008 concernant l’application du principe de reconnaissance mutuelle aux jugements et aux décisions de probation aux fins de la surveillance des mesures de probation et des peines de substitution</w:t>
      </w:r>
      <w:r>
        <w:rPr>
          <w:rFonts w:ascii="Times New Roman" w:eastAsia="Calibri" w:hAnsi="Times New Roman" w:cs="Times New Roman"/>
          <w:bCs/>
          <w:noProof/>
          <w:sz w:val="24"/>
          <w:szCs w:val="24"/>
          <w:vertAlign w:val="superscript"/>
        </w:rPr>
        <w:footnoteReference w:id="7"/>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noProof/>
          <w:sz w:val="24"/>
          <w:szCs w:val="24"/>
        </w:rPr>
      </w:pPr>
      <w:r>
        <w:rPr>
          <w:rFonts w:ascii="Times New Roman" w:hAnsi="Times New Roman"/>
          <w:noProof/>
          <w:sz w:val="24"/>
          <w:szCs w:val="24"/>
        </w:rPr>
        <w:t>Décision-cadre 2008/909/JAI du Conseil du 27 novembre 2008 concernant l’application du principe de reconnaissance mutuelle aux jugements en matière pénale prononçant des peines ou des mesures privatives de liberté aux fins de leur exécution dans l’Union européenne</w:t>
      </w:r>
      <w:r>
        <w:rPr>
          <w:rFonts w:ascii="Times New Roman" w:eastAsia="Calibri" w:hAnsi="Times New Roman" w:cs="Times New Roman"/>
          <w:noProof/>
          <w:sz w:val="24"/>
          <w:szCs w:val="24"/>
          <w:vertAlign w:val="superscript"/>
        </w:rPr>
        <w:footnoteReference w:id="8"/>
      </w:r>
      <w:r>
        <w:rPr>
          <w:rFonts w:ascii="Times New Roman" w:hAnsi="Times New Roman"/>
          <w:noProof/>
          <w:sz w:val="24"/>
          <w:szCs w:val="24"/>
        </w:rPr>
        <w:t xml:space="preserve">. </w:t>
      </w:r>
    </w:p>
    <w:p>
      <w:pPr>
        <w:tabs>
          <w:tab w:val="left" w:pos="1276"/>
        </w:tabs>
        <w:spacing w:after="120" w:line="240" w:lineRule="auto"/>
        <w:ind w:left="567" w:right="-27"/>
        <w:jc w:val="both"/>
        <w:rPr>
          <w:rFonts w:ascii="Times New Roman" w:eastAsia="Calibri" w:hAnsi="Times New Roman" w:cs="Times New Roman"/>
          <w:bCs/>
          <w:iCs/>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Actes qui comportent une référence à la décision-cadre 2008/977/JAI du Conseil qui s’entend comme faite à la directive, conformément à l’article 59, paragraphe 2, de celle-ci, et qui ne contiennent pas de règles spécifiques en matière de protection des données (3 actes):</w:t>
      </w:r>
    </w:p>
    <w:p>
      <w:pPr>
        <w:numPr>
          <w:ilvl w:val="0"/>
          <w:numId w:val="16"/>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Décision-cadre 2009/829/JAI du Conseil du 23 octobre 2009 concernant l’application, entre les États membres de l’Union européenne, du principe de reconnaissance mutuelle aux décisions relatives à des mesures de contrôle en tant qu’alternative à la détention provisoire</w:t>
      </w:r>
      <w:r>
        <w:rPr>
          <w:rStyle w:val="FootnoteReference"/>
          <w:rFonts w:ascii="Times New Roman" w:eastAsia="Calibri" w:hAnsi="Times New Roman" w:cs="Times New Roman"/>
          <w:bCs/>
          <w:noProof/>
          <w:sz w:val="24"/>
          <w:szCs w:val="24"/>
        </w:rPr>
        <w:footnoteReference w:id="9"/>
      </w:r>
      <w:r>
        <w:rPr>
          <w:rFonts w:ascii="Times New Roman" w:hAnsi="Times New Roman"/>
          <w:bCs/>
          <w:noProof/>
          <w:sz w:val="24"/>
          <w:szCs w:val="24"/>
        </w:rPr>
        <w:t xml:space="preserve">. </w:t>
      </w:r>
    </w:p>
    <w:p>
      <w:pPr>
        <w:numPr>
          <w:ilvl w:val="0"/>
          <w:numId w:val="1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Décision-cadre 2009/948/JAI du Conseil du 30 novembre 2009 relative à la prévention et au règlement des conflits en matière d’exercice de la compétence dans le cadre des procédures pénales</w:t>
      </w:r>
      <w:r>
        <w:rPr>
          <w:rStyle w:val="FootnoteReference"/>
          <w:rFonts w:ascii="Times New Roman" w:eastAsia="Calibri" w:hAnsi="Times New Roman" w:cs="Times New Roman"/>
          <w:bCs/>
          <w:noProof/>
          <w:sz w:val="24"/>
          <w:szCs w:val="24"/>
        </w:rPr>
        <w:footnoteReference w:id="10"/>
      </w:r>
      <w:r>
        <w:rPr>
          <w:rFonts w:ascii="Times New Roman" w:hAnsi="Times New Roman"/>
          <w:bCs/>
          <w:noProof/>
          <w:sz w:val="24"/>
          <w:szCs w:val="24"/>
        </w:rPr>
        <w:t xml:space="preserve">. </w:t>
      </w:r>
    </w:p>
    <w:p>
      <w:pPr>
        <w:numPr>
          <w:ilvl w:val="0"/>
          <w:numId w:val="1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Directive 2011/99/UE du Parlement européen et du Conseil du 13 décembre 2011 relative à la décision de protection européenne</w:t>
      </w:r>
      <w:r>
        <w:rPr>
          <w:rFonts w:ascii="Times New Roman" w:eastAsia="Calibri" w:hAnsi="Times New Roman" w:cs="Times New Roman"/>
          <w:bCs/>
          <w:noProof/>
          <w:sz w:val="24"/>
          <w:szCs w:val="24"/>
          <w:vertAlign w:val="superscript"/>
        </w:rPr>
        <w:footnoteReference w:id="11"/>
      </w:r>
      <w:r>
        <w:rPr>
          <w:rFonts w:ascii="Times New Roman" w:hAnsi="Times New Roman"/>
          <w:bCs/>
          <w:noProof/>
          <w:sz w:val="24"/>
          <w:szCs w:val="24"/>
        </w:rPr>
        <w:t>.</w:t>
      </w:r>
    </w:p>
    <w:p>
      <w:pPr>
        <w:rPr>
          <w:rFonts w:ascii="Times New Roman" w:eastAsia="Times New Roman" w:hAnsi="Times New Roman" w:cs="Times New Roman"/>
          <w:noProof/>
          <w:sz w:val="24"/>
          <w:szCs w:val="24"/>
        </w:rPr>
      </w:pPr>
      <w:r>
        <w:rPr>
          <w:noProof/>
        </w:rPr>
        <w:br w:type="page"/>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Actes dont les modifications sont déjà en cours de négociation (2 actes):</w:t>
      </w:r>
    </w:p>
    <w:p>
      <w:pPr>
        <w:pStyle w:val="ListParagraph"/>
        <w:numPr>
          <w:ilvl w:val="0"/>
          <w:numId w:val="18"/>
        </w:numPr>
        <w:tabs>
          <w:tab w:val="left" w:pos="1276"/>
        </w:tabs>
        <w:spacing w:after="120" w:line="240" w:lineRule="auto"/>
        <w:ind w:right="-28"/>
        <w:contextualSpacing w:val="0"/>
        <w:jc w:val="both"/>
        <w:rPr>
          <w:rFonts w:ascii="Times New Roman" w:eastAsia="Calibri" w:hAnsi="Times New Roman" w:cs="Times New Roman"/>
          <w:iCs/>
          <w:noProof/>
          <w:sz w:val="24"/>
          <w:szCs w:val="24"/>
        </w:rPr>
      </w:pPr>
      <w:r>
        <w:rPr>
          <w:rFonts w:ascii="Times New Roman" w:hAnsi="Times New Roman"/>
          <w:noProof/>
          <w:sz w:val="24"/>
          <w:szCs w:val="24"/>
        </w:rPr>
        <w:t>Décision 2008/633/JAI du Conseil du 23 juin 2008 concernant l'accès en consultation au système d'information sur les visas (VIS) aux fins de la prévention et de la détection des infractions terroristes et des autres infractions pénales graves, ainsi qu'aux fins des enquêtes en la matière</w:t>
      </w:r>
      <w:r>
        <w:rPr>
          <w:noProof/>
          <w:vertAlign w:val="superscript"/>
          <w:lang w:val="en"/>
        </w:rPr>
        <w:footnoteReference w:id="12"/>
      </w:r>
      <w:r>
        <w:rPr>
          <w:rFonts w:ascii="Times New Roman" w:hAnsi="Times New Roman"/>
          <w:iCs/>
          <w:noProof/>
          <w:sz w:val="24"/>
          <w:szCs w:val="24"/>
        </w:rPr>
        <w:t>; il est proposé d'abroger cet acte dans le cadre de la proposition de règlement du Parlement européen et du Conseil modifiant le règlement (CE) nº 767/2008, le règlement (CE) nº 810/2009, le règlement (UE) 2017/2226, le règlement (UE) 2016/399, le règlement (UE) nº XX/2018 [règlement sur l’interopérabilité] et la décision 2004/512/CE et abrogeant la décision 2008/633/JAI du Conseil</w:t>
      </w:r>
      <w:r>
        <w:rPr>
          <w:rStyle w:val="FootnoteReference"/>
          <w:rFonts w:ascii="Times New Roman" w:eastAsia="Calibri" w:hAnsi="Times New Roman" w:cs="Times New Roman"/>
          <w:iCs/>
          <w:noProof/>
          <w:sz w:val="24"/>
          <w:szCs w:val="24"/>
          <w:lang w:val="en"/>
        </w:rPr>
        <w:footnoteReference w:id="13"/>
      </w:r>
      <w:r>
        <w:rPr>
          <w:rFonts w:ascii="Times New Roman" w:hAnsi="Times New Roman"/>
          <w:iCs/>
          <w:noProof/>
          <w:sz w:val="24"/>
          <w:szCs w:val="24"/>
        </w:rPr>
        <w:t xml:space="preserve">. </w:t>
      </w:r>
    </w:p>
    <w:p>
      <w:pPr>
        <w:pStyle w:val="ListParagraph"/>
        <w:numPr>
          <w:ilvl w:val="0"/>
          <w:numId w:val="18"/>
        </w:numPr>
        <w:tabs>
          <w:tab w:val="left" w:pos="1276"/>
        </w:tabs>
        <w:spacing w:after="120" w:line="240" w:lineRule="auto"/>
        <w:ind w:right="-28"/>
        <w:contextualSpacing w:val="0"/>
        <w:jc w:val="both"/>
        <w:rPr>
          <w:rFonts w:ascii="Times New Roman" w:eastAsia="Calibri" w:hAnsi="Times New Roman" w:cs="Times New Roman"/>
          <w:bCs/>
          <w:noProof/>
          <w:sz w:val="24"/>
          <w:szCs w:val="24"/>
        </w:rPr>
      </w:pPr>
      <w:r>
        <w:rPr>
          <w:rFonts w:ascii="Times New Roman" w:hAnsi="Times New Roman"/>
          <w:iCs/>
          <w:noProof/>
          <w:sz w:val="24"/>
          <w:szCs w:val="24"/>
        </w:rPr>
        <w:t>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w:t>
      </w:r>
      <w:r>
        <w:rPr>
          <w:noProof/>
          <w:vertAlign w:val="superscript"/>
        </w:rPr>
        <w:footnoteReference w:id="14"/>
      </w:r>
      <w:r>
        <w:rPr>
          <w:rFonts w:ascii="Times New Roman" w:hAnsi="Times New Roman"/>
          <w:iCs/>
          <w:noProof/>
          <w:sz w:val="24"/>
          <w:szCs w:val="24"/>
        </w:rPr>
        <w:t xml:space="preserve">; il est proposé d’abroger cet acte dans le cadre de la </w:t>
      </w:r>
      <w:r>
        <w:rPr>
          <w:rFonts w:ascii="Times New Roman" w:hAnsi="Times New Roman"/>
          <w:noProof/>
          <w:sz w:val="24"/>
          <w:szCs w:val="24"/>
        </w:rPr>
        <w:t xml:space="preserve">proposition de </w:t>
      </w:r>
      <w:r>
        <w:rPr>
          <w:rFonts w:ascii="Times New Roman" w:hAnsi="Times New Roman"/>
          <w:bCs/>
          <w:noProof/>
          <w:sz w:val="24"/>
          <w:szCs w:val="24"/>
        </w:rPr>
        <w:t xml:space="preserve">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w:t>
      </w:r>
      <w:r>
        <w:rPr>
          <w:rFonts w:ascii="Times New Roman" w:hAnsi="Times New Roman"/>
          <w:noProof/>
          <w:sz w:val="24"/>
          <w:szCs w:val="24"/>
        </w:rPr>
        <w:t>séjour</w:t>
      </w:r>
      <w:r>
        <w:rPr>
          <w:rFonts w:ascii="Times New Roman" w:hAnsi="Times New Roman"/>
          <w:bCs/>
          <w:noProof/>
          <w:sz w:val="24"/>
          <w:szCs w:val="24"/>
        </w:rPr>
        <w:t xml:space="preserve"> irrégulier, et relatif aux demandes de comparaison avec les données d’Eurodac présentées par les autorités répressives des États membres et par Europol à des fins répressives (refonte)</w:t>
      </w:r>
      <w:r>
        <w:rPr>
          <w:rStyle w:val="FootnoteReference"/>
          <w:rFonts w:ascii="Times New Roman" w:eastAsia="Calibri" w:hAnsi="Times New Roman" w:cs="Times New Roman"/>
          <w:bCs/>
          <w:noProof/>
          <w:sz w:val="24"/>
          <w:szCs w:val="24"/>
        </w:rPr>
        <w:footnoteReference w:id="15"/>
      </w:r>
      <w:r>
        <w:rPr>
          <w:rFonts w:ascii="Times New Roman" w:hAnsi="Times New Roman"/>
          <w:bCs/>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Accords internationaux qui lient exclusivement des États membres (ou des États de l’espace Schengen), qui sont tenus de transposer la directive dans leur ordre juridique national, lorsque les traitements de données à caractère personnel effectués par les autorités compétentes de ces États à des fins répressives au titre de ces accords sont soumis à la législation nationale qui transpose la directive (3 actes):</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Convention établie sur la base de l'article K.3 du traité sur l'Union européenne, relative à l'assistance mutuelle et à la coopération entre les administrations douanières (</w:t>
      </w:r>
      <w:r>
        <w:rPr>
          <w:rFonts w:ascii="Times New Roman" w:hAnsi="Times New Roman"/>
          <w:bCs/>
          <w:iCs/>
          <w:noProof/>
          <w:sz w:val="24"/>
          <w:szCs w:val="24"/>
        </w:rPr>
        <w:t>convention Naples II)</w:t>
      </w:r>
      <w:r>
        <w:rPr>
          <w:rFonts w:ascii="Times New Roman" w:hAnsi="Times New Roman" w:cs="Times New Roman"/>
          <w:noProof/>
          <w:sz w:val="24"/>
          <w:szCs w:val="24"/>
          <w:vertAlign w:val="superscript"/>
        </w:rPr>
        <w:footnoteReference w:id="16"/>
      </w:r>
      <w:r>
        <w:rPr>
          <w:rFonts w:ascii="Times New Roman" w:hAnsi="Times New Roman"/>
          <w:bCs/>
          <w:iCs/>
          <w:noProof/>
          <w:sz w:val="24"/>
          <w:szCs w:val="24"/>
        </w:rPr>
        <w:t>.</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Acte du Conseil du 29 mai 2000 établissant, conformément à l’article 34 du traité sur l’Union européenne, la convention relative à l’entraide judiciaire en matière pénale entre les États membres de l’Union européenne</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Accord</w:t>
      </w:r>
      <w:r>
        <w:rPr>
          <w:rFonts w:ascii="Times New Roman" w:hAnsi="Times New Roman"/>
          <w:bCs/>
          <w:iCs/>
          <w:noProof/>
          <w:sz w:val="24"/>
          <w:szCs w:val="24"/>
        </w:rPr>
        <w:t xml:space="preserve"> entre l’Union européenne et la République d’Islande et le Royaume de Norvège sur l’application de certaines dispositions de la convention du 29 mai 2000 relative à l’entraide judiciaire en matière pénale entre les États membres de l’Union européenne et du protocole de 2001 à celle-ci</w:t>
      </w:r>
      <w:r>
        <w:rPr>
          <w:rFonts w:ascii="Times New Roman" w:eastAsia="Calibri" w:hAnsi="Times New Roman" w:cs="Times New Roman"/>
          <w:bCs/>
          <w:iCs/>
          <w:noProof/>
          <w:sz w:val="24"/>
          <w:szCs w:val="24"/>
          <w:vertAlign w:val="superscript"/>
          <w:lang w:val="en"/>
        </w:rPr>
        <w:footnoteReference w:id="18"/>
      </w:r>
      <w:r>
        <w:rPr>
          <w:rFonts w:ascii="Times New Roman" w:hAnsi="Times New Roman"/>
          <w:bCs/>
          <w:iCs/>
          <w:noProof/>
          <w:sz w:val="24"/>
          <w:szCs w:val="24"/>
        </w:rPr>
        <w:t>.</w:t>
      </w:r>
    </w:p>
    <w:p>
      <w:pPr>
        <w:spacing w:after="200" w:line="276" w:lineRule="auto"/>
        <w:ind w:left="142"/>
        <w:jc w:val="both"/>
        <w:rPr>
          <w:rFonts w:ascii="Times New Roman" w:hAnsi="Times New Roman" w:cs="Times New Roman"/>
          <w:bCs/>
          <w:noProof/>
          <w:sz w:val="24"/>
          <w:szCs w:val="24"/>
        </w:rPr>
      </w:pPr>
      <w:r>
        <w:rPr>
          <w:rFonts w:ascii="Times New Roman" w:hAnsi="Times New Roman"/>
          <w:bCs/>
          <w:noProof/>
          <w:sz w:val="24"/>
          <w:szCs w:val="24"/>
        </w:rPr>
        <w:t>Traité d’entraide judiciaire entre l’Union européenne et les États-Unis:</w:t>
      </w:r>
    </w:p>
    <w:p>
      <w:pPr>
        <w:numPr>
          <w:ilvl w:val="0"/>
          <w:numId w:val="25"/>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Accord</w:t>
      </w:r>
      <w:r>
        <w:rPr>
          <w:rFonts w:ascii="Times New Roman" w:hAnsi="Times New Roman"/>
          <w:bCs/>
          <w:iCs/>
          <w:noProof/>
          <w:sz w:val="24"/>
          <w:szCs w:val="24"/>
        </w:rPr>
        <w:t xml:space="preserve"> entre l'Union européenne et les États-Unis d'Amérique en matière d'entraide judiciaire</w:t>
      </w:r>
      <w:r>
        <w:rPr>
          <w:rFonts w:ascii="Times New Roman" w:eastAsia="Calibri" w:hAnsi="Times New Roman" w:cs="Times New Roman"/>
          <w:bCs/>
          <w:iCs/>
          <w:noProof/>
          <w:sz w:val="24"/>
          <w:szCs w:val="24"/>
          <w:vertAlign w:val="superscript"/>
          <w:lang w:val="en"/>
        </w:rPr>
        <w:footnoteReference w:id="19"/>
      </w:r>
      <w:r>
        <w:rPr>
          <w:rFonts w:ascii="Times New Roman" w:hAnsi="Times New Roman"/>
          <w:bCs/>
          <w:iCs/>
          <w:noProof/>
          <w:sz w:val="24"/>
          <w:szCs w:val="24"/>
        </w:rPr>
        <w:t>.</w:t>
      </w:r>
    </w:p>
    <w:p>
      <w:pPr>
        <w:rPr>
          <w:rFonts w:ascii="Times New Roman" w:hAnsi="Times New Roman" w:cs="Times New Roman"/>
          <w:b/>
          <w:noProof/>
          <w:sz w:val="24"/>
          <w:szCs w:val="24"/>
        </w:rPr>
      </w:pPr>
      <w:r>
        <w:rPr>
          <w:rFonts w:ascii="Times New Roman" w:hAnsi="Times New Roman"/>
          <w:b/>
          <w:noProof/>
          <w:sz w:val="24"/>
          <w:szCs w:val="24"/>
        </w:rPr>
        <w:br w:type="page"/>
        <w:t>ANNEXE II: Actes devant être modifiés</w:t>
      </w:r>
    </w:p>
    <w:p>
      <w:pPr>
        <w:pStyle w:val="ListParagraph"/>
        <w:numPr>
          <w:ilvl w:val="0"/>
          <w:numId w:val="15"/>
        </w:numPr>
        <w:ind w:left="567"/>
        <w:jc w:val="both"/>
        <w:rPr>
          <w:rFonts w:ascii="Times New Roman" w:hAnsi="Times New Roman" w:cs="Times New Roman"/>
          <w:noProof/>
          <w:sz w:val="24"/>
          <w:szCs w:val="24"/>
        </w:rPr>
      </w:pPr>
      <w:r>
        <w:rPr>
          <w:rFonts w:ascii="Times New Roman" w:hAnsi="Times New Roman"/>
          <w:bCs/>
          <w:iCs/>
          <w:noProof/>
          <w:sz w:val="24"/>
          <w:szCs w:val="24"/>
        </w:rPr>
        <w:t>Décision-cadre 2002/465/JAI du Conseil du 13 juin 2002 relative aux équipes communes d'enquête</w:t>
      </w:r>
      <w:r>
        <w:rPr>
          <w:rFonts w:ascii="Times New Roman" w:hAnsi="Times New Roman" w:cs="Times New Roman"/>
          <w:noProof/>
          <w:sz w:val="24"/>
          <w:szCs w:val="24"/>
          <w:vertAlign w:val="superscript"/>
        </w:rPr>
        <w:footnoteReference w:id="20"/>
      </w:r>
      <w:r>
        <w:rPr>
          <w:rFonts w:ascii="Times New Roman" w:hAnsi="Times New Roman"/>
          <w:bCs/>
          <w:iCs/>
          <w:noProof/>
          <w:sz w:val="24"/>
          <w:szCs w:val="24"/>
        </w:rPr>
        <w:t xml:space="preserve"> </w:t>
      </w:r>
    </w:p>
    <w:p>
      <w:pPr>
        <w:pStyle w:val="ListParagraph"/>
        <w:numPr>
          <w:ilvl w:val="0"/>
          <w:numId w:val="15"/>
        </w:numPr>
        <w:ind w:left="567"/>
        <w:jc w:val="both"/>
        <w:rPr>
          <w:rFonts w:ascii="Times New Roman" w:hAnsi="Times New Roman" w:cs="Times New Roman"/>
          <w:noProof/>
          <w:sz w:val="24"/>
          <w:szCs w:val="24"/>
        </w:rPr>
      </w:pPr>
      <w:r>
        <w:rPr>
          <w:rFonts w:ascii="Times New Roman" w:hAnsi="Times New Roman"/>
          <w:noProof/>
          <w:sz w:val="24"/>
          <w:szCs w:val="24"/>
        </w:rPr>
        <w:t>Décision 2005/671/JAI du Conseil du 20 septembre 2005 relative à l’échange d’informations et à la coopération concernant les infractions terroristes</w:t>
      </w:r>
      <w:r>
        <w:rPr>
          <w:rFonts w:ascii="Times New Roman" w:hAnsi="Times New Roman" w:cs="Times New Roman"/>
          <w:noProof/>
          <w:sz w:val="24"/>
          <w:szCs w:val="24"/>
          <w:vertAlign w:val="superscript"/>
        </w:rPr>
        <w:footnoteReference w:id="21"/>
      </w:r>
      <w:r>
        <w:rPr>
          <w:rFonts w:ascii="Times New Roman" w:hAnsi="Times New Roman"/>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Décision-cadre 2006/960/JAI du Conseil</w:t>
      </w:r>
      <w:r>
        <w:rPr>
          <w:rFonts w:ascii="Times New Roman" w:hAnsi="Times New Roman"/>
          <w:bCs/>
          <w:iCs/>
          <w:noProof/>
          <w:vanish/>
          <w:sz w:val="24"/>
          <w:szCs w:val="24"/>
          <w:lang w:val="fr-BE"/>
        </w:rPr>
        <w:t>Framework</w:t>
      </w:r>
      <w:r>
        <w:rPr>
          <w:rFonts w:ascii="Times New Roman" w:hAnsi="Times New Roman"/>
          <w:bCs/>
          <w:iCs/>
          <w:noProof/>
          <w:sz w:val="24"/>
          <w:szCs w:val="24"/>
        </w:rPr>
        <w:t xml:space="preserve"> du 18 décembre 2006 relative à la simplification de l'échange d'informations et de renseignements entre les services répressifs des États membres de l'Union européenne</w:t>
      </w:r>
      <w:r>
        <w:rPr>
          <w:rFonts w:ascii="Times New Roman" w:hAnsi="Times New Roman" w:cs="Times New Roman"/>
          <w:noProof/>
          <w:sz w:val="24"/>
          <w:szCs w:val="24"/>
          <w:vertAlign w:val="superscript"/>
        </w:rPr>
        <w:footnoteReference w:id="22"/>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Décision 2007/845/JAI du Conseil du 6 décembre 2007 relative à la coopération entre les bureaux de recouvrement des avoirs des États membres en matière de dépistage et d’identification des produits du crime ou des autres biens en rapport avec le crime</w:t>
      </w:r>
      <w:r>
        <w:rPr>
          <w:rFonts w:ascii="Times New Roman" w:hAnsi="Times New Roman" w:cs="Times New Roman"/>
          <w:noProof/>
          <w:sz w:val="24"/>
          <w:szCs w:val="24"/>
          <w:vertAlign w:val="superscript"/>
        </w:rPr>
        <w:footnoteReference w:id="23"/>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Décision 2008/615/JAI du 23 juin 2008 relative à l'approfondissement de la coopération transfrontalière, notamment en vue de lutter contre le terrorisme et la criminalité transfrontalière</w:t>
      </w:r>
      <w:r>
        <w:rPr>
          <w:rFonts w:ascii="Times New Roman" w:hAnsi="Times New Roman" w:cs="Times New Roman"/>
          <w:noProof/>
          <w:sz w:val="24"/>
          <w:szCs w:val="24"/>
          <w:vertAlign w:val="superscript"/>
        </w:rPr>
        <w:footnoteReference w:id="24"/>
      </w:r>
      <w:r>
        <w:rPr>
          <w:rFonts w:ascii="Times New Roman" w:hAnsi="Times New Roman"/>
          <w:bCs/>
          <w:iCs/>
          <w:noProof/>
          <w:sz w:val="24"/>
          <w:szCs w:val="24"/>
        </w:rPr>
        <w:t>, et décision 2008/616/JAI du Conseil du 23 juin 2008 concernant la mise en œuvre de la décision 2008/615/JAI relative à l'approfondissement de la coopération transfrontalière, notamment en vue de lutter contre le terrorisme et la criminalité transfrontalière</w:t>
      </w:r>
      <w:r>
        <w:rPr>
          <w:rFonts w:ascii="Times New Roman" w:hAnsi="Times New Roman" w:cs="Times New Roman"/>
          <w:noProof/>
          <w:sz w:val="24"/>
          <w:szCs w:val="24"/>
          <w:vertAlign w:val="superscript"/>
        </w:rPr>
        <w:footnoteReference w:id="25"/>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Décision 2009/917/JAI du Conseil du 30 novembre 2009 sur l’emploi de l’informatique dans le domaine des douanes</w:t>
      </w:r>
      <w:r>
        <w:rPr>
          <w:rFonts w:ascii="Times New Roman" w:hAnsi="Times New Roman" w:cs="Times New Roman"/>
          <w:noProof/>
          <w:sz w:val="24"/>
          <w:szCs w:val="24"/>
          <w:vertAlign w:val="superscript"/>
        </w:rPr>
        <w:footnoteReference w:id="26"/>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Accord entre l’Union européenne et le Japon relatif à l’entraide judiciaire en matière pénale</w:t>
      </w:r>
      <w:r>
        <w:rPr>
          <w:rFonts w:ascii="Times New Roman" w:hAnsi="Times New Roman" w:cs="Times New Roman"/>
          <w:noProof/>
          <w:sz w:val="24"/>
          <w:szCs w:val="24"/>
          <w:vertAlign w:val="superscript"/>
        </w:rPr>
        <w:footnoteReference w:id="27"/>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Directive 2014/41/UE du Parlement européen et du Conseil du 3 avril 2014 concernant la décision d'enquête européenne en matière pénale</w:t>
      </w:r>
      <w:r>
        <w:rPr>
          <w:rFonts w:ascii="Times New Roman" w:hAnsi="Times New Roman" w:cs="Times New Roman"/>
          <w:noProof/>
          <w:sz w:val="24"/>
          <w:szCs w:val="24"/>
          <w:vertAlign w:val="superscript"/>
        </w:rPr>
        <w:footnoteReference w:id="28"/>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Directive (UE) 2015/413 du Parlement européen et du Conseil du 11 mars 2015 facilitant l'échange transfrontalier d'informations concernant les infractions en matière de sécurité routière</w:t>
      </w:r>
      <w:r>
        <w:rPr>
          <w:rFonts w:ascii="Times New Roman" w:hAnsi="Times New Roman" w:cs="Times New Roman"/>
          <w:noProof/>
          <w:sz w:val="24"/>
          <w:szCs w:val="24"/>
          <w:vertAlign w:val="superscript"/>
        </w:rPr>
        <w:footnoteReference w:id="29"/>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w:t>
      </w:r>
      <w:r>
        <w:rPr>
          <w:rFonts w:ascii="Times New Roman" w:hAnsi="Times New Roman" w:cs="Times New Roman"/>
          <w:noProof/>
          <w:sz w:val="24"/>
          <w:szCs w:val="24"/>
          <w:vertAlign w:val="superscript"/>
        </w:rPr>
        <w:footnoteReference w:id="30"/>
      </w:r>
      <w:r>
        <w:rPr>
          <w:rFonts w:ascii="Times New Roman" w:hAnsi="Times New Roman"/>
          <w:bCs/>
          <w:iCs/>
          <w:noProof/>
          <w:sz w:val="24"/>
          <w:szCs w:val="24"/>
        </w:rPr>
        <w:t>.</w:t>
      </w:r>
    </w:p>
    <w:p>
      <w:pPr>
        <w:ind w:left="360"/>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83CC" w16cex:dateUtc="2020-04-21T12:38:00Z"/>
  <w16cex:commentExtensible w16cex:durableId="2249865E" w16cex:dateUtc="2020-04-21T12:49:00Z"/>
  <w16cex:commentExtensible w16cex:durableId="224984BB" w16cex:dateUtc="2020-04-21T12:42:00Z"/>
  <w16cex:commentExtensible w16cex:durableId="22498581" w16cex:dateUtc="2020-04-21T12:45:00Z"/>
  <w16cex:commentExtensible w16cex:durableId="224985D4" w16cex:dateUtc="2020-04-21T12:46:00Z"/>
  <w16cex:commentExtensible w16cex:durableId="224987C1" w16cex:dateUtc="2020-04-21T12:54:00Z"/>
  <w16cex:commentExtensible w16cex:durableId="224987F6" w16cex:dateUtc="2020-04-21T12:55:00Z"/>
  <w16cex:commentExtensible w16cex:durableId="2249894E" w16cex:dateUtc="2020-04-21T13:01:00Z"/>
  <w16cex:commentExtensible w16cex:durableId="22498A2D" w16cex:dateUtc="2020-04-21T13:05:00Z"/>
  <w16cex:commentExtensible w16cex:durableId="22498C78" w16cex:dateUtc="2020-04-21T13:15:00Z"/>
  <w16cex:commentExtensible w16cex:durableId="22498CA7" w16cex:dateUtc="2020-04-21T13:15:00Z"/>
  <w16cex:commentExtensible w16cex:durableId="22498CB7" w16cex:dateUtc="2020-04-21T13:16:00Z"/>
  <w16cex:commentExtensible w16cex:durableId="22498B1E" w16cex:dateUtc="2020-04-21T13:09:00Z"/>
  <w16cex:commentExtensible w16cex:durableId="22499056" w16cex:dateUtc="2020-04-21T13:31:00Z"/>
  <w16cex:commentExtensible w16cex:durableId="22499595" w16cex:dateUtc="2020-04-21T13:53:00Z"/>
  <w16cex:commentExtensible w16cex:durableId="224995C7" w16cex:dateUtc="2020-04-21T13:54:00Z"/>
  <w16cex:commentExtensible w16cex:durableId="22498E5E" w16cex:dateUtc="2020-04-21T13:23:00Z"/>
  <w16cex:commentExtensible w16cex:durableId="22499143" w16cex:dateUtc="2020-04-21T13:35:00Z"/>
  <w16cex:commentExtensible w16cex:durableId="22498FB7" w16cex:dateUtc="2020-04-21T13:28:00Z"/>
  <w16cex:commentExtensible w16cex:durableId="22499087" w16cex:dateUtc="2020-04-21T13:32:00Z"/>
  <w16cex:commentExtensible w16cex:durableId="22499215" w16cex:dateUtc="2020-04-21T13:39:00Z"/>
  <w16cex:commentExtensible w16cex:durableId="224996C2" w16cex:dateUtc="2020-04-21T13:58:00Z"/>
  <w16cex:commentExtensible w16cex:durableId="22499702" w16cex:dateUtc="2020-04-21T14:00:00Z"/>
  <w16cex:commentExtensible w16cex:durableId="22499792" w16cex:dateUtc="2020-04-21T14:02:00Z"/>
  <w16cex:commentExtensible w16cex:durableId="2249980C" w16cex:dateUtc="2020-04-21T14:04:00Z"/>
  <w16cex:commentExtensible w16cex:durableId="224998A4" w16cex:dateUtc="2020-04-21T14:07:00Z"/>
  <w16cex:commentExtensible w16cex:durableId="22499883" w16cex:dateUtc="2020-04-21T14:06:00Z"/>
  <w16cex:commentExtensible w16cex:durableId="22499945" w16cex:dateUtc="2020-04-21T14:09:00Z"/>
  <w16cex:commentExtensible w16cex:durableId="2249A0AA" w16cex:dateUtc="2020-04-21T14:41:00Z"/>
  <w16cex:commentExtensible w16cex:durableId="22499A6F" w16cex:dateUtc="2020-04-21T14:14:00Z"/>
  <w16cex:commentExtensible w16cex:durableId="22499B80" w16cex:dateUtc="2020-04-21T14:19:00Z"/>
  <w16cex:commentExtensible w16cex:durableId="22499C72" w16cex:dateUtc="2020-04-21T14:23:00Z"/>
  <w16cex:commentExtensible w16cex:durableId="22499EDE" w16cex:dateUtc="2020-04-21T14:33:00Z"/>
  <w16cex:commentExtensible w16cex:durableId="22499F68" w16cex:dateUtc="2020-04-21T14:35:00Z"/>
  <w16cex:commentExtensible w16cex:durableId="2249A1AA" w16cex:dateUtc="2020-04-21T14:45:00Z"/>
  <w16cex:commentExtensible w16cex:durableId="2249A1CA" w16cex:dateUtc="2020-04-21T14:46:00Z"/>
  <w16cex:commentExtensible w16cex:durableId="2249A339" w16cex:dateUtc="2020-04-21T14:52:00Z"/>
  <w16cex:commentExtensible w16cex:durableId="2249A353" w16cex:dateUtc="2020-04-21T14:52:00Z"/>
  <w16cex:commentExtensible w16cex:durableId="2249A566" w16cex:dateUtc="2020-04-21T15:01:00Z"/>
  <w16cex:commentExtensible w16cex:durableId="2249A50C" w16cex:dateUtc="2020-04-21T14:59:00Z"/>
  <w16cex:commentExtensible w16cex:durableId="2249A6F8" w16cex:dateUtc="2020-04-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0FB75" w16cid:durableId="224981DF"/>
  <w16cid:commentId w16cid:paraId="3FD67A0E" w16cid:durableId="224983CC"/>
  <w16cid:commentId w16cid:paraId="26F32795" w16cid:durableId="2249865E"/>
  <w16cid:commentId w16cid:paraId="35393B71" w16cid:durableId="224984BB"/>
  <w16cid:commentId w16cid:paraId="4C358D75" w16cid:durableId="22498581"/>
  <w16cid:commentId w16cid:paraId="06908AB3" w16cid:durableId="224985D4"/>
  <w16cid:commentId w16cid:paraId="0EF826CA" w16cid:durableId="224987C1"/>
  <w16cid:commentId w16cid:paraId="35BE1771" w16cid:durableId="224987F6"/>
  <w16cid:commentId w16cid:paraId="3D4EEC45" w16cid:durableId="224981E0"/>
  <w16cid:commentId w16cid:paraId="33F47594" w16cid:durableId="224981E1"/>
  <w16cid:commentId w16cid:paraId="1E81B629" w16cid:durableId="2249894E"/>
  <w16cid:commentId w16cid:paraId="49AF33B0" w16cid:durableId="22498A2D"/>
  <w16cid:commentId w16cid:paraId="14CC36EB" w16cid:durableId="224981E2"/>
  <w16cid:commentId w16cid:paraId="34C979AC" w16cid:durableId="224981E3"/>
  <w16cid:commentId w16cid:paraId="1311AF5F" w16cid:durableId="22498C78"/>
  <w16cid:commentId w16cid:paraId="3FD2CAF7" w16cid:durableId="22498CA7"/>
  <w16cid:commentId w16cid:paraId="5AC0F25F" w16cid:durableId="22498CB7"/>
  <w16cid:commentId w16cid:paraId="6B3B03EE" w16cid:durableId="22498B1E"/>
  <w16cid:commentId w16cid:paraId="40F05F6D" w16cid:durableId="224981E4"/>
  <w16cid:commentId w16cid:paraId="7DCDB27F" w16cid:durableId="224981E5"/>
  <w16cid:commentId w16cid:paraId="2C1DEFF5" w16cid:durableId="224981E6"/>
  <w16cid:commentId w16cid:paraId="5918DBE7" w16cid:durableId="224981E7"/>
  <w16cid:commentId w16cid:paraId="78243666" w16cid:durableId="224981E8"/>
  <w16cid:commentId w16cid:paraId="762084AC" w16cid:durableId="224981E9"/>
  <w16cid:commentId w16cid:paraId="4C1A6577" w16cid:durableId="224981EA"/>
  <w16cid:commentId w16cid:paraId="607ADD1F" w16cid:durableId="22499056"/>
  <w16cid:commentId w16cid:paraId="79335811" w16cid:durableId="224981EB"/>
  <w16cid:commentId w16cid:paraId="298255CD" w16cid:durableId="224981EC"/>
  <w16cid:commentId w16cid:paraId="4F1E7AF3" w16cid:durableId="22499595"/>
  <w16cid:commentId w16cid:paraId="65533ACB" w16cid:durableId="224995C7"/>
  <w16cid:commentId w16cid:paraId="128ADC3E" w16cid:durableId="224981ED"/>
  <w16cid:commentId w16cid:paraId="0E52D645" w16cid:durableId="224981EE"/>
  <w16cid:commentId w16cid:paraId="72919A7F" w16cid:durableId="22498E5E"/>
  <w16cid:commentId w16cid:paraId="49E4E922" w16cid:durableId="224981EF"/>
  <w16cid:commentId w16cid:paraId="59C14F87" w16cid:durableId="224981F0"/>
  <w16cid:commentId w16cid:paraId="0412390C" w16cid:durableId="224981F1"/>
  <w16cid:commentId w16cid:paraId="0F476375" w16cid:durableId="224981F2"/>
  <w16cid:commentId w16cid:paraId="1CB0FC37" w16cid:durableId="224981F3"/>
  <w16cid:commentId w16cid:paraId="085D6690" w16cid:durableId="22499143"/>
  <w16cid:commentId w16cid:paraId="360F4847" w16cid:durableId="22498FB7"/>
  <w16cid:commentId w16cid:paraId="3D594F3D" w16cid:durableId="22499087"/>
  <w16cid:commentId w16cid:paraId="3DCBBECE" w16cid:durableId="224981F4"/>
  <w16cid:commentId w16cid:paraId="604B0173" w16cid:durableId="224981F5"/>
  <w16cid:commentId w16cid:paraId="7BD8388C" w16cid:durableId="22499215"/>
  <w16cid:commentId w16cid:paraId="4927858B" w16cid:durableId="224996C2"/>
  <w16cid:commentId w16cid:paraId="1B6A8A73" w16cid:durableId="224981F6"/>
  <w16cid:commentId w16cid:paraId="6CC6970A" w16cid:durableId="224981F7"/>
  <w16cid:commentId w16cid:paraId="07899D6E" w16cid:durableId="22499702"/>
  <w16cid:commentId w16cid:paraId="2DC220C7" w16cid:durableId="224981F8"/>
  <w16cid:commentId w16cid:paraId="33D951DD" w16cid:durableId="224981F9"/>
  <w16cid:commentId w16cid:paraId="3E120906" w16cid:durableId="22499792"/>
  <w16cid:commentId w16cid:paraId="04CDCE66" w16cid:durableId="224981FA"/>
  <w16cid:commentId w16cid:paraId="5D4A2BD2" w16cid:durableId="2249980C"/>
  <w16cid:commentId w16cid:paraId="719A2359" w16cid:durableId="224981FB"/>
  <w16cid:commentId w16cid:paraId="7379429B" w16cid:durableId="224981FC"/>
  <w16cid:commentId w16cid:paraId="7EC46A72" w16cid:durableId="224981FD"/>
  <w16cid:commentId w16cid:paraId="3C0578CF" w16cid:durableId="224998A4"/>
  <w16cid:commentId w16cid:paraId="1BE763AD" w16cid:durableId="22499883"/>
  <w16cid:commentId w16cid:paraId="36329F4C" w16cid:durableId="224981FE"/>
  <w16cid:commentId w16cid:paraId="20CEEE5E" w16cid:durableId="224981FF"/>
  <w16cid:commentId w16cid:paraId="4D0A4B68" w16cid:durableId="22498200"/>
  <w16cid:commentId w16cid:paraId="72B225E7" w16cid:durableId="22499945"/>
  <w16cid:commentId w16cid:paraId="769DFA5D" w16cid:durableId="22498201"/>
  <w16cid:commentId w16cid:paraId="62B315A5" w16cid:durableId="2249A0AA"/>
  <w16cid:commentId w16cid:paraId="125790F3" w16cid:durableId="22498202"/>
  <w16cid:commentId w16cid:paraId="6D6FF297" w16cid:durableId="22498203"/>
  <w16cid:commentId w16cid:paraId="3E3DFA94" w16cid:durableId="22498204"/>
  <w16cid:commentId w16cid:paraId="6DF110A2" w16cid:durableId="22499A6F"/>
  <w16cid:commentId w16cid:paraId="1CD6A2D3" w16cid:durableId="22499B80"/>
  <w16cid:commentId w16cid:paraId="5DDF2B6A" w16cid:durableId="22498205"/>
  <w16cid:commentId w16cid:paraId="3885942B" w16cid:durableId="22498206"/>
  <w16cid:commentId w16cid:paraId="2511BA0C" w16cid:durableId="22498207"/>
  <w16cid:commentId w16cid:paraId="35C2F267" w16cid:durableId="22499C72"/>
  <w16cid:commentId w16cid:paraId="16669F3D" w16cid:durableId="22498208"/>
  <w16cid:commentId w16cid:paraId="2FBF1AF8" w16cid:durableId="22498209"/>
  <w16cid:commentId w16cid:paraId="7ABAB943" w16cid:durableId="2249820A"/>
  <w16cid:commentId w16cid:paraId="59E5BCBF" w16cid:durableId="2249820B"/>
  <w16cid:commentId w16cid:paraId="2A8BC6C7" w16cid:durableId="22499EDE"/>
  <w16cid:commentId w16cid:paraId="07BD8618" w16cid:durableId="2249820C"/>
  <w16cid:commentId w16cid:paraId="0D8B6845" w16cid:durableId="2249820D"/>
  <w16cid:commentId w16cid:paraId="65150F17" w16cid:durableId="2249820E"/>
  <w16cid:commentId w16cid:paraId="10009159" w16cid:durableId="2249820F"/>
  <w16cid:commentId w16cid:paraId="3975E198" w16cid:durableId="22499F68"/>
  <w16cid:commentId w16cid:paraId="0A9CACB6" w16cid:durableId="22498210"/>
  <w16cid:commentId w16cid:paraId="6DE0CC76" w16cid:durableId="22498211"/>
  <w16cid:commentId w16cid:paraId="662BBA87" w16cid:durableId="22498212"/>
  <w16cid:commentId w16cid:paraId="586A4738" w16cid:durableId="2249A1AA"/>
  <w16cid:commentId w16cid:paraId="242D30B5" w16cid:durableId="2249A1CA"/>
  <w16cid:commentId w16cid:paraId="1D77E8DD" w16cid:durableId="22498213"/>
  <w16cid:commentId w16cid:paraId="136C6111" w16cid:durableId="22498214"/>
  <w16cid:commentId w16cid:paraId="01D1031F" w16cid:durableId="22498215"/>
  <w16cid:commentId w16cid:paraId="0C458643" w16cid:durableId="22498216"/>
  <w16cid:commentId w16cid:paraId="267954E7" w16cid:durableId="22498217"/>
  <w16cid:commentId w16cid:paraId="2A6F7D88" w16cid:durableId="22498218"/>
  <w16cid:commentId w16cid:paraId="531293AA" w16cid:durableId="22498219"/>
  <w16cid:commentId w16cid:paraId="628FDAC5" w16cid:durableId="2249A339"/>
  <w16cid:commentId w16cid:paraId="524C41BB" w16cid:durableId="2249A353"/>
  <w16cid:commentId w16cid:paraId="1BB4BA7A" w16cid:durableId="2249821A"/>
  <w16cid:commentId w16cid:paraId="1FCC9C4B" w16cid:durableId="2249821B"/>
  <w16cid:commentId w16cid:paraId="5EC29E9D" w16cid:durableId="2249821C"/>
  <w16cid:commentId w16cid:paraId="6E8FEC26" w16cid:durableId="2249A566"/>
  <w16cid:commentId w16cid:paraId="048C53CD" w16cid:durableId="2249821D"/>
  <w16cid:commentId w16cid:paraId="0C8AE7C5" w16cid:durableId="2249821E"/>
  <w16cid:commentId w16cid:paraId="28FC89AA" w16cid:durableId="2249A50C"/>
  <w16cid:commentId w16cid:paraId="70AABA5F" w16cid:durableId="2249821F"/>
  <w16cid:commentId w16cid:paraId="1C2B3907" w16cid:durableId="22498220"/>
  <w16cid:commentId w16cid:paraId="4E662D66" w16cid:durableId="22498221"/>
  <w16cid:commentId w16cid:paraId="43529A0C" w16cid:durableId="22498222"/>
  <w16cid:commentId w16cid:paraId="529AC246" w16cid:durableId="22498223"/>
  <w16cid:commentId w16cid:paraId="249F5BA8" w16cid:durableId="22498224"/>
  <w16cid:commentId w16cid:paraId="19EBA4D8" w16cid:durableId="2249A6F8"/>
  <w16cid:commentId w16cid:paraId="12E378BB" w16cid:durableId="22498225"/>
  <w16cid:commentId w16cid:paraId="1788D0C6" w16cid:durableId="22498226"/>
  <w16cid:commentId w16cid:paraId="5B199B95" w16cid:durableId="22498227"/>
  <w16cid:commentId w16cid:paraId="2DE70B9F" w16cid:durableId="22498228"/>
  <w16cid:commentId w16cid:paraId="3B92D618" w16cid:durableId="22498229"/>
  <w16cid:commentId w16cid:paraId="024E2DCA" w16cid:durableId="2249822A"/>
  <w16cid:commentId w16cid:paraId="22531EB4" w16cid:durableId="2249822B"/>
  <w16cid:commentId w16cid:paraId="4A717F3F" w16cid:durableId="224982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60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190 du 18.7.2002, p. 1.</w:t>
      </w:r>
    </w:p>
  </w:footnote>
  <w:footnote w:id="3">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196 du 2.8.2003, p. 45.</w:t>
      </w:r>
    </w:p>
  </w:footnote>
  <w:footnote w:id="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27 du 29.1.2005, p. 61.</w:t>
      </w:r>
      <w:r>
        <w:rPr>
          <w:rFonts w:ascii="Times New Roman" w:hAnsi="Times New Roman"/>
        </w:rPr>
        <w:t xml:space="preserve"> </w:t>
      </w:r>
    </w:p>
  </w:footnote>
  <w:footnote w:id="5">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76 du 22.3.2005, p. 16.</w:t>
      </w:r>
    </w:p>
  </w:footnote>
  <w:footnote w:id="6">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328 du 24.11.2006, p. 59.</w:t>
      </w:r>
    </w:p>
  </w:footnote>
  <w:footnote w:id="7">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337 du 16.12.2008, p. 102.</w:t>
      </w:r>
    </w:p>
  </w:footnote>
  <w:footnote w:id="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327 du 5.12.2008, p. 27.</w:t>
      </w:r>
    </w:p>
  </w:footnote>
  <w:footnote w:id="9">
    <w:p>
      <w:pPr>
        <w:pStyle w:val="FootnoteText"/>
        <w:ind w:left="426" w:hanging="426"/>
      </w:pPr>
      <w:r>
        <w:rPr>
          <w:rStyle w:val="FootnoteReference"/>
        </w:rPr>
        <w:footnoteRef/>
      </w:r>
      <w:r>
        <w:t xml:space="preserve"> </w:t>
      </w:r>
      <w:r>
        <w:tab/>
      </w:r>
      <w:r>
        <w:rPr>
          <w:rFonts w:ascii="Times New Roman" w:hAnsi="Times New Roman"/>
        </w:rPr>
        <w:t>JO L 294 du 11.11.2009, p. 20.</w:t>
      </w:r>
    </w:p>
  </w:footnote>
  <w:footnote w:id="10">
    <w:p>
      <w:pPr>
        <w:pStyle w:val="FootnoteText"/>
        <w:ind w:left="426" w:hanging="426"/>
      </w:pPr>
      <w:r>
        <w:rPr>
          <w:rStyle w:val="FootnoteReference"/>
        </w:rPr>
        <w:footnoteRef/>
      </w:r>
      <w:r>
        <w:t xml:space="preserve"> </w:t>
      </w:r>
      <w:r>
        <w:tab/>
      </w:r>
      <w:r>
        <w:rPr>
          <w:rFonts w:ascii="Times New Roman" w:hAnsi="Times New Roman"/>
        </w:rPr>
        <w:t>JO L 328 du 15.12.2009, p. 42.</w:t>
      </w:r>
    </w:p>
  </w:footnote>
  <w:footnote w:id="11">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L 338 du 21.12.2011, p. 2.</w:t>
      </w:r>
    </w:p>
  </w:footnote>
  <w:footnote w:id="12">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218 du 13.8.2008, p. 129.</w:t>
      </w:r>
    </w:p>
  </w:footnote>
  <w:footnote w:id="13">
    <w:p>
      <w:pPr>
        <w:pStyle w:val="FootnoteText"/>
        <w:ind w:left="426" w:hanging="426"/>
      </w:pPr>
      <w:r>
        <w:rPr>
          <w:rStyle w:val="FootnoteReference"/>
        </w:rPr>
        <w:footnoteRef/>
      </w:r>
      <w:r>
        <w:t xml:space="preserve"> </w:t>
      </w:r>
      <w:r>
        <w:tab/>
      </w:r>
      <w:r>
        <w:rPr>
          <w:rFonts w:ascii="Times New Roman" w:hAnsi="Times New Roman"/>
        </w:rPr>
        <w:t>COM(2018) 302 final.</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180 du 29.6.2013, p. 31.</w:t>
      </w:r>
    </w:p>
  </w:footnote>
  <w:footnote w:id="15">
    <w:p>
      <w:pPr>
        <w:pStyle w:val="FootnoteText"/>
        <w:ind w:left="426" w:hanging="426"/>
        <w:rPr>
          <w:lang w:val="en-US"/>
        </w:rPr>
      </w:pPr>
      <w:r>
        <w:rPr>
          <w:rStyle w:val="FootnoteReference"/>
        </w:rPr>
        <w:footnoteRef/>
      </w:r>
      <w:r>
        <w:rPr>
          <w:lang w:val="en-US"/>
        </w:rPr>
        <w:t xml:space="preserve"> </w:t>
      </w:r>
      <w:r>
        <w:rPr>
          <w:lang w:val="en-US"/>
        </w:rPr>
        <w:tab/>
      </w:r>
      <w:r>
        <w:rPr>
          <w:rFonts w:ascii="Times New Roman" w:hAnsi="Times New Roman"/>
          <w:lang w:val="en-US"/>
        </w:rPr>
        <w:t>COM(2016) 272 final — 2016/0132 (COD).</w:t>
      </w:r>
    </w:p>
  </w:footnote>
  <w:footnote w:id="16">
    <w:p>
      <w:pPr>
        <w:pStyle w:val="FootnoteText"/>
        <w:ind w:left="426" w:hanging="426"/>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lang w:val="en-US"/>
        </w:rPr>
        <w:tab/>
      </w:r>
      <w:r>
        <w:rPr>
          <w:rFonts w:ascii="Times New Roman" w:hAnsi="Times New Roman"/>
          <w:iCs/>
          <w:lang w:val="en-US"/>
        </w:rPr>
        <w:t>JO C 24 du 23.1.1998, p. 2.</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iCs/>
        </w:rPr>
        <w:t>JO C 197 du 12.7.2000, p. 1.</w:t>
      </w:r>
    </w:p>
  </w:footnote>
  <w:footnote w:id="1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iCs/>
        </w:rPr>
        <w:t>JO L 26 du 29.1.2004, p. 3.</w:t>
      </w:r>
    </w:p>
  </w:footnote>
  <w:footnote w:id="19">
    <w:p>
      <w:pPr>
        <w:pStyle w:val="FootnoteText"/>
        <w:ind w:left="426" w:hanging="426"/>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iCs/>
        </w:rPr>
        <w:t>JO L 181 du 19.7.2003, p. 34.</w:t>
      </w:r>
    </w:p>
  </w:footnote>
  <w:footnote w:id="20">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162 du 20.6.2002, p. 1.</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253 du 29.9.2005, p. 22.</w:t>
      </w:r>
    </w:p>
  </w:footnote>
  <w:footnote w:id="2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iCs/>
        </w:rPr>
        <w:t>JO L 386 du 29.12.2006, p. 89.</w:t>
      </w:r>
    </w:p>
  </w:footnote>
  <w:footnote w:id="23">
    <w:p>
      <w:pPr>
        <w:pStyle w:val="FootnoteText"/>
        <w:ind w:left="426" w:hanging="426"/>
        <w:jc w:val="both"/>
        <w:rPr>
          <w:rFonts w:ascii="Times New Roman" w:hAnsi="Times New Roman" w:cs="Times New Roman"/>
          <w:iCs/>
        </w:rPr>
      </w:pPr>
      <w:r>
        <w:rPr>
          <w:rStyle w:val="FootnoteReference"/>
        </w:rPr>
        <w:footnoteRef/>
      </w:r>
      <w:r>
        <w:t xml:space="preserve"> </w:t>
      </w:r>
      <w:r>
        <w:tab/>
      </w:r>
      <w:r>
        <w:rPr>
          <w:rFonts w:ascii="Times New Roman" w:hAnsi="Times New Roman"/>
          <w:iCs/>
        </w:rPr>
        <w:t xml:space="preserve">JO L 332 du 18.12.2007, p. 103. </w:t>
      </w:r>
    </w:p>
  </w:footnote>
  <w:footnote w:id="2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210 du 6.8.2008, p. 1.</w:t>
      </w:r>
    </w:p>
  </w:footnote>
  <w:footnote w:id="2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iCs/>
        </w:rPr>
        <w:t>JO L 210 du 6.8.2008, p. 12.</w:t>
      </w:r>
    </w:p>
  </w:footnote>
  <w:footnote w:id="2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323 du 10.12.2009, p. 20.</w:t>
      </w:r>
    </w:p>
  </w:footnote>
  <w:footnote w:id="27">
    <w:p>
      <w:pPr>
        <w:pStyle w:val="FootnoteText"/>
        <w:ind w:left="426" w:hanging="426"/>
      </w:pPr>
      <w:r>
        <w:rPr>
          <w:rStyle w:val="FootnoteReference"/>
        </w:rPr>
        <w:footnoteRef/>
      </w:r>
      <w:r>
        <w:t xml:space="preserve"> </w:t>
      </w:r>
      <w:r>
        <w:tab/>
      </w:r>
      <w:r>
        <w:rPr>
          <w:rFonts w:ascii="Times New Roman" w:hAnsi="Times New Roman"/>
          <w:iCs/>
        </w:rPr>
        <w:t>JO L 39 du 12.2.2010, p. 20.</w:t>
      </w:r>
    </w:p>
  </w:footnote>
  <w:footnote w:id="2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JO L 130 du 1.5.2014, p. 1.</w:t>
      </w:r>
    </w:p>
  </w:footnote>
  <w:footnote w:id="2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iCs/>
        </w:rPr>
        <w:t>JO L 68 du 13.3.2015, p. 9.</w:t>
      </w:r>
      <w:r>
        <w:rPr>
          <w:rFonts w:ascii="Times New Roman" w:hAnsi="Times New Roman"/>
        </w:rPr>
        <w:t xml:space="preserve"> </w:t>
      </w:r>
    </w:p>
  </w:footnote>
  <w:footnote w:id="3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iCs/>
        </w:rPr>
        <w:t>JO L 119 du 4.5.2016, p.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CE0EE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F4C19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FA9"/>
    <w:multiLevelType w:val="hybridMultilevel"/>
    <w:tmpl w:val="F4A2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A60983"/>
    <w:multiLevelType w:val="hybridMultilevel"/>
    <w:tmpl w:val="F384B1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3BE5104"/>
    <w:multiLevelType w:val="hybridMultilevel"/>
    <w:tmpl w:val="42EA97B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0AA6317A"/>
    <w:multiLevelType w:val="hybridMultilevel"/>
    <w:tmpl w:val="9D184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4069B"/>
    <w:multiLevelType w:val="hybridMultilevel"/>
    <w:tmpl w:val="05DE7F5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0F6E2A32"/>
    <w:multiLevelType w:val="hybridMultilevel"/>
    <w:tmpl w:val="EA929CAA"/>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F9E5189"/>
    <w:multiLevelType w:val="hybridMultilevel"/>
    <w:tmpl w:val="9B1CF5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1221306F"/>
    <w:multiLevelType w:val="hybridMultilevel"/>
    <w:tmpl w:val="C70A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74CF1"/>
    <w:multiLevelType w:val="hybridMultilevel"/>
    <w:tmpl w:val="1E9C8D0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59D6FEA"/>
    <w:multiLevelType w:val="hybridMultilevel"/>
    <w:tmpl w:val="1BB07C34"/>
    <w:lvl w:ilvl="0" w:tplc="D8165512">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F0A447E"/>
    <w:multiLevelType w:val="hybridMultilevel"/>
    <w:tmpl w:val="ADAAC778"/>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59B145A"/>
    <w:multiLevelType w:val="hybridMultilevel"/>
    <w:tmpl w:val="CC08EFA2"/>
    <w:lvl w:ilvl="0" w:tplc="04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C643927"/>
    <w:multiLevelType w:val="hybridMultilevel"/>
    <w:tmpl w:val="A86C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223DB1"/>
    <w:multiLevelType w:val="hybridMultilevel"/>
    <w:tmpl w:val="DD0A5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DEF7576"/>
    <w:multiLevelType w:val="hybridMultilevel"/>
    <w:tmpl w:val="8F58A5B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F4535C4"/>
    <w:multiLevelType w:val="hybridMultilevel"/>
    <w:tmpl w:val="F384B118"/>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0">
    <w:nsid w:val="60AC0270"/>
    <w:multiLevelType w:val="hybridMultilevel"/>
    <w:tmpl w:val="74C6725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C6B95"/>
    <w:multiLevelType w:val="hybridMultilevel"/>
    <w:tmpl w:val="C6426FA2"/>
    <w:lvl w:ilvl="0" w:tplc="FB1C06D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nsid w:val="65A36FB0"/>
    <w:multiLevelType w:val="hybridMultilevel"/>
    <w:tmpl w:val="1B4C8042"/>
    <w:lvl w:ilvl="0" w:tplc="CF02387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BE0995"/>
    <w:multiLevelType w:val="hybridMultilevel"/>
    <w:tmpl w:val="B3F2D50C"/>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15"/>
  </w:num>
  <w:num w:numId="2">
    <w:abstractNumId w:val="14"/>
    <w:lvlOverride w:ilvl="0">
      <w:startOverride w:val="1"/>
    </w:lvlOverride>
  </w:num>
  <w:num w:numId="3">
    <w:abstractNumId w:val="2"/>
  </w:num>
  <w:num w:numId="4">
    <w:abstractNumId w:val="0"/>
  </w:num>
  <w:num w:numId="5">
    <w:abstractNumId w:val="18"/>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20"/>
  </w:num>
  <w:num w:numId="11">
    <w:abstractNumId w:val="7"/>
  </w:num>
  <w:num w:numId="12">
    <w:abstractNumId w:val="1"/>
  </w:num>
  <w:num w:numId="13">
    <w:abstractNumId w:val="6"/>
  </w:num>
  <w:num w:numId="14">
    <w:abstractNumId w:val="4"/>
  </w:num>
  <w:num w:numId="15">
    <w:abstractNumId w:val="17"/>
  </w:num>
  <w:num w:numId="16">
    <w:abstractNumId w:val="19"/>
  </w:num>
  <w:num w:numId="17">
    <w:abstractNumId w:val="23"/>
  </w:num>
  <w:num w:numId="18">
    <w:abstractNumId w:val="16"/>
  </w:num>
  <w:num w:numId="19">
    <w:abstractNumId w:val="11"/>
  </w:num>
  <w:num w:numId="20">
    <w:abstractNumId w:val="12"/>
  </w:num>
  <w:num w:numId="21">
    <w:abstractNumId w:val="21"/>
  </w:num>
  <w:num w:numId="22">
    <w:abstractNumId w:val="8"/>
  </w:num>
  <w:num w:numId="23">
    <w:abstractNumId w:val="5"/>
  </w:num>
  <w:num w:numId="24">
    <w:abstractNumId w:val="9"/>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2"/>
    <w:docVar w:name="LW_ANNEX_UNIQUE" w:val="0"/>
    <w:docVar w:name="LW_CORRIGENDUM" w:val="&lt;UNUSED&gt;"/>
    <w:docVar w:name="LW_COVERPAGE_EXISTS" w:val="True"/>
    <w:docVar w:name="LW_COVERPAGE_GUID" w:val="1525CC7D-A7F4-4E0B-800D-00358CBA9D97"/>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Marche à suivre en ce qui concerne la mise en conformité de l'acquis de l'ancien troisième pilier avec les règles en matière de protection des données"/>
    <w:docVar w:name="LW_PART_NBR" w:val="&lt;UNUSED&gt;"/>
    <w:docVar w:name="LW_PART_NBR_TOTAL" w:val="&lt;UNUSED&gt;"/>
    <w:docVar w:name="LW_REF.INST.NEW" w:val="COM"/>
    <w:docVar w:name="LW_REF.INST.NEW_ADOPTED" w:val="final"/>
    <w:docVar w:name="LW_REF.INST.NEW_TEXT" w:val="(2020)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5513">
      <w:bodyDiv w:val="1"/>
      <w:marLeft w:val="0"/>
      <w:marRight w:val="0"/>
      <w:marTop w:val="0"/>
      <w:marBottom w:val="0"/>
      <w:divBdr>
        <w:top w:val="none" w:sz="0" w:space="0" w:color="auto"/>
        <w:left w:val="none" w:sz="0" w:space="0" w:color="auto"/>
        <w:bottom w:val="none" w:sz="0" w:space="0" w:color="auto"/>
        <w:right w:val="none" w:sz="0" w:space="0" w:color="auto"/>
      </w:divBdr>
    </w:div>
    <w:div w:id="490023401">
      <w:bodyDiv w:val="1"/>
      <w:marLeft w:val="0"/>
      <w:marRight w:val="0"/>
      <w:marTop w:val="0"/>
      <w:marBottom w:val="0"/>
      <w:divBdr>
        <w:top w:val="none" w:sz="0" w:space="0" w:color="auto"/>
        <w:left w:val="none" w:sz="0" w:space="0" w:color="auto"/>
        <w:bottom w:val="none" w:sz="0" w:space="0" w:color="auto"/>
        <w:right w:val="none" w:sz="0" w:space="0" w:color="auto"/>
      </w:divBdr>
    </w:div>
    <w:div w:id="671876767">
      <w:bodyDiv w:val="1"/>
      <w:marLeft w:val="0"/>
      <w:marRight w:val="0"/>
      <w:marTop w:val="0"/>
      <w:marBottom w:val="0"/>
      <w:divBdr>
        <w:top w:val="none" w:sz="0" w:space="0" w:color="auto"/>
        <w:left w:val="none" w:sz="0" w:space="0" w:color="auto"/>
        <w:bottom w:val="none" w:sz="0" w:space="0" w:color="auto"/>
        <w:right w:val="none" w:sz="0" w:space="0" w:color="auto"/>
      </w:divBdr>
    </w:div>
    <w:div w:id="926841770">
      <w:bodyDiv w:val="1"/>
      <w:marLeft w:val="0"/>
      <w:marRight w:val="0"/>
      <w:marTop w:val="0"/>
      <w:marBottom w:val="0"/>
      <w:divBdr>
        <w:top w:val="none" w:sz="0" w:space="0" w:color="auto"/>
        <w:left w:val="none" w:sz="0" w:space="0" w:color="auto"/>
        <w:bottom w:val="none" w:sz="0" w:space="0" w:color="auto"/>
        <w:right w:val="none" w:sz="0" w:space="0" w:color="auto"/>
      </w:divBdr>
    </w:div>
    <w:div w:id="1023559111">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349522557">
      <w:bodyDiv w:val="1"/>
      <w:marLeft w:val="0"/>
      <w:marRight w:val="0"/>
      <w:marTop w:val="0"/>
      <w:marBottom w:val="0"/>
      <w:divBdr>
        <w:top w:val="none" w:sz="0" w:space="0" w:color="auto"/>
        <w:left w:val="none" w:sz="0" w:space="0" w:color="auto"/>
        <w:bottom w:val="none" w:sz="0" w:space="0" w:color="auto"/>
        <w:right w:val="none" w:sz="0" w:space="0" w:color="auto"/>
      </w:divBdr>
    </w:div>
    <w:div w:id="1374967067">
      <w:bodyDiv w:val="1"/>
      <w:marLeft w:val="0"/>
      <w:marRight w:val="0"/>
      <w:marTop w:val="0"/>
      <w:marBottom w:val="0"/>
      <w:divBdr>
        <w:top w:val="none" w:sz="0" w:space="0" w:color="auto"/>
        <w:left w:val="none" w:sz="0" w:space="0" w:color="auto"/>
        <w:bottom w:val="none" w:sz="0" w:space="0" w:color="auto"/>
        <w:right w:val="none" w:sz="0" w:space="0" w:color="auto"/>
      </w:divBdr>
    </w:div>
    <w:div w:id="1442146703">
      <w:bodyDiv w:val="1"/>
      <w:marLeft w:val="0"/>
      <w:marRight w:val="0"/>
      <w:marTop w:val="0"/>
      <w:marBottom w:val="0"/>
      <w:divBdr>
        <w:top w:val="none" w:sz="0" w:space="0" w:color="auto"/>
        <w:left w:val="none" w:sz="0" w:space="0" w:color="auto"/>
        <w:bottom w:val="none" w:sz="0" w:space="0" w:color="auto"/>
        <w:right w:val="none" w:sz="0" w:space="0" w:color="auto"/>
      </w:divBdr>
    </w:div>
    <w:div w:id="1579359674">
      <w:bodyDiv w:val="1"/>
      <w:marLeft w:val="0"/>
      <w:marRight w:val="0"/>
      <w:marTop w:val="0"/>
      <w:marBottom w:val="0"/>
      <w:divBdr>
        <w:top w:val="none" w:sz="0" w:space="0" w:color="auto"/>
        <w:left w:val="none" w:sz="0" w:space="0" w:color="auto"/>
        <w:bottom w:val="none" w:sz="0" w:space="0" w:color="auto"/>
        <w:right w:val="none" w:sz="0" w:space="0" w:color="auto"/>
      </w:divBdr>
    </w:div>
    <w:div w:id="1643388341">
      <w:bodyDiv w:val="1"/>
      <w:marLeft w:val="0"/>
      <w:marRight w:val="0"/>
      <w:marTop w:val="0"/>
      <w:marBottom w:val="0"/>
      <w:divBdr>
        <w:top w:val="none" w:sz="0" w:space="0" w:color="auto"/>
        <w:left w:val="none" w:sz="0" w:space="0" w:color="auto"/>
        <w:bottom w:val="none" w:sz="0" w:space="0" w:color="auto"/>
        <w:right w:val="none" w:sz="0" w:space="0" w:color="auto"/>
      </w:divBdr>
    </w:div>
    <w:div w:id="1689063776">
      <w:bodyDiv w:val="1"/>
      <w:marLeft w:val="0"/>
      <w:marRight w:val="0"/>
      <w:marTop w:val="0"/>
      <w:marBottom w:val="0"/>
      <w:divBdr>
        <w:top w:val="none" w:sz="0" w:space="0" w:color="auto"/>
        <w:left w:val="none" w:sz="0" w:space="0" w:color="auto"/>
        <w:bottom w:val="none" w:sz="0" w:space="0" w:color="auto"/>
        <w:right w:val="none" w:sz="0" w:space="0" w:color="auto"/>
      </w:divBdr>
    </w:div>
    <w:div w:id="1775128996">
      <w:bodyDiv w:val="1"/>
      <w:marLeft w:val="0"/>
      <w:marRight w:val="0"/>
      <w:marTop w:val="0"/>
      <w:marBottom w:val="0"/>
      <w:divBdr>
        <w:top w:val="none" w:sz="0" w:space="0" w:color="auto"/>
        <w:left w:val="none" w:sz="0" w:space="0" w:color="auto"/>
        <w:bottom w:val="none" w:sz="0" w:space="0" w:color="auto"/>
        <w:right w:val="none" w:sz="0" w:space="0" w:color="auto"/>
      </w:divBdr>
    </w:div>
    <w:div w:id="1786728991">
      <w:bodyDiv w:val="1"/>
      <w:marLeft w:val="0"/>
      <w:marRight w:val="0"/>
      <w:marTop w:val="0"/>
      <w:marBottom w:val="0"/>
      <w:divBdr>
        <w:top w:val="none" w:sz="0" w:space="0" w:color="auto"/>
        <w:left w:val="none" w:sz="0" w:space="0" w:color="auto"/>
        <w:bottom w:val="none" w:sz="0" w:space="0" w:color="auto"/>
        <w:right w:val="none" w:sz="0" w:space="0" w:color="auto"/>
      </w:divBdr>
    </w:div>
    <w:div w:id="1900092334">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2021812332">
      <w:bodyDiv w:val="1"/>
      <w:marLeft w:val="0"/>
      <w:marRight w:val="0"/>
      <w:marTop w:val="0"/>
      <w:marBottom w:val="0"/>
      <w:divBdr>
        <w:top w:val="none" w:sz="0" w:space="0" w:color="auto"/>
        <w:left w:val="none" w:sz="0" w:space="0" w:color="auto"/>
        <w:bottom w:val="none" w:sz="0" w:space="0" w:color="auto"/>
        <w:right w:val="none" w:sz="0" w:space="0" w:color="auto"/>
      </w:divBdr>
    </w:div>
    <w:div w:id="2053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C63D7-6DDC-4E28-82B6-927A85BE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1152</Words>
  <Characters>6418</Characters>
  <Application>Microsoft Office Word</Application>
  <DocSecurity>0</DocSecurity>
  <Lines>110</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MOSCIBRODA Anna (JUST)</dc:creator>
  <cp:keywords/>
  <dc:description/>
  <cp:lastModifiedBy>DIGIT/C6</cp:lastModifiedBy>
  <cp:revision>13</cp:revision>
  <cp:lastPrinted>2020-03-05T20:03:00Z</cp:lastPrinted>
  <dcterms:created xsi:type="dcterms:W3CDTF">2020-06-19T12:33:00Z</dcterms:created>
  <dcterms:modified xsi:type="dcterms:W3CDTF">2020-06-23T18:00:00Z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