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10869867-AFD0-413E-BEC7-F5E82F30581D" style="width:450.45pt;height:379.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7" w:bottom="1134" w:left="1417" w:header="709" w:footer="709" w:gutter="0"/>
          <w:pgNumType w:start="0"/>
          <w:cols w:space="720"/>
          <w:docGrid w:linePitch="360"/>
        </w:sectPr>
      </w:pPr>
    </w:p>
    <w:p>
      <w:pPr>
        <w:spacing w:after="0" w:line="240" w:lineRule="auto"/>
        <w:jc w:val="both"/>
        <w:rPr>
          <w:rFonts w:ascii="Times New Roman" w:eastAsia="Times New Roman" w:hAnsi="Times New Roman" w:cs="Times New Roman"/>
          <w:bCs/>
          <w:noProof/>
          <w:sz w:val="24"/>
          <w:szCs w:val="24"/>
        </w:rPr>
      </w:pPr>
      <w:bookmarkStart w:id="1" w:name="_GoBack"/>
      <w:bookmarkEnd w:id="1"/>
      <w:r>
        <w:rPr>
          <w:rFonts w:ascii="Times New Roman" w:eastAsia="Times New Roman" w:hAnsi="Times New Roman" w:cs="Times New Roman"/>
          <w:b/>
          <w:noProof/>
          <w:sz w:val="24"/>
          <w:szCs w:val="24"/>
        </w:rPr>
        <w:lastRenderedPageBreak/>
        <w:t>ANNEX I: Acts that fall within the scope of the review but do not require amendments</w:t>
      </w:r>
      <w:r>
        <w:rPr>
          <w:rFonts w:ascii="Times New Roman" w:eastAsia="Times New Roman" w:hAnsi="Times New Roman" w:cs="Times New Roman"/>
          <w:bCs/>
          <w:noProof/>
          <w:sz w:val="24"/>
          <w:szCs w:val="24"/>
        </w:rPr>
        <w:t xml:space="preserve"> </w:t>
      </w:r>
    </w:p>
    <w:p>
      <w:pPr>
        <w:tabs>
          <w:tab w:val="left" w:pos="1276"/>
        </w:tabs>
        <w:spacing w:before="120" w:after="0" w:line="240" w:lineRule="auto"/>
        <w:ind w:left="850" w:right="-27" w:hanging="850"/>
        <w:jc w:val="both"/>
        <w:rPr>
          <w:rFonts w:ascii="Times New Roman" w:eastAsia="Calibri" w:hAnsi="Times New Roman" w:cs="Times New Roman"/>
          <w:bCs/>
          <w:noProof/>
          <w:sz w:val="24"/>
          <w:szCs w:val="24"/>
        </w:rPr>
      </w:pPr>
    </w:p>
    <w:p>
      <w:pPr>
        <w:spacing w:after="120" w:line="240"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Acts that do not contain specific data protection rules and are therefore not “grandfathered”, meaning that the LED already applies to them (7 acts):</w:t>
      </w:r>
    </w:p>
    <w:p>
      <w:pPr>
        <w:numPr>
          <w:ilvl w:val="0"/>
          <w:numId w:val="6"/>
        </w:numPr>
        <w:tabs>
          <w:tab w:val="left" w:pos="1276"/>
        </w:tabs>
        <w:spacing w:after="120" w:line="240" w:lineRule="auto"/>
        <w:ind w:left="567" w:right="-27" w:hanging="425"/>
        <w:jc w:val="both"/>
        <w:rPr>
          <w:rFonts w:ascii="Times New Roman" w:eastAsia="Calibri" w:hAnsi="Times New Roman" w:cs="Times New Roman"/>
          <w:noProof/>
          <w:sz w:val="24"/>
          <w:szCs w:val="24"/>
        </w:rPr>
      </w:pPr>
      <w:r>
        <w:rPr>
          <w:rFonts w:ascii="Times New Roman" w:eastAsia="Calibri" w:hAnsi="Times New Roman" w:cs="Times New Roman"/>
          <w:bCs/>
          <w:noProof/>
          <w:sz w:val="24"/>
          <w:szCs w:val="24"/>
        </w:rPr>
        <w:t>Council Framework Decision 2002/584/JHA of 13 June 2002 on the European arrest warrant and the surrender procedures between Member States</w:t>
      </w:r>
      <w:r>
        <w:rPr>
          <w:rFonts w:ascii="Times New Roman" w:eastAsia="Calibri" w:hAnsi="Times New Roman" w:cs="Times New Roman"/>
          <w:bCs/>
          <w:noProof/>
          <w:sz w:val="24"/>
          <w:szCs w:val="24"/>
          <w:vertAlign w:val="superscript"/>
        </w:rPr>
        <w:footnoteReference w:id="2"/>
      </w:r>
      <w:r>
        <w:rPr>
          <w:rFonts w:ascii="Times New Roman" w:eastAsia="Calibri" w:hAnsi="Times New Roman" w:cs="Times New Roman"/>
          <w:b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Council Framework Decision 2003/577/JHA of 22 July 2003 on the execution in the European Union of orders freezing property or evidence</w:t>
      </w:r>
      <w:r>
        <w:rPr>
          <w:rFonts w:ascii="Times New Roman" w:eastAsia="Calibri" w:hAnsi="Times New Roman" w:cs="Times New Roman"/>
          <w:bCs/>
          <w:noProof/>
          <w:sz w:val="24"/>
          <w:szCs w:val="24"/>
          <w:vertAlign w:val="superscript"/>
        </w:rPr>
        <w:footnoteReference w:id="3"/>
      </w:r>
      <w:r>
        <w:rPr>
          <w:rFonts w:ascii="Times New Roman" w:eastAsia="Calibri" w:hAnsi="Times New Roman" w:cs="Times New Roman"/>
          <w:bCs/>
          <w:noProof/>
          <w:sz w:val="24"/>
          <w:szCs w:val="24"/>
        </w:rPr>
        <w:t>;</w:t>
      </w:r>
      <w:r>
        <w:rPr>
          <w:rFonts w:ascii="Times New Roman" w:eastAsia="Calibri" w:hAnsi="Times New Roman" w:cs="Times New Roman"/>
          <w:bCs/>
          <w:iCs/>
          <w:noProof/>
          <w:sz w:val="24"/>
          <w:szCs w:val="24"/>
        </w:rPr>
        <w:t xml:space="preserve"> </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eastAsia="Calibri" w:hAnsi="Times New Roman" w:cs="Times New Roman"/>
          <w:bCs/>
          <w:iCs/>
          <w:noProof/>
          <w:sz w:val="24"/>
          <w:szCs w:val="24"/>
        </w:rPr>
        <w:t>Council Common Position 2005/69/JHA of 24 January 2005 on exchanging certain data with Interpol</w:t>
      </w:r>
      <w:r>
        <w:rPr>
          <w:rFonts w:ascii="Times New Roman" w:eastAsia="Calibri" w:hAnsi="Times New Roman" w:cs="Times New Roman"/>
          <w:bCs/>
          <w:iCs/>
          <w:noProof/>
          <w:sz w:val="24"/>
          <w:szCs w:val="24"/>
          <w:vertAlign w:val="superscript"/>
        </w:rPr>
        <w:footnoteReference w:id="4"/>
      </w:r>
      <w:r>
        <w:rPr>
          <w:rFonts w:ascii="Times New Roman" w:eastAsia="Calibri" w:hAnsi="Times New Roman" w:cs="Times New Roman"/>
          <w:bCs/>
          <w:i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eastAsia="Calibri" w:hAnsi="Times New Roman" w:cs="Times New Roman"/>
          <w:bCs/>
          <w:iCs/>
          <w:noProof/>
          <w:sz w:val="24"/>
          <w:szCs w:val="24"/>
        </w:rPr>
        <w:t>Council Framework Decision 2005/214/JHA of 24 February 2005 on the application of the principle of mutual recognition to financial penalties</w:t>
      </w:r>
      <w:r>
        <w:rPr>
          <w:rStyle w:val="FootnoteReference"/>
          <w:rFonts w:ascii="Times New Roman" w:eastAsia="Calibri" w:hAnsi="Times New Roman" w:cs="Times New Roman"/>
          <w:bCs/>
          <w:iCs/>
          <w:noProof/>
          <w:sz w:val="24"/>
          <w:szCs w:val="24"/>
        </w:rPr>
        <w:footnoteReference w:id="5"/>
      </w:r>
      <w:r>
        <w:rPr>
          <w:rFonts w:ascii="Times New Roman" w:eastAsia="Calibri" w:hAnsi="Times New Roman" w:cs="Times New Roman"/>
          <w:bCs/>
          <w:i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Council Framework Decision 2006/783/JHA of 6 October 2006 on the application of the principle of mutual recognition to confiscation orders</w:t>
      </w:r>
      <w:r>
        <w:rPr>
          <w:rFonts w:ascii="Times New Roman" w:eastAsia="Calibri" w:hAnsi="Times New Roman" w:cs="Times New Roman"/>
          <w:bCs/>
          <w:noProof/>
          <w:sz w:val="24"/>
          <w:szCs w:val="24"/>
          <w:vertAlign w:val="superscript"/>
        </w:rPr>
        <w:footnoteReference w:id="6"/>
      </w:r>
      <w:r>
        <w:rPr>
          <w:rFonts w:ascii="Times New Roman" w:eastAsia="Calibri" w:hAnsi="Times New Roman" w:cs="Times New Roman"/>
          <w:bCs/>
          <w:noProof/>
          <w:sz w:val="24"/>
          <w:szCs w:val="24"/>
        </w:rPr>
        <w:t xml:space="preserve">; </w:t>
      </w:r>
    </w:p>
    <w:p>
      <w:pPr>
        <w:numPr>
          <w:ilvl w:val="0"/>
          <w:numId w:val="6"/>
        </w:numPr>
        <w:tabs>
          <w:tab w:val="left" w:pos="1276"/>
        </w:tabs>
        <w:spacing w:after="120" w:line="240" w:lineRule="auto"/>
        <w:ind w:left="567" w:right="-27" w:hanging="425"/>
        <w:jc w:val="both"/>
        <w:rPr>
          <w:rFonts w:ascii="Times New Roman" w:eastAsia="Calibri" w:hAnsi="Times New Roman" w:cs="Times New Roman"/>
          <w:bCs/>
          <w:iCs/>
          <w:noProof/>
          <w:sz w:val="24"/>
          <w:szCs w:val="24"/>
        </w:rPr>
      </w:pPr>
      <w:r>
        <w:rPr>
          <w:rFonts w:ascii="Times New Roman" w:eastAsia="Calibri" w:hAnsi="Times New Roman" w:cs="Times New Roman"/>
          <w:bCs/>
          <w:noProof/>
          <w:sz w:val="24"/>
          <w:szCs w:val="24"/>
        </w:rPr>
        <w:t>Council Framework Decision 2008/947/JHA of 27 November 2008 on the application of the principle of mutual recognition to judgments and probation decisions with a view to the supervision of probation measures and alternative sanctions</w:t>
      </w:r>
      <w:r>
        <w:rPr>
          <w:rFonts w:ascii="Times New Roman" w:eastAsia="Calibri" w:hAnsi="Times New Roman" w:cs="Times New Roman"/>
          <w:bCs/>
          <w:noProof/>
          <w:sz w:val="24"/>
          <w:szCs w:val="24"/>
          <w:vertAlign w:val="superscript"/>
        </w:rPr>
        <w:footnoteReference w:id="7"/>
      </w:r>
      <w:r>
        <w:rPr>
          <w:rFonts w:ascii="Times New Roman" w:eastAsia="Calibri" w:hAnsi="Times New Roman" w:cs="Times New Roman"/>
          <w:bCs/>
          <w:noProof/>
          <w:sz w:val="24"/>
          <w:szCs w:val="24"/>
        </w:rPr>
        <w:t>;</w:t>
      </w:r>
    </w:p>
    <w:p>
      <w:pPr>
        <w:numPr>
          <w:ilvl w:val="0"/>
          <w:numId w:val="6"/>
        </w:numPr>
        <w:tabs>
          <w:tab w:val="left" w:pos="1276"/>
        </w:tabs>
        <w:spacing w:after="120" w:line="240" w:lineRule="auto"/>
        <w:ind w:left="567" w:right="-27" w:hanging="425"/>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Council Framework Decision 2008/909/JHA of 27 November 2008 on the application of the principle of mutual recognition to judgments in criminal matters imposing custodial sentences or measures involving deprivation of liberty for the purpose of their enforcement in the European Union</w:t>
      </w:r>
      <w:r>
        <w:rPr>
          <w:rFonts w:ascii="Times New Roman" w:eastAsia="Calibri" w:hAnsi="Times New Roman" w:cs="Times New Roman"/>
          <w:noProof/>
          <w:sz w:val="24"/>
          <w:szCs w:val="24"/>
          <w:vertAlign w:val="superscript"/>
        </w:rPr>
        <w:footnoteReference w:id="8"/>
      </w:r>
      <w:r>
        <w:rPr>
          <w:rFonts w:ascii="Times New Roman" w:eastAsia="Calibri" w:hAnsi="Times New Roman" w:cs="Times New Roman"/>
          <w:noProof/>
          <w:sz w:val="24"/>
          <w:szCs w:val="24"/>
        </w:rPr>
        <w:t xml:space="preserve">. </w:t>
      </w:r>
    </w:p>
    <w:p>
      <w:pPr>
        <w:tabs>
          <w:tab w:val="left" w:pos="1276"/>
        </w:tabs>
        <w:spacing w:after="120" w:line="240" w:lineRule="auto"/>
        <w:ind w:left="567" w:right="-27"/>
        <w:jc w:val="both"/>
        <w:rPr>
          <w:rFonts w:ascii="Times New Roman" w:eastAsia="Calibri" w:hAnsi="Times New Roman" w:cs="Times New Roman"/>
          <w:bCs/>
          <w:iCs/>
          <w:noProof/>
          <w:sz w:val="24"/>
          <w:szCs w:val="24"/>
        </w:rPr>
      </w:pPr>
    </w:p>
    <w:p>
      <w:pPr>
        <w:spacing w:after="120" w:line="240"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Acts that contain a reference to Council Framework Decision 2008/977/JHA, which is to be construed as a reference to the LED as per Article 59(2) thereof, and do not contain any specific data protection rules (3 acts):</w:t>
      </w:r>
    </w:p>
    <w:p>
      <w:pPr>
        <w:numPr>
          <w:ilvl w:val="0"/>
          <w:numId w:val="16"/>
        </w:numPr>
        <w:tabs>
          <w:tab w:val="left" w:pos="1276"/>
        </w:tabs>
        <w:spacing w:after="120" w:line="240" w:lineRule="auto"/>
        <w:ind w:right="-27"/>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Council Framework Decision 2009/829/JHA of 23 October 2009 on the application, between Member States of the European Union, of the principle of mutual recognition to decisions on supervision measures as an alternative to provisional detention</w:t>
      </w:r>
      <w:r>
        <w:rPr>
          <w:rStyle w:val="FootnoteReference"/>
          <w:rFonts w:ascii="Times New Roman" w:eastAsia="Calibri" w:hAnsi="Times New Roman" w:cs="Times New Roman"/>
          <w:bCs/>
          <w:noProof/>
          <w:sz w:val="24"/>
          <w:szCs w:val="24"/>
        </w:rPr>
        <w:footnoteReference w:id="9"/>
      </w:r>
      <w:r>
        <w:rPr>
          <w:rFonts w:ascii="Times New Roman" w:eastAsia="Calibri" w:hAnsi="Times New Roman" w:cs="Times New Roman"/>
          <w:bCs/>
          <w:noProof/>
          <w:sz w:val="24"/>
          <w:szCs w:val="24"/>
        </w:rPr>
        <w:t xml:space="preserve">; </w:t>
      </w:r>
    </w:p>
    <w:p>
      <w:pPr>
        <w:numPr>
          <w:ilvl w:val="0"/>
          <w:numId w:val="1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Council Framework Decision 2009/948/JHA of 30 November 2009 on prevention and settlement of conflicts of exercise of jurisdiction in criminal proceedings</w:t>
      </w:r>
      <w:r>
        <w:rPr>
          <w:rStyle w:val="FootnoteReference"/>
          <w:rFonts w:ascii="Times New Roman" w:eastAsia="Calibri" w:hAnsi="Times New Roman" w:cs="Times New Roman"/>
          <w:bCs/>
          <w:noProof/>
          <w:sz w:val="24"/>
          <w:szCs w:val="24"/>
        </w:rPr>
        <w:footnoteReference w:id="10"/>
      </w:r>
      <w:r>
        <w:rPr>
          <w:rFonts w:ascii="Times New Roman" w:eastAsia="Calibri" w:hAnsi="Times New Roman" w:cs="Times New Roman"/>
          <w:bCs/>
          <w:noProof/>
          <w:sz w:val="24"/>
          <w:szCs w:val="24"/>
        </w:rPr>
        <w:t xml:space="preserve">, and </w:t>
      </w:r>
    </w:p>
    <w:p>
      <w:pPr>
        <w:numPr>
          <w:ilvl w:val="0"/>
          <w:numId w:val="16"/>
        </w:numPr>
        <w:tabs>
          <w:tab w:val="left" w:pos="1276"/>
        </w:tabs>
        <w:spacing w:after="120" w:line="240" w:lineRule="auto"/>
        <w:ind w:left="567" w:right="-27" w:hanging="425"/>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Directive 2011/99/EU of the European Parliament and of the Council of 13 December 2011 on the European protection order</w:t>
      </w:r>
      <w:r>
        <w:rPr>
          <w:rFonts w:ascii="Times New Roman" w:eastAsia="Calibri" w:hAnsi="Times New Roman" w:cs="Times New Roman"/>
          <w:bCs/>
          <w:noProof/>
          <w:sz w:val="24"/>
          <w:szCs w:val="24"/>
          <w:vertAlign w:val="superscript"/>
        </w:rPr>
        <w:footnoteReference w:id="11"/>
      </w:r>
      <w:r>
        <w:rPr>
          <w:rFonts w:ascii="Times New Roman" w:eastAsia="Calibri" w:hAnsi="Times New Roman" w:cs="Times New Roman"/>
          <w:bCs/>
          <w:noProof/>
          <w:sz w:val="24"/>
          <w:szCs w:val="24"/>
        </w:rPr>
        <w:t>.</w:t>
      </w:r>
    </w:p>
    <w:p>
      <w:pPr>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br w:type="page"/>
      </w:r>
    </w:p>
    <w:p>
      <w:pPr>
        <w:spacing w:after="120" w:line="240"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lastRenderedPageBreak/>
        <w:t>Acts where amendments are already under negotiation (2 acts):</w:t>
      </w:r>
    </w:p>
    <w:p>
      <w:pPr>
        <w:pStyle w:val="ListParagraph"/>
        <w:numPr>
          <w:ilvl w:val="0"/>
          <w:numId w:val="18"/>
        </w:numPr>
        <w:tabs>
          <w:tab w:val="left" w:pos="1276"/>
        </w:tabs>
        <w:spacing w:after="120" w:line="240" w:lineRule="auto"/>
        <w:ind w:right="-28"/>
        <w:contextualSpacing w:val="0"/>
        <w:jc w:val="both"/>
        <w:rPr>
          <w:rFonts w:ascii="Times New Roman" w:eastAsia="Calibri" w:hAnsi="Times New Roman" w:cs="Times New Roman"/>
          <w:iCs/>
          <w:noProof/>
          <w:sz w:val="24"/>
          <w:szCs w:val="24"/>
          <w:lang w:val="en"/>
        </w:rPr>
      </w:pPr>
      <w:r>
        <w:rPr>
          <w:rFonts w:ascii="Times New Roman" w:eastAsia="Calibri" w:hAnsi="Times New Roman" w:cs="Times New Roman"/>
          <w:iCs/>
          <w:noProof/>
          <w:sz w:val="24"/>
          <w:szCs w:val="24"/>
          <w:lang w:val="en"/>
        </w:rPr>
        <w:t xml:space="preserve">Council Decision 2008/633/JHA of 23 June 2008 regulates access to VIS data for the purposes of the </w:t>
      </w:r>
      <w:r>
        <w:rPr>
          <w:rFonts w:ascii="Times New Roman" w:eastAsia="Calibri" w:hAnsi="Times New Roman" w:cs="Times New Roman"/>
          <w:noProof/>
          <w:sz w:val="24"/>
          <w:szCs w:val="24"/>
        </w:rPr>
        <w:t>prevention</w:t>
      </w:r>
      <w:r>
        <w:rPr>
          <w:rFonts w:ascii="Times New Roman" w:eastAsia="Calibri" w:hAnsi="Times New Roman" w:cs="Times New Roman"/>
          <w:iCs/>
          <w:noProof/>
          <w:sz w:val="24"/>
          <w:szCs w:val="24"/>
          <w:lang w:val="en"/>
        </w:rPr>
        <w:t>, detection and investigation of terrorist offences and of other serious criminal offences</w:t>
      </w:r>
      <w:r>
        <w:rPr>
          <w:noProof/>
          <w:vertAlign w:val="superscript"/>
          <w:lang w:val="en"/>
        </w:rPr>
        <w:footnoteReference w:id="12"/>
      </w:r>
      <w:r>
        <w:rPr>
          <w:rFonts w:ascii="Times New Roman" w:eastAsia="Calibri" w:hAnsi="Times New Roman" w:cs="Times New Roman"/>
          <w:iCs/>
          <w:noProof/>
          <w:sz w:val="24"/>
          <w:szCs w:val="24"/>
          <w:lang w:val="en"/>
        </w:rPr>
        <w:t>, which is subject to repeal under Proposal for a Regulation of the European Parliament and of the Council amending Regulation (EC) No 767/2008, Regulation (EC) No 810/2009, Regulation (EU) 2017/2226, Regulation (EU) 2016/399, Regulation XX/2018 [Interoperability Regulation], and Decision 2004/512/EC and repealing Council Decision 2008/633/JHA</w:t>
      </w:r>
      <w:r>
        <w:rPr>
          <w:rStyle w:val="FootnoteReference"/>
          <w:rFonts w:ascii="Times New Roman" w:eastAsia="Calibri" w:hAnsi="Times New Roman" w:cs="Times New Roman"/>
          <w:iCs/>
          <w:noProof/>
          <w:sz w:val="24"/>
          <w:szCs w:val="24"/>
          <w:lang w:val="en"/>
        </w:rPr>
        <w:footnoteReference w:id="13"/>
      </w:r>
      <w:r>
        <w:rPr>
          <w:rFonts w:ascii="Times New Roman" w:eastAsia="Calibri" w:hAnsi="Times New Roman" w:cs="Times New Roman"/>
          <w:iCs/>
          <w:noProof/>
          <w:sz w:val="24"/>
          <w:szCs w:val="24"/>
          <w:lang w:val="en"/>
        </w:rPr>
        <w:t xml:space="preserve"> ; </w:t>
      </w:r>
    </w:p>
    <w:p>
      <w:pPr>
        <w:pStyle w:val="ListParagraph"/>
        <w:numPr>
          <w:ilvl w:val="0"/>
          <w:numId w:val="18"/>
        </w:numPr>
        <w:tabs>
          <w:tab w:val="left" w:pos="1276"/>
        </w:tabs>
        <w:spacing w:after="120" w:line="240" w:lineRule="auto"/>
        <w:ind w:right="-28"/>
        <w:contextualSpacing w:val="0"/>
        <w:jc w:val="both"/>
        <w:rPr>
          <w:rFonts w:ascii="Times New Roman" w:eastAsia="Calibri" w:hAnsi="Times New Roman" w:cs="Times New Roman"/>
          <w:bCs/>
          <w:noProof/>
          <w:sz w:val="24"/>
          <w:szCs w:val="24"/>
        </w:rPr>
      </w:pPr>
      <w:r>
        <w:rPr>
          <w:rFonts w:ascii="Times New Roman" w:eastAsia="Calibri" w:hAnsi="Times New Roman" w:cs="Times New Roman"/>
          <w:iCs/>
          <w:noProof/>
          <w:sz w:val="24"/>
          <w:szCs w:val="24"/>
        </w:rPr>
        <w:t xml:space="preserve">Regulation (EU) No 604/2013 of the European Parliament and of the Council of 26 June 2013 establishing the criteria and mechanisms for determining the Member State </w:t>
      </w:r>
      <w:r>
        <w:rPr>
          <w:rFonts w:ascii="Times New Roman" w:eastAsia="Calibri" w:hAnsi="Times New Roman" w:cs="Times New Roman"/>
          <w:iCs/>
          <w:noProof/>
          <w:sz w:val="24"/>
          <w:szCs w:val="24"/>
          <w:lang w:val="en"/>
        </w:rPr>
        <w:t>responsible</w:t>
      </w:r>
      <w:r>
        <w:rPr>
          <w:rFonts w:ascii="Times New Roman" w:eastAsia="Calibri" w:hAnsi="Times New Roman" w:cs="Times New Roman"/>
          <w:iCs/>
          <w:noProof/>
          <w:sz w:val="24"/>
          <w:szCs w:val="24"/>
        </w:rPr>
        <w:t xml:space="preserve"> for examining an application for international protection lodged in one of the Member States by a third-country national or a stateless person</w:t>
      </w:r>
      <w:r>
        <w:rPr>
          <w:noProof/>
          <w:vertAlign w:val="superscript"/>
        </w:rPr>
        <w:footnoteReference w:id="14"/>
      </w:r>
      <w:r>
        <w:rPr>
          <w:rFonts w:ascii="Times New Roman" w:eastAsia="Calibri" w:hAnsi="Times New Roman" w:cs="Times New Roman"/>
          <w:iCs/>
          <w:noProof/>
          <w:sz w:val="24"/>
          <w:szCs w:val="24"/>
        </w:rPr>
        <w:t xml:space="preserve">; it is subject to repeal under </w:t>
      </w:r>
      <w:r>
        <w:rPr>
          <w:rFonts w:ascii="Times New Roman" w:eastAsia="Calibri" w:hAnsi="Times New Roman" w:cs="Times New Roman"/>
          <w:noProof/>
          <w:sz w:val="24"/>
          <w:szCs w:val="24"/>
        </w:rPr>
        <w:t xml:space="preserve">Proposal for a </w:t>
      </w:r>
      <w:r>
        <w:rPr>
          <w:rFonts w:ascii="Times New Roman" w:eastAsia="Calibri" w:hAnsi="Times New Roman" w:cs="Times New Roman"/>
          <w:bCs/>
          <w:noProof/>
          <w:sz w:val="24"/>
          <w:szCs w:val="24"/>
        </w:rPr>
        <w:t xml:space="preserve">Regulation of the European Parliament and of the Council on the establishment of 'Eurodac' for the comparison of fingerprints for the effective application of Regulation (EU) No 604/2013 establishing the criteria and mechanisms for determining the Member State responsible for examining an application for international protection lodged in one of the Member States by a third-country national or a stateless person, for identifying an illegally </w:t>
      </w:r>
      <w:r>
        <w:rPr>
          <w:rFonts w:ascii="Times New Roman" w:eastAsia="Calibri" w:hAnsi="Times New Roman" w:cs="Times New Roman"/>
          <w:noProof/>
          <w:sz w:val="24"/>
          <w:szCs w:val="24"/>
          <w:lang w:val="en"/>
        </w:rPr>
        <w:t>staying</w:t>
      </w:r>
      <w:r>
        <w:rPr>
          <w:rFonts w:ascii="Times New Roman" w:eastAsia="Calibri" w:hAnsi="Times New Roman" w:cs="Times New Roman"/>
          <w:bCs/>
          <w:noProof/>
          <w:sz w:val="24"/>
          <w:szCs w:val="24"/>
        </w:rPr>
        <w:t xml:space="preserve"> third-country national or stateless person and on requests for the comparison with Eurodac data by Member States' law enforcement authorities and Europol for law enforcement purposes (recast)</w:t>
      </w:r>
      <w:r>
        <w:rPr>
          <w:rStyle w:val="FootnoteReference"/>
          <w:rFonts w:ascii="Times New Roman" w:eastAsia="Calibri" w:hAnsi="Times New Roman" w:cs="Times New Roman"/>
          <w:bCs/>
          <w:noProof/>
          <w:sz w:val="24"/>
          <w:szCs w:val="24"/>
        </w:rPr>
        <w:footnoteReference w:id="15"/>
      </w:r>
      <w:r>
        <w:rPr>
          <w:rFonts w:ascii="Times New Roman" w:eastAsia="Calibri" w:hAnsi="Times New Roman" w:cs="Times New Roman"/>
          <w:bCs/>
          <w:noProof/>
          <w:sz w:val="24"/>
          <w:szCs w:val="24"/>
          <w:lang w:val="en"/>
        </w:rPr>
        <w:t>.</w:t>
      </w:r>
    </w:p>
    <w:p>
      <w:pPr>
        <w:spacing w:after="120" w:line="240" w:lineRule="auto"/>
        <w:jc w:val="both"/>
        <w:rPr>
          <w:rFonts w:ascii="Times New Roman" w:eastAsia="Times New Roman" w:hAnsi="Times New Roman" w:cs="Times New Roman"/>
          <w:noProof/>
          <w:sz w:val="24"/>
          <w:szCs w:val="24"/>
          <w:lang w:val="en-IE"/>
        </w:rPr>
      </w:pPr>
      <w:r>
        <w:rPr>
          <w:rFonts w:ascii="Times New Roman" w:eastAsia="Times New Roman" w:hAnsi="Times New Roman" w:cs="Times New Roman"/>
          <w:noProof/>
          <w:sz w:val="24"/>
          <w:szCs w:val="24"/>
          <w:lang w:val="en-IE"/>
        </w:rPr>
        <w:t>International agreements that bind exclusively Member States or Schengen States which are obliged to transpose the LED into their national orders, and where the processing of personal data by the competent authorities for purposes of law enforcement under such agreements is subject to national laws transposing the LED (3 acts):</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eastAsia="Calibri" w:hAnsi="Times New Roman" w:cs="Times New Roman"/>
          <w:noProof/>
          <w:sz w:val="24"/>
          <w:szCs w:val="24"/>
        </w:rPr>
        <w:t xml:space="preserve">Convention drawn up on the basis of Article K.3 of the Treaty on European Union, on mutual assistance and cooperation between customs administrations </w:t>
      </w:r>
      <w:r>
        <w:rPr>
          <w:rFonts w:ascii="Times New Roman" w:eastAsia="Calibri" w:hAnsi="Times New Roman" w:cs="Times New Roman"/>
          <w:bCs/>
          <w:iCs/>
          <w:noProof/>
          <w:sz w:val="24"/>
          <w:szCs w:val="24"/>
        </w:rPr>
        <w:t>(Naples II Convention)</w:t>
      </w:r>
      <w:r>
        <w:rPr>
          <w:rFonts w:ascii="Times New Roman" w:hAnsi="Times New Roman" w:cs="Times New Roman"/>
          <w:noProof/>
          <w:sz w:val="24"/>
          <w:szCs w:val="24"/>
          <w:vertAlign w:val="superscript"/>
        </w:rPr>
        <w:footnoteReference w:id="16"/>
      </w:r>
      <w:r>
        <w:rPr>
          <w:rFonts w:ascii="Times New Roman" w:eastAsia="Calibri" w:hAnsi="Times New Roman" w:cs="Times New Roman"/>
          <w:bCs/>
          <w:iCs/>
          <w:noProof/>
          <w:sz w:val="24"/>
          <w:szCs w:val="24"/>
        </w:rPr>
        <w:t>;</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eastAsia="Calibri" w:hAnsi="Times New Roman" w:cs="Times New Roman"/>
          <w:noProof/>
          <w:sz w:val="24"/>
          <w:szCs w:val="24"/>
          <w:lang w:val="en"/>
        </w:rPr>
        <w:t>Council Act of 29 May 2000 establishing in accordance with Article 34 of the Treaty on European Union the Convention on Mutual Assistance in Criminal Matters between the Member States of the European Union</w:t>
      </w:r>
      <w:r>
        <w:rPr>
          <w:rFonts w:ascii="Times New Roman" w:hAnsi="Times New Roman" w:cs="Times New Roman"/>
          <w:noProof/>
          <w:sz w:val="24"/>
          <w:szCs w:val="24"/>
          <w:vertAlign w:val="superscript"/>
        </w:rPr>
        <w:footnoteReference w:id="17"/>
      </w:r>
      <w:r>
        <w:rPr>
          <w:rFonts w:ascii="Times New Roman" w:eastAsia="Calibri" w:hAnsi="Times New Roman" w:cs="Times New Roman"/>
          <w:noProof/>
          <w:sz w:val="24"/>
          <w:szCs w:val="24"/>
        </w:rPr>
        <w:t>;</w:t>
      </w:r>
    </w:p>
    <w:p>
      <w:pPr>
        <w:numPr>
          <w:ilvl w:val="0"/>
          <w:numId w:val="17"/>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eastAsia="Calibri" w:hAnsi="Times New Roman" w:cs="Times New Roman"/>
          <w:noProof/>
          <w:sz w:val="24"/>
          <w:szCs w:val="24"/>
        </w:rPr>
        <w:t>Agreement</w:t>
      </w:r>
      <w:r>
        <w:rPr>
          <w:rFonts w:ascii="Times New Roman" w:eastAsia="Calibri" w:hAnsi="Times New Roman" w:cs="Times New Roman"/>
          <w:bCs/>
          <w:iCs/>
          <w:noProof/>
          <w:sz w:val="24"/>
          <w:szCs w:val="24"/>
          <w:lang w:val="en"/>
        </w:rPr>
        <w:t xml:space="preserve"> between the European Union and the Republic of Iceland and the Kingdom of Norway on the application of certain provisions of the Convention of 29 may 2000 on Mutual Assistance in Criminal Matters between the Member States of the European Union and the 2001 Protocol thereto</w:t>
      </w:r>
      <w:r>
        <w:rPr>
          <w:rFonts w:ascii="Times New Roman" w:eastAsia="Calibri" w:hAnsi="Times New Roman" w:cs="Times New Roman"/>
          <w:bCs/>
          <w:iCs/>
          <w:noProof/>
          <w:sz w:val="24"/>
          <w:szCs w:val="24"/>
          <w:vertAlign w:val="superscript"/>
          <w:lang w:val="en"/>
        </w:rPr>
        <w:footnoteReference w:id="18"/>
      </w:r>
      <w:r>
        <w:rPr>
          <w:rFonts w:ascii="Times New Roman" w:eastAsia="Calibri" w:hAnsi="Times New Roman" w:cs="Times New Roman"/>
          <w:bCs/>
          <w:iCs/>
          <w:noProof/>
          <w:sz w:val="24"/>
          <w:szCs w:val="24"/>
          <w:lang w:val="en"/>
        </w:rPr>
        <w:t>.</w:t>
      </w:r>
    </w:p>
    <w:p>
      <w:pPr>
        <w:spacing w:after="200" w:line="276" w:lineRule="auto"/>
        <w:ind w:left="142"/>
        <w:jc w:val="both"/>
        <w:rPr>
          <w:rFonts w:ascii="Times New Roman" w:hAnsi="Times New Roman" w:cs="Times New Roman"/>
          <w:bCs/>
          <w:noProof/>
          <w:sz w:val="24"/>
          <w:szCs w:val="24"/>
        </w:rPr>
      </w:pPr>
      <w:r>
        <w:rPr>
          <w:rFonts w:ascii="Times New Roman" w:hAnsi="Times New Roman" w:cs="Times New Roman"/>
          <w:bCs/>
          <w:noProof/>
          <w:sz w:val="24"/>
          <w:szCs w:val="24"/>
        </w:rPr>
        <w:t>Mutual Legal Assistance Treaty between the EU and the U.S.:</w:t>
      </w:r>
    </w:p>
    <w:p>
      <w:pPr>
        <w:numPr>
          <w:ilvl w:val="0"/>
          <w:numId w:val="25"/>
        </w:numPr>
        <w:tabs>
          <w:tab w:val="left" w:pos="1276"/>
        </w:tabs>
        <w:spacing w:after="120" w:line="240" w:lineRule="auto"/>
        <w:ind w:right="-27"/>
        <w:jc w:val="both"/>
        <w:rPr>
          <w:rFonts w:ascii="Times New Roman" w:eastAsia="Calibri" w:hAnsi="Times New Roman" w:cs="Times New Roman"/>
          <w:bCs/>
          <w:iCs/>
          <w:noProof/>
          <w:sz w:val="24"/>
          <w:szCs w:val="24"/>
        </w:rPr>
      </w:pPr>
      <w:r>
        <w:rPr>
          <w:rFonts w:ascii="Times New Roman" w:eastAsia="Calibri" w:hAnsi="Times New Roman" w:cs="Times New Roman"/>
          <w:noProof/>
          <w:sz w:val="24"/>
          <w:szCs w:val="24"/>
        </w:rPr>
        <w:t>Agreement</w:t>
      </w:r>
      <w:r>
        <w:rPr>
          <w:rFonts w:ascii="Times New Roman" w:eastAsia="Calibri" w:hAnsi="Times New Roman" w:cs="Times New Roman"/>
          <w:bCs/>
          <w:iCs/>
          <w:noProof/>
          <w:sz w:val="24"/>
          <w:szCs w:val="24"/>
          <w:lang w:val="en"/>
        </w:rPr>
        <w:t xml:space="preserve"> on mutual legal assistance between the European Union and the United States of America</w:t>
      </w:r>
      <w:r>
        <w:rPr>
          <w:rFonts w:ascii="Times New Roman" w:eastAsia="Calibri" w:hAnsi="Times New Roman" w:cs="Times New Roman"/>
          <w:bCs/>
          <w:iCs/>
          <w:noProof/>
          <w:sz w:val="24"/>
          <w:szCs w:val="24"/>
          <w:vertAlign w:val="superscript"/>
          <w:lang w:val="en"/>
        </w:rPr>
        <w:footnoteReference w:id="19"/>
      </w:r>
      <w:r>
        <w:rPr>
          <w:rFonts w:ascii="Times New Roman" w:eastAsia="Calibri" w:hAnsi="Times New Roman" w:cs="Times New Roman"/>
          <w:bCs/>
          <w:iCs/>
          <w:noProof/>
          <w:sz w:val="24"/>
          <w:szCs w:val="24"/>
          <w:lang w:val="en"/>
        </w:rPr>
        <w:t>.</w:t>
      </w:r>
    </w:p>
    <w:p>
      <w:pPr>
        <w:rPr>
          <w:rFonts w:ascii="Times New Roman" w:hAnsi="Times New Roman" w:cs="Times New Roman"/>
          <w:b/>
          <w:noProof/>
          <w:sz w:val="24"/>
          <w:szCs w:val="24"/>
        </w:rPr>
      </w:pPr>
      <w:r>
        <w:rPr>
          <w:rFonts w:ascii="Times New Roman" w:hAnsi="Times New Roman" w:cs="Times New Roman"/>
          <w:b/>
          <w:noProof/>
          <w:sz w:val="24"/>
          <w:szCs w:val="24"/>
        </w:rPr>
        <w:br w:type="page"/>
        <w:t>ANNEX II: Acts that require amendments</w:t>
      </w:r>
    </w:p>
    <w:p>
      <w:pPr>
        <w:pStyle w:val="ListParagraph"/>
        <w:numPr>
          <w:ilvl w:val="0"/>
          <w:numId w:val="15"/>
        </w:numPr>
        <w:ind w:left="567"/>
        <w:jc w:val="both"/>
        <w:rPr>
          <w:rFonts w:ascii="Times New Roman" w:hAnsi="Times New Roman" w:cs="Times New Roman"/>
          <w:noProof/>
          <w:sz w:val="24"/>
          <w:szCs w:val="24"/>
        </w:rPr>
      </w:pPr>
      <w:r>
        <w:rPr>
          <w:rFonts w:ascii="Times New Roman" w:hAnsi="Times New Roman" w:cs="Times New Roman"/>
          <w:bCs/>
          <w:iCs/>
          <w:noProof/>
          <w:sz w:val="24"/>
          <w:szCs w:val="24"/>
        </w:rPr>
        <w:t>Council Framework Decision 2002/465/JHA of 13 June 2002 on joint investigation teams</w:t>
      </w:r>
      <w:r>
        <w:rPr>
          <w:rFonts w:ascii="Times New Roman" w:hAnsi="Times New Roman" w:cs="Times New Roman"/>
          <w:noProof/>
          <w:sz w:val="24"/>
          <w:szCs w:val="24"/>
          <w:vertAlign w:val="superscript"/>
        </w:rPr>
        <w:footnoteReference w:id="20"/>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noProof/>
          <w:sz w:val="24"/>
          <w:szCs w:val="24"/>
        </w:rPr>
      </w:pPr>
      <w:r>
        <w:rPr>
          <w:rFonts w:ascii="Times New Roman" w:hAnsi="Times New Roman" w:cs="Times New Roman"/>
          <w:noProof/>
          <w:sz w:val="24"/>
          <w:szCs w:val="24"/>
        </w:rPr>
        <w:t>Council Decision 2005/671/JHA of 20 September 2005 on the exchange of information and cooperation concerning terrorist offences</w:t>
      </w:r>
      <w:r>
        <w:rPr>
          <w:rFonts w:ascii="Times New Roman" w:hAnsi="Times New Roman" w:cs="Times New Roman"/>
          <w:noProof/>
          <w:sz w:val="24"/>
          <w:szCs w:val="24"/>
          <w:vertAlign w:val="superscript"/>
        </w:rPr>
        <w:footnoteReference w:id="21"/>
      </w:r>
      <w:r>
        <w:rPr>
          <w:rFonts w:ascii="Times New Roman" w:hAnsi="Times New Roman" w:cs="Times New Roman"/>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 xml:space="preserve">Council </w:t>
      </w:r>
      <w:r>
        <w:rPr>
          <w:rFonts w:ascii="Times New Roman" w:hAnsi="Times New Roman" w:cs="Times New Roman"/>
          <w:bCs/>
          <w:iCs/>
          <w:noProof/>
          <w:vanish/>
          <w:sz w:val="24"/>
          <w:szCs w:val="24"/>
          <w:lang w:val="en"/>
        </w:rPr>
        <w:t>Framework</w:t>
      </w:r>
      <w:r>
        <w:rPr>
          <w:rFonts w:ascii="Times New Roman" w:hAnsi="Times New Roman" w:cs="Times New Roman"/>
          <w:bCs/>
          <w:iCs/>
          <w:noProof/>
          <w:sz w:val="24"/>
          <w:szCs w:val="24"/>
        </w:rPr>
        <w:t xml:space="preserve"> Decision 2006/960/JHA of 18 December 2006 on simplifying the exchange of information and intelligence between law enforcement authorities of the Member States of the European Union</w:t>
      </w:r>
      <w:r>
        <w:rPr>
          <w:rFonts w:ascii="Times New Roman" w:hAnsi="Times New Roman" w:cs="Times New Roman"/>
          <w:noProof/>
          <w:sz w:val="24"/>
          <w:szCs w:val="24"/>
          <w:vertAlign w:val="superscript"/>
        </w:rPr>
        <w:footnoteReference w:id="22"/>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 xml:space="preserve">Council Decision 2007/845/JHA of 6 December 2007 concerning cooperation </w:t>
      </w:r>
      <w:r>
        <w:rPr>
          <w:rFonts w:ascii="Times New Roman" w:hAnsi="Times New Roman" w:cs="Times New Roman"/>
          <w:noProof/>
          <w:sz w:val="24"/>
          <w:szCs w:val="24"/>
        </w:rPr>
        <w:t>between</w:t>
      </w:r>
      <w:r>
        <w:rPr>
          <w:rFonts w:ascii="Times New Roman" w:hAnsi="Times New Roman" w:cs="Times New Roman"/>
          <w:bCs/>
          <w:iCs/>
          <w:noProof/>
          <w:sz w:val="24"/>
          <w:szCs w:val="24"/>
        </w:rPr>
        <w:t xml:space="preserve"> Asset Recovery Offices of the Member States in the field of tracing and identification of proceeds from, or other property related to, crime obliges Member States to set up the  Asset Recovery Office and provide for the framework for the exchange of data between the Member States’ Asset Recovery Offices</w:t>
      </w:r>
      <w:r>
        <w:rPr>
          <w:rFonts w:ascii="Times New Roman" w:hAnsi="Times New Roman" w:cs="Times New Roman"/>
          <w:noProof/>
          <w:sz w:val="24"/>
          <w:szCs w:val="24"/>
          <w:vertAlign w:val="superscript"/>
        </w:rPr>
        <w:footnoteReference w:id="23"/>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 xml:space="preserve">Council Decision 2008/615/JHA of 23 June 2008 on the stepping up of cross-border cooperation, particularly in combating </w:t>
      </w:r>
      <w:r>
        <w:rPr>
          <w:rFonts w:ascii="Times New Roman" w:hAnsi="Times New Roman" w:cs="Times New Roman"/>
          <w:bCs/>
          <w:iCs/>
          <w:noProof/>
          <w:sz w:val="24"/>
          <w:szCs w:val="24"/>
          <w:lang w:val="en"/>
        </w:rPr>
        <w:t xml:space="preserve">terrorism and </w:t>
      </w:r>
      <w:r>
        <w:rPr>
          <w:rFonts w:ascii="Times New Roman" w:hAnsi="Times New Roman" w:cs="Times New Roman"/>
          <w:bCs/>
          <w:iCs/>
          <w:noProof/>
          <w:sz w:val="24"/>
          <w:szCs w:val="24"/>
        </w:rPr>
        <w:t>cross</w:t>
      </w:r>
      <w:r>
        <w:rPr>
          <w:rFonts w:ascii="Times New Roman" w:hAnsi="Times New Roman" w:cs="Times New Roman"/>
          <w:bCs/>
          <w:iCs/>
          <w:noProof/>
          <w:sz w:val="24"/>
          <w:szCs w:val="24"/>
          <w:lang w:val="en"/>
        </w:rPr>
        <w:t>-border crime</w:t>
      </w:r>
      <w:r>
        <w:rPr>
          <w:rFonts w:ascii="Times New Roman" w:hAnsi="Times New Roman" w:cs="Times New Roman"/>
          <w:noProof/>
          <w:sz w:val="24"/>
          <w:szCs w:val="24"/>
          <w:vertAlign w:val="superscript"/>
        </w:rPr>
        <w:footnoteReference w:id="24"/>
      </w:r>
      <w:r>
        <w:rPr>
          <w:rFonts w:ascii="Times New Roman" w:hAnsi="Times New Roman" w:cs="Times New Roman"/>
          <w:bCs/>
          <w:iCs/>
          <w:noProof/>
          <w:sz w:val="24"/>
          <w:szCs w:val="24"/>
        </w:rPr>
        <w:t xml:space="preserve"> and </w:t>
      </w:r>
      <w:r>
        <w:rPr>
          <w:rFonts w:ascii="Times New Roman" w:hAnsi="Times New Roman" w:cs="Times New Roman"/>
          <w:bCs/>
          <w:iCs/>
          <w:noProof/>
          <w:sz w:val="24"/>
          <w:szCs w:val="24"/>
          <w:lang w:val="en"/>
        </w:rPr>
        <w:t xml:space="preserve">Council Decision 2008/616/JHA of 23 June 2008 on the implementation of Decision 2008/615/JHA on the stepping up of cross-border cooperation, particularly in combating terrorism and cross-border </w:t>
      </w:r>
      <w:r>
        <w:rPr>
          <w:rFonts w:ascii="Times New Roman" w:hAnsi="Times New Roman" w:cs="Times New Roman"/>
          <w:bCs/>
          <w:iCs/>
          <w:noProof/>
          <w:sz w:val="24"/>
          <w:szCs w:val="24"/>
        </w:rPr>
        <w:t>crime</w:t>
      </w:r>
      <w:r>
        <w:rPr>
          <w:rFonts w:ascii="Times New Roman" w:hAnsi="Times New Roman" w:cs="Times New Roman"/>
          <w:noProof/>
          <w:sz w:val="24"/>
          <w:szCs w:val="24"/>
          <w:vertAlign w:val="superscript"/>
        </w:rPr>
        <w:footnoteReference w:id="25"/>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Council Decision 2009/917/JHA of 30 November 2009 on the use of information technology for customs purposes</w:t>
      </w:r>
      <w:r>
        <w:rPr>
          <w:rFonts w:ascii="Times New Roman" w:hAnsi="Times New Roman" w:cs="Times New Roman"/>
          <w:noProof/>
          <w:sz w:val="24"/>
          <w:szCs w:val="24"/>
          <w:vertAlign w:val="superscript"/>
        </w:rPr>
        <w:footnoteReference w:id="26"/>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Agreement between the European Union and Japan on mutual legal assistance in criminal matters</w:t>
      </w:r>
      <w:r>
        <w:rPr>
          <w:rFonts w:ascii="Times New Roman" w:hAnsi="Times New Roman" w:cs="Times New Roman"/>
          <w:noProof/>
          <w:sz w:val="24"/>
          <w:szCs w:val="24"/>
          <w:vertAlign w:val="superscript"/>
        </w:rPr>
        <w:footnoteReference w:id="27"/>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Directive 2014/41/EU of the European Parliament and of the Council of 3 April 2014 regarding the European Investigation Order in criminal matters</w:t>
      </w:r>
      <w:r>
        <w:rPr>
          <w:rFonts w:ascii="Times New Roman" w:hAnsi="Times New Roman" w:cs="Times New Roman"/>
          <w:noProof/>
          <w:sz w:val="24"/>
          <w:szCs w:val="24"/>
          <w:vertAlign w:val="superscript"/>
        </w:rPr>
        <w:footnoteReference w:id="28"/>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Directive (EU) 2015/413 of the European Parliament and of the Council of 11 March 2015 facilitating cross-border exchange of information on road-safety-related traffic offences</w:t>
      </w:r>
      <w:r>
        <w:rPr>
          <w:rFonts w:ascii="Times New Roman" w:hAnsi="Times New Roman" w:cs="Times New Roman"/>
          <w:noProof/>
          <w:sz w:val="24"/>
          <w:szCs w:val="24"/>
          <w:vertAlign w:val="superscript"/>
        </w:rPr>
        <w:footnoteReference w:id="29"/>
      </w:r>
      <w:r>
        <w:rPr>
          <w:rFonts w:ascii="Times New Roman" w:hAnsi="Times New Roman" w:cs="Times New Roman"/>
          <w:bCs/>
          <w:iCs/>
          <w:noProof/>
          <w:sz w:val="24"/>
          <w:szCs w:val="24"/>
        </w:rPr>
        <w:t>;</w:t>
      </w:r>
    </w:p>
    <w:p>
      <w:pPr>
        <w:pStyle w:val="ListParagraph"/>
        <w:numPr>
          <w:ilvl w:val="0"/>
          <w:numId w:val="15"/>
        </w:numPr>
        <w:ind w:left="567"/>
        <w:jc w:val="both"/>
        <w:rPr>
          <w:rFonts w:ascii="Times New Roman" w:hAnsi="Times New Roman" w:cs="Times New Roman"/>
          <w:bCs/>
          <w:iCs/>
          <w:noProof/>
          <w:sz w:val="24"/>
          <w:szCs w:val="24"/>
        </w:rPr>
      </w:pPr>
      <w:r>
        <w:rPr>
          <w:rFonts w:ascii="Times New Roman" w:hAnsi="Times New Roman" w:cs="Times New Roman"/>
          <w:bCs/>
          <w:iCs/>
          <w:noProof/>
          <w:sz w:val="24"/>
          <w:szCs w:val="24"/>
        </w:rPr>
        <w:t xml:space="preserve">Directive (EU) </w:t>
      </w:r>
      <w:r>
        <w:rPr>
          <w:rFonts w:ascii="Times New Roman" w:hAnsi="Times New Roman" w:cs="Times New Roman"/>
          <w:bCs/>
          <w:iCs/>
          <w:noProof/>
          <w:sz w:val="24"/>
          <w:szCs w:val="24"/>
          <w:lang w:val="en"/>
        </w:rPr>
        <w:t>2016</w:t>
      </w:r>
      <w:r>
        <w:rPr>
          <w:rFonts w:ascii="Times New Roman" w:hAnsi="Times New Roman" w:cs="Times New Roman"/>
          <w:bCs/>
          <w:iCs/>
          <w:noProof/>
          <w:sz w:val="24"/>
          <w:szCs w:val="24"/>
        </w:rPr>
        <w:t>/681 of the European Parliament and of the Council of 27 April 2016 on the use of passenger name record (PNR) data for the prevention, detection, investigation and prosecution of terrorist offences and serious crime</w:t>
      </w:r>
      <w:r>
        <w:rPr>
          <w:rFonts w:ascii="Times New Roman" w:hAnsi="Times New Roman" w:cs="Times New Roman"/>
          <w:noProof/>
          <w:sz w:val="24"/>
          <w:szCs w:val="24"/>
          <w:vertAlign w:val="superscript"/>
        </w:rPr>
        <w:footnoteReference w:id="30"/>
      </w:r>
      <w:r>
        <w:rPr>
          <w:rFonts w:ascii="Times New Roman" w:hAnsi="Times New Roman" w:cs="Times New Roman"/>
          <w:bCs/>
          <w:iCs/>
          <w:noProof/>
          <w:sz w:val="24"/>
          <w:szCs w:val="24"/>
        </w:rPr>
        <w:t>.</w:t>
      </w:r>
    </w:p>
    <w:p>
      <w:pPr>
        <w:ind w:left="360"/>
        <w:jc w:val="both"/>
        <w:rPr>
          <w:rFonts w:ascii="Times New Roman" w:hAnsi="Times New Roman" w:cs="Times New Roman"/>
          <w:noProof/>
        </w:rPr>
      </w:pPr>
    </w:p>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83CC" w16cex:dateUtc="2020-04-21T12:38:00Z"/>
  <w16cex:commentExtensible w16cex:durableId="2249865E" w16cex:dateUtc="2020-04-21T12:49:00Z"/>
  <w16cex:commentExtensible w16cex:durableId="224984BB" w16cex:dateUtc="2020-04-21T12:42:00Z"/>
  <w16cex:commentExtensible w16cex:durableId="22498581" w16cex:dateUtc="2020-04-21T12:45:00Z"/>
  <w16cex:commentExtensible w16cex:durableId="224985D4" w16cex:dateUtc="2020-04-21T12:46:00Z"/>
  <w16cex:commentExtensible w16cex:durableId="224987C1" w16cex:dateUtc="2020-04-21T12:54:00Z"/>
  <w16cex:commentExtensible w16cex:durableId="224987F6" w16cex:dateUtc="2020-04-21T12:55:00Z"/>
  <w16cex:commentExtensible w16cex:durableId="2249894E" w16cex:dateUtc="2020-04-21T13:01:00Z"/>
  <w16cex:commentExtensible w16cex:durableId="22498A2D" w16cex:dateUtc="2020-04-21T13:05:00Z"/>
  <w16cex:commentExtensible w16cex:durableId="22498C78" w16cex:dateUtc="2020-04-21T13:15:00Z"/>
  <w16cex:commentExtensible w16cex:durableId="22498CA7" w16cex:dateUtc="2020-04-21T13:15:00Z"/>
  <w16cex:commentExtensible w16cex:durableId="22498CB7" w16cex:dateUtc="2020-04-21T13:16:00Z"/>
  <w16cex:commentExtensible w16cex:durableId="22498B1E" w16cex:dateUtc="2020-04-21T13:09:00Z"/>
  <w16cex:commentExtensible w16cex:durableId="22499056" w16cex:dateUtc="2020-04-21T13:31:00Z"/>
  <w16cex:commentExtensible w16cex:durableId="22499595" w16cex:dateUtc="2020-04-21T13:53:00Z"/>
  <w16cex:commentExtensible w16cex:durableId="224995C7" w16cex:dateUtc="2020-04-21T13:54:00Z"/>
  <w16cex:commentExtensible w16cex:durableId="22498E5E" w16cex:dateUtc="2020-04-21T13:23:00Z"/>
  <w16cex:commentExtensible w16cex:durableId="22499143" w16cex:dateUtc="2020-04-21T13:35:00Z"/>
  <w16cex:commentExtensible w16cex:durableId="22498FB7" w16cex:dateUtc="2020-04-21T13:28:00Z"/>
  <w16cex:commentExtensible w16cex:durableId="22499087" w16cex:dateUtc="2020-04-21T13:32:00Z"/>
  <w16cex:commentExtensible w16cex:durableId="22499215" w16cex:dateUtc="2020-04-21T13:39:00Z"/>
  <w16cex:commentExtensible w16cex:durableId="224996C2" w16cex:dateUtc="2020-04-21T13:58:00Z"/>
  <w16cex:commentExtensible w16cex:durableId="22499702" w16cex:dateUtc="2020-04-21T14:00:00Z"/>
  <w16cex:commentExtensible w16cex:durableId="22499792" w16cex:dateUtc="2020-04-21T14:02:00Z"/>
  <w16cex:commentExtensible w16cex:durableId="2249980C" w16cex:dateUtc="2020-04-21T14:04:00Z"/>
  <w16cex:commentExtensible w16cex:durableId="224998A4" w16cex:dateUtc="2020-04-21T14:07:00Z"/>
  <w16cex:commentExtensible w16cex:durableId="22499883" w16cex:dateUtc="2020-04-21T14:06:00Z"/>
  <w16cex:commentExtensible w16cex:durableId="22499945" w16cex:dateUtc="2020-04-21T14:09:00Z"/>
  <w16cex:commentExtensible w16cex:durableId="2249A0AA" w16cex:dateUtc="2020-04-21T14:41:00Z"/>
  <w16cex:commentExtensible w16cex:durableId="22499A6F" w16cex:dateUtc="2020-04-21T14:14:00Z"/>
  <w16cex:commentExtensible w16cex:durableId="22499B80" w16cex:dateUtc="2020-04-21T14:19:00Z"/>
  <w16cex:commentExtensible w16cex:durableId="22499C72" w16cex:dateUtc="2020-04-21T14:23:00Z"/>
  <w16cex:commentExtensible w16cex:durableId="22499EDE" w16cex:dateUtc="2020-04-21T14:33:00Z"/>
  <w16cex:commentExtensible w16cex:durableId="22499F68" w16cex:dateUtc="2020-04-21T14:35:00Z"/>
  <w16cex:commentExtensible w16cex:durableId="2249A1AA" w16cex:dateUtc="2020-04-21T14:45:00Z"/>
  <w16cex:commentExtensible w16cex:durableId="2249A1CA" w16cex:dateUtc="2020-04-21T14:46:00Z"/>
  <w16cex:commentExtensible w16cex:durableId="2249A339" w16cex:dateUtc="2020-04-21T14:52:00Z"/>
  <w16cex:commentExtensible w16cex:durableId="2249A353" w16cex:dateUtc="2020-04-21T14:52:00Z"/>
  <w16cex:commentExtensible w16cex:durableId="2249A566" w16cex:dateUtc="2020-04-21T15:01:00Z"/>
  <w16cex:commentExtensible w16cex:durableId="2249A50C" w16cex:dateUtc="2020-04-21T14:59:00Z"/>
  <w16cex:commentExtensible w16cex:durableId="2249A6F8" w16cex:dateUtc="2020-04-21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30FB75" w16cid:durableId="224981DF"/>
  <w16cid:commentId w16cid:paraId="3FD67A0E" w16cid:durableId="224983CC"/>
  <w16cid:commentId w16cid:paraId="26F32795" w16cid:durableId="2249865E"/>
  <w16cid:commentId w16cid:paraId="35393B71" w16cid:durableId="224984BB"/>
  <w16cid:commentId w16cid:paraId="4C358D75" w16cid:durableId="22498581"/>
  <w16cid:commentId w16cid:paraId="06908AB3" w16cid:durableId="224985D4"/>
  <w16cid:commentId w16cid:paraId="0EF826CA" w16cid:durableId="224987C1"/>
  <w16cid:commentId w16cid:paraId="35BE1771" w16cid:durableId="224987F6"/>
  <w16cid:commentId w16cid:paraId="3D4EEC45" w16cid:durableId="224981E0"/>
  <w16cid:commentId w16cid:paraId="33F47594" w16cid:durableId="224981E1"/>
  <w16cid:commentId w16cid:paraId="1E81B629" w16cid:durableId="2249894E"/>
  <w16cid:commentId w16cid:paraId="49AF33B0" w16cid:durableId="22498A2D"/>
  <w16cid:commentId w16cid:paraId="14CC36EB" w16cid:durableId="224981E2"/>
  <w16cid:commentId w16cid:paraId="34C979AC" w16cid:durableId="224981E3"/>
  <w16cid:commentId w16cid:paraId="1311AF5F" w16cid:durableId="22498C78"/>
  <w16cid:commentId w16cid:paraId="3FD2CAF7" w16cid:durableId="22498CA7"/>
  <w16cid:commentId w16cid:paraId="5AC0F25F" w16cid:durableId="22498CB7"/>
  <w16cid:commentId w16cid:paraId="6B3B03EE" w16cid:durableId="22498B1E"/>
  <w16cid:commentId w16cid:paraId="40F05F6D" w16cid:durableId="224981E4"/>
  <w16cid:commentId w16cid:paraId="7DCDB27F" w16cid:durableId="224981E5"/>
  <w16cid:commentId w16cid:paraId="2C1DEFF5" w16cid:durableId="224981E6"/>
  <w16cid:commentId w16cid:paraId="5918DBE7" w16cid:durableId="224981E7"/>
  <w16cid:commentId w16cid:paraId="78243666" w16cid:durableId="224981E8"/>
  <w16cid:commentId w16cid:paraId="762084AC" w16cid:durableId="224981E9"/>
  <w16cid:commentId w16cid:paraId="4C1A6577" w16cid:durableId="224981EA"/>
  <w16cid:commentId w16cid:paraId="607ADD1F" w16cid:durableId="22499056"/>
  <w16cid:commentId w16cid:paraId="79335811" w16cid:durableId="224981EB"/>
  <w16cid:commentId w16cid:paraId="298255CD" w16cid:durableId="224981EC"/>
  <w16cid:commentId w16cid:paraId="4F1E7AF3" w16cid:durableId="22499595"/>
  <w16cid:commentId w16cid:paraId="65533ACB" w16cid:durableId="224995C7"/>
  <w16cid:commentId w16cid:paraId="128ADC3E" w16cid:durableId="224981ED"/>
  <w16cid:commentId w16cid:paraId="0E52D645" w16cid:durableId="224981EE"/>
  <w16cid:commentId w16cid:paraId="72919A7F" w16cid:durableId="22498E5E"/>
  <w16cid:commentId w16cid:paraId="49E4E922" w16cid:durableId="224981EF"/>
  <w16cid:commentId w16cid:paraId="59C14F87" w16cid:durableId="224981F0"/>
  <w16cid:commentId w16cid:paraId="0412390C" w16cid:durableId="224981F1"/>
  <w16cid:commentId w16cid:paraId="0F476375" w16cid:durableId="224981F2"/>
  <w16cid:commentId w16cid:paraId="1CB0FC37" w16cid:durableId="224981F3"/>
  <w16cid:commentId w16cid:paraId="085D6690" w16cid:durableId="22499143"/>
  <w16cid:commentId w16cid:paraId="360F4847" w16cid:durableId="22498FB7"/>
  <w16cid:commentId w16cid:paraId="3D594F3D" w16cid:durableId="22499087"/>
  <w16cid:commentId w16cid:paraId="3DCBBECE" w16cid:durableId="224981F4"/>
  <w16cid:commentId w16cid:paraId="604B0173" w16cid:durableId="224981F5"/>
  <w16cid:commentId w16cid:paraId="7BD8388C" w16cid:durableId="22499215"/>
  <w16cid:commentId w16cid:paraId="4927858B" w16cid:durableId="224996C2"/>
  <w16cid:commentId w16cid:paraId="1B6A8A73" w16cid:durableId="224981F6"/>
  <w16cid:commentId w16cid:paraId="6CC6970A" w16cid:durableId="224981F7"/>
  <w16cid:commentId w16cid:paraId="07899D6E" w16cid:durableId="22499702"/>
  <w16cid:commentId w16cid:paraId="2DC220C7" w16cid:durableId="224981F8"/>
  <w16cid:commentId w16cid:paraId="33D951DD" w16cid:durableId="224981F9"/>
  <w16cid:commentId w16cid:paraId="3E120906" w16cid:durableId="22499792"/>
  <w16cid:commentId w16cid:paraId="04CDCE66" w16cid:durableId="224981FA"/>
  <w16cid:commentId w16cid:paraId="5D4A2BD2" w16cid:durableId="2249980C"/>
  <w16cid:commentId w16cid:paraId="719A2359" w16cid:durableId="224981FB"/>
  <w16cid:commentId w16cid:paraId="7379429B" w16cid:durableId="224981FC"/>
  <w16cid:commentId w16cid:paraId="7EC46A72" w16cid:durableId="224981FD"/>
  <w16cid:commentId w16cid:paraId="3C0578CF" w16cid:durableId="224998A4"/>
  <w16cid:commentId w16cid:paraId="1BE763AD" w16cid:durableId="22499883"/>
  <w16cid:commentId w16cid:paraId="36329F4C" w16cid:durableId="224981FE"/>
  <w16cid:commentId w16cid:paraId="20CEEE5E" w16cid:durableId="224981FF"/>
  <w16cid:commentId w16cid:paraId="4D0A4B68" w16cid:durableId="22498200"/>
  <w16cid:commentId w16cid:paraId="72B225E7" w16cid:durableId="22499945"/>
  <w16cid:commentId w16cid:paraId="769DFA5D" w16cid:durableId="22498201"/>
  <w16cid:commentId w16cid:paraId="62B315A5" w16cid:durableId="2249A0AA"/>
  <w16cid:commentId w16cid:paraId="125790F3" w16cid:durableId="22498202"/>
  <w16cid:commentId w16cid:paraId="6D6FF297" w16cid:durableId="22498203"/>
  <w16cid:commentId w16cid:paraId="3E3DFA94" w16cid:durableId="22498204"/>
  <w16cid:commentId w16cid:paraId="6DF110A2" w16cid:durableId="22499A6F"/>
  <w16cid:commentId w16cid:paraId="1CD6A2D3" w16cid:durableId="22499B80"/>
  <w16cid:commentId w16cid:paraId="5DDF2B6A" w16cid:durableId="22498205"/>
  <w16cid:commentId w16cid:paraId="3885942B" w16cid:durableId="22498206"/>
  <w16cid:commentId w16cid:paraId="2511BA0C" w16cid:durableId="22498207"/>
  <w16cid:commentId w16cid:paraId="35C2F267" w16cid:durableId="22499C72"/>
  <w16cid:commentId w16cid:paraId="16669F3D" w16cid:durableId="22498208"/>
  <w16cid:commentId w16cid:paraId="2FBF1AF8" w16cid:durableId="22498209"/>
  <w16cid:commentId w16cid:paraId="7ABAB943" w16cid:durableId="2249820A"/>
  <w16cid:commentId w16cid:paraId="59E5BCBF" w16cid:durableId="2249820B"/>
  <w16cid:commentId w16cid:paraId="2A8BC6C7" w16cid:durableId="22499EDE"/>
  <w16cid:commentId w16cid:paraId="07BD8618" w16cid:durableId="2249820C"/>
  <w16cid:commentId w16cid:paraId="0D8B6845" w16cid:durableId="2249820D"/>
  <w16cid:commentId w16cid:paraId="65150F17" w16cid:durableId="2249820E"/>
  <w16cid:commentId w16cid:paraId="10009159" w16cid:durableId="2249820F"/>
  <w16cid:commentId w16cid:paraId="3975E198" w16cid:durableId="22499F68"/>
  <w16cid:commentId w16cid:paraId="0A9CACB6" w16cid:durableId="22498210"/>
  <w16cid:commentId w16cid:paraId="6DE0CC76" w16cid:durableId="22498211"/>
  <w16cid:commentId w16cid:paraId="662BBA87" w16cid:durableId="22498212"/>
  <w16cid:commentId w16cid:paraId="586A4738" w16cid:durableId="2249A1AA"/>
  <w16cid:commentId w16cid:paraId="242D30B5" w16cid:durableId="2249A1CA"/>
  <w16cid:commentId w16cid:paraId="1D77E8DD" w16cid:durableId="22498213"/>
  <w16cid:commentId w16cid:paraId="136C6111" w16cid:durableId="22498214"/>
  <w16cid:commentId w16cid:paraId="01D1031F" w16cid:durableId="22498215"/>
  <w16cid:commentId w16cid:paraId="0C458643" w16cid:durableId="22498216"/>
  <w16cid:commentId w16cid:paraId="267954E7" w16cid:durableId="22498217"/>
  <w16cid:commentId w16cid:paraId="2A6F7D88" w16cid:durableId="22498218"/>
  <w16cid:commentId w16cid:paraId="531293AA" w16cid:durableId="22498219"/>
  <w16cid:commentId w16cid:paraId="628FDAC5" w16cid:durableId="2249A339"/>
  <w16cid:commentId w16cid:paraId="524C41BB" w16cid:durableId="2249A353"/>
  <w16cid:commentId w16cid:paraId="1BB4BA7A" w16cid:durableId="2249821A"/>
  <w16cid:commentId w16cid:paraId="1FCC9C4B" w16cid:durableId="2249821B"/>
  <w16cid:commentId w16cid:paraId="5EC29E9D" w16cid:durableId="2249821C"/>
  <w16cid:commentId w16cid:paraId="6E8FEC26" w16cid:durableId="2249A566"/>
  <w16cid:commentId w16cid:paraId="048C53CD" w16cid:durableId="2249821D"/>
  <w16cid:commentId w16cid:paraId="0C8AE7C5" w16cid:durableId="2249821E"/>
  <w16cid:commentId w16cid:paraId="28FC89AA" w16cid:durableId="2249A50C"/>
  <w16cid:commentId w16cid:paraId="70AABA5F" w16cid:durableId="2249821F"/>
  <w16cid:commentId w16cid:paraId="1C2B3907" w16cid:durableId="22498220"/>
  <w16cid:commentId w16cid:paraId="4E662D66" w16cid:durableId="22498221"/>
  <w16cid:commentId w16cid:paraId="43529A0C" w16cid:durableId="22498222"/>
  <w16cid:commentId w16cid:paraId="529AC246" w16cid:durableId="22498223"/>
  <w16cid:commentId w16cid:paraId="249F5BA8" w16cid:durableId="22498224"/>
  <w16cid:commentId w16cid:paraId="19EBA4D8" w16cid:durableId="2249A6F8"/>
  <w16cid:commentId w16cid:paraId="12E378BB" w16cid:durableId="22498225"/>
  <w16cid:commentId w16cid:paraId="1788D0C6" w16cid:durableId="22498226"/>
  <w16cid:commentId w16cid:paraId="5B199B95" w16cid:durableId="22498227"/>
  <w16cid:commentId w16cid:paraId="2DE70B9F" w16cid:durableId="22498228"/>
  <w16cid:commentId w16cid:paraId="3B92D618" w16cid:durableId="22498229"/>
  <w16cid:commentId w16cid:paraId="024E2DCA" w16cid:durableId="2249822A"/>
  <w16cid:commentId w16cid:paraId="22531EB4" w16cid:durableId="2249822B"/>
  <w16cid:commentId w16cid:paraId="4A717F3F" w16cid:durableId="224982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Style w:val="PageNumber"/>
      </w:rPr>
    </w:pPr>
  </w:p>
  <w:p>
    <w:pPr>
      <w:pStyle w:val="Footer"/>
    </w:pPr>
  </w:p>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62602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jc w:val="center"/>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426" w:hanging="426"/>
        <w:rPr>
          <w:rFonts w:ascii="Times New Roman" w:hAnsi="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rPr>
        <w:tab/>
        <w:t>OJ L 190, 18.7.2002, p. 1–20.</w:t>
      </w:r>
    </w:p>
  </w:footnote>
  <w:footnote w:id="3">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rPr>
        <w:t xml:space="preserve">OJ L </w:t>
      </w:r>
      <w:r>
        <w:rPr>
          <w:rFonts w:ascii="Times New Roman" w:hAnsi="Times New Roman" w:cs="Times New Roman"/>
        </w:rPr>
        <w:t>196</w:t>
      </w:r>
      <w:r>
        <w:rPr>
          <w:rFonts w:ascii="Times New Roman" w:hAnsi="Times New Roman" w:cs="Times New Roman"/>
          <w:bCs/>
        </w:rPr>
        <w:t>, 2.8.2003, p. 45–55.</w:t>
      </w:r>
    </w:p>
  </w:footnote>
  <w:footnote w:id="4">
    <w:p>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pl-PL"/>
        </w:rPr>
        <w:tab/>
      </w:r>
      <w:r>
        <w:rPr>
          <w:rFonts w:ascii="Times New Roman" w:hAnsi="Times New Roman" w:cs="Times New Roman"/>
          <w:iCs/>
        </w:rPr>
        <w:t>OJ L 27, 29.1.2005, p. 61–62</w:t>
      </w:r>
      <w:r>
        <w:rPr>
          <w:rFonts w:ascii="Times New Roman" w:hAnsi="Times New Roman" w:cs="Times New Roman"/>
        </w:rPr>
        <w:t xml:space="preserve">. </w:t>
      </w:r>
    </w:p>
  </w:footnote>
  <w:footnote w:id="5">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76, 22.3.2005, p. 16–30.</w:t>
      </w:r>
    </w:p>
  </w:footnote>
  <w:footnote w:id="6">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bCs/>
          <w:lang w:val="pl-PL"/>
        </w:rPr>
        <w:t xml:space="preserve">OJ L </w:t>
      </w:r>
      <w:r>
        <w:rPr>
          <w:rFonts w:ascii="Times New Roman" w:hAnsi="Times New Roman" w:cs="Times New Roman"/>
          <w:lang w:val="pl-PL"/>
        </w:rPr>
        <w:t>328</w:t>
      </w:r>
      <w:r>
        <w:rPr>
          <w:rFonts w:ascii="Times New Roman" w:hAnsi="Times New Roman" w:cs="Times New Roman"/>
          <w:bCs/>
          <w:lang w:val="pl-PL"/>
        </w:rPr>
        <w:t>, 24.11.2006, p. 59–78.</w:t>
      </w:r>
    </w:p>
  </w:footnote>
  <w:footnote w:id="7">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t>OJ L 337, 16.12.2008, p. 102–122.</w:t>
      </w:r>
    </w:p>
  </w:footnote>
  <w:footnote w:id="8">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t>OJ L 327, 5.12.2008, p. 27–46.</w:t>
      </w:r>
    </w:p>
  </w:footnote>
  <w:footnote w:id="9">
    <w:p>
      <w:pPr>
        <w:pStyle w:val="FootnoteText"/>
        <w:ind w:left="426" w:hanging="426"/>
        <w:rPr>
          <w:lang w:val="pl-PL"/>
        </w:rPr>
      </w:pPr>
      <w:r>
        <w:rPr>
          <w:rStyle w:val="FootnoteReference"/>
        </w:rPr>
        <w:footnoteRef/>
      </w:r>
      <w:r>
        <w:rPr>
          <w:lang w:val="pl-PL"/>
        </w:rPr>
        <w:t xml:space="preserve"> </w:t>
      </w:r>
      <w:r>
        <w:rPr>
          <w:lang w:val="pl-PL"/>
        </w:rPr>
        <w:tab/>
      </w:r>
      <w:r>
        <w:rPr>
          <w:rFonts w:ascii="Times New Roman" w:hAnsi="Times New Roman" w:cs="Times New Roman"/>
          <w:lang w:val="pl-PL"/>
        </w:rPr>
        <w:t>OJ L 294, 11.11.2009, p. 20–40.</w:t>
      </w:r>
    </w:p>
  </w:footnote>
  <w:footnote w:id="10">
    <w:p>
      <w:pPr>
        <w:pStyle w:val="FootnoteText"/>
        <w:ind w:left="426" w:hanging="426"/>
        <w:rPr>
          <w:lang w:val="pl-PL"/>
        </w:rPr>
      </w:pPr>
      <w:r>
        <w:rPr>
          <w:rStyle w:val="FootnoteReference"/>
        </w:rPr>
        <w:footnoteRef/>
      </w:r>
      <w:r>
        <w:rPr>
          <w:lang w:val="pl-PL"/>
        </w:rPr>
        <w:t xml:space="preserve"> </w:t>
      </w:r>
      <w:r>
        <w:rPr>
          <w:lang w:val="pl-PL"/>
        </w:rPr>
        <w:tab/>
      </w:r>
      <w:r>
        <w:rPr>
          <w:rFonts w:ascii="Times New Roman" w:hAnsi="Times New Roman" w:cs="Times New Roman"/>
          <w:lang w:val="pl-PL"/>
        </w:rPr>
        <w:t>OJ L 328, 15.12.2009, p. 42–47.</w:t>
      </w:r>
    </w:p>
  </w:footnote>
  <w:footnote w:id="11">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lang w:val="en-US"/>
        </w:rPr>
        <w:t>OJ L 338, 21.12.2011, p. 2–18.</w:t>
      </w:r>
    </w:p>
  </w:footnote>
  <w:footnote w:id="12">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218, 13.8.2008, p. 129–136.</w:t>
      </w:r>
    </w:p>
  </w:footnote>
  <w:footnote w:id="13">
    <w:p>
      <w:pPr>
        <w:pStyle w:val="FootnoteText"/>
        <w:ind w:left="426" w:hanging="426"/>
        <w:rPr>
          <w:lang w:val="pl-PL"/>
        </w:rPr>
      </w:pPr>
      <w:r>
        <w:rPr>
          <w:rStyle w:val="FootnoteReference"/>
        </w:rPr>
        <w:footnoteRef/>
      </w:r>
      <w:r>
        <w:rPr>
          <w:lang w:val="pl-PL"/>
        </w:rPr>
        <w:t xml:space="preserve"> </w:t>
      </w:r>
      <w:r>
        <w:rPr>
          <w:lang w:val="pl-PL"/>
        </w:rPr>
        <w:tab/>
      </w:r>
      <w:r>
        <w:rPr>
          <w:rFonts w:ascii="Times New Roman" w:hAnsi="Times New Roman" w:cs="Times New Roman"/>
          <w:lang w:val="pl-PL"/>
        </w:rPr>
        <w:t>COM(2018) 302 final.</w:t>
      </w:r>
    </w:p>
  </w:footnote>
  <w:footnote w:id="14">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180, 29.6.2013, p. 31–59.</w:t>
      </w:r>
    </w:p>
  </w:footnote>
  <w:footnote w:id="15">
    <w:p>
      <w:pPr>
        <w:pStyle w:val="FootnoteText"/>
        <w:ind w:left="426" w:hanging="426"/>
        <w:rPr>
          <w:lang w:val="pl-PL"/>
        </w:rPr>
      </w:pPr>
      <w:r>
        <w:rPr>
          <w:rStyle w:val="FootnoteReference"/>
        </w:rPr>
        <w:footnoteRef/>
      </w:r>
      <w:r>
        <w:rPr>
          <w:lang w:val="pl-PL"/>
        </w:rPr>
        <w:t xml:space="preserve"> </w:t>
      </w:r>
      <w:r>
        <w:rPr>
          <w:lang w:val="pl-PL"/>
        </w:rPr>
        <w:tab/>
      </w:r>
      <w:r>
        <w:rPr>
          <w:rFonts w:ascii="Times New Roman" w:hAnsi="Times New Roman"/>
          <w:lang w:val="pl-PL"/>
        </w:rPr>
        <w:t>COM/2016/0272 final - 2016/0132 (COD).</w:t>
      </w:r>
    </w:p>
  </w:footnote>
  <w:footnote w:id="16">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ab/>
      </w:r>
      <w:r>
        <w:rPr>
          <w:rFonts w:ascii="Times New Roman" w:hAnsi="Times New Roman" w:cs="Times New Roman"/>
          <w:iCs/>
          <w:lang w:val="pl-PL" w:eastAsia="en-GB"/>
        </w:rPr>
        <w:t>OJ C 24, 23.1.1998, p. 2–22.</w:t>
      </w:r>
    </w:p>
  </w:footnote>
  <w:footnote w:id="17">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ab/>
      </w:r>
      <w:r>
        <w:rPr>
          <w:rFonts w:ascii="Times New Roman" w:hAnsi="Times New Roman" w:cs="Times New Roman"/>
          <w:iCs/>
          <w:lang w:val="pl-PL" w:eastAsia="en-GB"/>
        </w:rPr>
        <w:t>OJ C 197, 12.7.2000, p. 1–2.</w:t>
      </w:r>
    </w:p>
  </w:footnote>
  <w:footnote w:id="18">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bCs/>
          <w:iCs/>
          <w:lang w:val="pl-PL"/>
        </w:rPr>
        <w:t>OJ L 26, 29.1.2004, p. 3–9.</w:t>
      </w:r>
    </w:p>
  </w:footnote>
  <w:footnote w:id="19">
    <w:p>
      <w:pPr>
        <w:pStyle w:val="FootnoteText"/>
        <w:ind w:left="426" w:hanging="426"/>
        <w:jc w:val="both"/>
        <w:rPr>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bCs/>
          <w:iCs/>
          <w:lang w:val="pl-PL"/>
        </w:rPr>
        <w:t>OJ L 181, 19.7.2003, p. 34–42.</w:t>
      </w:r>
    </w:p>
  </w:footnote>
  <w:footnote w:id="20">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162, 20.6.2002, p. 1–3.</w:t>
      </w:r>
    </w:p>
  </w:footnote>
  <w:footnote w:id="21">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253, 29.9.2005, p. 22–24.</w:t>
      </w:r>
    </w:p>
  </w:footnote>
  <w:footnote w:id="22">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bCs/>
          <w:iCs/>
          <w:lang w:val="pl-PL"/>
        </w:rPr>
        <w:t>OJ L 386, 29.12.2006, p. 89–100</w:t>
      </w:r>
      <w:r>
        <w:rPr>
          <w:rFonts w:ascii="Times New Roman" w:hAnsi="Times New Roman" w:cs="Times New Roman"/>
          <w:bCs/>
          <w:lang w:val="pl-PL"/>
        </w:rPr>
        <w:t>.</w:t>
      </w:r>
    </w:p>
  </w:footnote>
  <w:footnote w:id="23">
    <w:p>
      <w:pPr>
        <w:pStyle w:val="FootnoteText"/>
        <w:ind w:left="426" w:hanging="426"/>
        <w:jc w:val="both"/>
        <w:rPr>
          <w:rFonts w:ascii="Times New Roman" w:hAnsi="Times New Roman" w:cs="Times New Roman"/>
          <w:iCs/>
          <w:lang w:val="pl-PL"/>
        </w:rPr>
      </w:pPr>
      <w:r>
        <w:rPr>
          <w:rStyle w:val="FootnoteReference"/>
        </w:rPr>
        <w:footnoteRef/>
      </w:r>
      <w:r>
        <w:rPr>
          <w:lang w:val="pl-PL"/>
        </w:rPr>
        <w:t xml:space="preserve"> </w:t>
      </w:r>
      <w:r>
        <w:rPr>
          <w:lang w:val="pl-PL"/>
        </w:rPr>
        <w:tab/>
      </w:r>
      <w:r>
        <w:rPr>
          <w:rFonts w:ascii="Times New Roman" w:hAnsi="Times New Roman" w:cs="Times New Roman"/>
          <w:iCs/>
          <w:lang w:val="pl-PL"/>
        </w:rPr>
        <w:t xml:space="preserve">OJ L 332, 18.12.2007, p. 103–105. </w:t>
      </w:r>
    </w:p>
  </w:footnote>
  <w:footnote w:id="24">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210, 6.8.2008, p. 1–11.</w:t>
      </w:r>
    </w:p>
  </w:footnote>
  <w:footnote w:id="25">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bCs/>
          <w:iCs/>
          <w:lang w:val="pl-PL"/>
        </w:rPr>
        <w:t>OJ L 210, 6.8.2008, p. 12–72.</w:t>
      </w:r>
    </w:p>
  </w:footnote>
  <w:footnote w:id="26">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323, 10.12.2009, p. 20–30.</w:t>
      </w:r>
    </w:p>
  </w:footnote>
  <w:footnote w:id="27">
    <w:p>
      <w:pPr>
        <w:pStyle w:val="FootnoteText"/>
        <w:ind w:left="426" w:hanging="426"/>
        <w:rPr>
          <w:lang w:val="pl-PL"/>
        </w:rPr>
      </w:pPr>
      <w:r>
        <w:rPr>
          <w:rStyle w:val="FootnoteReference"/>
        </w:rPr>
        <w:footnoteRef/>
      </w:r>
      <w:r>
        <w:rPr>
          <w:lang w:val="pl-PL"/>
        </w:rPr>
        <w:t xml:space="preserve"> </w:t>
      </w:r>
      <w:r>
        <w:rPr>
          <w:lang w:val="pl-PL"/>
        </w:rPr>
        <w:tab/>
      </w:r>
      <w:r>
        <w:rPr>
          <w:rFonts w:ascii="Times New Roman" w:hAnsi="Times New Roman" w:cs="Times New Roman"/>
          <w:iCs/>
          <w:lang w:val="pl-PL"/>
        </w:rPr>
        <w:t>OJ L 39, 12.2.2010, p. 20–35.</w:t>
      </w:r>
    </w:p>
  </w:footnote>
  <w:footnote w:id="28">
    <w:p>
      <w:pPr>
        <w:pStyle w:val="FootnoteText"/>
        <w:ind w:left="426" w:hanging="426"/>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 xml:space="preserve"> </w:t>
      </w:r>
      <w:r>
        <w:rPr>
          <w:rFonts w:ascii="Times New Roman" w:hAnsi="Times New Roman" w:cs="Times New Roman"/>
          <w:lang w:val="pl-PL"/>
        </w:rPr>
        <w:tab/>
      </w:r>
      <w:r>
        <w:rPr>
          <w:rFonts w:ascii="Times New Roman" w:hAnsi="Times New Roman" w:cs="Times New Roman"/>
          <w:iCs/>
          <w:lang w:val="pl-PL"/>
        </w:rPr>
        <w:t>OJ L 130, 1.5.2014, p. 1–36.</w:t>
      </w:r>
    </w:p>
  </w:footnote>
  <w:footnote w:id="29">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ab/>
      </w:r>
      <w:r>
        <w:rPr>
          <w:rFonts w:ascii="Times New Roman" w:hAnsi="Times New Roman" w:cs="Times New Roman"/>
          <w:iCs/>
          <w:lang w:val="pl-PL"/>
        </w:rPr>
        <w:t>OJ L 68, 13.3.2015, p. 9–25.</w:t>
      </w:r>
      <w:r>
        <w:rPr>
          <w:rFonts w:ascii="Times New Roman" w:hAnsi="Times New Roman" w:cs="Times New Roman"/>
          <w:lang w:val="pl-PL"/>
        </w:rPr>
        <w:t xml:space="preserve"> </w:t>
      </w:r>
    </w:p>
  </w:footnote>
  <w:footnote w:id="30">
    <w:p>
      <w:pPr>
        <w:pStyle w:val="FootnoteText"/>
        <w:ind w:left="426" w:hanging="426"/>
        <w:jc w:val="both"/>
        <w:rPr>
          <w:rFonts w:ascii="Times New Roman" w:hAnsi="Times New Roman" w:cs="Times New Roman"/>
          <w:lang w:val="pl-PL"/>
        </w:rPr>
      </w:pPr>
      <w:r>
        <w:rPr>
          <w:rStyle w:val="FootnoteReference"/>
          <w:rFonts w:ascii="Times New Roman" w:hAnsi="Times New Roman" w:cs="Times New Roman"/>
        </w:rPr>
        <w:footnoteRef/>
      </w:r>
      <w:r>
        <w:rPr>
          <w:rFonts w:ascii="Times New Roman" w:hAnsi="Times New Roman" w:cs="Times New Roman"/>
          <w:lang w:val="pl-PL"/>
        </w:rPr>
        <w:tab/>
      </w:r>
      <w:r>
        <w:rPr>
          <w:rFonts w:ascii="Times New Roman" w:hAnsi="Times New Roman" w:cs="Times New Roman"/>
          <w:iCs/>
          <w:lang w:val="pl-PL"/>
        </w:rPr>
        <w:t>OJ L 119, 4.5.2016, p. 132–149.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CE0EE82"/>
    <w:lvl w:ilvl="0">
      <w:start w:val="1"/>
      <w:numFmt w:val="decimal"/>
      <w:pStyle w:val="ListNumber"/>
      <w:lvlText w:val="%1."/>
      <w:lvlJc w:val="left"/>
      <w:pPr>
        <w:tabs>
          <w:tab w:val="num" w:pos="360"/>
        </w:tabs>
        <w:ind w:left="360" w:hanging="360"/>
      </w:pPr>
    </w:lvl>
  </w:abstractNum>
  <w:abstractNum w:abstractNumId="1">
    <w:nsid w:val="FFFFFF89"/>
    <w:multiLevelType w:val="singleLevel"/>
    <w:tmpl w:val="1F4C198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833FA9"/>
    <w:multiLevelType w:val="hybridMultilevel"/>
    <w:tmpl w:val="F4A2AD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A60983"/>
    <w:multiLevelType w:val="hybridMultilevel"/>
    <w:tmpl w:val="F384B11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3BE5104"/>
    <w:multiLevelType w:val="hybridMultilevel"/>
    <w:tmpl w:val="42EA97B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5">
    <w:nsid w:val="0AA6317A"/>
    <w:multiLevelType w:val="hybridMultilevel"/>
    <w:tmpl w:val="9D184D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84069B"/>
    <w:multiLevelType w:val="hybridMultilevel"/>
    <w:tmpl w:val="05DE7F52"/>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0F6E2A32"/>
    <w:multiLevelType w:val="hybridMultilevel"/>
    <w:tmpl w:val="EA929CAA"/>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0F9E5189"/>
    <w:multiLevelType w:val="hybridMultilevel"/>
    <w:tmpl w:val="9B1CF5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nsid w:val="1221306F"/>
    <w:multiLevelType w:val="hybridMultilevel"/>
    <w:tmpl w:val="C70A5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274CF1"/>
    <w:multiLevelType w:val="hybridMultilevel"/>
    <w:tmpl w:val="1E9C8D04"/>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59D6FEA"/>
    <w:multiLevelType w:val="hybridMultilevel"/>
    <w:tmpl w:val="1BB07C34"/>
    <w:lvl w:ilvl="0" w:tplc="D8165512">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2">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nsid w:val="2F0A447E"/>
    <w:multiLevelType w:val="hybridMultilevel"/>
    <w:tmpl w:val="ADAAC778"/>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59B145A"/>
    <w:multiLevelType w:val="hybridMultilevel"/>
    <w:tmpl w:val="CC08EFA2"/>
    <w:lvl w:ilvl="0" w:tplc="040C0011">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C643927"/>
    <w:multiLevelType w:val="hybridMultilevel"/>
    <w:tmpl w:val="A86CC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D223DB1"/>
    <w:multiLevelType w:val="hybridMultilevel"/>
    <w:tmpl w:val="DD0A513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DEF7576"/>
    <w:multiLevelType w:val="hybridMultilevel"/>
    <w:tmpl w:val="8F58A5B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5F4535C4"/>
    <w:multiLevelType w:val="hybridMultilevel"/>
    <w:tmpl w:val="F384B118"/>
    <w:lvl w:ilvl="0" w:tplc="0809000F">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0">
    <w:nsid w:val="60AC0270"/>
    <w:multiLevelType w:val="hybridMultilevel"/>
    <w:tmpl w:val="74C67254"/>
    <w:lvl w:ilvl="0" w:tplc="040C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1EC6B95"/>
    <w:multiLevelType w:val="hybridMultilevel"/>
    <w:tmpl w:val="C6426FA2"/>
    <w:lvl w:ilvl="0" w:tplc="FB1C06D0">
      <w:numFmt w:val="bullet"/>
      <w:lvlText w:val="-"/>
      <w:lvlJc w:val="left"/>
      <w:pPr>
        <w:ind w:left="785" w:hanging="360"/>
      </w:pPr>
      <w:rPr>
        <w:rFonts w:ascii="Times New Roman" w:eastAsia="Times New Roman" w:hAnsi="Times New Roman"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2">
    <w:nsid w:val="65A36FB0"/>
    <w:multiLevelType w:val="hybridMultilevel"/>
    <w:tmpl w:val="1B4C8042"/>
    <w:lvl w:ilvl="0" w:tplc="CF023878">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BE0995"/>
    <w:multiLevelType w:val="hybridMultilevel"/>
    <w:tmpl w:val="B3F2D50C"/>
    <w:lvl w:ilvl="0" w:tplc="0809000F">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abstractNumId w:val="15"/>
  </w:num>
  <w:num w:numId="2">
    <w:abstractNumId w:val="14"/>
    <w:lvlOverride w:ilvl="0">
      <w:startOverride w:val="1"/>
    </w:lvlOverride>
  </w:num>
  <w:num w:numId="3">
    <w:abstractNumId w:val="2"/>
  </w:num>
  <w:num w:numId="4">
    <w:abstractNumId w:val="0"/>
  </w:num>
  <w:num w:numId="5">
    <w:abstractNumId w:val="18"/>
  </w:num>
  <w:num w:numId="6">
    <w:abstractNumId w:val="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3"/>
  </w:num>
  <w:num w:numId="10">
    <w:abstractNumId w:val="20"/>
  </w:num>
  <w:num w:numId="11">
    <w:abstractNumId w:val="7"/>
  </w:num>
  <w:num w:numId="12">
    <w:abstractNumId w:val="1"/>
  </w:num>
  <w:num w:numId="13">
    <w:abstractNumId w:val="6"/>
  </w:num>
  <w:num w:numId="14">
    <w:abstractNumId w:val="4"/>
  </w:num>
  <w:num w:numId="15">
    <w:abstractNumId w:val="17"/>
  </w:num>
  <w:num w:numId="16">
    <w:abstractNumId w:val="19"/>
  </w:num>
  <w:num w:numId="17">
    <w:abstractNumId w:val="23"/>
  </w:num>
  <w:num w:numId="18">
    <w:abstractNumId w:val="16"/>
  </w:num>
  <w:num w:numId="19">
    <w:abstractNumId w:val="11"/>
  </w:num>
  <w:num w:numId="20">
    <w:abstractNumId w:val="12"/>
  </w:num>
  <w:num w:numId="21">
    <w:abstractNumId w:val="21"/>
  </w:num>
  <w:num w:numId="22">
    <w:abstractNumId w:val="8"/>
  </w:num>
  <w:num w:numId="23">
    <w:abstractNumId w:val="5"/>
  </w:num>
  <w:num w:numId="24">
    <w:abstractNumId w:val="9"/>
  </w:num>
  <w:num w:numId="25">
    <w:abstractNumId w:val="2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SCIBRODA Anna (JUST)">
    <w15:presenceInfo w15:providerId="AD" w15:userId="S-1-5-21-1606980848-2025429265-839522115-815136"/>
  </w15:person>
  <w15:person w15:author="MICOL Olivier (JUST)">
    <w15:presenceInfo w15:providerId="AD" w15:userId="S-1-5-21-1606980848-2025429265-839522115-515136"/>
  </w15:person>
  <w15:person w15:author="HAMELINK Florianne (JUST)">
    <w15:presenceInfo w15:providerId="AD" w15:userId="S-1-5-21-1606980848-2025429265-839522115-12127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hideGrammaticalErrors/>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1"/>
    <w:docVar w:name="LW_ANNEX_NBR_LAST" w:val="2"/>
    <w:docVar w:name="LW_ANNEX_UNIQUE" w:val="0"/>
    <w:docVar w:name="LW_CORRIGENDUM" w:val="&lt;UNUSED&gt;"/>
    <w:docVar w:name="LW_COVERPAGE_EXISTS" w:val="True"/>
    <w:docVar w:name="LW_COVERPAGE_GUID" w:val="10869867-AFD0-413E-BEC7-F5E82F30581D"/>
    <w:docVar w:name="LW_COVERPAGE_TYPE" w:val="1"/>
    <w:docVar w:name="LW_CROSSREFERENCE" w:val="&lt;UNUSED&gt;"/>
    <w:docVar w:name="LW_DocType" w:val="NORMAL"/>
    <w:docVar w:name="LW_EMISSION" w:val="24.6.2020"/>
    <w:docVar w:name="LW_EMISSION_ISODATE" w:val="2020-06-24"/>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Way forward on aligning the former third pillar acquis with data protection rules"/>
    <w:docVar w:name="LW_PART_NBR" w:val="&lt;UNUSED&gt;"/>
    <w:docVar w:name="LW_PART_NBR_TOTAL" w:val="&lt;UNUSED&gt;"/>
    <w:docVar w:name="LW_REF.INST.NEW" w:val="COM"/>
    <w:docVar w:name="LW_REF.INST.NEW_ADOPTED" w:val="final"/>
    <w:docVar w:name="LW_REF.INST.NEW_TEXT" w:val="(2020) 26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UNICATION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ageNumber">
    <w:name w:val="page number"/>
    <w:basedOn w:val="DefaultParagraphFon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ullet0">
    <w:name w:val="Bullet 0"/>
    <w:basedOn w:val="Normal"/>
    <w:pPr>
      <w:numPr>
        <w:numId w:val="2"/>
      </w:numPr>
      <w:spacing w:before="120" w:after="120" w:line="240" w:lineRule="auto"/>
      <w:jc w:val="both"/>
    </w:pPr>
    <w:rPr>
      <w:rFonts w:ascii="Times New Roman" w:hAnsi="Times New Roman" w:cs="Times New Roman"/>
      <w:sz w:val="24"/>
    </w:rPr>
  </w:style>
  <w:style w:type="character" w:customStyle="1" w:styleId="Corpsdutexte5">
    <w:name w:val="Corps du texte5"/>
    <w:uiPriority w:val="99"/>
    <w:rPr>
      <w:rFonts w:ascii="Arial" w:hAnsi="Arial" w:cs="Arial"/>
      <w:color w:val="1A171C"/>
      <w:sz w:val="16"/>
      <w:szCs w:val="16"/>
      <w:shd w:val="clear" w:color="auto" w:fill="FFFFF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pPr>
      <w:numPr>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Point0number">
    <w:name w:val="Point 0 (number)"/>
    <w:basedOn w:val="Normal"/>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7"/>
      </w:numPr>
      <w:spacing w:before="120" w:after="120" w:line="240" w:lineRule="auto"/>
      <w:jc w:val="both"/>
    </w:pPr>
    <w:rPr>
      <w:rFonts w:ascii="Times New Roman" w:hAnsi="Times New Roman" w:cs="Times New Roman"/>
      <w:sz w:val="24"/>
    </w:rPr>
  </w:style>
  <w:style w:type="paragraph" w:styleId="ListBullet">
    <w:name w:val="List Bullet"/>
    <w:basedOn w:val="Normal"/>
    <w:uiPriority w:val="99"/>
    <w:unhideWhenUsed/>
    <w:pPr>
      <w:numPr>
        <w:numId w:val="12"/>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Pr>
      <w:rFonts w:ascii="Times New Roman" w:hAnsi="Times New Roman" w:cs="Times New Roman"/>
      <w:sz w:val="24"/>
      <w:szCs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character" w:styleId="PageNumber">
    <w:name w:val="page number"/>
    <w:basedOn w:val="DefaultParagraphFon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ullet0">
    <w:name w:val="Bullet 0"/>
    <w:basedOn w:val="Normal"/>
    <w:pPr>
      <w:numPr>
        <w:numId w:val="2"/>
      </w:numPr>
      <w:spacing w:before="120" w:after="120" w:line="240" w:lineRule="auto"/>
      <w:jc w:val="both"/>
    </w:pPr>
    <w:rPr>
      <w:rFonts w:ascii="Times New Roman" w:hAnsi="Times New Roman" w:cs="Times New Roman"/>
      <w:sz w:val="24"/>
    </w:rPr>
  </w:style>
  <w:style w:type="character" w:customStyle="1" w:styleId="Corpsdutexte5">
    <w:name w:val="Corps du texte5"/>
    <w:uiPriority w:val="99"/>
    <w:rPr>
      <w:rFonts w:ascii="Arial" w:hAnsi="Arial" w:cs="Arial"/>
      <w:color w:val="1A171C"/>
      <w:sz w:val="16"/>
      <w:szCs w:val="16"/>
      <w:shd w:val="clear" w:color="auto" w:fill="FFFFFF"/>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Number">
    <w:name w:val="List Number"/>
    <w:basedOn w:val="Normal"/>
    <w:pPr>
      <w:numPr>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Point0number">
    <w:name w:val="Point 0 (number)"/>
    <w:basedOn w:val="Normal"/>
    <w:pPr>
      <w:numPr>
        <w:numId w:val="7"/>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7"/>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7"/>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7"/>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7"/>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7"/>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7"/>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7"/>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7"/>
      </w:numPr>
      <w:spacing w:before="120" w:after="120" w:line="240" w:lineRule="auto"/>
      <w:jc w:val="both"/>
    </w:pPr>
    <w:rPr>
      <w:rFonts w:ascii="Times New Roman" w:hAnsi="Times New Roman" w:cs="Times New Roman"/>
      <w:sz w:val="24"/>
    </w:rPr>
  </w:style>
  <w:style w:type="paragraph" w:styleId="ListBullet">
    <w:name w:val="List Bullet"/>
    <w:basedOn w:val="Normal"/>
    <w:uiPriority w:val="99"/>
    <w:unhideWhenUsed/>
    <w:pPr>
      <w:numPr>
        <w:numId w:val="12"/>
      </w:numPr>
      <w:contextualSpacing/>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5513">
      <w:bodyDiv w:val="1"/>
      <w:marLeft w:val="0"/>
      <w:marRight w:val="0"/>
      <w:marTop w:val="0"/>
      <w:marBottom w:val="0"/>
      <w:divBdr>
        <w:top w:val="none" w:sz="0" w:space="0" w:color="auto"/>
        <w:left w:val="none" w:sz="0" w:space="0" w:color="auto"/>
        <w:bottom w:val="none" w:sz="0" w:space="0" w:color="auto"/>
        <w:right w:val="none" w:sz="0" w:space="0" w:color="auto"/>
      </w:divBdr>
    </w:div>
    <w:div w:id="490023401">
      <w:bodyDiv w:val="1"/>
      <w:marLeft w:val="0"/>
      <w:marRight w:val="0"/>
      <w:marTop w:val="0"/>
      <w:marBottom w:val="0"/>
      <w:divBdr>
        <w:top w:val="none" w:sz="0" w:space="0" w:color="auto"/>
        <w:left w:val="none" w:sz="0" w:space="0" w:color="auto"/>
        <w:bottom w:val="none" w:sz="0" w:space="0" w:color="auto"/>
        <w:right w:val="none" w:sz="0" w:space="0" w:color="auto"/>
      </w:divBdr>
    </w:div>
    <w:div w:id="671876767">
      <w:bodyDiv w:val="1"/>
      <w:marLeft w:val="0"/>
      <w:marRight w:val="0"/>
      <w:marTop w:val="0"/>
      <w:marBottom w:val="0"/>
      <w:divBdr>
        <w:top w:val="none" w:sz="0" w:space="0" w:color="auto"/>
        <w:left w:val="none" w:sz="0" w:space="0" w:color="auto"/>
        <w:bottom w:val="none" w:sz="0" w:space="0" w:color="auto"/>
        <w:right w:val="none" w:sz="0" w:space="0" w:color="auto"/>
      </w:divBdr>
    </w:div>
    <w:div w:id="926841770">
      <w:bodyDiv w:val="1"/>
      <w:marLeft w:val="0"/>
      <w:marRight w:val="0"/>
      <w:marTop w:val="0"/>
      <w:marBottom w:val="0"/>
      <w:divBdr>
        <w:top w:val="none" w:sz="0" w:space="0" w:color="auto"/>
        <w:left w:val="none" w:sz="0" w:space="0" w:color="auto"/>
        <w:bottom w:val="none" w:sz="0" w:space="0" w:color="auto"/>
        <w:right w:val="none" w:sz="0" w:space="0" w:color="auto"/>
      </w:divBdr>
    </w:div>
    <w:div w:id="1023559111">
      <w:bodyDiv w:val="1"/>
      <w:marLeft w:val="0"/>
      <w:marRight w:val="0"/>
      <w:marTop w:val="0"/>
      <w:marBottom w:val="0"/>
      <w:divBdr>
        <w:top w:val="none" w:sz="0" w:space="0" w:color="auto"/>
        <w:left w:val="none" w:sz="0" w:space="0" w:color="auto"/>
        <w:bottom w:val="none" w:sz="0" w:space="0" w:color="auto"/>
        <w:right w:val="none" w:sz="0" w:space="0" w:color="auto"/>
      </w:divBdr>
    </w:div>
    <w:div w:id="1083259019">
      <w:bodyDiv w:val="1"/>
      <w:marLeft w:val="0"/>
      <w:marRight w:val="0"/>
      <w:marTop w:val="0"/>
      <w:marBottom w:val="0"/>
      <w:divBdr>
        <w:top w:val="none" w:sz="0" w:space="0" w:color="auto"/>
        <w:left w:val="none" w:sz="0" w:space="0" w:color="auto"/>
        <w:bottom w:val="none" w:sz="0" w:space="0" w:color="auto"/>
        <w:right w:val="none" w:sz="0" w:space="0" w:color="auto"/>
      </w:divBdr>
    </w:div>
    <w:div w:id="1237282461">
      <w:bodyDiv w:val="1"/>
      <w:marLeft w:val="0"/>
      <w:marRight w:val="0"/>
      <w:marTop w:val="0"/>
      <w:marBottom w:val="0"/>
      <w:divBdr>
        <w:top w:val="none" w:sz="0" w:space="0" w:color="auto"/>
        <w:left w:val="none" w:sz="0" w:space="0" w:color="auto"/>
        <w:bottom w:val="none" w:sz="0" w:space="0" w:color="auto"/>
        <w:right w:val="none" w:sz="0" w:space="0" w:color="auto"/>
      </w:divBdr>
    </w:div>
    <w:div w:id="1349522557">
      <w:bodyDiv w:val="1"/>
      <w:marLeft w:val="0"/>
      <w:marRight w:val="0"/>
      <w:marTop w:val="0"/>
      <w:marBottom w:val="0"/>
      <w:divBdr>
        <w:top w:val="none" w:sz="0" w:space="0" w:color="auto"/>
        <w:left w:val="none" w:sz="0" w:space="0" w:color="auto"/>
        <w:bottom w:val="none" w:sz="0" w:space="0" w:color="auto"/>
        <w:right w:val="none" w:sz="0" w:space="0" w:color="auto"/>
      </w:divBdr>
    </w:div>
    <w:div w:id="1374967067">
      <w:bodyDiv w:val="1"/>
      <w:marLeft w:val="0"/>
      <w:marRight w:val="0"/>
      <w:marTop w:val="0"/>
      <w:marBottom w:val="0"/>
      <w:divBdr>
        <w:top w:val="none" w:sz="0" w:space="0" w:color="auto"/>
        <w:left w:val="none" w:sz="0" w:space="0" w:color="auto"/>
        <w:bottom w:val="none" w:sz="0" w:space="0" w:color="auto"/>
        <w:right w:val="none" w:sz="0" w:space="0" w:color="auto"/>
      </w:divBdr>
    </w:div>
    <w:div w:id="1442146703">
      <w:bodyDiv w:val="1"/>
      <w:marLeft w:val="0"/>
      <w:marRight w:val="0"/>
      <w:marTop w:val="0"/>
      <w:marBottom w:val="0"/>
      <w:divBdr>
        <w:top w:val="none" w:sz="0" w:space="0" w:color="auto"/>
        <w:left w:val="none" w:sz="0" w:space="0" w:color="auto"/>
        <w:bottom w:val="none" w:sz="0" w:space="0" w:color="auto"/>
        <w:right w:val="none" w:sz="0" w:space="0" w:color="auto"/>
      </w:divBdr>
    </w:div>
    <w:div w:id="1579359674">
      <w:bodyDiv w:val="1"/>
      <w:marLeft w:val="0"/>
      <w:marRight w:val="0"/>
      <w:marTop w:val="0"/>
      <w:marBottom w:val="0"/>
      <w:divBdr>
        <w:top w:val="none" w:sz="0" w:space="0" w:color="auto"/>
        <w:left w:val="none" w:sz="0" w:space="0" w:color="auto"/>
        <w:bottom w:val="none" w:sz="0" w:space="0" w:color="auto"/>
        <w:right w:val="none" w:sz="0" w:space="0" w:color="auto"/>
      </w:divBdr>
    </w:div>
    <w:div w:id="1643388341">
      <w:bodyDiv w:val="1"/>
      <w:marLeft w:val="0"/>
      <w:marRight w:val="0"/>
      <w:marTop w:val="0"/>
      <w:marBottom w:val="0"/>
      <w:divBdr>
        <w:top w:val="none" w:sz="0" w:space="0" w:color="auto"/>
        <w:left w:val="none" w:sz="0" w:space="0" w:color="auto"/>
        <w:bottom w:val="none" w:sz="0" w:space="0" w:color="auto"/>
        <w:right w:val="none" w:sz="0" w:space="0" w:color="auto"/>
      </w:divBdr>
    </w:div>
    <w:div w:id="1689063776">
      <w:bodyDiv w:val="1"/>
      <w:marLeft w:val="0"/>
      <w:marRight w:val="0"/>
      <w:marTop w:val="0"/>
      <w:marBottom w:val="0"/>
      <w:divBdr>
        <w:top w:val="none" w:sz="0" w:space="0" w:color="auto"/>
        <w:left w:val="none" w:sz="0" w:space="0" w:color="auto"/>
        <w:bottom w:val="none" w:sz="0" w:space="0" w:color="auto"/>
        <w:right w:val="none" w:sz="0" w:space="0" w:color="auto"/>
      </w:divBdr>
    </w:div>
    <w:div w:id="1775128996">
      <w:bodyDiv w:val="1"/>
      <w:marLeft w:val="0"/>
      <w:marRight w:val="0"/>
      <w:marTop w:val="0"/>
      <w:marBottom w:val="0"/>
      <w:divBdr>
        <w:top w:val="none" w:sz="0" w:space="0" w:color="auto"/>
        <w:left w:val="none" w:sz="0" w:space="0" w:color="auto"/>
        <w:bottom w:val="none" w:sz="0" w:space="0" w:color="auto"/>
        <w:right w:val="none" w:sz="0" w:space="0" w:color="auto"/>
      </w:divBdr>
    </w:div>
    <w:div w:id="1786728991">
      <w:bodyDiv w:val="1"/>
      <w:marLeft w:val="0"/>
      <w:marRight w:val="0"/>
      <w:marTop w:val="0"/>
      <w:marBottom w:val="0"/>
      <w:divBdr>
        <w:top w:val="none" w:sz="0" w:space="0" w:color="auto"/>
        <w:left w:val="none" w:sz="0" w:space="0" w:color="auto"/>
        <w:bottom w:val="none" w:sz="0" w:space="0" w:color="auto"/>
        <w:right w:val="none" w:sz="0" w:space="0" w:color="auto"/>
      </w:divBdr>
    </w:div>
    <w:div w:id="1900092334">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2021812332">
      <w:bodyDiv w:val="1"/>
      <w:marLeft w:val="0"/>
      <w:marRight w:val="0"/>
      <w:marTop w:val="0"/>
      <w:marBottom w:val="0"/>
      <w:divBdr>
        <w:top w:val="none" w:sz="0" w:space="0" w:color="auto"/>
        <w:left w:val="none" w:sz="0" w:space="0" w:color="auto"/>
        <w:bottom w:val="none" w:sz="0" w:space="0" w:color="auto"/>
        <w:right w:val="none" w:sz="0" w:space="0" w:color="auto"/>
      </w:divBdr>
    </w:div>
    <w:div w:id="205384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288EB-CB6D-4708-9F35-7896959A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1066</Words>
  <Characters>5869</Characters>
  <Application>Microsoft Office Word</Application>
  <DocSecurity>0</DocSecurity>
  <Lines>102</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MOSCIBRODA Anna (JUST)</dc:creator>
  <cp:keywords/>
  <dc:description/>
  <cp:lastModifiedBy>WES PDFC Administrator</cp:lastModifiedBy>
  <cp:revision>7</cp:revision>
  <cp:lastPrinted>2020-03-05T20:03:00Z</cp:lastPrinted>
  <dcterms:created xsi:type="dcterms:W3CDTF">2020-06-19T17:19:00Z</dcterms:created>
  <dcterms:modified xsi:type="dcterms:W3CDTF">2020-06-23T18:00:00Z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2</vt:lpwstr>
  </property>
  <property fmtid="{D5CDD505-2E9C-101B-9397-08002B2CF9AE}" pid="5" name="Unique annex">
    <vt:lpwstr>0</vt:lpwstr>
  </property>
  <property fmtid="{D5CDD505-2E9C-101B-9397-08002B2CF9AE}" pid="6" name="Part">
    <vt:lpwstr>&lt;UNUSED&gt;</vt:lpwstr>
  </property>
  <property fmtid="{D5CDD505-2E9C-101B-9397-08002B2CF9AE}" pid="7" name="Total parts">
    <vt:lpwstr>&lt;UNUSED&gt;</vt:lpwstr>
  </property>
  <property fmtid="{D5CDD505-2E9C-101B-9397-08002B2CF9AE}" pid="8" name="DocStatus">
    <vt:lpwstr>Green</vt:lpwstr>
  </property>
  <property fmtid="{D5CDD505-2E9C-101B-9397-08002B2CF9AE}" pid="9" name="CPTemplateID">
    <vt:lpwstr>CP-039</vt:lpwstr>
  </property>
  <property fmtid="{D5CDD505-2E9C-101B-9397-08002B2CF9AE}" pid="10" name="Last edited using">
    <vt:lpwstr>LW 7.0, Build 20190717</vt:lpwstr>
  </property>
  <property fmtid="{D5CDD505-2E9C-101B-9397-08002B2CF9AE}" pid="11" name="Created using">
    <vt:lpwstr>LW 7.0, Build 20190717</vt:lpwstr>
  </property>
</Properties>
</file>