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131" w:rsidRDefault="00A12529">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D330689-DE40-43BA-80B5-8FADD55B1F0B" style="width:450.4pt;height:334.05pt">
            <v:imagedata r:id="rId8" o:title=""/>
          </v:shape>
        </w:pict>
      </w:r>
    </w:p>
    <w:bookmarkEnd w:id="0"/>
    <w:p w:rsidR="00534131" w:rsidRDefault="00534131">
      <w:pPr>
        <w:rPr>
          <w:noProof/>
        </w:rPr>
        <w:sectPr w:rsidR="00534131">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Start w:id="2" w:name="_Toc32444145" w:displacedByCustomXml="next"/>
    <w:bookmarkStart w:id="3" w:name="_Toc33800393" w:displacedByCustomXml="next"/>
    <w:sdt>
      <w:sdtPr>
        <w:rPr>
          <w:rFonts w:asciiTheme="minorHAnsi" w:eastAsiaTheme="minorHAnsi" w:hAnsiTheme="minorHAnsi" w:cstheme="minorBidi"/>
          <w:b w:val="0"/>
          <w:caps w:val="0"/>
          <w:noProof/>
          <w:sz w:val="22"/>
          <w:szCs w:val="22"/>
          <w:lang w:eastAsia="en-US"/>
        </w:rPr>
        <w:id w:val="-406302920"/>
        <w:docPartObj>
          <w:docPartGallery w:val="Table of Contents"/>
          <w:docPartUnique/>
        </w:docPartObj>
      </w:sdtPr>
      <w:sdtEndPr>
        <w:rPr>
          <w:bCs/>
        </w:rPr>
      </w:sdtEndPr>
      <w:sdtContent>
        <w:p w:rsidR="00534131" w:rsidRDefault="00A12529">
          <w:pPr>
            <w:pStyle w:val="TOCHeading"/>
            <w:rPr>
              <w:noProof/>
            </w:rPr>
          </w:pPr>
          <w:r>
            <w:rPr>
              <w:noProof/>
            </w:rPr>
            <w:t>СЪДЪРЖАНИЕ</w:t>
          </w:r>
        </w:p>
        <w:p w:rsidR="00534131" w:rsidRDefault="00A12529" w:rsidP="00A12529">
          <w:pPr>
            <w:pStyle w:val="TOC1"/>
            <w:ind w:right="1592"/>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43821371"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ВЪВЕДЕНИЕ</w:t>
            </w:r>
            <w:r>
              <w:rPr>
                <w:noProof/>
                <w:webHidden/>
              </w:rPr>
              <w:tab/>
            </w:r>
            <w:r>
              <w:rPr>
                <w:noProof/>
                <w:webHidden/>
              </w:rPr>
              <w:fldChar w:fldCharType="begin"/>
            </w:r>
            <w:r>
              <w:rPr>
                <w:noProof/>
                <w:webHidden/>
              </w:rPr>
              <w:instrText xml:space="preserve"> PAGEREF _Toc43821371 \h </w:instrText>
            </w:r>
            <w:r>
              <w:rPr>
                <w:noProof/>
                <w:webHidden/>
              </w:rPr>
            </w:r>
            <w:r>
              <w:rPr>
                <w:noProof/>
                <w:webHidden/>
              </w:rPr>
              <w:fldChar w:fldCharType="separate"/>
            </w:r>
            <w:r>
              <w:rPr>
                <w:noProof/>
                <w:webHidden/>
              </w:rPr>
              <w:t>2</w:t>
            </w:r>
            <w:r>
              <w:rPr>
                <w:noProof/>
                <w:webHidden/>
              </w:rPr>
              <w:fldChar w:fldCharType="end"/>
            </w:r>
          </w:hyperlink>
        </w:p>
        <w:p w:rsidR="00534131" w:rsidRDefault="00A12529" w:rsidP="00A12529">
          <w:pPr>
            <w:pStyle w:val="TOC1"/>
            <w:ind w:right="1592"/>
            <w:rPr>
              <w:rFonts w:asciiTheme="minorHAnsi" w:eastAsiaTheme="minorEastAsia" w:hAnsiTheme="minorHAnsi" w:cstheme="minorBidi"/>
              <w:caps w:val="0"/>
              <w:noProof/>
              <w:sz w:val="22"/>
              <w:szCs w:val="22"/>
              <w:lang w:val="en-US" w:eastAsia="en-US"/>
            </w:rPr>
          </w:pPr>
          <w:hyperlink w:anchor="_Toc43821372"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ДВИЖЕЩИТЕ СИЛИ НА ДЕМОГРАФСКИТЕ ПРОМЕНИ В ЕВРОПА</w:t>
            </w:r>
            <w:r>
              <w:rPr>
                <w:noProof/>
                <w:webHidden/>
              </w:rPr>
              <w:tab/>
            </w:r>
            <w:r>
              <w:rPr>
                <w:noProof/>
                <w:webHidden/>
              </w:rPr>
              <w:fldChar w:fldCharType="begin"/>
            </w:r>
            <w:r>
              <w:rPr>
                <w:noProof/>
                <w:webHidden/>
              </w:rPr>
              <w:instrText xml:space="preserve"> PAGEREF _Toc43821372 \h </w:instrText>
            </w:r>
            <w:r>
              <w:rPr>
                <w:noProof/>
                <w:webHidden/>
              </w:rPr>
            </w:r>
            <w:r>
              <w:rPr>
                <w:noProof/>
                <w:webHidden/>
              </w:rPr>
              <w:fldChar w:fldCharType="separate"/>
            </w:r>
            <w:r>
              <w:rPr>
                <w:noProof/>
                <w:webHidden/>
              </w:rPr>
              <w:t>4</w:t>
            </w:r>
            <w:r>
              <w:rPr>
                <w:noProof/>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73" w:history="1">
            <w:r>
              <w:rPr>
                <w:rStyle w:val="Hyperlink"/>
              </w:rPr>
              <w:t>2.1. ПО-ГОЛЯМА СРЕДНА ПРОДЪЛЖИТЕЛНОСТ НА ЖИВОТА</w:t>
            </w:r>
            <w:r>
              <w:rPr>
                <w:webHidden/>
              </w:rPr>
              <w:tab/>
            </w:r>
            <w:r>
              <w:rPr>
                <w:webHidden/>
              </w:rPr>
              <w:fldChar w:fldCharType="begin"/>
            </w:r>
            <w:r>
              <w:rPr>
                <w:webHidden/>
              </w:rPr>
              <w:instrText xml:space="preserve"> PAGEREF _Toc43821373 \h </w:instrText>
            </w:r>
            <w:r>
              <w:rPr>
                <w:webHidden/>
              </w:rPr>
            </w:r>
            <w:r>
              <w:rPr>
                <w:webHidden/>
              </w:rPr>
              <w:fldChar w:fldCharType="separate"/>
            </w:r>
            <w:r>
              <w:rPr>
                <w:webHidden/>
              </w:rPr>
              <w:t>4</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74" w:history="1">
            <w:r>
              <w:rPr>
                <w:rStyle w:val="Hyperlink"/>
              </w:rPr>
              <w:t>2.2. ПО-МАЛКО РОДЕНИ ДЕЦА</w:t>
            </w:r>
            <w:r>
              <w:rPr>
                <w:webHidden/>
              </w:rPr>
              <w:tab/>
            </w:r>
            <w:r>
              <w:rPr>
                <w:webHidden/>
              </w:rPr>
              <w:fldChar w:fldCharType="begin"/>
            </w:r>
            <w:r>
              <w:rPr>
                <w:webHidden/>
              </w:rPr>
              <w:instrText xml:space="preserve"> PAGEREF _Toc43821374 \h </w:instrText>
            </w:r>
            <w:r>
              <w:rPr>
                <w:webHidden/>
              </w:rPr>
            </w:r>
            <w:r>
              <w:rPr>
                <w:webHidden/>
              </w:rPr>
              <w:fldChar w:fldCharType="separate"/>
            </w:r>
            <w:r>
              <w:rPr>
                <w:webHidden/>
              </w:rPr>
              <w:t>8</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75" w:history="1">
            <w:r>
              <w:rPr>
                <w:rStyle w:val="Hyperlink"/>
              </w:rPr>
              <w:t>2.3. ЗАСТАРЯВАЩО НАСЕЛЕНИЕ</w:t>
            </w:r>
            <w:r>
              <w:rPr>
                <w:webHidden/>
              </w:rPr>
              <w:tab/>
            </w:r>
            <w:r>
              <w:rPr>
                <w:webHidden/>
              </w:rPr>
              <w:fldChar w:fldCharType="begin"/>
            </w:r>
            <w:r>
              <w:rPr>
                <w:webHidden/>
              </w:rPr>
              <w:instrText xml:space="preserve"> PAGEREF _Toc43821375 \h </w:instrText>
            </w:r>
            <w:r>
              <w:rPr>
                <w:webHidden/>
              </w:rPr>
            </w:r>
            <w:r>
              <w:rPr>
                <w:webHidden/>
              </w:rPr>
              <w:fldChar w:fldCharType="separate"/>
            </w:r>
            <w:r>
              <w:rPr>
                <w:webHidden/>
              </w:rPr>
              <w:t>10</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76" w:history="1">
            <w:r>
              <w:rPr>
                <w:rStyle w:val="Hyperlink"/>
              </w:rPr>
              <w:t>2.</w:t>
            </w:r>
            <w:r>
              <w:rPr>
                <w:rStyle w:val="Hyperlink"/>
              </w:rPr>
              <w:t>4. ПО-МАЛКИ ДОМАКИНСТВА</w:t>
            </w:r>
            <w:r>
              <w:rPr>
                <w:webHidden/>
              </w:rPr>
              <w:tab/>
            </w:r>
            <w:r>
              <w:rPr>
                <w:webHidden/>
              </w:rPr>
              <w:fldChar w:fldCharType="begin"/>
            </w:r>
            <w:r>
              <w:rPr>
                <w:webHidden/>
              </w:rPr>
              <w:instrText xml:space="preserve"> PAGEREF _Toc43821376 \h </w:instrText>
            </w:r>
            <w:r>
              <w:rPr>
                <w:webHidden/>
              </w:rPr>
            </w:r>
            <w:r>
              <w:rPr>
                <w:webHidden/>
              </w:rPr>
              <w:fldChar w:fldCharType="separate"/>
            </w:r>
            <w:r>
              <w:rPr>
                <w:webHidden/>
              </w:rPr>
              <w:t>11</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77" w:history="1">
            <w:r>
              <w:rPr>
                <w:rStyle w:val="Hyperlink"/>
              </w:rPr>
              <w:t>2.5. ПО-МОБИЛНА ЕВРОПА</w:t>
            </w:r>
            <w:r>
              <w:rPr>
                <w:webHidden/>
              </w:rPr>
              <w:tab/>
            </w:r>
            <w:r>
              <w:rPr>
                <w:webHidden/>
              </w:rPr>
              <w:fldChar w:fldCharType="begin"/>
            </w:r>
            <w:r>
              <w:rPr>
                <w:webHidden/>
              </w:rPr>
              <w:instrText xml:space="preserve"> PAGEREF _Toc43821377 \h </w:instrText>
            </w:r>
            <w:r>
              <w:rPr>
                <w:webHidden/>
              </w:rPr>
            </w:r>
            <w:r>
              <w:rPr>
                <w:webHidden/>
              </w:rPr>
              <w:fldChar w:fldCharType="separate"/>
            </w:r>
            <w:r>
              <w:rPr>
                <w:webHidden/>
              </w:rPr>
              <w:t>12</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78" w:history="1">
            <w:r>
              <w:rPr>
                <w:rStyle w:val="Hyperlink"/>
              </w:rPr>
              <w:t>2.6. ПРОМЯНА НА ЧИСЛЕНОСТТА НА НАСЕЛЕНИЕТО</w:t>
            </w:r>
            <w:r>
              <w:rPr>
                <w:webHidden/>
              </w:rPr>
              <w:tab/>
            </w:r>
            <w:r>
              <w:rPr>
                <w:webHidden/>
              </w:rPr>
              <w:fldChar w:fldCharType="begin"/>
            </w:r>
            <w:r>
              <w:rPr>
                <w:webHidden/>
              </w:rPr>
              <w:instrText xml:space="preserve"> PAGEREF _Toc43821378 \h </w:instrText>
            </w:r>
            <w:r>
              <w:rPr>
                <w:webHidden/>
              </w:rPr>
            </w:r>
            <w:r>
              <w:rPr>
                <w:webHidden/>
              </w:rPr>
              <w:fldChar w:fldCharType="separate"/>
            </w:r>
            <w:r>
              <w:rPr>
                <w:webHidden/>
              </w:rPr>
              <w:t>13</w:t>
            </w:r>
            <w:r>
              <w:rPr>
                <w:webHidden/>
              </w:rPr>
              <w:fldChar w:fldCharType="end"/>
            </w:r>
          </w:hyperlink>
        </w:p>
        <w:p w:rsidR="00534131" w:rsidRDefault="00A12529" w:rsidP="00A12529">
          <w:pPr>
            <w:pStyle w:val="TOC1"/>
            <w:ind w:right="1592"/>
            <w:rPr>
              <w:rFonts w:asciiTheme="minorHAnsi" w:eastAsiaTheme="minorEastAsia" w:hAnsiTheme="minorHAnsi" w:cstheme="minorBidi"/>
              <w:caps w:val="0"/>
              <w:noProof/>
              <w:sz w:val="22"/>
              <w:szCs w:val="22"/>
              <w:lang w:val="en-US" w:eastAsia="en-US"/>
            </w:rPr>
          </w:pPr>
          <w:hyperlink w:anchor="_Toc43821379"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 xml:space="preserve">ВЪЗДЕЙСТВИЕТО НА ДЕМОГРАФСКИТЕ ПРОМЕНИ </w:t>
            </w:r>
            <w:r>
              <w:rPr>
                <w:rStyle w:val="Hyperlink"/>
                <w:noProof/>
              </w:rPr>
              <w:t>ВЪРХУ НАШАТА СОЦИАЛНА ПАЗАРНА ИКОНОМИКА</w:t>
            </w:r>
            <w:r>
              <w:rPr>
                <w:noProof/>
                <w:webHidden/>
              </w:rPr>
              <w:tab/>
            </w:r>
            <w:r>
              <w:rPr>
                <w:noProof/>
                <w:webHidden/>
              </w:rPr>
              <w:fldChar w:fldCharType="begin"/>
            </w:r>
            <w:r>
              <w:rPr>
                <w:noProof/>
                <w:webHidden/>
              </w:rPr>
              <w:instrText xml:space="preserve"> PAGEREF _Toc43821379 \h </w:instrText>
            </w:r>
            <w:r>
              <w:rPr>
                <w:noProof/>
                <w:webHidden/>
              </w:rPr>
            </w:r>
            <w:r>
              <w:rPr>
                <w:noProof/>
                <w:webHidden/>
              </w:rPr>
              <w:fldChar w:fldCharType="separate"/>
            </w:r>
            <w:r>
              <w:rPr>
                <w:noProof/>
                <w:webHidden/>
              </w:rPr>
              <w:t>15</w:t>
            </w:r>
            <w:r>
              <w:rPr>
                <w:noProof/>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80" w:history="1">
            <w:r>
              <w:rPr>
                <w:rStyle w:val="Hyperlink"/>
              </w:rPr>
              <w:t>3.1. ХОРА, РАБОТА И УМЕНИЯ</w:t>
            </w:r>
            <w:r>
              <w:rPr>
                <w:webHidden/>
              </w:rPr>
              <w:tab/>
            </w:r>
            <w:r>
              <w:rPr>
                <w:webHidden/>
              </w:rPr>
              <w:fldChar w:fldCharType="begin"/>
            </w:r>
            <w:r>
              <w:rPr>
                <w:webHidden/>
              </w:rPr>
              <w:instrText xml:space="preserve"> PAGEREF _Toc43821380 \h </w:instrText>
            </w:r>
            <w:r>
              <w:rPr>
                <w:webHidden/>
              </w:rPr>
            </w:r>
            <w:r>
              <w:rPr>
                <w:webHidden/>
              </w:rPr>
              <w:fldChar w:fldCharType="separate"/>
            </w:r>
            <w:r>
              <w:rPr>
                <w:webHidden/>
              </w:rPr>
              <w:t>16</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81" w:history="1">
            <w:r>
              <w:rPr>
                <w:rStyle w:val="Hyperlink"/>
              </w:rPr>
              <w:t>3.1.1 ПО-ГОЛЯМ И ПО-ПРИОБЩАВАЩ ПАЗАР НА ТРУДА</w:t>
            </w:r>
            <w:r>
              <w:rPr>
                <w:webHidden/>
              </w:rPr>
              <w:tab/>
            </w:r>
            <w:r>
              <w:rPr>
                <w:webHidden/>
              </w:rPr>
              <w:fldChar w:fldCharType="begin"/>
            </w:r>
            <w:r>
              <w:rPr>
                <w:webHidden/>
              </w:rPr>
              <w:instrText xml:space="preserve"> PAGEREF _Toc43821381 \h </w:instrText>
            </w:r>
            <w:r>
              <w:rPr>
                <w:webHidden/>
              </w:rPr>
            </w:r>
            <w:r>
              <w:rPr>
                <w:webHidden/>
              </w:rPr>
              <w:fldChar w:fldCharType="separate"/>
            </w:r>
            <w:r>
              <w:rPr>
                <w:webHidden/>
              </w:rPr>
              <w:t>17</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82" w:history="1">
            <w:r>
              <w:rPr>
                <w:rStyle w:val="Hyperlink"/>
              </w:rPr>
              <w:t>3.1.2. ПОВИШАВАНЕ НА ПРОИЗВОДИТЕЛНОСТТА ЧРЕЗ УМЕНИЯ И ОБРАЗОВАНИЕ</w:t>
            </w:r>
            <w:r>
              <w:rPr>
                <w:webHidden/>
              </w:rPr>
              <w:tab/>
            </w:r>
            <w:r>
              <w:rPr>
                <w:webHidden/>
              </w:rPr>
              <w:fldChar w:fldCharType="begin"/>
            </w:r>
            <w:r>
              <w:rPr>
                <w:webHidden/>
              </w:rPr>
              <w:instrText xml:space="preserve"> PAGEREF _Toc43821382 \h </w:instrText>
            </w:r>
            <w:r>
              <w:rPr>
                <w:webHidden/>
              </w:rPr>
            </w:r>
            <w:r>
              <w:rPr>
                <w:webHidden/>
              </w:rPr>
              <w:fldChar w:fldCharType="separate"/>
            </w:r>
            <w:r>
              <w:rPr>
                <w:webHidden/>
              </w:rPr>
              <w:t>19</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83" w:history="1">
            <w:r>
              <w:rPr>
                <w:rStyle w:val="Hyperlink"/>
              </w:rPr>
              <w:t>3.2. ЗДРАВЕОПАЗВАНЕ И ДЪЛГОСРОЧНИ ГРИЖИ</w:t>
            </w:r>
            <w:r>
              <w:rPr>
                <w:webHidden/>
              </w:rPr>
              <w:tab/>
            </w:r>
            <w:r>
              <w:rPr>
                <w:webHidden/>
              </w:rPr>
              <w:fldChar w:fldCharType="begin"/>
            </w:r>
            <w:r>
              <w:rPr>
                <w:webHidden/>
              </w:rPr>
              <w:instrText xml:space="preserve"> PAGEREF _To</w:instrText>
            </w:r>
            <w:r>
              <w:rPr>
                <w:webHidden/>
              </w:rPr>
              <w:instrText xml:space="preserve">c43821383 \h </w:instrText>
            </w:r>
            <w:r>
              <w:rPr>
                <w:webHidden/>
              </w:rPr>
            </w:r>
            <w:r>
              <w:rPr>
                <w:webHidden/>
              </w:rPr>
              <w:fldChar w:fldCharType="separate"/>
            </w:r>
            <w:r>
              <w:rPr>
                <w:webHidden/>
              </w:rPr>
              <w:t>20</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84" w:history="1">
            <w:r>
              <w:rPr>
                <w:rStyle w:val="Hyperlink"/>
              </w:rPr>
              <w:t>3.3. ВЪЗДЕЙСТВИЕТО ВЪРХУ ПУБЛИЧНИТЕ БЮДЖЕТИ</w:t>
            </w:r>
            <w:r>
              <w:rPr>
                <w:webHidden/>
              </w:rPr>
              <w:tab/>
            </w:r>
            <w:r>
              <w:rPr>
                <w:webHidden/>
              </w:rPr>
              <w:fldChar w:fldCharType="begin"/>
            </w:r>
            <w:r>
              <w:rPr>
                <w:webHidden/>
              </w:rPr>
              <w:instrText xml:space="preserve"> PAGEREF _Toc43821384 \h </w:instrText>
            </w:r>
            <w:r>
              <w:rPr>
                <w:webHidden/>
              </w:rPr>
            </w:r>
            <w:r>
              <w:rPr>
                <w:webHidden/>
              </w:rPr>
              <w:fldChar w:fldCharType="separate"/>
            </w:r>
            <w:r>
              <w:rPr>
                <w:webHidden/>
              </w:rPr>
              <w:t>23</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85" w:history="1">
            <w:r>
              <w:rPr>
                <w:rStyle w:val="Hyperlink"/>
              </w:rPr>
              <w:t>3.4. РЕГИОНАЛНО И МЕСТНО ИЗМЕРЕНИЕ</w:t>
            </w:r>
            <w:r>
              <w:rPr>
                <w:webHidden/>
              </w:rPr>
              <w:tab/>
            </w:r>
            <w:r>
              <w:rPr>
                <w:webHidden/>
              </w:rPr>
              <w:fldChar w:fldCharType="begin"/>
            </w:r>
            <w:r>
              <w:rPr>
                <w:webHidden/>
              </w:rPr>
              <w:instrText xml:space="preserve"> PAGEREF _Toc43821385 \h </w:instrText>
            </w:r>
            <w:r>
              <w:rPr>
                <w:webHidden/>
              </w:rPr>
            </w:r>
            <w:r>
              <w:rPr>
                <w:webHidden/>
              </w:rPr>
              <w:fldChar w:fldCharType="separate"/>
            </w:r>
            <w:r>
              <w:rPr>
                <w:webHidden/>
              </w:rPr>
              <w:t>25</w:t>
            </w:r>
            <w:r>
              <w:rPr>
                <w:webHidden/>
              </w:rPr>
              <w:fldChar w:fldCharType="end"/>
            </w:r>
          </w:hyperlink>
        </w:p>
        <w:p w:rsidR="00534131" w:rsidRDefault="00A12529" w:rsidP="00A12529">
          <w:pPr>
            <w:pStyle w:val="TOC3"/>
            <w:ind w:left="482" w:right="1592" w:firstLine="0"/>
            <w:rPr>
              <w:rFonts w:asciiTheme="minorHAnsi" w:eastAsiaTheme="minorEastAsia" w:hAnsiTheme="minorHAnsi" w:cstheme="minorBidi"/>
              <w:noProof/>
              <w:sz w:val="22"/>
              <w:szCs w:val="22"/>
              <w:lang w:val="en-US" w:eastAsia="en-US"/>
            </w:rPr>
          </w:pPr>
          <w:hyperlink w:anchor="_Toc43821386" w:history="1">
            <w:r>
              <w:rPr>
                <w:rStyle w:val="Hyperlink"/>
                <w:noProof/>
              </w:rPr>
              <w:t>3.4.1. КАЧЕСТВО НА ЖИВОТ, ИНФРАСТРУКТУРА И ДОСТЪП ДО УСЛУГИ</w:t>
            </w:r>
            <w:r>
              <w:rPr>
                <w:noProof/>
                <w:webHidden/>
              </w:rPr>
              <w:tab/>
            </w:r>
            <w:r>
              <w:rPr>
                <w:noProof/>
                <w:webHidden/>
              </w:rPr>
              <w:fldChar w:fldCharType="begin"/>
            </w:r>
            <w:r>
              <w:rPr>
                <w:noProof/>
                <w:webHidden/>
              </w:rPr>
              <w:instrText xml:space="preserve"> PAG</w:instrText>
            </w:r>
            <w:r>
              <w:rPr>
                <w:noProof/>
                <w:webHidden/>
              </w:rPr>
              <w:instrText xml:space="preserve">EREF _Toc43821386 \h </w:instrText>
            </w:r>
            <w:r>
              <w:rPr>
                <w:noProof/>
                <w:webHidden/>
              </w:rPr>
            </w:r>
            <w:r>
              <w:rPr>
                <w:noProof/>
                <w:webHidden/>
              </w:rPr>
              <w:fldChar w:fldCharType="separate"/>
            </w:r>
            <w:r>
              <w:rPr>
                <w:noProof/>
                <w:webHidden/>
              </w:rPr>
              <w:t>28</w:t>
            </w:r>
            <w:r>
              <w:rPr>
                <w:noProof/>
                <w:webHidden/>
              </w:rPr>
              <w:fldChar w:fldCharType="end"/>
            </w:r>
          </w:hyperlink>
        </w:p>
        <w:p w:rsidR="00534131" w:rsidRDefault="00A12529" w:rsidP="00A12529">
          <w:pPr>
            <w:pStyle w:val="TOC2"/>
            <w:tabs>
              <w:tab w:val="left" w:pos="1077"/>
            </w:tabs>
            <w:ind w:right="1592"/>
            <w:rPr>
              <w:rFonts w:asciiTheme="minorHAnsi" w:eastAsiaTheme="minorEastAsia" w:hAnsiTheme="minorHAnsi" w:cstheme="minorBidi"/>
              <w:sz w:val="22"/>
              <w:szCs w:val="22"/>
              <w:lang w:val="en-US" w:eastAsia="en-US"/>
            </w:rPr>
          </w:pPr>
          <w:hyperlink w:anchor="_Toc43821387" w:history="1">
            <w:r>
              <w:rPr>
                <w:rStyle w:val="Hyperlink"/>
              </w:rPr>
              <w:t>4.</w:t>
            </w:r>
            <w:r>
              <w:rPr>
                <w:rFonts w:asciiTheme="minorHAnsi" w:eastAsiaTheme="minorEastAsia" w:hAnsiTheme="minorHAnsi" w:cstheme="minorBidi"/>
                <w:sz w:val="22"/>
                <w:szCs w:val="22"/>
                <w:lang w:val="en-US" w:eastAsia="en-US"/>
              </w:rPr>
              <w:tab/>
            </w:r>
            <w:r>
              <w:rPr>
                <w:rStyle w:val="Hyperlink"/>
              </w:rPr>
              <w:t>ДВОЙНИЯТ ПРЕХОД И ДЕМОГРАФСКИТЕ ПРОМЕНИ</w:t>
            </w:r>
            <w:r>
              <w:rPr>
                <w:webHidden/>
              </w:rPr>
              <w:tab/>
            </w:r>
            <w:r>
              <w:rPr>
                <w:webHidden/>
              </w:rPr>
              <w:fldChar w:fldCharType="begin"/>
            </w:r>
            <w:r>
              <w:rPr>
                <w:webHidden/>
              </w:rPr>
              <w:instrText xml:space="preserve"> PAGEREF _Toc43821387 \h </w:instrText>
            </w:r>
            <w:r>
              <w:rPr>
                <w:webHidden/>
              </w:rPr>
            </w:r>
            <w:r>
              <w:rPr>
                <w:webHidden/>
              </w:rPr>
              <w:fldChar w:fldCharType="separate"/>
            </w:r>
            <w:r>
              <w:rPr>
                <w:webHidden/>
              </w:rPr>
              <w:t>32</w:t>
            </w:r>
            <w:r>
              <w:rPr>
                <w:webHidden/>
              </w:rPr>
              <w:fldChar w:fldCharType="end"/>
            </w:r>
          </w:hyperlink>
        </w:p>
        <w:p w:rsidR="00534131" w:rsidRDefault="00A12529" w:rsidP="00A12529">
          <w:pPr>
            <w:pStyle w:val="TOC2"/>
            <w:tabs>
              <w:tab w:val="left" w:pos="1077"/>
            </w:tabs>
            <w:ind w:right="1592"/>
            <w:rPr>
              <w:rFonts w:asciiTheme="minorHAnsi" w:eastAsiaTheme="minorEastAsia" w:hAnsiTheme="minorHAnsi" w:cstheme="minorBidi"/>
              <w:sz w:val="22"/>
              <w:szCs w:val="22"/>
              <w:lang w:val="en-US" w:eastAsia="en-US"/>
            </w:rPr>
          </w:pPr>
          <w:hyperlink w:anchor="_Toc43821388" w:history="1">
            <w:r>
              <w:rPr>
                <w:rStyle w:val="Hyperlink"/>
              </w:rPr>
              <w:t xml:space="preserve">5. </w:t>
            </w:r>
            <w:r>
              <w:rPr>
                <w:rFonts w:asciiTheme="minorHAnsi" w:eastAsiaTheme="minorEastAsia" w:hAnsiTheme="minorHAnsi" w:cstheme="minorBidi"/>
                <w:sz w:val="22"/>
                <w:szCs w:val="22"/>
                <w:lang w:val="en-US" w:eastAsia="en-US"/>
              </w:rPr>
              <w:tab/>
            </w:r>
            <w:r>
              <w:rPr>
                <w:rStyle w:val="Hyperlink"/>
              </w:rPr>
              <w:t>ГЕОПОЛИТИКАТА НА ДЕМОГРАФСКОТО РАЗВИТИЕ: МЯСТОТО НА ЕВРОПА В СВЕТА</w:t>
            </w:r>
            <w:r>
              <w:rPr>
                <w:webHidden/>
              </w:rPr>
              <w:tab/>
            </w:r>
            <w:r>
              <w:rPr>
                <w:webHidden/>
              </w:rPr>
              <w:fldChar w:fldCharType="begin"/>
            </w:r>
            <w:r>
              <w:rPr>
                <w:webHidden/>
              </w:rPr>
              <w:instrText xml:space="preserve"> PAGEREF _Toc43821388 \h </w:instrText>
            </w:r>
            <w:r>
              <w:rPr>
                <w:webHidden/>
              </w:rPr>
            </w:r>
            <w:r>
              <w:rPr>
                <w:webHidden/>
              </w:rPr>
              <w:fldChar w:fldCharType="separate"/>
            </w:r>
            <w:r>
              <w:rPr>
                <w:webHidden/>
              </w:rPr>
              <w:t>34</w:t>
            </w:r>
            <w:r>
              <w:rPr>
                <w:webHidden/>
              </w:rPr>
              <w:fldChar w:fldCharType="end"/>
            </w:r>
          </w:hyperlink>
        </w:p>
        <w:p w:rsidR="00534131" w:rsidRDefault="00A12529" w:rsidP="00A12529">
          <w:pPr>
            <w:pStyle w:val="TOC2"/>
            <w:ind w:right="1592"/>
            <w:rPr>
              <w:rFonts w:asciiTheme="minorHAnsi" w:eastAsiaTheme="minorEastAsia" w:hAnsiTheme="minorHAnsi" w:cstheme="minorBidi"/>
              <w:sz w:val="22"/>
              <w:szCs w:val="22"/>
              <w:lang w:val="en-US" w:eastAsia="en-US"/>
            </w:rPr>
          </w:pPr>
          <w:hyperlink w:anchor="_Toc43821389" w:history="1">
            <w:r>
              <w:rPr>
                <w:rStyle w:val="Hyperlink"/>
              </w:rPr>
              <w:t xml:space="preserve">ЗАКЛЮЧЕНИЯ И </w:t>
            </w:r>
            <w:r>
              <w:rPr>
                <w:rStyle w:val="Hyperlink"/>
              </w:rPr>
              <w:t>ПЕРСПЕКТИВИ</w:t>
            </w:r>
            <w:r>
              <w:rPr>
                <w:webHidden/>
              </w:rPr>
              <w:tab/>
            </w:r>
            <w:r>
              <w:rPr>
                <w:webHidden/>
              </w:rPr>
              <w:fldChar w:fldCharType="begin"/>
            </w:r>
            <w:r>
              <w:rPr>
                <w:webHidden/>
              </w:rPr>
              <w:instrText xml:space="preserve"> PAGEREF _Toc43821389 \h </w:instrText>
            </w:r>
            <w:r>
              <w:rPr>
                <w:webHidden/>
              </w:rPr>
            </w:r>
            <w:r>
              <w:rPr>
                <w:webHidden/>
              </w:rPr>
              <w:fldChar w:fldCharType="separate"/>
            </w:r>
            <w:r>
              <w:rPr>
                <w:webHidden/>
              </w:rPr>
              <w:t>37</w:t>
            </w:r>
            <w:r>
              <w:rPr>
                <w:webHidden/>
              </w:rPr>
              <w:fldChar w:fldCharType="end"/>
            </w:r>
          </w:hyperlink>
        </w:p>
        <w:p w:rsidR="00534131" w:rsidRDefault="00A12529" w:rsidP="00A12529">
          <w:pPr>
            <w:ind w:right="1592"/>
            <w:rPr>
              <w:noProof/>
            </w:rPr>
          </w:pPr>
          <w:r>
            <w:rPr>
              <w:b/>
              <w:bCs/>
              <w:noProof/>
            </w:rPr>
            <w:fldChar w:fldCharType="end"/>
          </w:r>
        </w:p>
      </w:sdtContent>
    </w:sdt>
    <w:p w:rsidR="00534131" w:rsidRDefault="00A12529">
      <w:pPr>
        <w:rPr>
          <w:rFonts w:ascii="Times New Roman" w:eastAsia="Times New Roman" w:hAnsi="Times New Roman" w:cs="Times New Roman"/>
          <w:b/>
          <w:smallCaps/>
          <w:noProof/>
          <w:color w:val="0070C0"/>
          <w:sz w:val="28"/>
          <w:szCs w:val="28"/>
        </w:rPr>
      </w:pPr>
      <w:r>
        <w:rPr>
          <w:noProof/>
        </w:rPr>
        <w:br w:type="page"/>
      </w:r>
    </w:p>
    <w:p w:rsidR="00534131" w:rsidRDefault="00A12529">
      <w:pPr>
        <w:pStyle w:val="Heading1"/>
        <w:rPr>
          <w:noProof/>
          <w:color w:val="000000" w:themeColor="text1"/>
          <w:szCs w:val="24"/>
        </w:rPr>
      </w:pPr>
      <w:bookmarkStart w:id="4" w:name="_Toc43821371"/>
      <w:r>
        <w:rPr>
          <w:noProof/>
          <w:color w:val="000000" w:themeColor="text1"/>
          <w:szCs w:val="24"/>
        </w:rPr>
        <w:lastRenderedPageBreak/>
        <w:t>ВЪВЕДЕНИЕ</w:t>
      </w:r>
      <w:bookmarkEnd w:id="4"/>
      <w:bookmarkEnd w:id="3"/>
      <w:bookmarkEnd w:id="2"/>
    </w:p>
    <w:p w:rsidR="00534131" w:rsidRDefault="00A12529">
      <w:pPr>
        <w:jc w:val="both"/>
        <w:rPr>
          <w:rFonts w:ascii="Times New Roman" w:hAnsi="Times New Roman" w:cs="Times New Roman"/>
          <w:noProof/>
          <w:sz w:val="24"/>
          <w:szCs w:val="24"/>
        </w:rPr>
      </w:pPr>
      <w:r>
        <w:rPr>
          <w:rFonts w:ascii="Times New Roman" w:hAnsi="Times New Roman"/>
          <w:noProof/>
          <w:sz w:val="24"/>
        </w:rPr>
        <w:t>Избухването на пандемията от COVID-19 промени Европа и света за неимоверно кратко време.</w:t>
      </w:r>
      <w:r>
        <w:rPr>
          <w:rFonts w:ascii="Times New Roman" w:hAnsi="Times New Roman"/>
          <w:noProof/>
          <w:sz w:val="24"/>
          <w:szCs w:val="24"/>
        </w:rPr>
        <w:t xml:space="preserve"> Тя постави на изпитание нашите здравни и социални системи, както и нашата икономическа и социална устойчивост. Пандемията ще остави траен отпечатък върху начина ни на живот и на работа заедно — дори след като вирусът изчезне. </w:t>
      </w:r>
      <w:r>
        <w:rPr>
          <w:rFonts w:ascii="Times New Roman" w:hAnsi="Times New Roman"/>
          <w:noProof/>
          <w:sz w:val="24"/>
        </w:rPr>
        <w:t>Освен това тя настъпи в момен</w:t>
      </w:r>
      <w:r>
        <w:rPr>
          <w:rFonts w:ascii="Times New Roman" w:hAnsi="Times New Roman"/>
          <w:noProof/>
          <w:sz w:val="24"/>
        </w:rPr>
        <w:t>т, когато Европа вече преминаваше през период на дълбока трансформация в резултат на изменението на климата, обществени и демографски промени.</w:t>
      </w:r>
    </w:p>
    <w:p w:rsidR="00534131" w:rsidRDefault="00A12529">
      <w:pPr>
        <w:jc w:val="both"/>
        <w:rPr>
          <w:rFonts w:ascii="Times New Roman" w:hAnsi="Times New Roman" w:cs="Times New Roman"/>
          <w:noProof/>
          <w:sz w:val="24"/>
          <w:szCs w:val="24"/>
        </w:rPr>
      </w:pPr>
      <w:r>
        <w:rPr>
          <w:rFonts w:ascii="Times New Roman" w:hAnsi="Times New Roman"/>
          <w:b/>
          <w:bCs/>
          <w:noProof/>
          <w:sz w:val="24"/>
        </w:rPr>
        <w:t>Демографските промени са свързани с хората и техния живот</w:t>
      </w:r>
      <w:r>
        <w:rPr>
          <w:rFonts w:ascii="Times New Roman" w:hAnsi="Times New Roman"/>
          <w:noProof/>
          <w:sz w:val="24"/>
        </w:rPr>
        <w:t>.</w:t>
      </w:r>
      <w:r>
        <w:rPr>
          <w:rFonts w:ascii="Times New Roman" w:hAnsi="Times New Roman"/>
          <w:noProof/>
          <w:sz w:val="24"/>
          <w:szCs w:val="24"/>
        </w:rPr>
        <w:t xml:space="preserve"> Те са свързани с това какво правим, как работим и къде</w:t>
      </w:r>
      <w:r>
        <w:rPr>
          <w:rFonts w:ascii="Times New Roman" w:hAnsi="Times New Roman"/>
          <w:noProof/>
          <w:sz w:val="24"/>
          <w:szCs w:val="24"/>
        </w:rPr>
        <w:t xml:space="preserve"> е мястото, което наричаме свой дом. Свързани са с нашите общности и с начина, по който всички ние живеем заедно. Свързани са с приемането на разнообразието от хора и произходи, което обогатява нашите общества и им придава облик, прави ни по-силни и вдъхва</w:t>
      </w:r>
      <w:r>
        <w:rPr>
          <w:rFonts w:ascii="Times New Roman" w:hAnsi="Times New Roman"/>
          <w:noProof/>
          <w:sz w:val="24"/>
          <w:szCs w:val="24"/>
        </w:rPr>
        <w:t xml:space="preserve"> живот на девиза на ЕС </w:t>
      </w:r>
      <w:r>
        <w:rPr>
          <w:rFonts w:ascii="Times New Roman" w:hAnsi="Times New Roman"/>
          <w:i/>
          <w:iCs/>
          <w:noProof/>
          <w:sz w:val="24"/>
          <w:szCs w:val="24"/>
        </w:rPr>
        <w:t>„Единство в многообразието“</w:t>
      </w:r>
      <w:r>
        <w:rPr>
          <w:rFonts w:ascii="Times New Roman" w:hAnsi="Times New Roman"/>
          <w:noProof/>
          <w:sz w:val="24"/>
          <w:szCs w:val="24"/>
        </w:rPr>
        <w:t>. Това е по-необходимо от всякога. Докато бавно и предпазливо излизаме от ограниченията, наложени навсякъде в Европа, си припомняме колко важно е да разбираме и да даваме отговор на въздействието, което дем</w:t>
      </w:r>
      <w:r>
        <w:rPr>
          <w:rFonts w:ascii="Times New Roman" w:hAnsi="Times New Roman"/>
          <w:noProof/>
          <w:sz w:val="24"/>
          <w:szCs w:val="24"/>
        </w:rPr>
        <w:t>ографските промени оказват върху нашето общество. Тази работа ще трябва да бъде включена в процеса на възстановяване на Европа и в извлечените поуки — независимо дали става въпрос за социалното или икономическото измерение, или за здравеопазването и дългос</w:t>
      </w:r>
      <w:r>
        <w:rPr>
          <w:rFonts w:ascii="Times New Roman" w:hAnsi="Times New Roman"/>
          <w:noProof/>
          <w:sz w:val="24"/>
          <w:szCs w:val="24"/>
        </w:rPr>
        <w:t>рочните грижи, както и за много други области.</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През последните седмици и месеци връзката между демографските структури и последиците и потенциала за възстановяване проличаваше ясно и често болезнено. Станахме свидетели как най-много страда нашето най-възра</w:t>
      </w:r>
      <w:r>
        <w:rPr>
          <w:rFonts w:ascii="Times New Roman" w:hAnsi="Times New Roman"/>
          <w:noProof/>
          <w:sz w:val="24"/>
          <w:szCs w:val="24"/>
        </w:rPr>
        <w:t>стно поколение, като най-уязвимите в тази криза бяха възрастните хора. Те не само са изложени на по-висок риск от усложнения, ако бъдат заразени с болестта, но са също така някои от най-изолираните и откъснатите вследствие на мерките за социално дистанцира</w:t>
      </w:r>
      <w:r>
        <w:rPr>
          <w:rFonts w:ascii="Times New Roman" w:hAnsi="Times New Roman"/>
          <w:noProof/>
          <w:sz w:val="24"/>
          <w:szCs w:val="24"/>
        </w:rPr>
        <w:t xml:space="preserve">не и за изолация в домашни условия, които бяха предприети с цел спасяване на човешки животи в цяла Европа. </w:t>
      </w:r>
      <w:r>
        <w:rPr>
          <w:rFonts w:ascii="Times New Roman" w:hAnsi="Times New Roman"/>
          <w:b/>
          <w:noProof/>
          <w:sz w:val="24"/>
          <w:szCs w:val="24"/>
        </w:rPr>
        <w:t>Необходимостта от солидарност между поколенията е една от движещите сили за възстановяването на Европа</w:t>
      </w:r>
      <w:r>
        <w:rPr>
          <w:rStyle w:val="FootnoteReference"/>
          <w:rFonts w:ascii="Times New Roman" w:hAnsi="Times New Roman" w:cs="Times New Roman"/>
          <w:noProof/>
          <w:sz w:val="24"/>
          <w:szCs w:val="24"/>
        </w:rPr>
        <w:footnoteReference w:id="2"/>
      </w:r>
      <w:r>
        <w:rPr>
          <w:noProof/>
        </w:rPr>
        <w:t>.</w:t>
      </w:r>
      <w:r>
        <w:rPr>
          <w:rFonts w:ascii="Times New Roman" w:hAnsi="Times New Roman"/>
          <w:noProof/>
          <w:sz w:val="24"/>
          <w:szCs w:val="24"/>
        </w:rPr>
        <w:t xml:space="preserve">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Управлението на въздействието на дългосрочн</w:t>
      </w:r>
      <w:r>
        <w:rPr>
          <w:rFonts w:ascii="Times New Roman" w:hAnsi="Times New Roman"/>
          <w:noProof/>
          <w:sz w:val="24"/>
          <w:szCs w:val="24"/>
        </w:rPr>
        <w:t xml:space="preserve">ите демографските промени има много различни аспекти: как управляваме нашето обществено здравеопазване, публичните бюджети или обществения живот, но също и как се справяме с проблеми като самотата, полагането на грижи в общността и достъпа до жизненоважни </w:t>
      </w:r>
      <w:r>
        <w:rPr>
          <w:rFonts w:ascii="Times New Roman" w:hAnsi="Times New Roman"/>
          <w:noProof/>
          <w:sz w:val="24"/>
          <w:szCs w:val="24"/>
        </w:rPr>
        <w:t xml:space="preserve">услуги. Решаването на тези въпроси ще бъде важно за успешното възстановяване и ще определи темповете и степента, в която ще успеем да възстановим ежедневието си, нашите социални мрежи и икономики. В дългосрочен план това е възможност за Европа да изгради </w:t>
      </w:r>
      <w:r>
        <w:rPr>
          <w:rFonts w:ascii="Times New Roman" w:hAnsi="Times New Roman"/>
          <w:b/>
          <w:noProof/>
          <w:sz w:val="24"/>
          <w:szCs w:val="24"/>
        </w:rPr>
        <w:t>п</w:t>
      </w:r>
      <w:r>
        <w:rPr>
          <w:rFonts w:ascii="Times New Roman" w:hAnsi="Times New Roman"/>
          <w:b/>
          <w:noProof/>
          <w:sz w:val="24"/>
          <w:szCs w:val="24"/>
        </w:rPr>
        <w:t>о-справедливо и по-устойчиво общество</w:t>
      </w:r>
      <w:r>
        <w:rPr>
          <w:rFonts w:ascii="Times New Roman" w:hAnsi="Times New Roman"/>
          <w:noProof/>
          <w:sz w:val="24"/>
          <w:szCs w:val="24"/>
        </w:rPr>
        <w:t>.</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Не можем да си позволим да подценяваме вредата от кризата или необходимостта от справянето със загуби от всякакъв характер. </w:t>
      </w:r>
      <w:r>
        <w:rPr>
          <w:rFonts w:ascii="Times New Roman" w:hAnsi="Times New Roman"/>
          <w:noProof/>
          <w:sz w:val="24"/>
        </w:rPr>
        <w:t xml:space="preserve">В този контекст твърдението, че </w:t>
      </w:r>
      <w:r>
        <w:rPr>
          <w:rFonts w:ascii="Times New Roman" w:hAnsi="Times New Roman"/>
          <w:b/>
          <w:noProof/>
          <w:sz w:val="24"/>
        </w:rPr>
        <w:t>европейците като цяло живеят по-дълго и водят по-здравословен</w:t>
      </w:r>
      <w:r>
        <w:rPr>
          <w:rFonts w:ascii="Times New Roman" w:hAnsi="Times New Roman"/>
          <w:b/>
          <w:noProof/>
          <w:sz w:val="24"/>
        </w:rPr>
        <w:t xml:space="preserve"> и безопасен начин на живот</w:t>
      </w:r>
      <w:r>
        <w:rPr>
          <w:rFonts w:ascii="Times New Roman" w:hAnsi="Times New Roman"/>
          <w:noProof/>
          <w:sz w:val="24"/>
        </w:rPr>
        <w:t>, може да звучи противоречиво.</w:t>
      </w:r>
      <w:r>
        <w:rPr>
          <w:rFonts w:ascii="Times New Roman" w:hAnsi="Times New Roman"/>
          <w:noProof/>
          <w:sz w:val="24"/>
          <w:szCs w:val="24"/>
        </w:rPr>
        <w:t xml:space="preserve"> В дългосрочен план обаче реалността все още е такава и следва да се гордеем с големите стъпки, направени през последните десетилетия за постигането на това. Социалните и здравните системи на Европа </w:t>
      </w:r>
      <w:r>
        <w:rPr>
          <w:rFonts w:ascii="Times New Roman" w:hAnsi="Times New Roman"/>
          <w:noProof/>
          <w:sz w:val="24"/>
          <w:szCs w:val="24"/>
        </w:rPr>
        <w:t>са най-напредналите в световен мащаб. В съчетание с уменията и саможертвата на толкова много работници на първа линия, те помогнаха за спасяването на живота на голям брой хора от началото на кризата насам. Въпреки това напрежението, на което бяха подложени</w:t>
      </w:r>
      <w:r>
        <w:rPr>
          <w:rFonts w:ascii="Times New Roman" w:hAnsi="Times New Roman"/>
          <w:noProof/>
          <w:sz w:val="24"/>
          <w:szCs w:val="24"/>
        </w:rPr>
        <w:t xml:space="preserve">, особено в райони с по-възрастно население, разкри необходимостта да им бъде осигурена допълнителна подкрепа.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Благодарение на този напредък качеството ни на живот продължава да бъде несравнимо, а нашите общества са едни от най-равнопоставените в света, м</w:t>
      </w:r>
      <w:r>
        <w:rPr>
          <w:rFonts w:ascii="Times New Roman" w:hAnsi="Times New Roman"/>
          <w:noProof/>
          <w:sz w:val="24"/>
          <w:szCs w:val="24"/>
        </w:rPr>
        <w:t>акар и все още да съществуват неравенства. Населението ни става по-възрастно и като цяло предпочитаме да живеем в по-малки домакинства. Нашата мобилност се увеличава, работим по-дълго време, учим повече и сменяме работното си място по-често. Всички тези те</w:t>
      </w:r>
      <w:r>
        <w:rPr>
          <w:rFonts w:ascii="Times New Roman" w:hAnsi="Times New Roman"/>
          <w:noProof/>
          <w:sz w:val="24"/>
          <w:szCs w:val="24"/>
        </w:rPr>
        <w:t>нденции оказват значително влияние върху обществото ни — а някои от тях може да са били фактори, способстващи за навлизането и разпространението на вируса в някои държави, било то застаряващото население, съставът на домакинствата или гъстотата на населени</w:t>
      </w:r>
      <w:r>
        <w:rPr>
          <w:rFonts w:ascii="Times New Roman" w:hAnsi="Times New Roman"/>
          <w:noProof/>
          <w:sz w:val="24"/>
          <w:szCs w:val="24"/>
        </w:rPr>
        <w:t xml:space="preserve">ето.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Тези въпроси често могат да бъдат разрешени най-добре на местно и регионално равнище. Това отразява факта, че демографските промени често се различават значително между отделните части на една и съща държава.</w:t>
      </w:r>
      <w:r>
        <w:rPr>
          <w:rFonts w:ascii="Times New Roman" w:hAnsi="Times New Roman"/>
          <w:b/>
          <w:noProof/>
          <w:sz w:val="24"/>
          <w:szCs w:val="24"/>
        </w:rPr>
        <w:t xml:space="preserve"> </w:t>
      </w:r>
      <w:r>
        <w:rPr>
          <w:rFonts w:ascii="Times New Roman" w:hAnsi="Times New Roman"/>
          <w:noProof/>
          <w:sz w:val="24"/>
          <w:szCs w:val="24"/>
        </w:rPr>
        <w:t xml:space="preserve">Някои региони са изправени пред двойното </w:t>
      </w:r>
      <w:r>
        <w:rPr>
          <w:rFonts w:ascii="Times New Roman" w:hAnsi="Times New Roman"/>
          <w:noProof/>
          <w:sz w:val="24"/>
          <w:szCs w:val="24"/>
        </w:rPr>
        <w:t xml:space="preserve">предизвикателство на ниските доходи и бързото намаляване на населението. При наличието на 31 милиона души, живеещо в тези предимно селски райони, залогът е висок. </w:t>
      </w:r>
      <w:r>
        <w:rPr>
          <w:rFonts w:ascii="Times New Roman" w:hAnsi="Times New Roman"/>
          <w:b/>
          <w:noProof/>
          <w:sz w:val="24"/>
          <w:szCs w:val="24"/>
        </w:rPr>
        <w:t xml:space="preserve">Европа ще се стреми да подобри жизнения стандарт и да намали неравенствата. </w:t>
      </w:r>
      <w:r>
        <w:rPr>
          <w:rFonts w:ascii="Times New Roman" w:hAnsi="Times New Roman"/>
          <w:noProof/>
          <w:sz w:val="24"/>
          <w:szCs w:val="24"/>
        </w:rPr>
        <w:t xml:space="preserve">Това означава да </w:t>
      </w:r>
      <w:r>
        <w:rPr>
          <w:rFonts w:ascii="Times New Roman" w:hAnsi="Times New Roman"/>
          <w:noProof/>
          <w:sz w:val="24"/>
          <w:szCs w:val="24"/>
        </w:rPr>
        <w:t>се гарантира, че нуждите на хората са задоволени и че съществуват перспективи и възможности за работа в местата, където живеят. Това означава достъп до здравни грижи, детски заведения и образование, както и до други жизненоважни местни услуги, например пощ</w:t>
      </w:r>
      <w:r>
        <w:rPr>
          <w:rFonts w:ascii="Times New Roman" w:hAnsi="Times New Roman"/>
          <w:noProof/>
          <w:sz w:val="24"/>
          <w:szCs w:val="24"/>
        </w:rPr>
        <w:t>енските станции, библиотеките или транспорта.</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Макар че демографските промени не са нещо ново, разликата в живота ни се усеща по-осезаемо. Справянето с тази промяна ще бъде от още по-голямо значение, докато Европа поема пътя към своето възстановяване. Запаз</w:t>
      </w:r>
      <w:r>
        <w:rPr>
          <w:rFonts w:ascii="Times New Roman" w:hAnsi="Times New Roman"/>
          <w:noProof/>
          <w:sz w:val="24"/>
          <w:szCs w:val="24"/>
        </w:rPr>
        <w:t>ването на акцента върху двойния екологичен и цифров преход ще помогне за осигуряването на много от иновативните и устойчиви решения, от които се нуждаем, за да се справим с последиците от демографските промени.</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Демографските промени засягат също така място</w:t>
      </w:r>
      <w:r>
        <w:rPr>
          <w:rFonts w:ascii="Times New Roman" w:hAnsi="Times New Roman"/>
          <w:b/>
          <w:noProof/>
          <w:sz w:val="24"/>
          <w:szCs w:val="24"/>
        </w:rPr>
        <w:t xml:space="preserve">то на Европа в света. </w:t>
      </w:r>
      <w:r>
        <w:rPr>
          <w:rFonts w:ascii="Times New Roman" w:hAnsi="Times New Roman"/>
          <w:noProof/>
          <w:sz w:val="24"/>
          <w:szCs w:val="24"/>
        </w:rPr>
        <w:t xml:space="preserve">Тъй като делът на населението на Европа в света продължава да намалява, необходимостта от единни позиции и действия от страна на ЕС, мобилизиращи всички негови колективни преимущества и цялото му многообразие, придобива още по-голямо </w:t>
      </w:r>
      <w:r>
        <w:rPr>
          <w:rFonts w:ascii="Times New Roman" w:hAnsi="Times New Roman"/>
          <w:noProof/>
          <w:sz w:val="24"/>
          <w:szCs w:val="24"/>
        </w:rPr>
        <w:t>значение. Това следва да се разглежда и в контекста на значителните демографски промени в съседните ни региони и в целия свят, които ще имат пряко въздействие върху самата Европа.</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 xml:space="preserve">В настоящия доклад са представени движещите сили на демографските промени и </w:t>
      </w:r>
      <w:r>
        <w:rPr>
          <w:rFonts w:ascii="Times New Roman" w:hAnsi="Times New Roman"/>
          <w:b/>
          <w:noProof/>
          <w:sz w:val="24"/>
          <w:szCs w:val="24"/>
        </w:rPr>
        <w:t>въздействието им в цяла Европа</w:t>
      </w:r>
      <w:r>
        <w:rPr>
          <w:rStyle w:val="FootnoteReference"/>
          <w:rFonts w:ascii="Times New Roman" w:hAnsi="Times New Roman" w:cs="Times New Roman"/>
          <w:b/>
          <w:noProof/>
          <w:sz w:val="24"/>
          <w:szCs w:val="24"/>
        </w:rPr>
        <w:footnoteReference w:id="3"/>
      </w:r>
      <w:r>
        <w:rPr>
          <w:rFonts w:ascii="Times New Roman" w:hAnsi="Times New Roman"/>
          <w:b/>
          <w:noProof/>
          <w:sz w:val="24"/>
          <w:szCs w:val="24"/>
        </w:rPr>
        <w:t xml:space="preserve">. </w:t>
      </w:r>
      <w:r>
        <w:rPr>
          <w:rFonts w:ascii="Times New Roman" w:hAnsi="Times New Roman"/>
          <w:noProof/>
          <w:sz w:val="24"/>
          <w:szCs w:val="24"/>
        </w:rPr>
        <w:t xml:space="preserve">Докладът ще помогне да се определи как най-засегнатите хора, региони и общности могат да бъдат подпомогнати най-добре, за да се приспособят към променящата се действителност — по време на кризата, възстановяването от нея и </w:t>
      </w:r>
      <w:r>
        <w:rPr>
          <w:rFonts w:ascii="Times New Roman" w:hAnsi="Times New Roman"/>
          <w:noProof/>
          <w:sz w:val="24"/>
          <w:szCs w:val="24"/>
        </w:rPr>
        <w:t>след това. Целта на работата на Комисията в тази сфера е да подобрим нашите познания и прогнози, за да гарантираме, че можем да подкрепяме онези, които се нуждаят от това — както днес, така и в бъдеще. Тя не е непременно свързана с обръщане или забавяне на</w:t>
      </w:r>
      <w:r>
        <w:rPr>
          <w:rFonts w:ascii="Times New Roman" w:hAnsi="Times New Roman"/>
          <w:noProof/>
          <w:sz w:val="24"/>
          <w:szCs w:val="24"/>
        </w:rPr>
        <w:t xml:space="preserve"> някоя от тенденциите; свързана е с това да си набавим правилните инструменти за осигуряване на нови решения и подкрепа за хората, за да преминат през промяната.</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Накрая, това означава </w:t>
      </w:r>
      <w:r>
        <w:rPr>
          <w:rFonts w:ascii="Times New Roman" w:hAnsi="Times New Roman"/>
          <w:b/>
          <w:noProof/>
          <w:sz w:val="24"/>
          <w:szCs w:val="24"/>
        </w:rPr>
        <w:t>да се гарантира, че нито един регион или човек няма да бъде забравен</w:t>
      </w:r>
      <w:r>
        <w:rPr>
          <w:rFonts w:ascii="Times New Roman" w:hAnsi="Times New Roman"/>
          <w:noProof/>
          <w:sz w:val="24"/>
          <w:szCs w:val="24"/>
        </w:rPr>
        <w:t xml:space="preserve"> — у</w:t>
      </w:r>
      <w:r>
        <w:rPr>
          <w:rFonts w:ascii="Times New Roman" w:hAnsi="Times New Roman"/>
          <w:noProof/>
          <w:sz w:val="24"/>
          <w:szCs w:val="24"/>
        </w:rPr>
        <w:t>сещането, което в крайна сметка може да доведе до загуба на вярата в нашата демокрация. Това е и причината Комисията за първи път да има заместник-председател по въпросите на демокрацията и демографията и затова тази тема ще присъства в рамките на Конферен</w:t>
      </w:r>
      <w:r>
        <w:rPr>
          <w:rFonts w:ascii="Times New Roman" w:hAnsi="Times New Roman"/>
          <w:noProof/>
          <w:sz w:val="24"/>
          <w:szCs w:val="24"/>
        </w:rPr>
        <w:t xml:space="preserve">цията за бъдещето на Европа, чрез която гражданите ще играят водеща роля в изграждането на по-жизнеспособен, устойчив и справедлив Съюз. Макар че много от правомощията в тези области са в ръцете на държавите членки, Комисията е готова да поеме челна роля, </w:t>
      </w:r>
      <w:r>
        <w:rPr>
          <w:rFonts w:ascii="Times New Roman" w:hAnsi="Times New Roman"/>
          <w:noProof/>
          <w:sz w:val="24"/>
          <w:szCs w:val="24"/>
        </w:rPr>
        <w:t>като идентифицира проблемите и подкрепя действията на национално, регионално и местно равнище.</w:t>
      </w:r>
    </w:p>
    <w:p w:rsidR="00534131" w:rsidRDefault="00A12529">
      <w:pPr>
        <w:pStyle w:val="Heading1"/>
        <w:rPr>
          <w:noProof/>
          <w:color w:val="0070C0"/>
          <w:szCs w:val="24"/>
        </w:rPr>
      </w:pPr>
      <w:bookmarkStart w:id="5" w:name="_Toc32414435"/>
      <w:bookmarkStart w:id="6" w:name="_Toc32444146"/>
      <w:bookmarkStart w:id="7" w:name="_Toc33800394"/>
      <w:bookmarkStart w:id="8" w:name="_Toc43821372"/>
      <w:r>
        <w:rPr>
          <w:noProof/>
          <w:color w:val="000000" w:themeColor="text1"/>
          <w:szCs w:val="24"/>
        </w:rPr>
        <w:t>ДВИЖЕЩИТЕ СИЛИ НА ДЕМОГРАФСКИТЕ ПРОМЕНИ В ЕВРОПА</w:t>
      </w:r>
      <w:bookmarkEnd w:id="5"/>
      <w:bookmarkEnd w:id="6"/>
      <w:bookmarkEnd w:id="7"/>
      <w:r>
        <w:rPr>
          <w:rStyle w:val="FootnoteReference"/>
          <w:noProof/>
          <w:color w:val="000000" w:themeColor="text1"/>
          <w:szCs w:val="24"/>
        </w:rPr>
        <w:footnoteReference w:id="4"/>
      </w:r>
      <w:bookmarkEnd w:id="8"/>
    </w:p>
    <w:p w:rsidR="00534131" w:rsidRDefault="00A12529">
      <w:pPr>
        <w:keepLines/>
        <w:shd w:val="clear" w:color="auto" w:fill="FFFFFF"/>
        <w:jc w:val="both"/>
        <w:rPr>
          <w:rFonts w:ascii="Times New Roman" w:hAnsi="Times New Roman" w:cs="Times New Roman"/>
          <w:noProof/>
          <w:sz w:val="24"/>
          <w:szCs w:val="24"/>
        </w:rPr>
      </w:pPr>
      <w:r>
        <w:rPr>
          <w:rFonts w:ascii="Times New Roman" w:hAnsi="Times New Roman"/>
          <w:noProof/>
          <w:sz w:val="24"/>
          <w:szCs w:val="24"/>
        </w:rPr>
        <w:t xml:space="preserve">Като европейци ние живеем по-дълго от всякога и с всяка изминала година населението ни става все по-възрастно. </w:t>
      </w:r>
      <w:r>
        <w:rPr>
          <w:rFonts w:ascii="Times New Roman" w:hAnsi="Times New Roman"/>
          <w:noProof/>
          <w:sz w:val="24"/>
          <w:szCs w:val="24"/>
        </w:rPr>
        <w:t>Все повече от нас избират да живеят, работят или учат в друга държава от ЕС, а миграцията към и от Европа продължава да варира. Също така все повече от нас днес живеят в по-малки домакинства и имат по-малко деца, отколкото преди. Тези движещи сили на демог</w:t>
      </w:r>
      <w:r>
        <w:rPr>
          <w:rFonts w:ascii="Times New Roman" w:hAnsi="Times New Roman"/>
          <w:noProof/>
          <w:sz w:val="24"/>
          <w:szCs w:val="24"/>
        </w:rPr>
        <w:t>рафските промени се различават в отделните части на Европа, често значително между различните региони в една и съща държава</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w:t>
      </w:r>
    </w:p>
    <w:p w:rsidR="00534131" w:rsidRDefault="00A12529">
      <w:pPr>
        <w:pStyle w:val="Heading2"/>
        <w:keepNext/>
        <w:rPr>
          <w:noProof/>
        </w:rPr>
      </w:pPr>
      <w:bookmarkStart w:id="9" w:name="_Toc32444147"/>
      <w:bookmarkStart w:id="10" w:name="_Toc33800395"/>
      <w:bookmarkStart w:id="11" w:name="_Toc43821373"/>
      <w:r>
        <w:rPr>
          <w:noProof/>
        </w:rPr>
        <w:t>2.1. ПО-ГОЛЯМА СРЕДНА ПРОДЪЛЖИТЕЛНОСТ НА ЖИВОТА</w:t>
      </w:r>
      <w:bookmarkEnd w:id="9"/>
      <w:bookmarkEnd w:id="10"/>
      <w:bookmarkEnd w:id="11"/>
      <w:r>
        <w:rPr>
          <w:noProof/>
        </w:rPr>
        <w:t xml:space="preserve"> </w:t>
      </w:r>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Европейците се радват на по-дълъг живот, като средно живеят по-дълго в добро здр</w:t>
      </w:r>
      <w:r>
        <w:rPr>
          <w:rFonts w:ascii="Times New Roman" w:hAnsi="Times New Roman"/>
          <w:b/>
          <w:noProof/>
          <w:sz w:val="24"/>
          <w:szCs w:val="24"/>
        </w:rPr>
        <w:t>аве</w:t>
      </w:r>
      <w:r>
        <w:rPr>
          <w:rFonts w:ascii="Times New Roman" w:hAnsi="Times New Roman"/>
          <w:noProof/>
          <w:sz w:val="24"/>
          <w:szCs w:val="24"/>
        </w:rPr>
        <w:t>. През последните пет десетилетия очакваната продължителност на живота при раждане се е увеличила с около 10 години както за мъжете, така и за жените</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Пандемията извади на показ уязвимостта на застаряващото население, но не се счита за вероятно да е пр</w:t>
      </w:r>
      <w:r>
        <w:rPr>
          <w:rFonts w:ascii="Times New Roman" w:hAnsi="Times New Roman"/>
          <w:noProof/>
          <w:sz w:val="24"/>
          <w:szCs w:val="24"/>
        </w:rPr>
        <w:t xml:space="preserve">оменила тази като цяло положителна тенденция по отношение на средната продължителност на живота. </w:t>
      </w:r>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noProof/>
          <w:sz w:val="24"/>
          <w:szCs w:val="24"/>
        </w:rPr>
        <w:t>Според прогнозите през 2070 г. очакваната продължителност на живота при раждане</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xml:space="preserve"> ще достигне 86,1 години за мъжете, в сравнение със 78,2 години през 2018 г. З</w:t>
      </w:r>
      <w:r>
        <w:rPr>
          <w:rFonts w:ascii="Times New Roman" w:hAnsi="Times New Roman"/>
          <w:noProof/>
          <w:sz w:val="24"/>
          <w:szCs w:val="24"/>
        </w:rPr>
        <w:t>а жените се прогнозира тя да достигне 90,3 години, в сравнение с 83,7 сега. Това къде живеете оказва голямо влияние върху вашата средната продължителност на живота. На национално равнище очакваната продължителност на живота при раждане е в диапазона от 83,</w:t>
      </w:r>
      <w:r>
        <w:rPr>
          <w:rFonts w:ascii="Times New Roman" w:hAnsi="Times New Roman"/>
          <w:noProof/>
          <w:sz w:val="24"/>
          <w:szCs w:val="24"/>
        </w:rPr>
        <w:t>5 години в Испания до 75 години в България.</w:t>
      </w:r>
    </w:p>
    <w:p w:rsidR="00534131" w:rsidRDefault="00A12529">
      <w:pPr>
        <w:shd w:val="clear" w:color="auto" w:fill="FFFFFF"/>
        <w:jc w:val="both"/>
        <w:rPr>
          <w:rFonts w:ascii="Times New Roman" w:hAnsi="Times New Roman" w:cs="Times New Roman"/>
          <w:b/>
          <w:noProof/>
          <w:sz w:val="24"/>
          <w:szCs w:val="24"/>
        </w:rPr>
      </w:pPr>
      <w:r>
        <w:rPr>
          <w:rFonts w:ascii="Times New Roman" w:hAnsi="Times New Roman"/>
          <w:noProof/>
          <w:sz w:val="24"/>
          <w:szCs w:val="24"/>
        </w:rPr>
        <w:t xml:space="preserve">Съществуват разлики между мъжете и жените, живеещи в различни части на ЕС. Макар че очакваната продължителност на живота при раждане за жените в ЕС-27 е с 5,5 години повече от тази за мъжете, картината не е една </w:t>
      </w:r>
      <w:r>
        <w:rPr>
          <w:rFonts w:ascii="Times New Roman" w:hAnsi="Times New Roman"/>
          <w:noProof/>
          <w:sz w:val="24"/>
          <w:szCs w:val="24"/>
        </w:rPr>
        <w:t>и съща навсякъде. В Латвия и Литва разликата е повече от девет години, докато в Дания, Ирландия, Кипър, Нидерландия и Швеция тя е по-малко от четири години.</w:t>
      </w:r>
    </w:p>
    <w:p w:rsidR="00534131" w:rsidRDefault="00A12529">
      <w:pPr>
        <w:keepNext/>
        <w:keepLines/>
        <w:shd w:val="clear" w:color="auto" w:fill="FFFFFF"/>
        <w:spacing w:after="0"/>
        <w:contextualSpacing/>
        <w:jc w:val="center"/>
        <w:rPr>
          <w:rFonts w:ascii="Times New Roman" w:hAnsi="Times New Roman" w:cs="Times New Roman"/>
          <w:i/>
          <w:noProof/>
          <w:sz w:val="24"/>
          <w:szCs w:val="24"/>
        </w:rPr>
      </w:pPr>
      <w:r>
        <w:rPr>
          <w:rFonts w:ascii="Times New Roman" w:hAnsi="Times New Roman"/>
          <w:b/>
          <w:noProof/>
          <w:sz w:val="24"/>
          <w:szCs w:val="24"/>
        </w:rPr>
        <w:t>Разлика между очакваната продължителност на живота при раждане за жените и мъжете, 2018 г.</w:t>
      </w:r>
    </w:p>
    <w:p w:rsidR="00534131" w:rsidRDefault="00A12529">
      <w:pPr>
        <w:shd w:val="clear" w:color="auto" w:fill="FFFFFF" w:themeFill="background1"/>
        <w:spacing w:after="0"/>
        <w:jc w:val="center"/>
        <w:rPr>
          <w:rFonts w:ascii="Times New Roman" w:hAnsi="Times New Roman"/>
          <w:b/>
          <w:noProof/>
          <w:sz w:val="24"/>
          <w:szCs w:val="24"/>
          <w:lang w:val="en-US"/>
        </w:rPr>
      </w:pPr>
      <w:r>
        <w:rPr>
          <w:noProof/>
          <w:lang w:val="fr-BE" w:eastAsia="fr-BE"/>
        </w:rPr>
        <w:drawing>
          <wp:inline distT="0" distB="0" distL="0" distR="0">
            <wp:extent cx="5380074" cy="32805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8578" cy="3297913"/>
                    </a:xfrm>
                    <a:prstGeom prst="rect">
                      <a:avLst/>
                    </a:prstGeom>
                  </pic:spPr>
                </pic:pic>
              </a:graphicData>
            </a:graphic>
          </wp:inline>
        </w:drawing>
      </w:r>
    </w:p>
    <w:p w:rsidR="00534131" w:rsidRDefault="00534131">
      <w:pPr>
        <w:shd w:val="clear" w:color="auto" w:fill="FFFFFF" w:themeFill="background1"/>
        <w:spacing w:after="0"/>
        <w:jc w:val="center"/>
        <w:rPr>
          <w:rFonts w:ascii="Times New Roman" w:hAnsi="Times New Roman" w:cs="Times New Roman"/>
          <w:b/>
          <w:noProof/>
          <w:sz w:val="24"/>
          <w:szCs w:val="24"/>
        </w:rPr>
      </w:pPr>
    </w:p>
    <w:p w:rsidR="00534131" w:rsidRDefault="00A12529">
      <w:pPr>
        <w:shd w:val="clear" w:color="auto" w:fill="FFFFFF"/>
        <w:spacing w:after="0"/>
        <w:contextualSpacing/>
        <w:rPr>
          <w:rFonts w:ascii="Times New Roman" w:hAnsi="Times New Roman" w:cs="Times New Roman"/>
          <w:noProof/>
          <w:sz w:val="24"/>
          <w:szCs w:val="24"/>
        </w:rPr>
      </w:pPr>
      <w:r>
        <w:rPr>
          <w:rFonts w:ascii="Times New Roman" w:hAnsi="Times New Roman"/>
          <w:i/>
          <w:noProof/>
          <w:sz w:val="24"/>
          <w:szCs w:val="24"/>
        </w:rPr>
        <w:t>Източ</w:t>
      </w:r>
      <w:r>
        <w:rPr>
          <w:rFonts w:ascii="Times New Roman" w:hAnsi="Times New Roman"/>
          <w:i/>
          <w:noProof/>
          <w:sz w:val="24"/>
          <w:szCs w:val="24"/>
        </w:rPr>
        <w:t>ник: Евростат</w:t>
      </w:r>
    </w:p>
    <w:p w:rsidR="00534131" w:rsidRDefault="00534131">
      <w:pPr>
        <w:shd w:val="clear" w:color="auto" w:fill="FFFFFF"/>
        <w:spacing w:after="0"/>
        <w:contextualSpacing/>
        <w:rPr>
          <w:rFonts w:ascii="Times New Roman" w:hAnsi="Times New Roman" w:cs="Times New Roman"/>
          <w:b/>
          <w:noProof/>
          <w:sz w:val="24"/>
          <w:szCs w:val="24"/>
        </w:rPr>
      </w:pPr>
    </w:p>
    <w:p w:rsidR="00534131" w:rsidRDefault="00A12529">
      <w:pPr>
        <w:shd w:val="clear" w:color="auto" w:fill="FFFFFF"/>
        <w:spacing w:after="0"/>
        <w:contextualSpacing/>
        <w:jc w:val="both"/>
        <w:rPr>
          <w:rFonts w:ascii="Times New Roman" w:hAnsi="Times New Roman" w:cs="Times New Roman"/>
          <w:noProof/>
          <w:sz w:val="24"/>
          <w:szCs w:val="24"/>
        </w:rPr>
      </w:pPr>
      <w:r>
        <w:rPr>
          <w:rFonts w:ascii="Times New Roman" w:hAnsi="Times New Roman"/>
          <w:b/>
          <w:noProof/>
          <w:sz w:val="24"/>
          <w:szCs w:val="24"/>
        </w:rPr>
        <w:t xml:space="preserve">Ние прекарваме голяма част от живота си в добро здраве. </w:t>
      </w:r>
      <w:r>
        <w:rPr>
          <w:rFonts w:ascii="Times New Roman" w:hAnsi="Times New Roman"/>
          <w:noProof/>
          <w:sz w:val="24"/>
          <w:szCs w:val="24"/>
        </w:rPr>
        <w:t xml:space="preserve">Броят на докладваните </w:t>
      </w:r>
      <w:r>
        <w:rPr>
          <w:rFonts w:ascii="Times New Roman" w:hAnsi="Times New Roman"/>
          <w:i/>
          <w:noProof/>
          <w:sz w:val="24"/>
          <w:szCs w:val="24"/>
        </w:rPr>
        <w:t>години живот в добро здраве</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се различава в зависимост от пола и държавата. За ЕС като цяло броят очаквани години живот в добро здраве при раждане през 2018 г. е бил 64,2 години за жените и 63,7 години за мъжете</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xml:space="preserve">. Отново, тези данни значително се различават в зависимост от това къде </w:t>
      </w:r>
      <w:r>
        <w:rPr>
          <w:rFonts w:ascii="Times New Roman" w:hAnsi="Times New Roman"/>
          <w:noProof/>
          <w:sz w:val="24"/>
          <w:szCs w:val="24"/>
        </w:rPr>
        <w:t>живеете. Например мъж, живеещ в Швеция, има средно над 73 години живот в добро здраве, в сравнение с 51 години за мъж, живеещ в Латвия. Почти половината от възрастните хора имат увреждане</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като тази цифра се увеличава, когато хората преминават в групи в п</w:t>
      </w:r>
      <w:r>
        <w:rPr>
          <w:rFonts w:ascii="Times New Roman" w:hAnsi="Times New Roman"/>
          <w:noProof/>
          <w:sz w:val="24"/>
          <w:szCs w:val="24"/>
        </w:rPr>
        <w:t>о-напреднала възраст. Те са по-податливи на предизвикателства, свързани с намалена подвижност, и качеството им на живот зависи от това доколко приобщаващи и достъпни са нашите общества и заобикаляща среда.</w:t>
      </w:r>
    </w:p>
    <w:p w:rsidR="00534131" w:rsidRDefault="00534131">
      <w:pPr>
        <w:shd w:val="clear" w:color="auto" w:fill="FFFFFF"/>
        <w:spacing w:after="0"/>
        <w:contextualSpacing/>
        <w:rPr>
          <w:rFonts w:ascii="Times New Roman" w:hAnsi="Times New Roman" w:cs="Times New Roman"/>
          <w:b/>
          <w:noProof/>
          <w:sz w:val="24"/>
          <w:szCs w:val="24"/>
        </w:rPr>
      </w:pPr>
    </w:p>
    <w:p w:rsidR="00534131" w:rsidRDefault="00A12529">
      <w:pPr>
        <w:keepNext/>
        <w:shd w:val="clear" w:color="auto" w:fill="FFFFFF"/>
        <w:spacing w:after="0"/>
        <w:contextualSpacing/>
        <w:jc w:val="center"/>
        <w:rPr>
          <w:rFonts w:ascii="Times New Roman" w:hAnsi="Times New Roman" w:cs="Times New Roman"/>
          <w:b/>
          <w:noProof/>
          <w:sz w:val="24"/>
          <w:szCs w:val="24"/>
        </w:rPr>
      </w:pPr>
      <w:r>
        <w:rPr>
          <w:rFonts w:ascii="Times New Roman" w:hAnsi="Times New Roman"/>
          <w:b/>
          <w:noProof/>
          <w:sz w:val="24"/>
          <w:szCs w:val="24"/>
        </w:rPr>
        <w:t>Очаквани години живот в добро здраве при раждане,</w:t>
      </w:r>
      <w:r>
        <w:rPr>
          <w:rFonts w:ascii="Times New Roman" w:hAnsi="Times New Roman"/>
          <w:b/>
          <w:noProof/>
          <w:sz w:val="24"/>
          <w:szCs w:val="24"/>
        </w:rPr>
        <w:t xml:space="preserve"> 2018 г.</w:t>
      </w:r>
    </w:p>
    <w:p w:rsidR="00534131" w:rsidRDefault="00A12529">
      <w:pPr>
        <w:shd w:val="clear" w:color="auto" w:fill="FFFFFF"/>
        <w:jc w:val="center"/>
        <w:rPr>
          <w:rFonts w:ascii="Times New Roman" w:hAnsi="Times New Roman" w:cs="Times New Roman"/>
          <w:noProof/>
          <w:sz w:val="24"/>
          <w:szCs w:val="24"/>
        </w:rPr>
      </w:pPr>
      <w:r>
        <w:rPr>
          <w:noProof/>
          <w:lang w:val="fr-BE" w:eastAsia="fr-BE"/>
        </w:rPr>
        <w:drawing>
          <wp:inline distT="0" distB="0" distL="0" distR="0">
            <wp:extent cx="6192520" cy="44809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2520" cy="4480908"/>
                    </a:xfrm>
                    <a:prstGeom prst="rect">
                      <a:avLst/>
                    </a:prstGeom>
                    <a:noFill/>
                    <a:ln>
                      <a:noFill/>
                    </a:ln>
                  </pic:spPr>
                </pic:pic>
              </a:graphicData>
            </a:graphic>
          </wp:inline>
        </w:drawing>
      </w:r>
    </w:p>
    <w:p w:rsidR="00534131" w:rsidRDefault="00A12529">
      <w:pPr>
        <w:shd w:val="clear" w:color="auto" w:fill="FFFFFF"/>
        <w:rPr>
          <w:rFonts w:ascii="Times New Roman" w:hAnsi="Times New Roman" w:cs="Times New Roman"/>
          <w:noProof/>
          <w:sz w:val="24"/>
          <w:szCs w:val="24"/>
        </w:rPr>
      </w:pPr>
      <w:r>
        <w:rPr>
          <w:rFonts w:ascii="Times New Roman" w:hAnsi="Times New Roman"/>
          <w:i/>
          <w:noProof/>
          <w:sz w:val="24"/>
          <w:szCs w:val="24"/>
        </w:rPr>
        <w:t>Източник: Евростат</w:t>
      </w:r>
    </w:p>
    <w:p w:rsidR="00534131" w:rsidRDefault="00A12529">
      <w:pPr>
        <w:keepNext/>
        <w:keepLines/>
        <w:shd w:val="clear" w:color="auto" w:fill="FFFFFF"/>
        <w:spacing w:after="0"/>
        <w:ind w:left="397" w:firstLine="720"/>
        <w:rPr>
          <w:rFonts w:ascii="Times New Roman" w:hAnsi="Times New Roman"/>
          <w:b/>
          <w:noProof/>
          <w:sz w:val="24"/>
          <w:szCs w:val="24"/>
        </w:rPr>
      </w:pPr>
      <w:r>
        <w:rPr>
          <w:rFonts w:ascii="Times New Roman" w:hAnsi="Times New Roman"/>
          <w:b/>
          <w:noProof/>
          <w:sz w:val="24"/>
          <w:szCs w:val="24"/>
        </w:rPr>
        <w:t>Очаквана продължителност на живота при раждане по региони</w:t>
      </w:r>
      <w:r>
        <w:rPr>
          <w:rFonts w:ascii="Times New Roman" w:hAnsi="Times New Roman" w:cs="Times New Roman"/>
          <w:b/>
          <w:noProof/>
          <w:sz w:val="24"/>
          <w:szCs w:val="24"/>
          <w:vertAlign w:val="superscript"/>
        </w:rPr>
        <w:footnoteReference w:id="11"/>
      </w:r>
      <w:r>
        <w:rPr>
          <w:rFonts w:ascii="Times New Roman" w:hAnsi="Times New Roman"/>
          <w:b/>
          <w:noProof/>
          <w:sz w:val="24"/>
          <w:szCs w:val="24"/>
        </w:rPr>
        <w:t>, 2018 г.</w:t>
      </w:r>
    </w:p>
    <w:p w:rsidR="00534131" w:rsidRDefault="00A12529">
      <w:pPr>
        <w:keepNext/>
        <w:keepLines/>
        <w:shd w:val="clear" w:color="auto" w:fill="FFFFFF"/>
        <w:spacing w:after="0"/>
        <w:ind w:left="397" w:firstLine="720"/>
        <w:rPr>
          <w:rFonts w:ascii="Times New Roman" w:hAnsi="Times New Roman" w:cs="Times New Roman"/>
          <w:b/>
          <w:noProof/>
          <w:sz w:val="24"/>
          <w:szCs w:val="24"/>
        </w:rPr>
      </w:pPr>
      <w:r w:rsidRPr="00A12529">
        <w:rPr>
          <w:rFonts w:ascii="Times New Roman" w:hAnsi="Times New Roman"/>
          <w:noProof/>
          <w:sz w:val="24"/>
          <w:szCs w:val="24"/>
        </w:rPr>
        <w:t>(Очаквана продължителност на живота при раждане в години)</w:t>
      </w:r>
    </w:p>
    <w:p w:rsidR="00534131" w:rsidRDefault="00A12529">
      <w:pPr>
        <w:spacing w:after="0"/>
        <w:jc w:val="center"/>
        <w:rPr>
          <w:rFonts w:ascii="Times New Roman" w:hAnsi="Times New Roman" w:cs="Times New Roman"/>
          <w:b/>
          <w:noProof/>
          <w:color w:val="0070C0"/>
          <w:sz w:val="24"/>
          <w:szCs w:val="24"/>
        </w:rPr>
      </w:pPr>
      <w:bookmarkStart w:id="12" w:name="_Toc32414436"/>
      <w:bookmarkStart w:id="13" w:name="_Toc32444148"/>
      <w:r>
        <w:rPr>
          <w:rFonts w:ascii="Times New Roman" w:hAnsi="Times New Roman"/>
          <w:noProof/>
          <w:color w:val="0070C0"/>
          <w:sz w:val="24"/>
          <w:szCs w:val="24"/>
        </w:rPr>
        <w:pict>
          <v:shape id="_x0000_i1026" type="#_x0000_t75" alt="" style="width:396pt;height:545.85pt;visibility:visible;mso-width-percent:0;mso-height-percent:0;mso-width-percent:0;mso-height-percent:0">
            <v:imagedata r:id="rId17" o:title="N2_lifexp_2018_A4P20_M"/>
          </v:shape>
        </w:pict>
      </w:r>
    </w:p>
    <w:p w:rsidR="00534131" w:rsidRDefault="00A12529">
      <w:pPr>
        <w:rPr>
          <w:rFonts w:ascii="Times New Roman" w:hAnsi="Times New Roman" w:cs="Times New Roman"/>
          <w:b/>
          <w:noProof/>
          <w:sz w:val="24"/>
          <w:szCs w:val="24"/>
        </w:rPr>
      </w:pPr>
      <w:bookmarkStart w:id="14" w:name="_Toc33800396"/>
      <w:r>
        <w:rPr>
          <w:noProof/>
        </w:rPr>
        <w:br w:type="page"/>
      </w:r>
    </w:p>
    <w:p w:rsidR="00534131" w:rsidRDefault="00A12529">
      <w:pPr>
        <w:pStyle w:val="Heading2"/>
        <w:keepNext/>
        <w:rPr>
          <w:noProof/>
        </w:rPr>
      </w:pPr>
      <w:bookmarkStart w:id="15" w:name="_Toc43821374"/>
      <w:r>
        <w:rPr>
          <w:noProof/>
        </w:rPr>
        <w:t>2.2. ПО-МАЛКО РОДЕНИ ДЕЦА</w:t>
      </w:r>
      <w:bookmarkEnd w:id="12"/>
      <w:bookmarkEnd w:id="13"/>
      <w:bookmarkEnd w:id="14"/>
      <w:bookmarkEnd w:id="15"/>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noProof/>
          <w:sz w:val="24"/>
          <w:szCs w:val="24"/>
        </w:rPr>
        <w:t xml:space="preserve">От шестдесетте до средата на деветдесетте години на ХХ век средният </w:t>
      </w:r>
      <w:r>
        <w:rPr>
          <w:rFonts w:ascii="Times New Roman" w:hAnsi="Times New Roman"/>
          <w:noProof/>
          <w:sz w:val="24"/>
          <w:szCs w:val="24"/>
        </w:rPr>
        <w:t>брой раждания на деца на една жена в Европа е намалял</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Равнището до известна степен се възстановява през първото десетилетие на ХХІ век и след това през следващото десетилетие се запазва приблизително стабилно. </w:t>
      </w:r>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noProof/>
          <w:sz w:val="24"/>
          <w:szCs w:val="24"/>
        </w:rPr>
        <w:t xml:space="preserve">През 2018 г. равнището е 1,55 деца на една </w:t>
      </w:r>
      <w:r>
        <w:rPr>
          <w:rFonts w:ascii="Times New Roman" w:hAnsi="Times New Roman"/>
          <w:noProof/>
          <w:sz w:val="24"/>
          <w:szCs w:val="24"/>
        </w:rPr>
        <w:t>жена. То е под стойността от 2,1, която се счита, че е необходима, за да се поддържа постоянна численост на населението при отсъствие на миграция. Почти няма регион в Европа с коефициент на това равнище</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а някои региони регистрират коефициент, по-малък от</w:t>
      </w:r>
      <w:r>
        <w:rPr>
          <w:rFonts w:ascii="Times New Roman" w:hAnsi="Times New Roman"/>
          <w:noProof/>
          <w:sz w:val="24"/>
          <w:szCs w:val="24"/>
        </w:rPr>
        <w:t xml:space="preserve"> 1,25. Такъв е случаят например в северозападната част на Иберийския полуостров, в югоизточна Италия и в Сардиния, както и в някои части на Гърция. </w:t>
      </w:r>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noProof/>
          <w:sz w:val="24"/>
          <w:szCs w:val="24"/>
        </w:rPr>
        <w:t>Също така средностатистически жените раждат децата си на по-късен етап в живота. Между 2001 г. и 2018 г. ср</w:t>
      </w:r>
      <w:r>
        <w:rPr>
          <w:rFonts w:ascii="Times New Roman" w:hAnsi="Times New Roman"/>
          <w:noProof/>
          <w:sz w:val="24"/>
          <w:szCs w:val="24"/>
        </w:rPr>
        <w:t>едната възраст на жените при раждане на дете в ЕС се е увеличила от 29,0 на 30,8 години.</w:t>
      </w:r>
    </w:p>
    <w:p w:rsidR="00534131" w:rsidRDefault="00A12529">
      <w:pPr>
        <w:keepNext/>
        <w:shd w:val="clear" w:color="auto" w:fill="FFFFFF"/>
        <w:spacing w:after="0" w:line="240" w:lineRule="auto"/>
        <w:ind w:left="1440" w:firstLine="720"/>
        <w:contextualSpacing/>
        <w:rPr>
          <w:rFonts w:ascii="Times New Roman" w:eastAsia="Calibri" w:hAnsi="Times New Roman" w:cs="Times New Roman"/>
          <w:b/>
          <w:noProof/>
          <w:sz w:val="24"/>
          <w:szCs w:val="24"/>
        </w:rPr>
      </w:pPr>
      <w:r>
        <w:rPr>
          <w:rFonts w:ascii="Times New Roman" w:hAnsi="Times New Roman"/>
          <w:b/>
          <w:noProof/>
          <w:sz w:val="24"/>
          <w:szCs w:val="24"/>
        </w:rPr>
        <w:t>Показатели за плодовитост, ЕС-27, 2001—2018 г.</w:t>
      </w:r>
    </w:p>
    <w:p w:rsidR="00534131" w:rsidRDefault="00A12529">
      <w:pPr>
        <w:shd w:val="clear" w:color="auto" w:fill="FFFFFF"/>
        <w:spacing w:after="0" w:line="240" w:lineRule="auto"/>
        <w:contextualSpacing/>
        <w:jc w:val="center"/>
        <w:rPr>
          <w:rFonts w:ascii="Times New Roman" w:hAnsi="Times New Roman"/>
          <w:noProof/>
          <w:sz w:val="24"/>
          <w:szCs w:val="24"/>
          <w:lang w:val="en-US"/>
        </w:rPr>
      </w:pPr>
      <w:r>
        <w:rPr>
          <w:noProof/>
          <w:lang w:val="fr-BE" w:eastAsia="fr-BE"/>
        </w:rPr>
        <w:drawing>
          <wp:inline distT="0" distB="0" distL="0" distR="0">
            <wp:extent cx="6192520" cy="3807556"/>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520" cy="3807556"/>
                    </a:xfrm>
                    <a:prstGeom prst="rect">
                      <a:avLst/>
                    </a:prstGeom>
                    <a:noFill/>
                    <a:ln>
                      <a:noFill/>
                    </a:ln>
                  </pic:spPr>
                </pic:pic>
              </a:graphicData>
            </a:graphic>
          </wp:inline>
        </w:drawing>
      </w:r>
    </w:p>
    <w:p w:rsidR="00534131" w:rsidRDefault="00534131">
      <w:pPr>
        <w:shd w:val="clear" w:color="auto" w:fill="FFFFFF"/>
        <w:spacing w:after="0" w:line="240" w:lineRule="auto"/>
        <w:contextualSpacing/>
        <w:jc w:val="center"/>
        <w:rPr>
          <w:rFonts w:ascii="Times New Roman" w:eastAsia="Calibri" w:hAnsi="Times New Roman" w:cs="Times New Roman"/>
          <w:noProof/>
          <w:sz w:val="24"/>
          <w:szCs w:val="24"/>
        </w:rPr>
      </w:pPr>
    </w:p>
    <w:p w:rsidR="00534131" w:rsidRDefault="00A12529">
      <w:pPr>
        <w:shd w:val="clear" w:color="auto" w:fill="FFFFFF"/>
        <w:spacing w:after="0" w:line="240" w:lineRule="auto"/>
        <w:contextualSpacing/>
        <w:rPr>
          <w:rFonts w:ascii="Times New Roman" w:eastAsia="Calibri" w:hAnsi="Times New Roman" w:cs="Times New Roman"/>
          <w:i/>
          <w:noProof/>
          <w:sz w:val="24"/>
          <w:szCs w:val="24"/>
        </w:rPr>
      </w:pPr>
      <w:r>
        <w:rPr>
          <w:rFonts w:ascii="Times New Roman" w:hAnsi="Times New Roman"/>
          <w:i/>
          <w:noProof/>
          <w:sz w:val="24"/>
          <w:szCs w:val="24"/>
        </w:rPr>
        <w:t>Източник: Евростат</w:t>
      </w:r>
    </w:p>
    <w:p w:rsidR="00534131" w:rsidRDefault="00A12529">
      <w:pPr>
        <w:keepNext/>
        <w:keepLines/>
        <w:spacing w:after="0" w:line="240" w:lineRule="auto"/>
        <w:jc w:val="center"/>
        <w:rPr>
          <w:rFonts w:ascii="Times New Roman" w:hAnsi="Times New Roman"/>
          <w:b/>
          <w:noProof/>
          <w:sz w:val="24"/>
          <w:szCs w:val="24"/>
        </w:rPr>
      </w:pPr>
      <w:r>
        <w:rPr>
          <w:rFonts w:ascii="Times New Roman" w:hAnsi="Times New Roman"/>
          <w:b/>
          <w:noProof/>
          <w:sz w:val="24"/>
          <w:szCs w:val="24"/>
        </w:rPr>
        <w:t>Коефициент за обща плодовитост по региони</w:t>
      </w:r>
      <w:r>
        <w:rPr>
          <w:rStyle w:val="FootnoteReference"/>
          <w:rFonts w:ascii="Times New Roman" w:hAnsi="Times New Roman" w:cs="Times New Roman"/>
          <w:b/>
          <w:noProof/>
          <w:sz w:val="24"/>
          <w:szCs w:val="24"/>
        </w:rPr>
        <w:footnoteReference w:id="14"/>
      </w:r>
      <w:r>
        <w:rPr>
          <w:rFonts w:ascii="Times New Roman" w:hAnsi="Times New Roman"/>
          <w:b/>
          <w:noProof/>
          <w:sz w:val="24"/>
          <w:szCs w:val="24"/>
        </w:rPr>
        <w:t>, 2018 г.</w:t>
      </w:r>
    </w:p>
    <w:p w:rsidR="00534131" w:rsidRDefault="00A12529">
      <w:pPr>
        <w:keepNext/>
        <w:keepLines/>
        <w:spacing w:after="0" w:line="240" w:lineRule="auto"/>
        <w:jc w:val="center"/>
        <w:rPr>
          <w:rFonts w:ascii="Times New Roman" w:hAnsi="Times New Roman" w:cs="Times New Roman"/>
          <w:b/>
          <w:noProof/>
          <w:sz w:val="24"/>
          <w:szCs w:val="24"/>
        </w:rPr>
      </w:pPr>
      <w:r w:rsidRPr="00A12529">
        <w:rPr>
          <w:rFonts w:ascii="Times New Roman" w:hAnsi="Times New Roman"/>
          <w:noProof/>
          <w:sz w:val="24"/>
          <w:szCs w:val="24"/>
        </w:rPr>
        <w:t>(Брой родени живи деца на една жена)</w:t>
      </w:r>
    </w:p>
    <w:p w:rsidR="00534131" w:rsidRDefault="00A12529">
      <w:pPr>
        <w:keepNext/>
        <w:keepLines/>
        <w:spacing w:after="0" w:line="240" w:lineRule="auto"/>
        <w:jc w:val="center"/>
        <w:rPr>
          <w:rFonts w:ascii="Times New Roman" w:hAnsi="Times New Roman" w:cs="Times New Roman"/>
          <w:i/>
          <w:noProof/>
          <w:sz w:val="24"/>
          <w:szCs w:val="24"/>
        </w:rPr>
      </w:pPr>
      <w:r>
        <w:rPr>
          <w:rFonts w:ascii="Times New Roman" w:hAnsi="Times New Roman"/>
          <w:i/>
          <w:noProof/>
          <w:sz w:val="24"/>
          <w:szCs w:val="24"/>
          <w:lang w:val="fr-BE" w:eastAsia="fr-BE"/>
        </w:rPr>
        <w:drawing>
          <wp:inline distT="0" distB="0" distL="0" distR="0">
            <wp:extent cx="5653378" cy="788037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3_TFR_2018_A4P20_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9518" cy="7902877"/>
                    </a:xfrm>
                    <a:prstGeom prst="rect">
                      <a:avLst/>
                    </a:prstGeom>
                  </pic:spPr>
                </pic:pic>
              </a:graphicData>
            </a:graphic>
          </wp:inline>
        </w:drawing>
      </w:r>
    </w:p>
    <w:p w:rsidR="00534131" w:rsidRDefault="00A12529">
      <w:pPr>
        <w:rPr>
          <w:rFonts w:ascii="Times New Roman" w:hAnsi="Times New Roman" w:cs="Times New Roman"/>
          <w:b/>
          <w:noProof/>
          <w:sz w:val="24"/>
          <w:szCs w:val="24"/>
        </w:rPr>
      </w:pPr>
      <w:bookmarkStart w:id="16" w:name="_Toc32414437"/>
      <w:bookmarkStart w:id="17" w:name="_Toc32444149"/>
      <w:bookmarkStart w:id="18" w:name="_Toc33800397"/>
      <w:r>
        <w:rPr>
          <w:noProof/>
        </w:rPr>
        <w:br w:type="page"/>
      </w:r>
    </w:p>
    <w:p w:rsidR="00534131" w:rsidRDefault="00A12529">
      <w:pPr>
        <w:pStyle w:val="Heading2"/>
        <w:keepNext/>
        <w:rPr>
          <w:noProof/>
        </w:rPr>
      </w:pPr>
      <w:bookmarkStart w:id="19" w:name="_Toc43821375"/>
      <w:r>
        <w:rPr>
          <w:noProof/>
        </w:rPr>
        <w:t xml:space="preserve">2.3. </w:t>
      </w:r>
      <w:r>
        <w:rPr>
          <w:noProof/>
        </w:rPr>
        <w:t>ЗАСТАРЯВАЩО НАСЕЛЕНИЕ</w:t>
      </w:r>
      <w:bookmarkEnd w:id="16"/>
      <w:bookmarkEnd w:id="17"/>
      <w:bookmarkEnd w:id="18"/>
      <w:bookmarkEnd w:id="19"/>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Населението на Европа става по-възрастно.</w:t>
      </w:r>
      <w:r>
        <w:rPr>
          <w:rFonts w:ascii="Times New Roman" w:hAnsi="Times New Roman"/>
          <w:b/>
          <w:noProof/>
          <w:sz w:val="24"/>
          <w:szCs w:val="24"/>
        </w:rPr>
        <w:t xml:space="preserve"> </w:t>
      </w:r>
      <w:r>
        <w:rPr>
          <w:rFonts w:ascii="Times New Roman" w:hAnsi="Times New Roman"/>
          <w:noProof/>
          <w:sz w:val="24"/>
          <w:szCs w:val="24"/>
        </w:rPr>
        <w:t>Медианната възраст</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xml:space="preserve"> на населението на ЕС-27 се увеличава от години насам и според прогнозите ще продължи да се увеличава с подобни темпове още две десетилетия. Медианната възраст може да достигне 49 години през 2070 г. — с около пет години повече от днешната.</w:t>
      </w:r>
    </w:p>
    <w:p w:rsidR="00534131" w:rsidRDefault="00A12529">
      <w:pPr>
        <w:keepNext/>
        <w:spacing w:after="0"/>
        <w:contextualSpacing/>
        <w:jc w:val="center"/>
        <w:rPr>
          <w:rStyle w:val="Strong"/>
          <w:rFonts w:ascii="Times New Roman" w:hAnsi="Times New Roman" w:cs="Times New Roman"/>
          <w:noProof/>
          <w:sz w:val="24"/>
          <w:szCs w:val="24"/>
        </w:rPr>
      </w:pPr>
      <w:r>
        <w:rPr>
          <w:rStyle w:val="Strong"/>
          <w:rFonts w:ascii="Times New Roman" w:hAnsi="Times New Roman"/>
          <w:noProof/>
          <w:sz w:val="24"/>
          <w:szCs w:val="24"/>
        </w:rPr>
        <w:t>Медианна възрас</w:t>
      </w:r>
      <w:r>
        <w:rPr>
          <w:rStyle w:val="Strong"/>
          <w:rFonts w:ascii="Times New Roman" w:hAnsi="Times New Roman"/>
          <w:noProof/>
          <w:sz w:val="24"/>
          <w:szCs w:val="24"/>
        </w:rPr>
        <w:t>т на населението на ЕС-27 през периода 2001—2070 г.</w:t>
      </w:r>
    </w:p>
    <w:p w:rsidR="00534131" w:rsidRDefault="00A12529">
      <w:pPr>
        <w:spacing w:after="0"/>
        <w:contextualSpacing/>
        <w:jc w:val="center"/>
        <w:rPr>
          <w:rFonts w:ascii="Times New Roman" w:hAnsi="Times New Roman" w:cs="Times New Roman"/>
          <w:b/>
          <w:noProof/>
          <w:sz w:val="24"/>
          <w:szCs w:val="24"/>
        </w:rPr>
      </w:pPr>
      <w:r>
        <w:rPr>
          <w:noProof/>
          <w:lang w:val="fr-BE" w:eastAsia="fr-BE"/>
        </w:rPr>
        <w:drawing>
          <wp:inline distT="0" distB="0" distL="0" distR="0">
            <wp:extent cx="6192520" cy="302441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3024411"/>
                    </a:xfrm>
                    <a:prstGeom prst="rect">
                      <a:avLst/>
                    </a:prstGeom>
                    <a:noFill/>
                    <a:ln>
                      <a:noFill/>
                    </a:ln>
                  </pic:spPr>
                </pic:pic>
              </a:graphicData>
            </a:graphic>
          </wp:inline>
        </w:drawing>
      </w:r>
    </w:p>
    <w:p w:rsidR="00534131" w:rsidRDefault="00A12529">
      <w:pPr>
        <w:rPr>
          <w:rFonts w:ascii="Times New Roman" w:hAnsi="Times New Roman" w:cs="Times New Roman"/>
          <w:i/>
          <w:noProof/>
          <w:sz w:val="24"/>
          <w:szCs w:val="24"/>
        </w:rPr>
      </w:pPr>
      <w:r>
        <w:rPr>
          <w:rFonts w:ascii="Times New Roman" w:hAnsi="Times New Roman"/>
          <w:i/>
          <w:noProof/>
          <w:sz w:val="24"/>
          <w:szCs w:val="24"/>
        </w:rPr>
        <w:t xml:space="preserve">Източник: Евростат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С увеличаването на нашата медианна възраст се увеличават и броят и делът на хората от групите в по-напреднала възраст</w:t>
      </w:r>
      <w:r>
        <w:rPr>
          <w:rFonts w:ascii="Times New Roman" w:hAnsi="Times New Roman"/>
          <w:noProof/>
          <w:sz w:val="24"/>
          <w:szCs w:val="24"/>
        </w:rPr>
        <w:t>. Очаква се до 2070 г. 30 % от хората в Европа да бъдат на възрас</w:t>
      </w:r>
      <w:r>
        <w:rPr>
          <w:rFonts w:ascii="Times New Roman" w:hAnsi="Times New Roman"/>
          <w:noProof/>
          <w:sz w:val="24"/>
          <w:szCs w:val="24"/>
        </w:rPr>
        <w:t>т 65 и повече години в сравнение с 20 % днес. Според прогнозите от 2019 г. до 2070 г. делът на хората на възраст 80 или повече години ще се увеличи повече от два пъти и ще достигне 13 %</w:t>
      </w:r>
      <w:r>
        <w:rPr>
          <w:rStyle w:val="FootnoteReference"/>
          <w:rFonts w:ascii="Times New Roman" w:hAnsi="Times New Roman" w:cs="Times New Roman"/>
          <w:noProof/>
          <w:sz w:val="24"/>
          <w:szCs w:val="24"/>
        </w:rPr>
        <w:footnoteReference w:id="16"/>
      </w:r>
      <w:r>
        <w:rPr>
          <w:rFonts w:ascii="Times New Roman" w:hAnsi="Times New Roman"/>
          <w:noProof/>
          <w:sz w:val="24"/>
          <w:szCs w:val="24"/>
        </w:rPr>
        <w:t xml:space="preserve">.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В същото време според прогнозите населението в трудоспособна възрас</w:t>
      </w:r>
      <w:r>
        <w:rPr>
          <w:rFonts w:ascii="Times New Roman" w:hAnsi="Times New Roman"/>
          <w:b/>
          <w:noProof/>
          <w:sz w:val="24"/>
          <w:szCs w:val="24"/>
        </w:rPr>
        <w:t>т (20—64 години)</w:t>
      </w:r>
      <w:r>
        <w:rPr>
          <w:rStyle w:val="FootnoteReference"/>
          <w:rFonts w:ascii="Times New Roman" w:hAnsi="Times New Roman" w:cs="Times New Roman"/>
          <w:b/>
          <w:noProof/>
          <w:sz w:val="24"/>
          <w:szCs w:val="24"/>
        </w:rPr>
        <w:footnoteReference w:id="17"/>
      </w:r>
      <w:r>
        <w:rPr>
          <w:rFonts w:ascii="Times New Roman" w:hAnsi="Times New Roman"/>
          <w:b/>
          <w:noProof/>
          <w:sz w:val="24"/>
          <w:szCs w:val="24"/>
        </w:rPr>
        <w:t xml:space="preserve"> ще намалява</w:t>
      </w:r>
      <w:r>
        <w:rPr>
          <w:rFonts w:ascii="Times New Roman" w:hAnsi="Times New Roman"/>
          <w:noProof/>
          <w:sz w:val="24"/>
          <w:szCs w:val="24"/>
        </w:rPr>
        <w:t xml:space="preserve">. През 2019 г. то достигаше 59 % от цялото население. До 2070 г. се очаква да намалее до 51 %. През това време броят на децата и младите хора (на възраст 0—19 години) се очаква да намалее с 12,6 милиона души. </w:t>
      </w:r>
    </w:p>
    <w:p w:rsidR="00534131" w:rsidRDefault="00534131">
      <w:pPr>
        <w:spacing w:after="0"/>
        <w:rPr>
          <w:rStyle w:val="Strong"/>
          <w:rFonts w:ascii="Times New Roman" w:hAnsi="Times New Roman" w:cs="Times New Roman"/>
          <w:noProof/>
          <w:sz w:val="24"/>
          <w:szCs w:val="24"/>
        </w:rPr>
      </w:pPr>
      <w:bookmarkStart w:id="20" w:name="_Toc32414438"/>
    </w:p>
    <w:p w:rsidR="00534131" w:rsidRDefault="00A12529">
      <w:pPr>
        <w:rPr>
          <w:rStyle w:val="Strong"/>
          <w:rFonts w:ascii="Times New Roman" w:hAnsi="Times New Roman" w:cs="Times New Roman"/>
          <w:noProof/>
          <w:sz w:val="24"/>
          <w:szCs w:val="24"/>
        </w:rPr>
      </w:pPr>
      <w:r>
        <w:rPr>
          <w:noProof/>
        </w:rPr>
        <w:br w:type="page"/>
      </w:r>
    </w:p>
    <w:p w:rsidR="00534131" w:rsidRDefault="00A12529">
      <w:pPr>
        <w:keepNext/>
        <w:spacing w:after="0"/>
        <w:jc w:val="center"/>
        <w:rPr>
          <w:noProof/>
        </w:rPr>
      </w:pPr>
      <w:r>
        <w:rPr>
          <w:rStyle w:val="Strong"/>
          <w:rFonts w:ascii="Times New Roman" w:hAnsi="Times New Roman"/>
          <w:noProof/>
          <w:sz w:val="24"/>
          <w:szCs w:val="24"/>
        </w:rPr>
        <w:t>Население по в</w:t>
      </w:r>
      <w:r>
        <w:rPr>
          <w:rStyle w:val="Strong"/>
          <w:rFonts w:ascii="Times New Roman" w:hAnsi="Times New Roman"/>
          <w:noProof/>
          <w:sz w:val="24"/>
          <w:szCs w:val="24"/>
        </w:rPr>
        <w:t>ъзрастови групи, ЕС-27, 2001—2070 г.</w:t>
      </w:r>
    </w:p>
    <w:p w:rsidR="00534131" w:rsidRDefault="00A12529">
      <w:pPr>
        <w:keepNext/>
        <w:spacing w:after="0"/>
        <w:jc w:val="center"/>
        <w:rPr>
          <w:rFonts w:ascii="Times New Roman" w:hAnsi="Times New Roman"/>
          <w:noProof/>
          <w:sz w:val="24"/>
        </w:rPr>
      </w:pPr>
      <w:r>
        <w:rPr>
          <w:rStyle w:val="Strong"/>
          <w:b w:val="0"/>
          <w:bCs w:val="0"/>
          <w:noProof/>
          <w:lang w:val="fr-BE" w:eastAsia="fr-BE"/>
        </w:rPr>
        <w:drawing>
          <wp:inline distT="0" distB="0" distL="0" distR="0">
            <wp:extent cx="6192520" cy="3378835"/>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3378835"/>
                    </a:xfrm>
                    <a:prstGeom prst="rect">
                      <a:avLst/>
                    </a:prstGeom>
                    <a:noFill/>
                    <a:ln>
                      <a:noFill/>
                    </a:ln>
                  </pic:spPr>
                </pic:pic>
              </a:graphicData>
            </a:graphic>
          </wp:inline>
        </w:drawing>
      </w:r>
    </w:p>
    <w:p w:rsidR="00534131" w:rsidRDefault="00A12529">
      <w:pPr>
        <w:spacing w:after="0"/>
        <w:rPr>
          <w:rFonts w:ascii="Times New Roman" w:hAnsi="Times New Roman" w:cs="Times New Roman"/>
          <w:i/>
          <w:noProof/>
          <w:sz w:val="24"/>
          <w:szCs w:val="24"/>
        </w:rPr>
      </w:pPr>
      <w:r>
        <w:rPr>
          <w:rFonts w:ascii="Times New Roman" w:hAnsi="Times New Roman"/>
          <w:i/>
          <w:noProof/>
          <w:sz w:val="24"/>
          <w:szCs w:val="24"/>
        </w:rPr>
        <w:t xml:space="preserve">Източник: Евростат </w:t>
      </w:r>
    </w:p>
    <w:p w:rsidR="00534131" w:rsidRDefault="00534131">
      <w:pPr>
        <w:pStyle w:val="Heading2"/>
        <w:rPr>
          <w:noProof/>
        </w:rPr>
      </w:pPr>
      <w:bookmarkStart w:id="21" w:name="_Toc32444150"/>
    </w:p>
    <w:p w:rsidR="00534131" w:rsidRDefault="00A12529">
      <w:pPr>
        <w:pStyle w:val="Heading2"/>
        <w:keepNext/>
        <w:rPr>
          <w:noProof/>
        </w:rPr>
      </w:pPr>
      <w:bookmarkStart w:id="22" w:name="_Toc33800398"/>
      <w:bookmarkStart w:id="23" w:name="_Toc43821376"/>
      <w:r>
        <w:rPr>
          <w:noProof/>
        </w:rPr>
        <w:t>2.4. ПО-МАЛКИ ДОМАКИНСТВА</w:t>
      </w:r>
      <w:bookmarkEnd w:id="20"/>
      <w:bookmarkEnd w:id="21"/>
      <w:bookmarkEnd w:id="22"/>
      <w:bookmarkEnd w:id="23"/>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Броят на домакинствата в Европа се увеличава, но едновременно с това средният им размер намалява</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През 2019 г. в Европа е имало 195 милиона домакинства, което </w:t>
      </w:r>
      <w:r>
        <w:rPr>
          <w:rFonts w:ascii="Times New Roman" w:hAnsi="Times New Roman"/>
          <w:noProof/>
          <w:sz w:val="24"/>
          <w:szCs w:val="24"/>
        </w:rPr>
        <w:t xml:space="preserve">представлява увеличение с 13 милиона от 2010 г. насам. Средният размер на тези домакинства е по-малък. През 2010 г. едно средностатистическо домакинство се състои от 2,4 души. През последното десетилетие то бавно намаляваше и до 2019 г. достигна размер от </w:t>
      </w:r>
      <w:r>
        <w:rPr>
          <w:rFonts w:ascii="Times New Roman" w:hAnsi="Times New Roman"/>
          <w:noProof/>
          <w:sz w:val="24"/>
          <w:szCs w:val="24"/>
        </w:rPr>
        <w:t>2,3 души.</w:t>
      </w:r>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Около една трета от всички домакинства се състоят от един човек</w:t>
      </w:r>
      <w:r>
        <w:rPr>
          <w:rFonts w:ascii="Times New Roman" w:hAnsi="Times New Roman"/>
          <w:noProof/>
          <w:sz w:val="24"/>
          <w:szCs w:val="24"/>
        </w:rPr>
        <w:t xml:space="preserve"> — това представлява увеличение с 19 % от 2010 г. насам. Общата тенденция е към домакинства, състоящи се от двойки без деца, лица, живеещи сами, и самотни родители. В повечето от дома</w:t>
      </w:r>
      <w:r>
        <w:rPr>
          <w:rFonts w:ascii="Times New Roman" w:hAnsi="Times New Roman"/>
          <w:noProof/>
          <w:sz w:val="24"/>
          <w:szCs w:val="24"/>
        </w:rPr>
        <w:t>кинствата няма деца, докато домакинствата с един родител са се увеличили с 13 % от 2010 г. насам. Тези модели могат също така да играят роля в контекста на пандемията, при която структурата на някои домакинства може да е имала значение за разпространението</w:t>
      </w:r>
      <w:r>
        <w:rPr>
          <w:rFonts w:ascii="Times New Roman" w:hAnsi="Times New Roman"/>
          <w:noProof/>
          <w:sz w:val="24"/>
          <w:szCs w:val="24"/>
        </w:rPr>
        <w:t xml:space="preserve"> на вируса.</w:t>
      </w:r>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noProof/>
          <w:sz w:val="24"/>
          <w:szCs w:val="24"/>
        </w:rPr>
        <w:t xml:space="preserve">Тъй като населението на Европа застарява, </w:t>
      </w:r>
      <w:r>
        <w:rPr>
          <w:rFonts w:ascii="Times New Roman" w:hAnsi="Times New Roman"/>
          <w:b/>
          <w:noProof/>
          <w:sz w:val="24"/>
          <w:szCs w:val="24"/>
        </w:rPr>
        <w:t>все по-голям брой хора на възраст 65 и повече години ще живеят сами</w:t>
      </w:r>
      <w:r>
        <w:rPr>
          <w:rStyle w:val="FootnoteReference"/>
          <w:rFonts w:ascii="Times New Roman" w:hAnsi="Times New Roman" w:cs="Times New Roman"/>
          <w:noProof/>
          <w:sz w:val="24"/>
          <w:szCs w:val="24"/>
        </w:rPr>
        <w:footnoteReference w:id="18"/>
      </w:r>
      <w:r>
        <w:rPr>
          <w:rFonts w:ascii="Times New Roman" w:hAnsi="Times New Roman"/>
          <w:noProof/>
          <w:sz w:val="24"/>
          <w:szCs w:val="24"/>
        </w:rPr>
        <w:t>. Това се отнася особено за жените. През 2019 г. делът на възрастните жени, живеещи сами, беше 40 %, което е над два пъти повече от то</w:t>
      </w:r>
      <w:r>
        <w:rPr>
          <w:rFonts w:ascii="Times New Roman" w:hAnsi="Times New Roman"/>
          <w:noProof/>
          <w:sz w:val="24"/>
          <w:szCs w:val="24"/>
        </w:rPr>
        <w:t>зи на мъжете.</w:t>
      </w:r>
    </w:p>
    <w:p w:rsidR="00534131" w:rsidRDefault="00A12529">
      <w:pPr>
        <w:keepNext/>
        <w:keepLines/>
        <w:spacing w:after="0"/>
        <w:contextualSpacing/>
        <w:jc w:val="center"/>
        <w:rPr>
          <w:rFonts w:ascii="Times New Roman" w:hAnsi="Times New Roman" w:cs="Times New Roman"/>
          <w:i/>
          <w:noProof/>
          <w:sz w:val="24"/>
          <w:szCs w:val="24"/>
        </w:rPr>
      </w:pPr>
      <w:r>
        <w:rPr>
          <w:rFonts w:ascii="Times New Roman" w:hAnsi="Times New Roman"/>
          <w:b/>
          <w:noProof/>
          <w:sz w:val="24"/>
          <w:szCs w:val="24"/>
        </w:rPr>
        <w:t xml:space="preserve">Домакинствата в зависимост от присъствието на деца, ЕС-27, 2010—2019 г. </w:t>
      </w:r>
      <w:r>
        <w:rPr>
          <w:rFonts w:ascii="Times New Roman" w:hAnsi="Times New Roman"/>
          <w:i/>
          <w:noProof/>
          <w:sz w:val="24"/>
          <w:szCs w:val="24"/>
        </w:rPr>
        <w:t>(в млн. души)</w:t>
      </w:r>
    </w:p>
    <w:p w:rsidR="00534131" w:rsidRDefault="00A12529">
      <w:pPr>
        <w:spacing w:after="0"/>
        <w:contextualSpacing/>
        <w:rPr>
          <w:rFonts w:ascii="Times New Roman" w:hAnsi="Times New Roman" w:cs="Times New Roman"/>
          <w:noProof/>
          <w:sz w:val="24"/>
          <w:szCs w:val="24"/>
        </w:rPr>
      </w:pPr>
      <w:r>
        <w:rPr>
          <w:noProof/>
          <w:lang w:val="fr-BE" w:eastAsia="fr-BE"/>
        </w:rPr>
        <w:drawing>
          <wp:inline distT="0" distB="0" distL="0" distR="0">
            <wp:extent cx="6192520" cy="33594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520" cy="3359444"/>
                    </a:xfrm>
                    <a:prstGeom prst="rect">
                      <a:avLst/>
                    </a:prstGeom>
                    <a:noFill/>
                    <a:ln>
                      <a:noFill/>
                    </a:ln>
                  </pic:spPr>
                </pic:pic>
              </a:graphicData>
            </a:graphic>
          </wp:inline>
        </w:drawing>
      </w:r>
    </w:p>
    <w:p w:rsidR="00534131" w:rsidRDefault="00A12529">
      <w:pPr>
        <w:spacing w:after="0"/>
        <w:contextualSpacing/>
        <w:rPr>
          <w:rFonts w:ascii="Times New Roman" w:hAnsi="Times New Roman"/>
          <w:i/>
          <w:noProof/>
          <w:sz w:val="24"/>
        </w:rPr>
      </w:pPr>
      <w:r>
        <w:rPr>
          <w:rFonts w:ascii="Times New Roman" w:hAnsi="Times New Roman"/>
          <w:i/>
          <w:noProof/>
          <w:sz w:val="24"/>
        </w:rPr>
        <w:t>Източник: Евростат</w:t>
      </w:r>
    </w:p>
    <w:p w:rsidR="00534131" w:rsidRDefault="00534131">
      <w:pPr>
        <w:pStyle w:val="Text2"/>
        <w:rPr>
          <w:noProof/>
        </w:rPr>
      </w:pPr>
    </w:p>
    <w:p w:rsidR="00534131" w:rsidRDefault="00A12529">
      <w:pPr>
        <w:pStyle w:val="Heading2"/>
        <w:keepNext/>
        <w:rPr>
          <w:noProof/>
        </w:rPr>
      </w:pPr>
      <w:bookmarkStart w:id="24" w:name="_Toc32414439"/>
      <w:bookmarkStart w:id="25" w:name="_Toc32444151"/>
      <w:bookmarkStart w:id="26" w:name="_Toc33800399"/>
      <w:bookmarkStart w:id="27" w:name="_Toc43821377"/>
      <w:r>
        <w:rPr>
          <w:noProof/>
        </w:rPr>
        <w:t xml:space="preserve">2.5. </w:t>
      </w:r>
      <w:bookmarkEnd w:id="24"/>
      <w:bookmarkEnd w:id="25"/>
      <w:bookmarkEnd w:id="26"/>
      <w:r>
        <w:rPr>
          <w:noProof/>
        </w:rPr>
        <w:t>ПО-МОБИЛНА ЕВРОПА</w:t>
      </w:r>
      <w:bookmarkEnd w:id="27"/>
    </w:p>
    <w:p w:rsidR="00534131" w:rsidRDefault="00A12529">
      <w:pPr>
        <w:pStyle w:val="xmsonormal"/>
        <w:spacing w:line="276" w:lineRule="auto"/>
        <w:jc w:val="both"/>
        <w:rPr>
          <w:rFonts w:ascii="Times New Roman" w:hAnsi="Times New Roman" w:cs="Times New Roman"/>
          <w:noProof/>
          <w:sz w:val="24"/>
          <w:szCs w:val="24"/>
        </w:rPr>
      </w:pPr>
      <w:r>
        <w:rPr>
          <w:rFonts w:ascii="Times New Roman" w:hAnsi="Times New Roman"/>
          <w:b/>
          <w:noProof/>
          <w:sz w:val="24"/>
          <w:szCs w:val="24"/>
        </w:rPr>
        <w:t xml:space="preserve">Движението на хора, както в рамките на Европа, така и отвъд границите ѝ, е основна движеща сила за </w:t>
      </w:r>
      <w:r>
        <w:rPr>
          <w:rFonts w:ascii="Times New Roman" w:hAnsi="Times New Roman"/>
          <w:b/>
          <w:noProof/>
          <w:sz w:val="24"/>
          <w:szCs w:val="24"/>
        </w:rPr>
        <w:t>демографските промени</w:t>
      </w:r>
      <w:r>
        <w:rPr>
          <w:rFonts w:ascii="Times New Roman" w:hAnsi="Times New Roman"/>
          <w:noProof/>
          <w:sz w:val="24"/>
          <w:szCs w:val="24"/>
        </w:rPr>
        <w:t xml:space="preserve">. </w:t>
      </w:r>
    </w:p>
    <w:p w:rsidR="00534131" w:rsidRDefault="00A12529">
      <w:pPr>
        <w:pStyle w:val="xmsonormal"/>
        <w:pBdr>
          <w:top w:val="single" w:sz="4" w:space="1" w:color="auto"/>
          <w:left w:val="single" w:sz="4" w:space="4" w:color="auto"/>
          <w:bottom w:val="single" w:sz="4" w:space="1" w:color="auto"/>
          <w:right w:val="single" w:sz="4" w:space="4" w:color="auto"/>
        </w:pBdr>
        <w:shd w:val="clear" w:color="auto" w:fill="F2F2F2"/>
        <w:spacing w:line="276" w:lineRule="auto"/>
        <w:jc w:val="both"/>
        <w:rPr>
          <w:rFonts w:ascii="Times New Roman" w:hAnsi="Times New Roman" w:cs="Times New Roman"/>
          <w:noProof/>
          <w:sz w:val="24"/>
          <w:szCs w:val="24"/>
        </w:rPr>
      </w:pPr>
      <w:r>
        <w:rPr>
          <w:rFonts w:ascii="Times New Roman" w:hAnsi="Times New Roman"/>
          <w:b/>
          <w:noProof/>
          <w:sz w:val="24"/>
          <w:szCs w:val="24"/>
        </w:rPr>
        <w:t>Някои хора прекосяват външните граници на ЕС</w:t>
      </w:r>
      <w:r>
        <w:rPr>
          <w:rFonts w:ascii="Times New Roman" w:hAnsi="Times New Roman"/>
          <w:noProof/>
          <w:sz w:val="24"/>
          <w:szCs w:val="24"/>
        </w:rPr>
        <w:t>, като влизат на територията на Европа или я напускат. През 2018 г. 2,4 милиона души са имигрирали в ЕС-27, докато 1,1 милиона души са емигрирали в държава извън ЕС-27</w:t>
      </w:r>
      <w:r>
        <w:rPr>
          <w:rStyle w:val="FootnoteReference"/>
          <w:rFonts w:ascii="Times New Roman" w:hAnsi="Times New Roman" w:cs="Times New Roman"/>
          <w:noProof/>
          <w:sz w:val="24"/>
          <w:szCs w:val="24"/>
          <w:lang w:val="en-GB"/>
        </w:rPr>
        <w:footnoteReference w:id="19"/>
      </w:r>
      <w:r>
        <w:rPr>
          <w:rFonts w:ascii="Times New Roman" w:hAnsi="Times New Roman"/>
          <w:noProof/>
          <w:sz w:val="24"/>
          <w:szCs w:val="24"/>
        </w:rPr>
        <w:t xml:space="preserve">. Благодарение на свободното движение на хора в Европа </w:t>
      </w:r>
      <w:r>
        <w:rPr>
          <w:rFonts w:ascii="Times New Roman" w:hAnsi="Times New Roman"/>
          <w:b/>
          <w:noProof/>
          <w:sz w:val="24"/>
          <w:szCs w:val="24"/>
        </w:rPr>
        <w:t>много хора избират да се преместят в рамките на ЕС.</w:t>
      </w:r>
      <w:r>
        <w:rPr>
          <w:rFonts w:ascii="Times New Roman" w:hAnsi="Times New Roman"/>
          <w:noProof/>
          <w:sz w:val="24"/>
          <w:szCs w:val="24"/>
        </w:rPr>
        <w:t xml:space="preserve"> Тези движения не оказват въздействие върху числеността или възрастовата структура на населението на ЕС като цяло — но те оказват съществено въздейств</w:t>
      </w:r>
      <w:r>
        <w:rPr>
          <w:rFonts w:ascii="Times New Roman" w:hAnsi="Times New Roman"/>
          <w:noProof/>
          <w:sz w:val="24"/>
          <w:szCs w:val="24"/>
        </w:rPr>
        <w:t>ие на национално, регионално и местно равнище. През 2018 г. 1,4 милиона души са се преместили в друга държава членка. Тази група включва и гражданите на трети държави, живеещи в Европа.</w:t>
      </w:r>
    </w:p>
    <w:p w:rsidR="00534131" w:rsidRDefault="00A12529">
      <w:pPr>
        <w:pStyle w:val="xmsonormal"/>
        <w:spacing w:line="276" w:lineRule="auto"/>
        <w:jc w:val="both"/>
        <w:rPr>
          <w:rFonts w:ascii="Times New Roman" w:hAnsi="Times New Roman" w:cs="Times New Roman"/>
          <w:noProof/>
          <w:sz w:val="24"/>
          <w:szCs w:val="24"/>
        </w:rPr>
      </w:pPr>
      <w:r>
        <w:rPr>
          <w:rFonts w:ascii="Times New Roman" w:hAnsi="Times New Roman"/>
          <w:noProof/>
          <w:sz w:val="24"/>
          <w:szCs w:val="24"/>
        </w:rPr>
        <w:t>Към 1 януари 2019 г. населението на ЕС-27 включва 21,8 милиона граждан</w:t>
      </w:r>
      <w:r>
        <w:rPr>
          <w:rFonts w:ascii="Times New Roman" w:hAnsi="Times New Roman"/>
          <w:noProof/>
          <w:sz w:val="24"/>
          <w:szCs w:val="24"/>
        </w:rPr>
        <w:t>и на трети държави, които представляват 4,9 % от него. 13,3 милиона граждани на ЕС живеят в друга държава от ЕС.</w:t>
      </w:r>
    </w:p>
    <w:p w:rsidR="00534131" w:rsidRDefault="00A12529">
      <w:pPr>
        <w:pStyle w:val="xmsonormal"/>
        <w:spacing w:line="276" w:lineRule="auto"/>
        <w:jc w:val="both"/>
        <w:rPr>
          <w:rFonts w:ascii="Times New Roman" w:hAnsi="Times New Roman"/>
          <w:noProof/>
          <w:sz w:val="24"/>
        </w:rPr>
      </w:pPr>
      <w:r>
        <w:rPr>
          <w:rFonts w:ascii="Times New Roman" w:hAnsi="Times New Roman"/>
          <w:b/>
          <w:noProof/>
          <w:sz w:val="24"/>
          <w:szCs w:val="24"/>
        </w:rPr>
        <w:t>Годишният размер на тези потоци може да се променя, но дългосрочните тенденции са относително стабилни</w:t>
      </w:r>
      <w:r>
        <w:rPr>
          <w:rFonts w:ascii="Times New Roman" w:hAnsi="Times New Roman"/>
          <w:noProof/>
          <w:sz w:val="24"/>
          <w:szCs w:val="24"/>
        </w:rPr>
        <w:t>. През последните 35 години Европа е конт</w:t>
      </w:r>
      <w:r>
        <w:rPr>
          <w:rFonts w:ascii="Times New Roman" w:hAnsi="Times New Roman"/>
          <w:noProof/>
          <w:sz w:val="24"/>
          <w:szCs w:val="24"/>
        </w:rPr>
        <w:t>инент с нетна имиграция. От средата на 80-те години на ХХ век насам всяка година повече хора са се премествали в ЕС, отколкото са го напускали, което е довело до положителна нетна миграция.</w:t>
      </w:r>
    </w:p>
    <w:p w:rsidR="00534131" w:rsidRDefault="00A12529">
      <w:pPr>
        <w:pStyle w:val="xmsonormal"/>
        <w:spacing w:line="276" w:lineRule="auto"/>
        <w:jc w:val="both"/>
        <w:rPr>
          <w:rFonts w:ascii="Times New Roman" w:hAnsi="Times New Roman" w:cs="Times New Roman"/>
          <w:noProof/>
          <w:sz w:val="24"/>
          <w:szCs w:val="24"/>
        </w:rPr>
      </w:pPr>
      <w:r>
        <w:rPr>
          <w:rFonts w:ascii="Times New Roman" w:hAnsi="Times New Roman"/>
          <w:noProof/>
          <w:sz w:val="24"/>
          <w:szCs w:val="24"/>
        </w:rPr>
        <w:t>Остава да се види как извънредните мерки, ограничаващи мобилността</w:t>
      </w:r>
      <w:r>
        <w:rPr>
          <w:rFonts w:ascii="Times New Roman" w:hAnsi="Times New Roman"/>
          <w:noProof/>
          <w:sz w:val="24"/>
          <w:szCs w:val="24"/>
        </w:rPr>
        <w:t xml:space="preserve"> на хората, ще повлияят на моделите и предпочитанията по отношение на мобилността в дългосрочен план. Това включва въпроса дали онези, които са загубили работата и поминъка си на едно място, могат отново да потърсят възможности другаде.</w:t>
      </w:r>
    </w:p>
    <w:p w:rsidR="00534131" w:rsidRDefault="00534131">
      <w:pPr>
        <w:pStyle w:val="xmsonormal"/>
        <w:spacing w:line="276" w:lineRule="auto"/>
        <w:jc w:val="both"/>
        <w:rPr>
          <w:rFonts w:ascii="Times New Roman" w:hAnsi="Times New Roman" w:cs="Times New Roman"/>
          <w:noProof/>
          <w:sz w:val="24"/>
          <w:szCs w:val="24"/>
        </w:rPr>
      </w:pPr>
    </w:p>
    <w:p w:rsidR="00534131" w:rsidRDefault="00A12529">
      <w:pPr>
        <w:keepNext/>
        <w:shd w:val="clear" w:color="auto" w:fill="FFFFFF"/>
        <w:spacing w:after="0"/>
        <w:jc w:val="center"/>
        <w:rPr>
          <w:i/>
          <w:noProof/>
        </w:rPr>
      </w:pPr>
      <w:r>
        <w:rPr>
          <w:rFonts w:ascii="Times New Roman" w:hAnsi="Times New Roman"/>
          <w:b/>
          <w:noProof/>
          <w:sz w:val="24"/>
          <w:szCs w:val="24"/>
        </w:rPr>
        <w:t>Нетна миграция, ЕС</w:t>
      </w:r>
      <w:r>
        <w:rPr>
          <w:rFonts w:ascii="Times New Roman" w:hAnsi="Times New Roman"/>
          <w:b/>
          <w:noProof/>
          <w:sz w:val="24"/>
          <w:szCs w:val="24"/>
        </w:rPr>
        <w:t>-27, 1961—2018 г.</w:t>
      </w:r>
    </w:p>
    <w:p w:rsidR="00534131" w:rsidRDefault="00A12529">
      <w:pPr>
        <w:keepNext/>
        <w:shd w:val="clear" w:color="auto" w:fill="FFFFFF"/>
        <w:spacing w:after="0"/>
        <w:jc w:val="center"/>
        <w:rPr>
          <w:rFonts w:ascii="Times New Roman" w:hAnsi="Times New Roman" w:cs="Times New Roman"/>
          <w:noProof/>
          <w:sz w:val="24"/>
          <w:szCs w:val="24"/>
        </w:rPr>
      </w:pPr>
      <w:r>
        <w:rPr>
          <w:noProof/>
          <w:lang w:val="fr-BE" w:eastAsia="fr-BE"/>
        </w:rPr>
        <w:drawing>
          <wp:inline distT="0" distB="0" distL="0" distR="0">
            <wp:extent cx="6192520" cy="4391025"/>
            <wp:effectExtent l="0" t="0" r="0" b="952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4391025"/>
                    </a:xfrm>
                    <a:prstGeom prst="rect">
                      <a:avLst/>
                    </a:prstGeom>
                    <a:noFill/>
                    <a:ln>
                      <a:noFill/>
                    </a:ln>
                  </pic:spPr>
                </pic:pic>
              </a:graphicData>
            </a:graphic>
          </wp:inline>
        </w:drawing>
      </w:r>
    </w:p>
    <w:p w:rsidR="00534131" w:rsidRDefault="00A12529">
      <w:pPr>
        <w:shd w:val="clear" w:color="auto" w:fill="FFFFFF"/>
        <w:spacing w:after="0"/>
        <w:rPr>
          <w:rFonts w:ascii="Times New Roman" w:hAnsi="Times New Roman" w:cs="Times New Roman"/>
          <w:i/>
          <w:noProof/>
          <w:sz w:val="24"/>
          <w:szCs w:val="24"/>
        </w:rPr>
      </w:pPr>
      <w:r>
        <w:rPr>
          <w:rFonts w:ascii="Times New Roman" w:hAnsi="Times New Roman"/>
          <w:i/>
          <w:noProof/>
          <w:sz w:val="24"/>
          <w:szCs w:val="24"/>
        </w:rPr>
        <w:t>Източник: Евростат</w:t>
      </w:r>
    </w:p>
    <w:p w:rsidR="00534131" w:rsidRDefault="00534131">
      <w:pPr>
        <w:shd w:val="clear" w:color="auto" w:fill="FFFFFF"/>
        <w:spacing w:after="0"/>
        <w:rPr>
          <w:rFonts w:ascii="Times New Roman" w:hAnsi="Times New Roman" w:cs="Times New Roman"/>
          <w:i/>
          <w:noProof/>
          <w:sz w:val="24"/>
          <w:szCs w:val="24"/>
        </w:rPr>
      </w:pPr>
    </w:p>
    <w:p w:rsidR="00534131" w:rsidRDefault="00A12529">
      <w:pPr>
        <w:pStyle w:val="Heading2"/>
        <w:keepNext/>
        <w:rPr>
          <w:noProof/>
        </w:rPr>
      </w:pPr>
      <w:bookmarkStart w:id="28" w:name="_Toc32414440"/>
      <w:bookmarkStart w:id="29" w:name="_Toc32444152"/>
      <w:bookmarkStart w:id="30" w:name="_Toc33800400"/>
      <w:bookmarkStart w:id="31" w:name="_Toc43821378"/>
      <w:r>
        <w:rPr>
          <w:noProof/>
        </w:rPr>
        <w:t xml:space="preserve">2.6. </w:t>
      </w:r>
      <w:bookmarkEnd w:id="28"/>
      <w:bookmarkEnd w:id="29"/>
      <w:r>
        <w:rPr>
          <w:noProof/>
        </w:rPr>
        <w:t>ПРОМЯНА НА ЧИСЛЕНОСТТА НА НАСЕЛЕНИЕТО</w:t>
      </w:r>
      <w:bookmarkEnd w:id="30"/>
      <w:bookmarkEnd w:id="31"/>
      <w:r>
        <w:rPr>
          <w:noProof/>
        </w:rPr>
        <w:t xml:space="preserve"> </w:t>
      </w:r>
    </w:p>
    <w:p w:rsidR="00534131" w:rsidRDefault="00A1252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 xml:space="preserve">С течение на времето населението на Европа нараства постоянно. </w:t>
      </w:r>
      <w:r>
        <w:rPr>
          <w:rFonts w:ascii="Times New Roman" w:hAnsi="Times New Roman"/>
          <w:noProof/>
          <w:sz w:val="24"/>
          <w:szCs w:val="24"/>
        </w:rPr>
        <w:t xml:space="preserve">В ЕС-27 общото население се е увеличило с една четвърт от 1960 г. насам, като е достигнало малко под 447 </w:t>
      </w:r>
      <w:r>
        <w:rPr>
          <w:rFonts w:ascii="Times New Roman" w:hAnsi="Times New Roman"/>
          <w:noProof/>
          <w:sz w:val="24"/>
          <w:szCs w:val="24"/>
        </w:rPr>
        <w:t>милиона души през 2019 г. Съществуват обаче разлики между отделните държави. Макар че в Белгия, Ирландия, Кипър, Люксембург, Малта и Швеция се наблюдава относително стабилно нарастване, населението на България, Хърватия, Латвия, Литва и Румъния намалява сл</w:t>
      </w:r>
      <w:r>
        <w:rPr>
          <w:rFonts w:ascii="Times New Roman" w:hAnsi="Times New Roman"/>
          <w:noProof/>
          <w:sz w:val="24"/>
          <w:szCs w:val="24"/>
        </w:rPr>
        <w:t>ед 1990 г.</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w:t>
      </w:r>
    </w:p>
    <w:p w:rsidR="00534131" w:rsidRDefault="00A12529">
      <w:pPr>
        <w:jc w:val="both"/>
        <w:rPr>
          <w:rFonts w:ascii="Times New Roman" w:hAnsi="Times New Roman" w:cs="Times New Roman"/>
          <w:b/>
          <w:noProof/>
          <w:sz w:val="24"/>
          <w:szCs w:val="24"/>
        </w:rPr>
      </w:pPr>
      <w:r>
        <w:rPr>
          <w:rFonts w:ascii="Times New Roman" w:hAnsi="Times New Roman"/>
          <w:b/>
          <w:noProof/>
          <w:sz w:val="24"/>
        </w:rPr>
        <w:t xml:space="preserve">Общата тенденция на нарастване на населението се очаква да продължи — но не за дълго. </w:t>
      </w:r>
      <w:r>
        <w:rPr>
          <w:rFonts w:ascii="Times New Roman" w:hAnsi="Times New Roman"/>
          <w:noProof/>
          <w:sz w:val="24"/>
          <w:szCs w:val="24"/>
        </w:rPr>
        <w:t xml:space="preserve">От 2012 г. насам броят на смъртните случаи в ЕС-27 надвишава броя на ражданията. Това означава, че без положителната нетна миграция населението на Европа </w:t>
      </w:r>
      <w:r>
        <w:rPr>
          <w:rFonts w:ascii="Times New Roman" w:hAnsi="Times New Roman"/>
          <w:noProof/>
          <w:sz w:val="24"/>
          <w:szCs w:val="24"/>
        </w:rPr>
        <w:t>вече би започнало да намалява.</w:t>
      </w:r>
      <w:r>
        <w:rPr>
          <w:rFonts w:ascii="Times New Roman" w:hAnsi="Times New Roman"/>
          <w:b/>
          <w:noProof/>
          <w:sz w:val="24"/>
          <w:szCs w:val="24"/>
        </w:rPr>
        <w:t xml:space="preserve"> </w:t>
      </w:r>
    </w:p>
    <w:p w:rsidR="00534131" w:rsidRDefault="00A12529">
      <w:pPr>
        <w:jc w:val="both"/>
        <w:rPr>
          <w:rFonts w:ascii="Times New Roman" w:hAnsi="Times New Roman" w:cs="Times New Roman"/>
          <w:b/>
          <w:noProof/>
          <w:sz w:val="24"/>
          <w:szCs w:val="24"/>
        </w:rPr>
      </w:pPr>
      <w:r>
        <w:rPr>
          <w:rFonts w:ascii="Times New Roman" w:hAnsi="Times New Roman"/>
          <w:noProof/>
          <w:sz w:val="24"/>
          <w:szCs w:val="24"/>
        </w:rPr>
        <w:t>Проекциите</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 xml:space="preserve"> показват, че общата численост на населението на Европа ще се запази сравнително стабилна през следващите две десетилетия и след това ще започне да намалява. </w:t>
      </w:r>
      <w:r>
        <w:rPr>
          <w:rFonts w:ascii="Times New Roman" w:hAnsi="Times New Roman"/>
          <w:b/>
          <w:noProof/>
          <w:sz w:val="24"/>
        </w:rPr>
        <w:t>Очаква се да достигне плато от около 449 милиона души п</w:t>
      </w:r>
      <w:r>
        <w:rPr>
          <w:rFonts w:ascii="Times New Roman" w:hAnsi="Times New Roman"/>
          <w:b/>
          <w:noProof/>
          <w:sz w:val="24"/>
        </w:rPr>
        <w:t xml:space="preserve">реди 2025 г. и след това постепенно да намалява след </w:t>
      </w:r>
      <w:r>
        <w:rPr>
          <w:rFonts w:ascii="Times New Roman" w:hAnsi="Times New Roman"/>
          <w:b/>
          <w:bCs/>
          <w:noProof/>
          <w:sz w:val="24"/>
          <w:szCs w:val="24"/>
        </w:rPr>
        <w:t>2030 г.</w:t>
      </w:r>
      <w:r>
        <w:rPr>
          <w:rFonts w:ascii="Times New Roman" w:hAnsi="Times New Roman"/>
          <w:noProof/>
          <w:sz w:val="24"/>
        </w:rPr>
        <w:t>, докато през 2070 г. достигне 424 милиона души — намаление с 5 % за 50 години.</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Очаква се някои държави членки да имат намаляващо население през целия период до 2070 г., а именно България, Гърция,</w:t>
      </w:r>
      <w:r>
        <w:rPr>
          <w:rFonts w:ascii="Times New Roman" w:hAnsi="Times New Roman"/>
          <w:noProof/>
          <w:sz w:val="24"/>
          <w:szCs w:val="24"/>
        </w:rPr>
        <w:t xml:space="preserve"> Хърватия, Италия, Латвия, Литва, Унгария, Полша и Румъния. За някои се очаква да отбележат ръст на населението до 2070 г.: такива са Дания, Ирландия, Кипър, Люксембург, Малта и Швеция. При други се очаква първоначално увеличение, последвано от намаление, </w:t>
      </w:r>
      <w:r>
        <w:rPr>
          <w:rFonts w:ascii="Times New Roman" w:hAnsi="Times New Roman"/>
          <w:noProof/>
          <w:sz w:val="24"/>
          <w:szCs w:val="24"/>
        </w:rPr>
        <w:t>и това са Белгия, Чехия, Естония, Испания, Франция, Германия, Нидерландия, Австрия, Португалия, Словения, Словакия и Финландия.</w:t>
      </w:r>
      <w:bookmarkStart w:id="32" w:name="_Toc32414441"/>
    </w:p>
    <w:p w:rsidR="00534131" w:rsidRDefault="00A12529">
      <w:pPr>
        <w:keepNext/>
        <w:spacing w:after="0" w:line="240" w:lineRule="auto"/>
        <w:contextualSpacing/>
        <w:jc w:val="center"/>
        <w:rPr>
          <w:rFonts w:ascii="Times New Roman" w:eastAsia="Calibri" w:hAnsi="Times New Roman" w:cs="Times New Roman"/>
          <w:b/>
          <w:bCs/>
          <w:noProof/>
          <w:sz w:val="24"/>
          <w:szCs w:val="24"/>
        </w:rPr>
      </w:pPr>
      <w:r>
        <w:rPr>
          <w:rFonts w:ascii="Times New Roman" w:hAnsi="Times New Roman"/>
          <w:b/>
          <w:bCs/>
          <w:noProof/>
          <w:sz w:val="24"/>
          <w:szCs w:val="24"/>
        </w:rPr>
        <w:t>Общо население и годишен прираст на населението, ЕС-27, 1960—2070 г.</w:t>
      </w:r>
    </w:p>
    <w:p w:rsidR="00534131" w:rsidRDefault="00A12529">
      <w:pPr>
        <w:spacing w:after="0" w:line="240" w:lineRule="auto"/>
        <w:contextualSpacing/>
        <w:rPr>
          <w:rFonts w:ascii="Times New Roman" w:eastAsia="Calibri" w:hAnsi="Times New Roman" w:cs="Times New Roman"/>
          <w:i/>
          <w:noProof/>
          <w:sz w:val="24"/>
          <w:szCs w:val="24"/>
        </w:rPr>
      </w:pPr>
      <w:r>
        <w:rPr>
          <w:noProof/>
          <w:lang w:val="fr-BE" w:eastAsia="fr-BE"/>
        </w:rPr>
        <w:drawing>
          <wp:inline distT="0" distB="0" distL="0" distR="0">
            <wp:extent cx="6192520" cy="3293110"/>
            <wp:effectExtent l="0" t="0" r="0" b="254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2520" cy="3293110"/>
                    </a:xfrm>
                    <a:prstGeom prst="rect">
                      <a:avLst/>
                    </a:prstGeom>
                    <a:noFill/>
                    <a:ln>
                      <a:noFill/>
                    </a:ln>
                  </pic:spPr>
                </pic:pic>
              </a:graphicData>
            </a:graphic>
          </wp:inline>
        </w:drawing>
      </w:r>
    </w:p>
    <w:p w:rsidR="00534131" w:rsidRDefault="00A12529">
      <w:pPr>
        <w:spacing w:after="0" w:line="240" w:lineRule="auto"/>
        <w:contextualSpacing/>
        <w:rPr>
          <w:rFonts w:ascii="Times New Roman" w:eastAsia="Calibri" w:hAnsi="Times New Roman" w:cs="Times New Roman"/>
          <w:b/>
          <w:i/>
          <w:noProof/>
          <w:sz w:val="24"/>
          <w:szCs w:val="24"/>
          <w:u w:val="single"/>
        </w:rPr>
      </w:pPr>
      <w:r>
        <w:rPr>
          <w:rFonts w:ascii="Times New Roman" w:hAnsi="Times New Roman"/>
          <w:i/>
          <w:noProof/>
          <w:sz w:val="24"/>
          <w:szCs w:val="24"/>
        </w:rPr>
        <w:t>Източник: Евростат</w:t>
      </w:r>
    </w:p>
    <w:p w:rsidR="00534131" w:rsidRDefault="00A12529">
      <w:pPr>
        <w:shd w:val="clear" w:color="auto" w:fill="FFFFFF"/>
        <w:rPr>
          <w:rFonts w:ascii="Times New Roman" w:hAnsi="Times New Roman" w:cs="Times New Roman"/>
          <w:noProof/>
          <w:sz w:val="24"/>
          <w:szCs w:val="24"/>
        </w:rPr>
      </w:pPr>
      <w:r>
        <w:rPr>
          <w:noProof/>
        </w:rPr>
        <w:br w:type="page"/>
      </w:r>
    </w:p>
    <w:p w:rsidR="00534131" w:rsidRDefault="00A12529">
      <w:pPr>
        <w:pStyle w:val="Heading1"/>
        <w:rPr>
          <w:noProof/>
        </w:rPr>
      </w:pPr>
      <w:bookmarkStart w:id="33" w:name="_Toc33643876"/>
      <w:bookmarkStart w:id="34" w:name="_Toc33643877"/>
      <w:bookmarkStart w:id="35" w:name="_Toc33643878"/>
      <w:bookmarkStart w:id="36" w:name="_Toc43821379"/>
      <w:bookmarkEnd w:id="32"/>
      <w:bookmarkEnd w:id="33"/>
      <w:bookmarkEnd w:id="34"/>
      <w:bookmarkEnd w:id="35"/>
      <w:r>
        <w:rPr>
          <w:noProof/>
        </w:rPr>
        <w:t xml:space="preserve">ВЪЗДЕЙСТВИЕТО НА ДЕМОГРАФСКИТЕ </w:t>
      </w:r>
      <w:r>
        <w:rPr>
          <w:noProof/>
        </w:rPr>
        <w:t>ПРОМЕНИ ВЪРХУ НАШАТА СОЦИАЛНА ПАЗАРНА ИКОНОМИКА</w:t>
      </w:r>
      <w:bookmarkEnd w:id="36"/>
    </w:p>
    <w:p w:rsidR="00534131" w:rsidRDefault="00A12529">
      <w:pPr>
        <w:spacing w:after="120"/>
        <w:jc w:val="both"/>
        <w:rPr>
          <w:rFonts w:ascii="Times New Roman" w:hAnsi="Times New Roman" w:cs="Times New Roman"/>
          <w:noProof/>
          <w:color w:val="000000"/>
          <w:sz w:val="24"/>
          <w:szCs w:val="24"/>
          <w:shd w:val="clear" w:color="auto" w:fill="FFFFFF"/>
        </w:rPr>
      </w:pPr>
      <w:r>
        <w:rPr>
          <w:rFonts w:ascii="Times New Roman" w:hAnsi="Times New Roman"/>
          <w:noProof/>
          <w:sz w:val="24"/>
          <w:szCs w:val="24"/>
          <w:shd w:val="clear" w:color="auto" w:fill="FFFFFF"/>
        </w:rPr>
        <w:t>Въздействието на демографските промени в Европа може да бъде усетено навсякъде в нашата икономика и общество.</w:t>
      </w:r>
      <w:r>
        <w:rPr>
          <w:rFonts w:ascii="Times New Roman" w:hAnsi="Times New Roman"/>
          <w:noProof/>
          <w:color w:val="000000"/>
          <w:sz w:val="24"/>
          <w:szCs w:val="24"/>
          <w:shd w:val="clear" w:color="auto" w:fill="FFFFFF"/>
        </w:rPr>
        <w:t xml:space="preserve"> Това пролича през последните месеци, когато големи части от икономиката бяха доведени до застой и </w:t>
      </w:r>
      <w:r>
        <w:rPr>
          <w:rFonts w:ascii="Times New Roman" w:hAnsi="Times New Roman"/>
          <w:noProof/>
          <w:color w:val="000000"/>
          <w:sz w:val="24"/>
          <w:szCs w:val="24"/>
          <w:shd w:val="clear" w:color="auto" w:fill="FFFFFF"/>
        </w:rPr>
        <w:t xml:space="preserve">необходимите мерки за социално дистанциране засегнаха нашето ежедневие. </w:t>
      </w:r>
      <w:r>
        <w:rPr>
          <w:rFonts w:ascii="Times New Roman" w:hAnsi="Times New Roman"/>
          <w:noProof/>
          <w:sz w:val="24"/>
          <w:shd w:val="clear" w:color="auto" w:fill="FFFFFF"/>
        </w:rPr>
        <w:t>Те имат последици за бъдещето на нашите социални и здравни системи, бюджети, жилища и потребности от инфраструктура.</w:t>
      </w:r>
      <w:r>
        <w:rPr>
          <w:rFonts w:ascii="Times New Roman" w:hAnsi="Times New Roman"/>
          <w:noProof/>
          <w:color w:val="000000"/>
          <w:sz w:val="24"/>
          <w:shd w:val="clear" w:color="auto" w:fill="FFFFFF"/>
        </w:rPr>
        <w:t xml:space="preserve"> </w:t>
      </w:r>
      <w:r>
        <w:rPr>
          <w:rFonts w:ascii="Times New Roman" w:hAnsi="Times New Roman"/>
          <w:noProof/>
          <w:color w:val="000000"/>
          <w:sz w:val="24"/>
          <w:szCs w:val="24"/>
          <w:shd w:val="clear" w:color="auto" w:fill="FFFFFF"/>
        </w:rPr>
        <w:t>Вероятно нашите градове и градски райони ще станат по-гъсто населен</w:t>
      </w:r>
      <w:r>
        <w:rPr>
          <w:rFonts w:ascii="Times New Roman" w:hAnsi="Times New Roman"/>
          <w:noProof/>
          <w:color w:val="000000"/>
          <w:sz w:val="24"/>
          <w:szCs w:val="24"/>
          <w:shd w:val="clear" w:color="auto" w:fill="FFFFFF"/>
        </w:rPr>
        <w:t xml:space="preserve">и, а селските райони ще бъдат изправени пред редица специфични за тях предизвикателства. Нашият професионален път ще продължи да се променя и ще трябва да намерим решения, за да гарантираме, че Европа ще остане конкурентоспособна в условията на намаляващо </w:t>
      </w:r>
      <w:r>
        <w:rPr>
          <w:rFonts w:ascii="Times New Roman" w:hAnsi="Times New Roman"/>
          <w:noProof/>
          <w:color w:val="000000"/>
          <w:sz w:val="24"/>
          <w:szCs w:val="24"/>
          <w:shd w:val="clear" w:color="auto" w:fill="FFFFFF"/>
        </w:rPr>
        <w:t xml:space="preserve">население в трудоспособна възраст. </w:t>
      </w:r>
    </w:p>
    <w:p w:rsidR="00534131" w:rsidRDefault="00A12529">
      <w:pPr>
        <w:spacing w:after="120"/>
        <w:jc w:val="both"/>
        <w:rPr>
          <w:rFonts w:ascii="Times New Roman" w:hAnsi="Times New Roman" w:cs="Times New Roman"/>
          <w:noProof/>
          <w:color w:val="000000"/>
          <w:sz w:val="24"/>
          <w:szCs w:val="24"/>
          <w:shd w:val="clear" w:color="auto" w:fill="FFFFFF"/>
        </w:rPr>
      </w:pPr>
      <w:r>
        <w:rPr>
          <w:rFonts w:ascii="Times New Roman" w:hAnsi="Times New Roman"/>
          <w:noProof/>
          <w:color w:val="000000"/>
          <w:sz w:val="24"/>
          <w:szCs w:val="24"/>
          <w:shd w:val="clear" w:color="auto" w:fill="FFFFFF"/>
        </w:rPr>
        <w:t>Икономическата и демографската структура на дадена държава ще бъде фактор за темповете и способността ѝ за възстановяване. Ще има и други точки на пресичане между дългосрочните демографски промени и потребностите от възс</w:t>
      </w:r>
      <w:r>
        <w:rPr>
          <w:rFonts w:ascii="Times New Roman" w:hAnsi="Times New Roman"/>
          <w:noProof/>
          <w:color w:val="000000"/>
          <w:sz w:val="24"/>
          <w:szCs w:val="24"/>
          <w:shd w:val="clear" w:color="auto" w:fill="FFFFFF"/>
        </w:rPr>
        <w:t>тановяване. Това включва всичко, от необходимостта да направим нашите системи за здравеопазване и дългосрочни грижи по-устойчиви до това да гарантираме, че нашите градски и селски райони могат да се справят с гъстотата на населението или липсата на услуги.</w:t>
      </w:r>
    </w:p>
    <w:p w:rsidR="00534131" w:rsidRDefault="00A12529">
      <w:pPr>
        <w:rPr>
          <w:rFonts w:ascii="Times New Roman" w:hAnsi="Times New Roman" w:cs="Times New Roman"/>
          <w:b/>
          <w:noProof/>
          <w:sz w:val="24"/>
          <w:szCs w:val="24"/>
        </w:rPr>
      </w:pPr>
      <w:r>
        <w:rPr>
          <w:rFonts w:ascii="Times New Roman" w:hAnsi="Times New Roman"/>
          <w:noProof/>
          <w:sz w:val="24"/>
          <w:szCs w:val="24"/>
        </w:rPr>
        <w:t>В рамките на създадения от Комисията Механизъм за възстановяване и устойчивост ще бъде предоставена мащабна финансова подкрепа, с която икономиките на държавите членки да станат по-устойчиви и по-добре подготвени за бъдещето, особено за демографските пром</w:t>
      </w:r>
      <w:r>
        <w:rPr>
          <w:rFonts w:ascii="Times New Roman" w:hAnsi="Times New Roman"/>
          <w:noProof/>
          <w:sz w:val="24"/>
          <w:szCs w:val="24"/>
        </w:rPr>
        <w:t xml:space="preserve">ени. Инвестиционните приоритети ще бъдат в съответствие с предизвикателствата, посочени в специфичните за всяка държава препоръки в рамките на европейския семестър. </w:t>
      </w:r>
      <w:bookmarkStart w:id="37" w:name="_Toc33800402"/>
      <w:r>
        <w:rPr>
          <w:noProof/>
        </w:rPr>
        <w:br w:type="page"/>
      </w:r>
    </w:p>
    <w:p w:rsidR="00534131" w:rsidRDefault="00A12529">
      <w:pPr>
        <w:pStyle w:val="Heading2"/>
        <w:rPr>
          <w:noProof/>
        </w:rPr>
      </w:pPr>
      <w:bookmarkStart w:id="38" w:name="_Toc43821380"/>
      <w:r>
        <w:rPr>
          <w:noProof/>
        </w:rPr>
        <w:t xml:space="preserve">3.1. </w:t>
      </w:r>
      <w:bookmarkEnd w:id="37"/>
      <w:r>
        <w:rPr>
          <w:noProof/>
        </w:rPr>
        <w:t>ХОРА, РАБОТА И УМЕНИЯ</w:t>
      </w:r>
      <w:bookmarkEnd w:id="38"/>
    </w:p>
    <w:p w:rsidR="00534131" w:rsidRDefault="00A12529">
      <w:pPr>
        <w:jc w:val="both"/>
        <w:rPr>
          <w:rFonts w:ascii="Times New Roman" w:hAnsi="Times New Roman"/>
          <w:noProof/>
          <w:sz w:val="24"/>
          <w:szCs w:val="24"/>
        </w:rPr>
      </w:pPr>
      <w:r>
        <w:rPr>
          <w:rFonts w:ascii="Times New Roman" w:hAnsi="Times New Roman"/>
          <w:b/>
          <w:noProof/>
          <w:sz w:val="24"/>
          <w:szCs w:val="24"/>
        </w:rPr>
        <w:t xml:space="preserve">Въздействието на застаряването на населението върху пазара на </w:t>
      </w:r>
      <w:r>
        <w:rPr>
          <w:rFonts w:ascii="Times New Roman" w:hAnsi="Times New Roman"/>
          <w:b/>
          <w:noProof/>
          <w:sz w:val="24"/>
          <w:szCs w:val="24"/>
        </w:rPr>
        <w:t xml:space="preserve">труда става все по-силно изразено. </w:t>
      </w:r>
      <w:r>
        <w:rPr>
          <w:rFonts w:ascii="Times New Roman" w:hAnsi="Times New Roman"/>
          <w:noProof/>
          <w:sz w:val="24"/>
          <w:szCs w:val="24"/>
        </w:rPr>
        <w:t>От десетилетие населението в трудоспособна възраст в ЕС-27 намалява и се очаква до 2070 г. да спадне с 18 %. Ситуацията се различава значително в отделните държави членки и региони.</w:t>
      </w:r>
    </w:p>
    <w:p w:rsidR="00534131" w:rsidRDefault="00A12529">
      <w:pPr>
        <w:spacing w:after="0"/>
        <w:jc w:val="center"/>
        <w:rPr>
          <w:rFonts w:ascii="Times New Roman" w:hAnsi="Times New Roman"/>
          <w:b/>
          <w:noProof/>
          <w:sz w:val="24"/>
          <w:szCs w:val="24"/>
        </w:rPr>
      </w:pPr>
      <w:r>
        <w:rPr>
          <w:rFonts w:ascii="Times New Roman" w:hAnsi="Times New Roman"/>
          <w:b/>
          <w:noProof/>
          <w:sz w:val="24"/>
          <w:szCs w:val="24"/>
        </w:rPr>
        <w:t xml:space="preserve">Изменение на населението на възраст </w:t>
      </w:r>
      <w:r>
        <w:rPr>
          <w:rFonts w:ascii="Times New Roman" w:hAnsi="Times New Roman"/>
          <w:b/>
          <w:noProof/>
          <w:sz w:val="24"/>
          <w:szCs w:val="24"/>
        </w:rPr>
        <w:t>20—64 г. по региони</w:t>
      </w:r>
      <w:r>
        <w:rPr>
          <w:rFonts w:ascii="Times New Roman" w:hAnsi="Times New Roman" w:cs="Times New Roman"/>
          <w:b/>
          <w:bCs/>
          <w:noProof/>
          <w:sz w:val="24"/>
          <w:szCs w:val="24"/>
          <w:vertAlign w:val="superscript"/>
        </w:rPr>
        <w:footnoteReference w:id="22"/>
      </w:r>
      <w:r>
        <w:rPr>
          <w:rFonts w:ascii="Times New Roman" w:hAnsi="Times New Roman"/>
          <w:b/>
          <w:noProof/>
          <w:sz w:val="24"/>
          <w:szCs w:val="24"/>
        </w:rPr>
        <w:t>, 2020—2030 г.</w:t>
      </w:r>
    </w:p>
    <w:p w:rsidR="00534131" w:rsidRDefault="00A12529">
      <w:pPr>
        <w:spacing w:after="0"/>
        <w:jc w:val="center"/>
        <w:rPr>
          <w:rFonts w:ascii="Times New Roman" w:hAnsi="Times New Roman" w:cs="Times New Roman"/>
          <w:b/>
          <w:noProof/>
          <w:sz w:val="24"/>
          <w:szCs w:val="24"/>
        </w:rPr>
      </w:pPr>
      <w:r w:rsidRPr="00A12529">
        <w:rPr>
          <w:rFonts w:ascii="Times New Roman" w:hAnsi="Times New Roman"/>
          <w:noProof/>
          <w:sz w:val="24"/>
          <w:szCs w:val="24"/>
        </w:rPr>
        <w:t>(Общо изменение (в %)</w:t>
      </w:r>
    </w:p>
    <w:p w:rsidR="00534131" w:rsidRDefault="00A12529">
      <w:pPr>
        <w:jc w:val="center"/>
        <w:rPr>
          <w:rFonts w:ascii="Times New Roman" w:hAnsi="Times New Roman" w:cs="Times New Roman"/>
          <w:noProof/>
          <w:sz w:val="24"/>
          <w:szCs w:val="24"/>
        </w:rPr>
      </w:pPr>
      <w:r>
        <w:rPr>
          <w:rFonts w:ascii="Times New Roman" w:hAnsi="Times New Roman"/>
          <w:b/>
          <w:noProof/>
          <w:sz w:val="24"/>
          <w:szCs w:val="24"/>
          <w:lang w:val="fr-BE" w:eastAsia="fr-BE"/>
        </w:rPr>
        <w:drawing>
          <wp:inline distT="0" distB="0" distL="0" distR="0">
            <wp:extent cx="4834393" cy="6762004"/>
            <wp:effectExtent l="0" t="0" r="4445" b="1270"/>
            <wp:docPr id="7" name="Picture 7" descr="N3_2064_CHANGE_2020_2030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3_2064_CHANGE_2020_2030_A4P20_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8850" cy="6838174"/>
                    </a:xfrm>
                    <a:prstGeom prst="rect">
                      <a:avLst/>
                    </a:prstGeom>
                    <a:noFill/>
                    <a:ln>
                      <a:noFill/>
                    </a:ln>
                  </pic:spPr>
                </pic:pic>
              </a:graphicData>
            </a:graphic>
          </wp:inline>
        </w:drawing>
      </w:r>
    </w:p>
    <w:p w:rsidR="00534131" w:rsidRDefault="00A12529">
      <w:pPr>
        <w:spacing w:after="0"/>
        <w:jc w:val="both"/>
        <w:rPr>
          <w:rFonts w:ascii="Times New Roman" w:hAnsi="Times New Roman" w:cs="Times New Roman"/>
          <w:noProof/>
          <w:sz w:val="24"/>
          <w:szCs w:val="24"/>
        </w:rPr>
      </w:pPr>
      <w:r>
        <w:rPr>
          <w:rFonts w:ascii="Times New Roman" w:hAnsi="Times New Roman"/>
          <w:noProof/>
          <w:sz w:val="24"/>
          <w:szCs w:val="24"/>
        </w:rPr>
        <w:t xml:space="preserve">В направените през 2018 г. икономически прогнози бе посочено, </w:t>
      </w:r>
      <w:r>
        <w:rPr>
          <w:rFonts w:ascii="Times New Roman" w:hAnsi="Times New Roman"/>
          <w:b/>
          <w:noProof/>
          <w:sz w:val="24"/>
          <w:szCs w:val="24"/>
        </w:rPr>
        <w:t>че броят на заетите лица би могъл да достигне върхова стойност около 2020 г.</w:t>
      </w:r>
      <w:r>
        <w:rPr>
          <w:rFonts w:ascii="Times New Roman" w:hAnsi="Times New Roman"/>
          <w:noProof/>
          <w:sz w:val="24"/>
          <w:szCs w:val="24"/>
        </w:rPr>
        <w:t>, след което през следващите десетилетия да настъпи траен с</w:t>
      </w:r>
      <w:r>
        <w:rPr>
          <w:rFonts w:ascii="Times New Roman" w:hAnsi="Times New Roman"/>
          <w:noProof/>
          <w:sz w:val="24"/>
          <w:szCs w:val="24"/>
        </w:rPr>
        <w:t>пад</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Въпреки че е твърде рано да се каже дали настоящата криза ще промени дългосрочните проекции, първите прогнози, направени от началото на избухването на епидемията</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показват значително свиване на заетостта. В зависимост от начина, по който се разпрост</w:t>
      </w:r>
      <w:r>
        <w:rPr>
          <w:rFonts w:ascii="Times New Roman" w:hAnsi="Times New Roman"/>
          <w:noProof/>
          <w:sz w:val="24"/>
          <w:szCs w:val="24"/>
        </w:rPr>
        <w:t xml:space="preserve">ранява вирусът, това същевременно би могло да доведе до още по-малко активни хора. Поради това справянето с безработицата, особено при младите хора, и привличането на повече хора на пазара на труда ще се превърнат в още по-належащо предизвикателство. </w:t>
      </w:r>
    </w:p>
    <w:p w:rsidR="00534131" w:rsidRDefault="00534131">
      <w:pPr>
        <w:spacing w:after="0"/>
        <w:jc w:val="both"/>
        <w:rPr>
          <w:rFonts w:ascii="Times New Roman" w:hAnsi="Times New Roman" w:cs="Times New Roman"/>
          <w:noProof/>
          <w:sz w:val="24"/>
          <w:szCs w:val="24"/>
        </w:rPr>
      </w:pPr>
    </w:p>
    <w:p w:rsidR="00534131" w:rsidRDefault="00A12529">
      <w:pPr>
        <w:spacing w:after="0"/>
        <w:jc w:val="both"/>
        <w:rPr>
          <w:rFonts w:ascii="Times New Roman" w:hAnsi="Times New Roman" w:cs="Times New Roman"/>
          <w:noProof/>
          <w:sz w:val="24"/>
          <w:szCs w:val="24"/>
        </w:rPr>
      </w:pPr>
      <w:r>
        <w:rPr>
          <w:rFonts w:ascii="Times New Roman" w:hAnsi="Times New Roman"/>
          <w:noProof/>
          <w:sz w:val="24"/>
          <w:szCs w:val="24"/>
        </w:rPr>
        <w:t>Ясн</w:t>
      </w:r>
      <w:r>
        <w:rPr>
          <w:rFonts w:ascii="Times New Roman" w:hAnsi="Times New Roman"/>
          <w:noProof/>
          <w:sz w:val="24"/>
          <w:szCs w:val="24"/>
        </w:rPr>
        <w:t>о е също така, че въздействието от по-малката численост на населението в трудоспособна възраст ще се усети по-силно и по-бързо, освен ако и докато повече хора, които понастоящем са по-слабо представени, не се включат в пазара на труда или не вземат по-акти</w:t>
      </w:r>
      <w:r>
        <w:rPr>
          <w:rFonts w:ascii="Times New Roman" w:hAnsi="Times New Roman"/>
          <w:noProof/>
          <w:sz w:val="24"/>
          <w:szCs w:val="24"/>
        </w:rPr>
        <w:t>вно участие в него</w:t>
      </w:r>
      <w:r>
        <w:rPr>
          <w:noProof/>
        </w:rPr>
        <w:t>.</w:t>
      </w:r>
    </w:p>
    <w:p w:rsidR="00534131" w:rsidRDefault="00534131">
      <w:pPr>
        <w:spacing w:after="0"/>
        <w:jc w:val="both"/>
        <w:rPr>
          <w:rFonts w:ascii="Times New Roman" w:hAnsi="Times New Roman" w:cs="Times New Roman"/>
          <w:noProof/>
          <w:sz w:val="24"/>
          <w:szCs w:val="24"/>
        </w:rPr>
      </w:pPr>
    </w:p>
    <w:p w:rsidR="00534131" w:rsidRDefault="00A12529">
      <w:pPr>
        <w:keepNext/>
        <w:spacing w:after="0"/>
        <w:jc w:val="center"/>
        <w:rPr>
          <w:rFonts w:ascii="Times New Roman" w:hAnsi="Times New Roman" w:cs="Times New Roman"/>
          <w:b/>
          <w:noProof/>
          <w:sz w:val="24"/>
          <w:szCs w:val="24"/>
        </w:rPr>
      </w:pPr>
      <w:r>
        <w:rPr>
          <w:rFonts w:ascii="Times New Roman" w:hAnsi="Times New Roman"/>
          <w:b/>
          <w:noProof/>
          <w:sz w:val="24"/>
          <w:szCs w:val="24"/>
        </w:rPr>
        <w:t>Население в трудоспособна възраст (20—64 г.), ЕС-27, 2001—2070 г.</w:t>
      </w:r>
    </w:p>
    <w:p w:rsidR="00534131" w:rsidRDefault="00A12529">
      <w:pPr>
        <w:spacing w:after="0"/>
        <w:jc w:val="center"/>
        <w:rPr>
          <w:rFonts w:ascii="Times New Roman" w:hAnsi="Times New Roman" w:cs="Times New Roman"/>
          <w:noProof/>
          <w:sz w:val="24"/>
          <w:szCs w:val="24"/>
        </w:rPr>
      </w:pPr>
      <w:r>
        <w:rPr>
          <w:noProof/>
          <w:lang w:val="fr-BE" w:eastAsia="fr-BE"/>
        </w:rPr>
        <w:drawing>
          <wp:inline distT="0" distB="0" distL="0" distR="0">
            <wp:extent cx="6192520" cy="3138170"/>
            <wp:effectExtent l="0" t="0" r="0" b="508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3138170"/>
                    </a:xfrm>
                    <a:prstGeom prst="rect">
                      <a:avLst/>
                    </a:prstGeom>
                    <a:noFill/>
                    <a:ln>
                      <a:noFill/>
                    </a:ln>
                  </pic:spPr>
                </pic:pic>
              </a:graphicData>
            </a:graphic>
          </wp:inline>
        </w:drawing>
      </w:r>
    </w:p>
    <w:p w:rsidR="00534131" w:rsidRDefault="00A12529">
      <w:pPr>
        <w:spacing w:after="0"/>
        <w:contextualSpacing/>
        <w:rPr>
          <w:rFonts w:ascii="Times New Roman" w:hAnsi="Times New Roman" w:cs="Times New Roman"/>
          <w:i/>
          <w:noProof/>
          <w:sz w:val="24"/>
          <w:szCs w:val="24"/>
        </w:rPr>
      </w:pPr>
      <w:r>
        <w:rPr>
          <w:rFonts w:ascii="Times New Roman" w:hAnsi="Times New Roman"/>
          <w:i/>
          <w:noProof/>
          <w:sz w:val="24"/>
        </w:rPr>
        <w:t>Източник: Евростат</w:t>
      </w:r>
    </w:p>
    <w:p w:rsidR="00534131" w:rsidRDefault="00534131">
      <w:pPr>
        <w:spacing w:after="0"/>
        <w:jc w:val="both"/>
        <w:rPr>
          <w:rFonts w:ascii="Times New Roman" w:hAnsi="Times New Roman" w:cs="Times New Roman"/>
          <w:noProof/>
          <w:sz w:val="24"/>
          <w:szCs w:val="24"/>
        </w:rPr>
      </w:pPr>
    </w:p>
    <w:p w:rsidR="00534131" w:rsidRDefault="00A12529">
      <w:pPr>
        <w:pStyle w:val="Heading2"/>
        <w:keepNext/>
        <w:rPr>
          <w:noProof/>
        </w:rPr>
      </w:pPr>
      <w:bookmarkStart w:id="39" w:name="_Toc33800403"/>
      <w:bookmarkStart w:id="40" w:name="_Toc32414443"/>
      <w:bookmarkStart w:id="41" w:name="_Toc32444154"/>
      <w:bookmarkStart w:id="42" w:name="_Toc43821381"/>
      <w:r>
        <w:rPr>
          <w:noProof/>
        </w:rPr>
        <w:t>3.1.1 ПО-ГОЛЯМ И ПО-ПРИОБЩАВАЩ ПАЗАР НА ТРУДА</w:t>
      </w:r>
      <w:bookmarkEnd w:id="39"/>
      <w:bookmarkEnd w:id="40"/>
      <w:bookmarkEnd w:id="41"/>
      <w:bookmarkEnd w:id="42"/>
    </w:p>
    <w:p w:rsidR="00534131" w:rsidRDefault="00A12529">
      <w:pPr>
        <w:spacing w:after="0"/>
        <w:jc w:val="both"/>
        <w:rPr>
          <w:rFonts w:ascii="Times New Roman" w:hAnsi="Times New Roman" w:cs="Times New Roman"/>
          <w:bCs/>
          <w:noProof/>
          <w:sz w:val="24"/>
          <w:szCs w:val="24"/>
        </w:rPr>
      </w:pPr>
      <w:r>
        <w:rPr>
          <w:rFonts w:ascii="Times New Roman" w:hAnsi="Times New Roman"/>
          <w:bCs/>
          <w:noProof/>
          <w:sz w:val="24"/>
          <w:szCs w:val="24"/>
        </w:rPr>
        <w:t xml:space="preserve">Фактът, че населението в трудоспособна възраст намалява, подчертава необходимостта Европа и нейният </w:t>
      </w:r>
      <w:r>
        <w:rPr>
          <w:rFonts w:ascii="Times New Roman" w:hAnsi="Times New Roman"/>
          <w:bCs/>
          <w:noProof/>
          <w:sz w:val="24"/>
          <w:szCs w:val="24"/>
        </w:rPr>
        <w:t>пазар на труда да използват всички свои силни страни и таланти и цялото многообразие, с което разполагат.</w:t>
      </w:r>
    </w:p>
    <w:p w:rsidR="00534131" w:rsidRDefault="00534131">
      <w:pPr>
        <w:spacing w:after="0"/>
        <w:jc w:val="both"/>
        <w:rPr>
          <w:rFonts w:ascii="Times New Roman" w:hAnsi="Times New Roman" w:cs="Times New Roman"/>
          <w:b/>
          <w:noProof/>
          <w:sz w:val="24"/>
          <w:szCs w:val="24"/>
        </w:rPr>
      </w:pPr>
    </w:p>
    <w:p w:rsidR="00534131" w:rsidRDefault="00A12529">
      <w:pPr>
        <w:spacing w:after="160"/>
        <w:jc w:val="both"/>
        <w:rPr>
          <w:rFonts w:ascii="Times New Roman" w:hAnsi="Times New Roman" w:cs="Times New Roman"/>
          <w:noProof/>
          <w:sz w:val="24"/>
          <w:szCs w:val="24"/>
        </w:rPr>
      </w:pPr>
      <w:r>
        <w:rPr>
          <w:rFonts w:ascii="Times New Roman" w:hAnsi="Times New Roman"/>
          <w:b/>
          <w:noProof/>
          <w:sz w:val="24"/>
          <w:szCs w:val="24"/>
        </w:rPr>
        <w:t>Увеличаването на равнището на заетост сред жените ще бъде от решаващо значение.</w:t>
      </w:r>
      <w:r>
        <w:rPr>
          <w:rFonts w:ascii="Times New Roman" w:hAnsi="Times New Roman"/>
          <w:noProof/>
          <w:sz w:val="24"/>
          <w:szCs w:val="24"/>
        </w:rPr>
        <w:t xml:space="preserve"> Разликата в равнищата на заетост между жените и мъжете през 2019 г бе</w:t>
      </w:r>
      <w:r>
        <w:rPr>
          <w:rFonts w:ascii="Times New Roman" w:hAnsi="Times New Roman"/>
          <w:noProof/>
          <w:sz w:val="24"/>
          <w:szCs w:val="24"/>
        </w:rPr>
        <w:t>ше 12 %. Тя е още по-силно изразена при отчитане на значителните различия в заетостта на непълно работно време между мъжете и жените. През 2019 г. около три от общо 10 заети жени са работили на непълно работно време, което е почти четири пъти повече в срав</w:t>
      </w:r>
      <w:r>
        <w:rPr>
          <w:rFonts w:ascii="Times New Roman" w:hAnsi="Times New Roman"/>
          <w:noProof/>
          <w:sz w:val="24"/>
          <w:szCs w:val="24"/>
        </w:rPr>
        <w:t xml:space="preserve">нение с цифрата за мъжете. Възможно е тези ситуации да са усетени още по-осезаемо по време на пандемията, когато грижите за възрастни хора, лица с увреждания или деца трябваше да бъдат организирани лично от хората и до голяма степен жените бяха натоварени </w:t>
      </w:r>
      <w:r>
        <w:rPr>
          <w:rFonts w:ascii="Times New Roman" w:hAnsi="Times New Roman"/>
          <w:noProof/>
          <w:sz w:val="24"/>
          <w:szCs w:val="24"/>
        </w:rPr>
        <w:t>с тях. Липсата на адекватни формални услуги за дългосрочни грижи, на гъвкави възможности за работа и на стимули за вторите работещи членове на домакинството в някои държави членки играе роля за задълбочаването на този проблем.</w:t>
      </w:r>
    </w:p>
    <w:p w:rsidR="00534131" w:rsidRDefault="00A12529">
      <w:pPr>
        <w:spacing w:after="0"/>
        <w:jc w:val="both"/>
        <w:rPr>
          <w:rFonts w:ascii="Times New Roman" w:hAnsi="Times New Roman" w:cs="Times New Roman"/>
          <w:noProof/>
          <w:sz w:val="24"/>
          <w:szCs w:val="24"/>
        </w:rPr>
      </w:pPr>
      <w:r>
        <w:rPr>
          <w:rFonts w:ascii="Times New Roman" w:hAnsi="Times New Roman"/>
          <w:noProof/>
          <w:sz w:val="24"/>
          <w:szCs w:val="24"/>
        </w:rPr>
        <w:t>В основата на това стои преди</w:t>
      </w:r>
      <w:r>
        <w:rPr>
          <w:rFonts w:ascii="Times New Roman" w:hAnsi="Times New Roman"/>
          <w:noProof/>
          <w:sz w:val="24"/>
          <w:szCs w:val="24"/>
        </w:rPr>
        <w:t xml:space="preserve">звикателството за </w:t>
      </w:r>
      <w:r>
        <w:rPr>
          <w:rFonts w:ascii="Times New Roman" w:hAnsi="Times New Roman"/>
          <w:b/>
          <w:noProof/>
          <w:sz w:val="24"/>
          <w:szCs w:val="24"/>
        </w:rPr>
        <w:t>съчетаване на професионалния и семейния живот</w:t>
      </w:r>
      <w:r>
        <w:rPr>
          <w:rFonts w:ascii="Times New Roman" w:hAnsi="Times New Roman"/>
          <w:noProof/>
          <w:sz w:val="24"/>
          <w:szCs w:val="24"/>
        </w:rPr>
        <w:t>. През 2019 г. равнището на заетост сред жените с деца на възраст под 6 години беше с почти 14 процентни пункта по-ниско, отколкото сред жените без деца. Освен това все още жените получават по-</w:t>
      </w:r>
      <w:r>
        <w:rPr>
          <w:rFonts w:ascii="Times New Roman" w:hAnsi="Times New Roman"/>
          <w:noProof/>
          <w:sz w:val="24"/>
          <w:szCs w:val="24"/>
        </w:rPr>
        <w:t xml:space="preserve">ниско възнаграждение за своята работа от мъжете, като понастоящем разликата в заплащането на жените и мъжете е 14,8 %. Комисията разглежда тези проблеми като част от своята работа по въпросите на равенството и чрез новата </w:t>
      </w:r>
      <w:r>
        <w:rPr>
          <w:rFonts w:ascii="Times New Roman" w:hAnsi="Times New Roman"/>
          <w:b/>
          <w:noProof/>
          <w:sz w:val="24"/>
          <w:szCs w:val="24"/>
        </w:rPr>
        <w:t>Стратегия на ЕС за равенство между</w:t>
      </w:r>
      <w:r>
        <w:rPr>
          <w:rFonts w:ascii="Times New Roman" w:hAnsi="Times New Roman"/>
          <w:b/>
          <w:noProof/>
          <w:sz w:val="24"/>
          <w:szCs w:val="24"/>
        </w:rPr>
        <w:t xml:space="preserve"> половете (2020—2025 г.)</w:t>
      </w:r>
      <w:r>
        <w:rPr>
          <w:rStyle w:val="FootnoteReference"/>
          <w:rFonts w:ascii="Times New Roman" w:hAnsi="Times New Roman" w:cs="Times New Roman"/>
          <w:noProof/>
          <w:sz w:val="24"/>
          <w:szCs w:val="24"/>
        </w:rPr>
        <w:footnoteReference w:id="25"/>
      </w:r>
    </w:p>
    <w:p w:rsidR="00534131" w:rsidRDefault="00534131">
      <w:pPr>
        <w:spacing w:after="0"/>
        <w:rPr>
          <w:rFonts w:ascii="Times New Roman" w:hAnsi="Times New Roman" w:cs="Times New Roman"/>
          <w:noProof/>
          <w:sz w:val="24"/>
          <w:szCs w:val="24"/>
        </w:rPr>
      </w:pPr>
    </w:p>
    <w:p w:rsidR="00534131" w:rsidRDefault="00A12529">
      <w:pPr>
        <w:spacing w:after="0"/>
        <w:jc w:val="both"/>
        <w:rPr>
          <w:rFonts w:ascii="Times New Roman" w:hAnsi="Times New Roman" w:cs="Times New Roman"/>
          <w:noProof/>
          <w:sz w:val="24"/>
          <w:szCs w:val="24"/>
        </w:rPr>
      </w:pPr>
      <w:r>
        <w:rPr>
          <w:rFonts w:ascii="Times New Roman" w:hAnsi="Times New Roman"/>
          <w:b/>
          <w:noProof/>
          <w:sz w:val="24"/>
          <w:szCs w:val="24"/>
        </w:rPr>
        <w:t>От помощ би било и</w:t>
      </w:r>
      <w:r>
        <w:rPr>
          <w:rFonts w:ascii="Times New Roman" w:hAnsi="Times New Roman"/>
          <w:noProof/>
          <w:sz w:val="24"/>
          <w:szCs w:val="24"/>
        </w:rPr>
        <w:t xml:space="preserve"> </w:t>
      </w:r>
      <w:r>
        <w:rPr>
          <w:rFonts w:ascii="Times New Roman" w:hAnsi="Times New Roman"/>
          <w:b/>
          <w:noProof/>
          <w:sz w:val="24"/>
          <w:szCs w:val="24"/>
        </w:rPr>
        <w:t>постигането на по-нататъшен напредък в приобщаването на по-възрастните работници към пазара на труда</w:t>
      </w:r>
      <w:r>
        <w:rPr>
          <w:rFonts w:ascii="Times New Roman" w:hAnsi="Times New Roman"/>
          <w:noProof/>
          <w:sz w:val="24"/>
          <w:szCs w:val="24"/>
        </w:rPr>
        <w:t>. През 2019 г. равнището на заетост сред по-възрастните работници (на възраст 55—64 г.) в ЕС-27 беше 59,1 %, к</w:t>
      </w:r>
      <w:r>
        <w:rPr>
          <w:rFonts w:ascii="Times New Roman" w:hAnsi="Times New Roman"/>
          <w:noProof/>
          <w:sz w:val="24"/>
          <w:szCs w:val="24"/>
        </w:rPr>
        <w:t>оето представлява увеличение спрямо 44,1 % през 2009 г. За да се постигне по-нататъшен напредък, ще бъдат необходими както политики, които да дават възможност на хората да работят по-дълго, да поддържат по-добро здравословно и физическо състояние и да запа</w:t>
      </w:r>
      <w:r>
        <w:rPr>
          <w:rFonts w:ascii="Times New Roman" w:hAnsi="Times New Roman"/>
          <w:noProof/>
          <w:sz w:val="24"/>
          <w:szCs w:val="24"/>
        </w:rPr>
        <w:t xml:space="preserve">зват уменията си актуални, така и признаването на нови умения и квалификации. В средносрочен план, заради застаряването на населението вероятно ще е необходимо повече хора да работят по-дълго. В предстоящата </w:t>
      </w:r>
      <w:r>
        <w:rPr>
          <w:rFonts w:ascii="Times New Roman" w:hAnsi="Times New Roman"/>
          <w:b/>
          <w:noProof/>
          <w:sz w:val="24"/>
          <w:szCs w:val="24"/>
        </w:rPr>
        <w:t>зелена книга по въпросите на застаряването</w:t>
      </w:r>
      <w:r>
        <w:rPr>
          <w:rFonts w:ascii="Times New Roman" w:hAnsi="Times New Roman"/>
          <w:noProof/>
          <w:sz w:val="24"/>
          <w:szCs w:val="24"/>
        </w:rPr>
        <w:t xml:space="preserve"> този </w:t>
      </w:r>
      <w:r>
        <w:rPr>
          <w:rFonts w:ascii="Times New Roman" w:hAnsi="Times New Roman"/>
          <w:noProof/>
          <w:sz w:val="24"/>
          <w:szCs w:val="24"/>
        </w:rPr>
        <w:t xml:space="preserve">въпрос ще бъде разгледан по-задълбочено, като изцяло се вземат предвид слабостите, появили се по време на пандемията. </w:t>
      </w:r>
    </w:p>
    <w:p w:rsidR="00534131" w:rsidRDefault="00534131">
      <w:pPr>
        <w:spacing w:after="0"/>
        <w:jc w:val="both"/>
        <w:rPr>
          <w:rFonts w:ascii="Times New Roman" w:hAnsi="Times New Roman" w:cs="Times New Roman"/>
          <w:noProof/>
          <w:sz w:val="24"/>
          <w:szCs w:val="24"/>
        </w:rPr>
      </w:pPr>
    </w:p>
    <w:p w:rsidR="00534131" w:rsidRDefault="00A12529">
      <w:pPr>
        <w:spacing w:after="0"/>
        <w:jc w:val="both"/>
        <w:rPr>
          <w:rFonts w:ascii="Times New Roman" w:hAnsi="Times New Roman" w:cs="Times New Roman"/>
          <w:noProof/>
          <w:sz w:val="24"/>
          <w:szCs w:val="24"/>
        </w:rPr>
      </w:pPr>
      <w:r>
        <w:rPr>
          <w:rFonts w:ascii="Times New Roman" w:hAnsi="Times New Roman"/>
          <w:b/>
          <w:noProof/>
          <w:sz w:val="24"/>
          <w:szCs w:val="24"/>
        </w:rPr>
        <w:t>Инвестирането в квалификациите на хора с ниска образователна степен</w:t>
      </w:r>
      <w:r>
        <w:rPr>
          <w:rFonts w:ascii="Times New Roman" w:hAnsi="Times New Roman"/>
          <w:noProof/>
          <w:sz w:val="24"/>
          <w:szCs w:val="24"/>
        </w:rPr>
        <w:t xml:space="preserve"> ще продължи да бъде от съществено значение. Над 10 % от младежите на</w:t>
      </w:r>
      <w:r>
        <w:rPr>
          <w:rFonts w:ascii="Times New Roman" w:hAnsi="Times New Roman"/>
          <w:noProof/>
          <w:sz w:val="24"/>
          <w:szCs w:val="24"/>
        </w:rPr>
        <w:t xml:space="preserve"> възраст между 18 и 24 години напускат системата на образование или обучение с ниска квалификация или без такава, като в най-отдалечените региони този процент надвишава 20 %. 45 % от тези преждевременно напускащи системата на образованието и обучението са </w:t>
      </w:r>
      <w:r>
        <w:rPr>
          <w:rFonts w:ascii="Times New Roman" w:hAnsi="Times New Roman"/>
          <w:noProof/>
          <w:sz w:val="24"/>
          <w:szCs w:val="24"/>
        </w:rPr>
        <w:t>трудово заети. Работата по превръщането на европейското пространство за образование в реалност до 2025 г., обновяването на европейското научноизследователско пространство и подпомагането на младежката заетост ще бъде важен инструмент за възстановяване на б</w:t>
      </w:r>
      <w:r>
        <w:rPr>
          <w:rFonts w:ascii="Times New Roman" w:hAnsi="Times New Roman"/>
          <w:noProof/>
          <w:sz w:val="24"/>
          <w:szCs w:val="24"/>
        </w:rPr>
        <w:t xml:space="preserve">аланса. </w:t>
      </w:r>
    </w:p>
    <w:p w:rsidR="00534131" w:rsidRDefault="00534131">
      <w:pPr>
        <w:spacing w:after="0"/>
        <w:rPr>
          <w:rFonts w:ascii="Times New Roman" w:hAnsi="Times New Roman" w:cs="Times New Roman"/>
          <w:noProof/>
          <w:sz w:val="24"/>
          <w:szCs w:val="24"/>
        </w:rPr>
      </w:pPr>
    </w:p>
    <w:p w:rsidR="00534131" w:rsidRDefault="00A12529">
      <w:pPr>
        <w:spacing w:after="0"/>
        <w:jc w:val="both"/>
        <w:rPr>
          <w:rFonts w:ascii="Times New Roman" w:hAnsi="Times New Roman" w:cs="Times New Roman"/>
          <w:noProof/>
          <w:sz w:val="24"/>
          <w:szCs w:val="24"/>
        </w:rPr>
      </w:pPr>
      <w:r>
        <w:rPr>
          <w:rFonts w:ascii="Times New Roman" w:hAnsi="Times New Roman"/>
          <w:b/>
          <w:noProof/>
          <w:sz w:val="24"/>
          <w:szCs w:val="24"/>
        </w:rPr>
        <w:t>Осигуряването на заетост на повече хора, произхождащи от различни среди,</w:t>
      </w:r>
      <w:r>
        <w:rPr>
          <w:rFonts w:ascii="Times New Roman" w:hAnsi="Times New Roman"/>
          <w:noProof/>
          <w:sz w:val="24"/>
          <w:szCs w:val="24"/>
        </w:rPr>
        <w:t xml:space="preserve"> би допринесло за допълнително увеличаване на равнището на заетост. Равнището на заетост сред хората, родени извън ЕС, е с 9,6 процентни пункта по-ниско от това сред родените</w:t>
      </w:r>
      <w:r>
        <w:rPr>
          <w:rFonts w:ascii="Times New Roman" w:hAnsi="Times New Roman"/>
          <w:noProof/>
          <w:sz w:val="24"/>
          <w:szCs w:val="24"/>
        </w:rPr>
        <w:t xml:space="preserve"> в ЕС и е особено ниско сред жените. Положението с гражданите на трети държави е сходно. </w:t>
      </w:r>
    </w:p>
    <w:p w:rsidR="00534131" w:rsidRDefault="00534131">
      <w:pPr>
        <w:spacing w:after="0"/>
        <w:jc w:val="both"/>
        <w:rPr>
          <w:rFonts w:ascii="Times New Roman" w:hAnsi="Times New Roman" w:cs="Times New Roman"/>
          <w:noProof/>
          <w:sz w:val="24"/>
          <w:szCs w:val="24"/>
        </w:rPr>
      </w:pPr>
    </w:p>
    <w:p w:rsidR="00534131" w:rsidRDefault="00A12529">
      <w:pPr>
        <w:spacing w:after="0"/>
        <w:jc w:val="both"/>
        <w:rPr>
          <w:rFonts w:ascii="Times New Roman" w:hAnsi="Times New Roman" w:cs="Times New Roman"/>
          <w:noProof/>
          <w:sz w:val="24"/>
          <w:szCs w:val="24"/>
        </w:rPr>
      </w:pPr>
      <w:r>
        <w:rPr>
          <w:rFonts w:ascii="Times New Roman" w:hAnsi="Times New Roman"/>
          <w:b/>
          <w:noProof/>
          <w:sz w:val="24"/>
          <w:szCs w:val="24"/>
        </w:rPr>
        <w:t>С отварянето на пазара на труда за хора с увреждания</w:t>
      </w:r>
      <w:r>
        <w:rPr>
          <w:rFonts w:ascii="Times New Roman" w:hAnsi="Times New Roman"/>
          <w:noProof/>
          <w:sz w:val="24"/>
          <w:szCs w:val="24"/>
        </w:rPr>
        <w:t xml:space="preserve"> ще се допринесе за постигането на по-справедливо общество и ще се преодолее въздействието на демографските проме</w:t>
      </w:r>
      <w:r>
        <w:rPr>
          <w:rFonts w:ascii="Times New Roman" w:hAnsi="Times New Roman"/>
          <w:noProof/>
          <w:sz w:val="24"/>
          <w:szCs w:val="24"/>
        </w:rPr>
        <w:t>ни. Равнището на заетост сред хората с увреждания в ЕС обаче е ниско поради множеството пречки, пред които са изправени, включително дискриминация и липса на достъпност до работни места, жилища и висококачествено образование. Отрицателните нагласи и неспра</w:t>
      </w:r>
      <w:r>
        <w:rPr>
          <w:rFonts w:ascii="Times New Roman" w:hAnsi="Times New Roman"/>
          <w:noProof/>
          <w:sz w:val="24"/>
          <w:szCs w:val="24"/>
        </w:rPr>
        <w:t>ведливата съпротива да се наемат хора с увреждания могат да бъдат в основата на такива пречки.</w:t>
      </w:r>
    </w:p>
    <w:p w:rsidR="00534131" w:rsidRDefault="00534131">
      <w:pPr>
        <w:spacing w:after="0"/>
        <w:jc w:val="both"/>
        <w:rPr>
          <w:rFonts w:ascii="Times New Roman" w:hAnsi="Times New Roman" w:cs="Times New Roman"/>
          <w:b/>
          <w:noProof/>
          <w:sz w:val="24"/>
          <w:szCs w:val="24"/>
        </w:rPr>
      </w:pPr>
    </w:p>
    <w:p w:rsidR="00534131" w:rsidRDefault="00A12529">
      <w:pPr>
        <w:spacing w:after="0"/>
        <w:jc w:val="both"/>
        <w:rPr>
          <w:rFonts w:ascii="Times New Roman" w:hAnsi="Times New Roman" w:cs="Times New Roman"/>
          <w:noProof/>
          <w:sz w:val="24"/>
          <w:szCs w:val="24"/>
        </w:rPr>
      </w:pPr>
      <w:r>
        <w:rPr>
          <w:rFonts w:ascii="Times New Roman" w:hAnsi="Times New Roman"/>
          <w:b/>
          <w:noProof/>
          <w:sz w:val="24"/>
          <w:szCs w:val="24"/>
        </w:rPr>
        <w:t>Наличието на по-голям и по-приобщаващ пазар на труда</w:t>
      </w:r>
      <w:r>
        <w:rPr>
          <w:rFonts w:ascii="Times New Roman" w:hAnsi="Times New Roman"/>
          <w:noProof/>
          <w:sz w:val="24"/>
          <w:szCs w:val="24"/>
        </w:rPr>
        <w:t xml:space="preserve"> означава борба срещу всички форми на дискриминация, основана на пол, раса или етнически произход, религия и</w:t>
      </w:r>
      <w:r>
        <w:rPr>
          <w:rFonts w:ascii="Times New Roman" w:hAnsi="Times New Roman"/>
          <w:noProof/>
          <w:sz w:val="24"/>
          <w:szCs w:val="24"/>
        </w:rPr>
        <w:t xml:space="preserve">ли убеждения, увреждане, възраст или сексуална ориентация. Участниците и предприятията в социалната икономика могат да играят важна роля за насърчаване на по-приобщаващ пазар на труда в полза на работниците и местните общности. </w:t>
      </w:r>
    </w:p>
    <w:p w:rsidR="00534131" w:rsidRDefault="00534131">
      <w:pPr>
        <w:spacing w:after="0"/>
        <w:jc w:val="both"/>
        <w:rPr>
          <w:rFonts w:ascii="Times New Roman" w:hAnsi="Times New Roman" w:cs="Times New Roman"/>
          <w:noProof/>
          <w:sz w:val="24"/>
          <w:szCs w:val="24"/>
        </w:rPr>
      </w:pPr>
    </w:p>
    <w:p w:rsidR="00534131" w:rsidRDefault="00534131">
      <w:pPr>
        <w:spacing w:after="0"/>
        <w:jc w:val="both"/>
        <w:rPr>
          <w:rFonts w:ascii="Times New Roman" w:hAnsi="Times New Roman" w:cs="Times New Roman"/>
          <w:noProof/>
          <w:sz w:val="24"/>
          <w:szCs w:val="24"/>
        </w:rPr>
      </w:pPr>
    </w:p>
    <w:p w:rsidR="00534131" w:rsidRDefault="00A12529">
      <w:pPr>
        <w:pStyle w:val="Heading2"/>
        <w:keepNext/>
        <w:rPr>
          <w:noProof/>
        </w:rPr>
      </w:pPr>
      <w:bookmarkStart w:id="43" w:name="_Toc43821382"/>
      <w:r>
        <w:rPr>
          <w:noProof/>
        </w:rPr>
        <w:t>3.1.2.</w:t>
      </w:r>
      <w:bookmarkStart w:id="44" w:name="_Toc33800404"/>
      <w:r>
        <w:rPr>
          <w:noProof/>
        </w:rPr>
        <w:t xml:space="preserve"> </w:t>
      </w:r>
      <w:bookmarkEnd w:id="44"/>
      <w:r>
        <w:rPr>
          <w:noProof/>
        </w:rPr>
        <w:t>ПОВИШАВАНЕ НА ПРОИ</w:t>
      </w:r>
      <w:r>
        <w:rPr>
          <w:noProof/>
        </w:rPr>
        <w:t>ЗВОДИТЕЛНОСТТА ЧРЕЗ УМЕНИЯ И ОБРАЗОВАНИЕ</w:t>
      </w:r>
      <w:bookmarkEnd w:id="43"/>
    </w:p>
    <w:p w:rsidR="00534131" w:rsidRDefault="00A12529">
      <w:pPr>
        <w:keepLines/>
        <w:jc w:val="both"/>
        <w:rPr>
          <w:rFonts w:ascii="Times New Roman" w:hAnsi="Times New Roman" w:cs="Times New Roman"/>
          <w:b/>
          <w:iCs/>
          <w:noProof/>
          <w:sz w:val="24"/>
          <w:szCs w:val="24"/>
        </w:rPr>
      </w:pPr>
      <w:r>
        <w:rPr>
          <w:rFonts w:ascii="Times New Roman" w:hAnsi="Times New Roman"/>
          <w:b/>
          <w:iCs/>
          <w:noProof/>
          <w:sz w:val="24"/>
          <w:szCs w:val="24"/>
        </w:rPr>
        <w:t>Тъй като резервът от работещи започва да намалява, икономическата устойчивост и повишаването на производителността ще станат още по-важни.</w:t>
      </w:r>
      <w:r>
        <w:rPr>
          <w:rFonts w:ascii="Times New Roman" w:hAnsi="Times New Roman"/>
          <w:iCs/>
          <w:noProof/>
          <w:sz w:val="24"/>
          <w:szCs w:val="24"/>
        </w:rPr>
        <w:t xml:space="preserve"> Това ще бъде важно и за устойчивото възстановяване от кризата. Преди пандемията от COVID-19 прогнозите на Комисията показваха, че за да се стабилизира растежът на БВП на равнище 1,3 % годишно до 2070 г., ще е необходимо производителността на труда да нара</w:t>
      </w:r>
      <w:r>
        <w:rPr>
          <w:rFonts w:ascii="Times New Roman" w:hAnsi="Times New Roman"/>
          <w:iCs/>
          <w:noProof/>
          <w:sz w:val="24"/>
          <w:szCs w:val="24"/>
        </w:rPr>
        <w:t>ства средно с 1,5 % годишно</w:t>
      </w:r>
      <w:r>
        <w:rPr>
          <w:rStyle w:val="FootnoteReference"/>
          <w:rFonts w:ascii="Times New Roman" w:hAnsi="Times New Roman" w:cs="Times New Roman"/>
          <w:iCs/>
          <w:noProof/>
          <w:sz w:val="24"/>
          <w:szCs w:val="24"/>
        </w:rPr>
        <w:footnoteReference w:id="26"/>
      </w:r>
      <w:r>
        <w:rPr>
          <w:rFonts w:ascii="Times New Roman" w:hAnsi="Times New Roman"/>
          <w:iCs/>
          <w:noProof/>
          <w:sz w:val="24"/>
          <w:szCs w:val="24"/>
        </w:rPr>
        <w:t>. Повишаването на производителността обаче е намалявало и преди началото на кризата е оценено на по-малко от 1 %.</w:t>
      </w:r>
    </w:p>
    <w:p w:rsidR="00534131" w:rsidRDefault="00A12529">
      <w:pPr>
        <w:jc w:val="both"/>
        <w:rPr>
          <w:rFonts w:ascii="Times New Roman" w:hAnsi="Times New Roman" w:cs="Times New Roman"/>
          <w:iCs/>
          <w:noProof/>
          <w:sz w:val="24"/>
          <w:szCs w:val="24"/>
        </w:rPr>
      </w:pPr>
      <w:r>
        <w:rPr>
          <w:rFonts w:ascii="Times New Roman" w:hAnsi="Times New Roman"/>
          <w:b/>
          <w:iCs/>
          <w:noProof/>
          <w:sz w:val="24"/>
          <w:szCs w:val="24"/>
        </w:rPr>
        <w:t xml:space="preserve">Преходът към неутрална по отношение на климата и цифрова икономика може да допринесе за повишаване на производителността. </w:t>
      </w:r>
      <w:r>
        <w:rPr>
          <w:rFonts w:ascii="Times New Roman" w:hAnsi="Times New Roman"/>
          <w:iCs/>
          <w:noProof/>
          <w:sz w:val="24"/>
          <w:szCs w:val="24"/>
        </w:rPr>
        <w:t>За този двоен преход ще са необходими иновации и разпространение на технологиите, като се изгради в по-голяма степен кръгова и цифрова</w:t>
      </w:r>
      <w:r>
        <w:rPr>
          <w:rFonts w:ascii="Times New Roman" w:hAnsi="Times New Roman"/>
          <w:iCs/>
          <w:noProof/>
          <w:sz w:val="24"/>
          <w:szCs w:val="24"/>
        </w:rPr>
        <w:t xml:space="preserve"> икономика, която създава нови бизнес модели и начини на работа. Вследствие на пандемията и последиците от нея за живота и икономиката ни изпъкна значението на цифровизацията във всички области на икономиката и обществото на ЕС. Ще са необходими и конкурен</w:t>
      </w:r>
      <w:r>
        <w:rPr>
          <w:rFonts w:ascii="Times New Roman" w:hAnsi="Times New Roman"/>
          <w:iCs/>
          <w:noProof/>
          <w:sz w:val="24"/>
          <w:szCs w:val="24"/>
        </w:rPr>
        <w:t xml:space="preserve">ция и еднакви условия на конкуренция, както е описано в наскоро приетата </w:t>
      </w:r>
      <w:r>
        <w:rPr>
          <w:rFonts w:ascii="Times New Roman" w:hAnsi="Times New Roman"/>
          <w:b/>
          <w:iCs/>
          <w:noProof/>
          <w:sz w:val="24"/>
          <w:szCs w:val="24"/>
        </w:rPr>
        <w:t>Нова промишлена стратегия за Европа</w:t>
      </w:r>
      <w:r>
        <w:rPr>
          <w:rFonts w:ascii="Times New Roman" w:hAnsi="Times New Roman" w:cs="Times New Roman"/>
          <w:iCs/>
          <w:noProof/>
          <w:sz w:val="24"/>
          <w:szCs w:val="24"/>
          <w:vertAlign w:val="superscript"/>
        </w:rPr>
        <w:footnoteReference w:id="27"/>
      </w:r>
      <w:r>
        <w:rPr>
          <w:rFonts w:ascii="Times New Roman" w:hAnsi="Times New Roman"/>
          <w:iCs/>
          <w:noProof/>
          <w:sz w:val="24"/>
          <w:szCs w:val="24"/>
        </w:rPr>
        <w:t xml:space="preserve">. </w:t>
      </w:r>
    </w:p>
    <w:p w:rsidR="00534131" w:rsidRDefault="00A12529">
      <w:pPr>
        <w:jc w:val="both"/>
        <w:rPr>
          <w:rFonts w:ascii="Times New Roman" w:hAnsi="Times New Roman"/>
          <w:noProof/>
          <w:sz w:val="24"/>
        </w:rPr>
      </w:pPr>
      <w:r>
        <w:rPr>
          <w:rFonts w:ascii="Times New Roman" w:hAnsi="Times New Roman"/>
          <w:iCs/>
          <w:noProof/>
          <w:sz w:val="24"/>
          <w:szCs w:val="24"/>
        </w:rPr>
        <w:t>Автоматизацията и новите, по-чисти технологии могат да спомогнат за повишаване на производителността на труда в бъдеще. Един справедлив преход з</w:t>
      </w:r>
      <w:r>
        <w:rPr>
          <w:rFonts w:ascii="Times New Roman" w:hAnsi="Times New Roman"/>
          <w:iCs/>
          <w:noProof/>
          <w:sz w:val="24"/>
          <w:szCs w:val="24"/>
        </w:rPr>
        <w:t>а всички ще бъде от съществено значение за онези, които ще трябва да усвоят нови умения или да сменят работата си.</w:t>
      </w:r>
      <w:r>
        <w:rPr>
          <w:rFonts w:ascii="Times New Roman" w:hAnsi="Times New Roman"/>
          <w:b/>
          <w:iCs/>
          <w:noProof/>
          <w:sz w:val="24"/>
          <w:szCs w:val="24"/>
        </w:rPr>
        <w:t xml:space="preserve"> </w:t>
      </w:r>
      <w:r>
        <w:rPr>
          <w:rFonts w:ascii="Times New Roman" w:hAnsi="Times New Roman"/>
          <w:iCs/>
          <w:noProof/>
          <w:sz w:val="24"/>
          <w:szCs w:val="24"/>
        </w:rPr>
        <w:t xml:space="preserve">В този дух Комисията предложи да се укрепи Фондът за справедлив преход — с цел да се ограничат социално-икономическите последици от прехода, </w:t>
      </w:r>
      <w:r>
        <w:rPr>
          <w:rFonts w:ascii="Times New Roman" w:hAnsi="Times New Roman"/>
          <w:iCs/>
          <w:noProof/>
          <w:sz w:val="24"/>
          <w:szCs w:val="24"/>
        </w:rPr>
        <w:t xml:space="preserve">като се подкрепи преквалификацията, окаже се подкрепа на МСП за създаването на нови икономически възможности и се инвестира в прехода към чиста енергия. </w:t>
      </w:r>
    </w:p>
    <w:p w:rsidR="00534131" w:rsidRDefault="00A12529">
      <w:pPr>
        <w:jc w:val="both"/>
        <w:rPr>
          <w:rFonts w:ascii="Times New Roman" w:hAnsi="Times New Roman" w:cs="Times New Roman"/>
          <w:iCs/>
          <w:noProof/>
          <w:sz w:val="24"/>
          <w:szCs w:val="24"/>
        </w:rPr>
      </w:pPr>
      <w:r>
        <w:rPr>
          <w:rFonts w:ascii="Times New Roman" w:hAnsi="Times New Roman"/>
          <w:b/>
          <w:iCs/>
          <w:noProof/>
          <w:sz w:val="24"/>
          <w:szCs w:val="24"/>
        </w:rPr>
        <w:t>Европа се нуждае от висококвалифицирана, добре обучена и приспособима работна ръка</w:t>
      </w:r>
      <w:r>
        <w:rPr>
          <w:rStyle w:val="FootnoteReference"/>
          <w:rFonts w:ascii="Times New Roman" w:hAnsi="Times New Roman" w:cs="Times New Roman"/>
          <w:b/>
          <w:iCs/>
          <w:noProof/>
          <w:sz w:val="24"/>
          <w:szCs w:val="24"/>
        </w:rPr>
        <w:footnoteReference w:id="28"/>
      </w:r>
      <w:r>
        <w:rPr>
          <w:rFonts w:ascii="Times New Roman" w:hAnsi="Times New Roman"/>
          <w:b/>
          <w:iCs/>
          <w:noProof/>
          <w:sz w:val="24"/>
          <w:szCs w:val="24"/>
        </w:rPr>
        <w:t xml:space="preserve">. </w:t>
      </w:r>
      <w:r>
        <w:rPr>
          <w:rFonts w:ascii="Times New Roman" w:hAnsi="Times New Roman"/>
          <w:iCs/>
          <w:noProof/>
          <w:sz w:val="24"/>
          <w:szCs w:val="24"/>
        </w:rPr>
        <w:t>Превръщането на у</w:t>
      </w:r>
      <w:r>
        <w:rPr>
          <w:rFonts w:ascii="Times New Roman" w:hAnsi="Times New Roman"/>
          <w:iCs/>
          <w:noProof/>
          <w:sz w:val="24"/>
          <w:szCs w:val="24"/>
        </w:rPr>
        <w:t>ченето през целия живот в реалност за всички ще стане още по-важно. През следващите години милиони европейци ще трябва да подобрят уменията си или да се преквалифицират. По-ефективното привличане на умения и таланти от чужбина също ще спомогне за посрещане</w:t>
      </w:r>
      <w:r>
        <w:rPr>
          <w:rFonts w:ascii="Times New Roman" w:hAnsi="Times New Roman"/>
          <w:iCs/>
          <w:noProof/>
          <w:sz w:val="24"/>
          <w:szCs w:val="24"/>
        </w:rPr>
        <w:t xml:space="preserve"> на нуждите на пазара на труда. </w:t>
      </w:r>
    </w:p>
    <w:p w:rsidR="00534131" w:rsidRDefault="00A12529">
      <w:pPr>
        <w:jc w:val="both"/>
        <w:rPr>
          <w:rFonts w:ascii="Times New Roman" w:hAnsi="Times New Roman" w:cs="Times New Roman"/>
          <w:b/>
          <w:iCs/>
          <w:noProof/>
          <w:sz w:val="24"/>
          <w:szCs w:val="24"/>
        </w:rPr>
      </w:pPr>
      <w:r>
        <w:rPr>
          <w:rFonts w:ascii="Times New Roman" w:hAnsi="Times New Roman"/>
          <w:iCs/>
          <w:noProof/>
          <w:sz w:val="24"/>
          <w:szCs w:val="24"/>
        </w:rPr>
        <w:t xml:space="preserve">Тъй като двойният преход набира скорост, Европа ще трябва да гарантира, че хората поддържат уменията си, включително екологосъобразните и цифровите умения. Преди кризата в Европа имаше около 1 милион свободни работни места </w:t>
      </w:r>
      <w:r>
        <w:rPr>
          <w:rFonts w:ascii="Times New Roman" w:hAnsi="Times New Roman"/>
          <w:iCs/>
          <w:noProof/>
          <w:sz w:val="24"/>
          <w:szCs w:val="24"/>
        </w:rPr>
        <w:t>за експерти в областта на цифровизацията и 70 % от дружествата съобщаваха, че отлагат инвестициите си, защото не са успели да намерят хора с необходимите умения. Това се дължи на факта, че през 2019 г. 29 % от населението на ЕС е имало ниско равнище на циф</w:t>
      </w:r>
      <w:r>
        <w:rPr>
          <w:rFonts w:ascii="Times New Roman" w:hAnsi="Times New Roman"/>
          <w:iCs/>
          <w:noProof/>
          <w:sz w:val="24"/>
          <w:szCs w:val="24"/>
        </w:rPr>
        <w:t>рови умения, а 15 % въобще не са имали такива умения. Кризата открои допълнително значението на цифровите умения за децата, учениците, учителите, обучаващите, както и за всички нас по отношение на общуването и работата. Тя показа, че много хора все още ням</w:t>
      </w:r>
      <w:r>
        <w:rPr>
          <w:rFonts w:ascii="Times New Roman" w:hAnsi="Times New Roman"/>
          <w:iCs/>
          <w:noProof/>
          <w:sz w:val="24"/>
          <w:szCs w:val="24"/>
        </w:rPr>
        <w:t xml:space="preserve">ат достъп до необходимите инструменти. Комисията ще предложи </w:t>
      </w:r>
      <w:r>
        <w:rPr>
          <w:rFonts w:ascii="Times New Roman" w:hAnsi="Times New Roman"/>
          <w:b/>
          <w:iCs/>
          <w:noProof/>
          <w:sz w:val="24"/>
          <w:szCs w:val="24"/>
        </w:rPr>
        <w:t>план за действие в областта на цифровото образование</w:t>
      </w:r>
      <w:r>
        <w:rPr>
          <w:rFonts w:ascii="Times New Roman" w:hAnsi="Times New Roman"/>
          <w:iCs/>
          <w:noProof/>
          <w:sz w:val="24"/>
          <w:szCs w:val="24"/>
        </w:rPr>
        <w:t>, за да предвиди конкретни действия за справяне с тези предизвикателства.</w:t>
      </w:r>
    </w:p>
    <w:p w:rsidR="00534131" w:rsidRDefault="00A12529">
      <w:pPr>
        <w:jc w:val="both"/>
        <w:rPr>
          <w:rFonts w:ascii="Times New Roman" w:hAnsi="Times New Roman" w:cs="Times New Roman"/>
          <w:iCs/>
          <w:noProof/>
          <w:sz w:val="24"/>
          <w:szCs w:val="24"/>
        </w:rPr>
      </w:pPr>
      <w:r>
        <w:rPr>
          <w:rFonts w:ascii="Times New Roman" w:hAnsi="Times New Roman"/>
          <w:b/>
          <w:iCs/>
          <w:noProof/>
          <w:sz w:val="24"/>
          <w:szCs w:val="24"/>
        </w:rPr>
        <w:t>Решението се състои в инвестициите в хората и техните умения и подобр</w:t>
      </w:r>
      <w:r>
        <w:rPr>
          <w:rFonts w:ascii="Times New Roman" w:hAnsi="Times New Roman"/>
          <w:b/>
          <w:iCs/>
          <w:noProof/>
          <w:sz w:val="24"/>
          <w:szCs w:val="24"/>
        </w:rPr>
        <w:t xml:space="preserve">яването на достъпа до обучение и образование. </w:t>
      </w:r>
      <w:r>
        <w:rPr>
          <w:rFonts w:ascii="Times New Roman" w:hAnsi="Times New Roman"/>
          <w:iCs/>
          <w:noProof/>
          <w:sz w:val="24"/>
          <w:szCs w:val="24"/>
        </w:rPr>
        <w:t>Това ще изисква колективни действия на промишлеността, държавите членки, социалните партньори и други заинтересовани страни, за да се допринесе за повишаването на уменията и преквалификацията и да се мобилизира</w:t>
      </w:r>
      <w:r>
        <w:rPr>
          <w:rFonts w:ascii="Times New Roman" w:hAnsi="Times New Roman"/>
          <w:iCs/>
          <w:noProof/>
          <w:sz w:val="24"/>
          <w:szCs w:val="24"/>
        </w:rPr>
        <w:t xml:space="preserve">т публичните и частните инвестиции в работната сила. Актуализирането на </w:t>
      </w:r>
      <w:r>
        <w:rPr>
          <w:rFonts w:ascii="Times New Roman" w:hAnsi="Times New Roman"/>
          <w:b/>
          <w:iCs/>
          <w:noProof/>
          <w:sz w:val="24"/>
          <w:szCs w:val="24"/>
        </w:rPr>
        <w:t>програмата за умения</w:t>
      </w:r>
      <w:r>
        <w:rPr>
          <w:rFonts w:ascii="Times New Roman" w:hAnsi="Times New Roman"/>
          <w:iCs/>
          <w:noProof/>
          <w:sz w:val="24"/>
          <w:szCs w:val="24"/>
        </w:rPr>
        <w:t xml:space="preserve">, както и препоръката относно професионалното образование и обучение също ще бъдат важни стъпки за постигането на тази цел. </w:t>
      </w:r>
    </w:p>
    <w:p w:rsidR="00534131" w:rsidRDefault="00A12529">
      <w:pPr>
        <w:pStyle w:val="Heading2"/>
        <w:keepNext/>
        <w:rPr>
          <w:noProof/>
        </w:rPr>
      </w:pPr>
      <w:bookmarkStart w:id="45" w:name="_Toc32414444"/>
      <w:bookmarkStart w:id="46" w:name="_Toc32444155"/>
      <w:bookmarkStart w:id="47" w:name="_Toc33800405"/>
      <w:bookmarkStart w:id="48" w:name="_Toc43821383"/>
      <w:r>
        <w:rPr>
          <w:noProof/>
        </w:rPr>
        <w:t xml:space="preserve">3.2. </w:t>
      </w:r>
      <w:bookmarkEnd w:id="45"/>
      <w:bookmarkEnd w:id="46"/>
      <w:r>
        <w:rPr>
          <w:noProof/>
        </w:rPr>
        <w:t>ЗДРАВЕОПАЗВАНЕ И ДЪЛГОСРОЧНИ ГРИЖИ</w:t>
      </w:r>
      <w:bookmarkEnd w:id="47"/>
      <w:bookmarkEnd w:id="48"/>
    </w:p>
    <w:p w:rsidR="00534131" w:rsidRDefault="00A12529">
      <w:pPr>
        <w:keepLines/>
        <w:spacing w:after="160"/>
        <w:jc w:val="both"/>
        <w:rPr>
          <w:rFonts w:ascii="Times New Roman" w:hAnsi="Times New Roman"/>
          <w:noProof/>
          <w:sz w:val="24"/>
          <w:szCs w:val="24"/>
        </w:rPr>
      </w:pPr>
      <w:r>
        <w:rPr>
          <w:rFonts w:ascii="Times New Roman" w:hAnsi="Times New Roman"/>
          <w:noProof/>
          <w:sz w:val="24"/>
        </w:rPr>
        <w:t>Системите за здравеопазване и дългосрочни грижи в Европа са на първа линия по време на пандемията от COVID-19.</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w:t>
      </w:r>
      <w:r>
        <w:rPr>
          <w:rFonts w:ascii="Times New Roman" w:hAnsi="Times New Roman"/>
          <w:noProof/>
          <w:sz w:val="24"/>
        </w:rPr>
        <w:t xml:space="preserve">Те бяха поставени на тежко изпитание в борбата с вируса, като върху тях вече съществуваше нарастващ, натиск не на последно място в резултат на </w:t>
      </w:r>
      <w:r>
        <w:rPr>
          <w:rFonts w:ascii="Times New Roman" w:hAnsi="Times New Roman"/>
          <w:noProof/>
          <w:sz w:val="24"/>
        </w:rPr>
        <w:t>застаряването на обществото ни.</w:t>
      </w:r>
      <w:r>
        <w:rPr>
          <w:rFonts w:ascii="Times New Roman" w:hAnsi="Times New Roman"/>
          <w:b/>
          <w:noProof/>
          <w:sz w:val="24"/>
          <w:szCs w:val="24"/>
        </w:rPr>
        <w:t xml:space="preserve"> </w:t>
      </w:r>
      <w:r>
        <w:rPr>
          <w:rFonts w:ascii="Times New Roman" w:hAnsi="Times New Roman"/>
          <w:noProof/>
          <w:sz w:val="24"/>
          <w:szCs w:val="24"/>
        </w:rPr>
        <w:t>Това засяга особено силно онези региони, в които между настоящия момент и 2030 г. се очаква да има значително увеличение на броя на хората на възраст над 65 години.</w:t>
      </w:r>
    </w:p>
    <w:p w:rsidR="00534131" w:rsidRDefault="00A12529">
      <w:pPr>
        <w:rPr>
          <w:rFonts w:ascii="Times New Roman" w:hAnsi="Times New Roman" w:cs="Times New Roman"/>
          <w:noProof/>
          <w:sz w:val="24"/>
          <w:szCs w:val="24"/>
        </w:rPr>
      </w:pPr>
      <w:r>
        <w:rPr>
          <w:rFonts w:ascii="Times New Roman" w:hAnsi="Times New Roman" w:cs="Times New Roman"/>
          <w:noProof/>
          <w:sz w:val="24"/>
          <w:szCs w:val="24"/>
        </w:rPr>
        <w:br w:type="page"/>
      </w:r>
    </w:p>
    <w:p w:rsidR="00534131" w:rsidRDefault="00A12529">
      <w:pPr>
        <w:keepNext/>
        <w:spacing w:after="0"/>
        <w:jc w:val="center"/>
        <w:rPr>
          <w:rFonts w:ascii="Times New Roman" w:hAnsi="Times New Roman"/>
          <w:b/>
          <w:noProof/>
          <w:sz w:val="24"/>
        </w:rPr>
      </w:pPr>
      <w:r>
        <w:rPr>
          <w:rFonts w:ascii="Times New Roman" w:hAnsi="Times New Roman"/>
          <w:b/>
          <w:noProof/>
          <w:sz w:val="24"/>
        </w:rPr>
        <w:t>Промяна в дела на населението на възраст 65 г. по региони</w:t>
      </w:r>
      <w:r>
        <w:rPr>
          <w:rStyle w:val="FootnoteReference"/>
          <w:rFonts w:ascii="Times New Roman" w:hAnsi="Times New Roman" w:cs="Times New Roman"/>
          <w:b/>
          <w:noProof/>
          <w:sz w:val="24"/>
        </w:rPr>
        <w:footnoteReference w:id="30"/>
      </w:r>
      <w:r>
        <w:rPr>
          <w:rFonts w:ascii="Times New Roman" w:hAnsi="Times New Roman"/>
          <w:b/>
          <w:noProof/>
          <w:sz w:val="24"/>
        </w:rPr>
        <w:t>, 2020—2030 г.</w:t>
      </w:r>
    </w:p>
    <w:p w:rsidR="00534131" w:rsidRDefault="00A12529">
      <w:pPr>
        <w:spacing w:after="0"/>
        <w:jc w:val="center"/>
        <w:rPr>
          <w:rFonts w:ascii="Times New Roman" w:hAnsi="Times New Roman" w:cs="Times New Roman"/>
          <w:noProof/>
          <w:sz w:val="24"/>
          <w:szCs w:val="24"/>
        </w:rPr>
      </w:pPr>
      <w:r w:rsidRPr="00A12529">
        <w:rPr>
          <w:rFonts w:ascii="Times New Roman" w:hAnsi="Times New Roman"/>
          <w:noProof/>
          <w:sz w:val="24"/>
          <w:szCs w:val="24"/>
        </w:rPr>
        <w:t>(Разлика в процентните пунктове)</w:t>
      </w:r>
    </w:p>
    <w:p w:rsidR="00534131" w:rsidRDefault="00A12529">
      <w:pPr>
        <w:spacing w:after="0"/>
        <w:jc w:val="center"/>
        <w:rPr>
          <w:rFonts w:ascii="Times New Roman" w:hAnsi="Times New Roman" w:cs="Times New Roman"/>
          <w:noProof/>
          <w:sz w:val="24"/>
          <w:szCs w:val="24"/>
        </w:rPr>
      </w:pPr>
      <w:r>
        <w:rPr>
          <w:rFonts w:ascii="Times New Roman" w:hAnsi="Times New Roman"/>
          <w:b/>
          <w:i/>
          <w:noProof/>
          <w:sz w:val="24"/>
          <w:szCs w:val="24"/>
          <w:u w:val="single"/>
          <w:lang w:val="fr-BE" w:eastAsia="fr-BE"/>
        </w:rPr>
        <w:drawing>
          <wp:inline distT="0" distB="0" distL="0" distR="0">
            <wp:extent cx="4682837" cy="6555972"/>
            <wp:effectExtent l="0" t="0" r="3810" b="0"/>
            <wp:docPr id="2" name="Picture 2" descr="N3_65PLUS_SH_CHANGE_2020_2030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3_65PLUS_SH_CHANGE_2020_2030_A4P20_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7737" cy="6562833"/>
                    </a:xfrm>
                    <a:prstGeom prst="rect">
                      <a:avLst/>
                    </a:prstGeom>
                    <a:noFill/>
                    <a:ln>
                      <a:noFill/>
                    </a:ln>
                  </pic:spPr>
                </pic:pic>
              </a:graphicData>
            </a:graphic>
          </wp:inline>
        </w:drawing>
      </w:r>
    </w:p>
    <w:p w:rsidR="00534131" w:rsidRDefault="00A12529">
      <w:pPr>
        <w:spacing w:after="160"/>
        <w:jc w:val="both"/>
        <w:rPr>
          <w:rFonts w:ascii="Times New Roman" w:hAnsi="Times New Roman" w:cs="Times New Roman"/>
          <w:noProof/>
          <w:sz w:val="24"/>
          <w:szCs w:val="24"/>
        </w:rPr>
      </w:pPr>
      <w:r>
        <w:rPr>
          <w:rFonts w:ascii="Times New Roman" w:hAnsi="Times New Roman"/>
          <w:noProof/>
          <w:sz w:val="24"/>
          <w:szCs w:val="24"/>
        </w:rPr>
        <w:t>Пандемията от COVID-19 извади на показ уязвимостта на възрастните хора към пандемии и други заболявания, по-специално защото съществува по-голяма вероятност те да имат придружаващи здравословни проблеми. Т</w:t>
      </w:r>
      <w:r>
        <w:rPr>
          <w:rFonts w:ascii="Times New Roman" w:hAnsi="Times New Roman"/>
          <w:noProof/>
          <w:sz w:val="24"/>
          <w:szCs w:val="24"/>
        </w:rPr>
        <w:t xml:space="preserve">я също така направи да изпъкнат необходимостта от надеждни системи за обществено здравеопазване и необходимостта от по-голям капацитет на отделенията за интензивно лечение. </w:t>
      </w:r>
    </w:p>
    <w:p w:rsidR="00534131" w:rsidRDefault="00A12529">
      <w:pPr>
        <w:spacing w:after="160"/>
        <w:jc w:val="both"/>
        <w:rPr>
          <w:rFonts w:ascii="Times New Roman" w:hAnsi="Times New Roman" w:cs="Times New Roman"/>
          <w:noProof/>
          <w:sz w:val="24"/>
          <w:szCs w:val="24"/>
        </w:rPr>
      </w:pPr>
      <w:r>
        <w:rPr>
          <w:rFonts w:ascii="Times New Roman" w:hAnsi="Times New Roman"/>
          <w:noProof/>
          <w:sz w:val="24"/>
          <w:szCs w:val="24"/>
        </w:rPr>
        <w:t>За изграждането на по-устойчиви здравни системи са необходими подходящи инвестиции</w:t>
      </w:r>
      <w:r>
        <w:rPr>
          <w:rFonts w:ascii="Times New Roman" w:hAnsi="Times New Roman"/>
          <w:noProof/>
          <w:sz w:val="24"/>
          <w:szCs w:val="24"/>
        </w:rPr>
        <w:t xml:space="preserve"> и финансова подкрепа, съответстващи на тяхната водеща роля. Ето защо Комисията наскоро предложи самостоятелна програма „ЕС в подкрепа на здравето“ (EU4Health), за да подкрепи държавите членки и ЕС в изграждането на капацитет и повишаването на подготвеност</w:t>
      </w:r>
      <w:r>
        <w:rPr>
          <w:rFonts w:ascii="Times New Roman" w:hAnsi="Times New Roman"/>
          <w:noProof/>
          <w:sz w:val="24"/>
          <w:szCs w:val="24"/>
        </w:rPr>
        <w:t>та</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Тя ще спомогне за изпълнението на дългосрочната визия за добре функциониращи и устойчиви системи за обществено здравеопазване, по-специално чрез инвестиране в профилактиката и надзора на заболяванията и чрез подобряване на достъпа до здравеопазване, д</w:t>
      </w:r>
      <w:r>
        <w:rPr>
          <w:rFonts w:ascii="Times New Roman" w:hAnsi="Times New Roman"/>
          <w:noProof/>
          <w:sz w:val="24"/>
          <w:szCs w:val="24"/>
        </w:rPr>
        <w:t>иагностика и лечение за всички. Това може да бъде и отправната точка за разискването на въпроса какво повече можем да направим заедно, за да се справим с кризите, но също и в по-общ план в сектора на здравеопазването.</w:t>
      </w:r>
    </w:p>
    <w:p w:rsidR="00534131" w:rsidRDefault="00A12529">
      <w:pPr>
        <w:spacing w:after="160"/>
        <w:jc w:val="both"/>
        <w:rPr>
          <w:rFonts w:ascii="Times New Roman" w:hAnsi="Times New Roman" w:cs="Times New Roman"/>
          <w:i/>
          <w:noProof/>
          <w:sz w:val="24"/>
          <w:szCs w:val="24"/>
        </w:rPr>
      </w:pPr>
      <w:r>
        <w:rPr>
          <w:rFonts w:ascii="Times New Roman" w:hAnsi="Times New Roman"/>
          <w:b/>
          <w:noProof/>
          <w:sz w:val="24"/>
          <w:szCs w:val="24"/>
        </w:rPr>
        <w:t>Нарастващата тежест на хроничните забо</w:t>
      </w:r>
      <w:r>
        <w:rPr>
          <w:rFonts w:ascii="Times New Roman" w:hAnsi="Times New Roman"/>
          <w:b/>
          <w:noProof/>
          <w:sz w:val="24"/>
          <w:szCs w:val="24"/>
        </w:rPr>
        <w:t>лявания също ще бъде предизвикателство за системите за здравеопазване в Европа.</w:t>
      </w:r>
      <w:r>
        <w:rPr>
          <w:rFonts w:ascii="Times New Roman" w:hAnsi="Times New Roman"/>
          <w:noProof/>
          <w:sz w:val="24"/>
          <w:szCs w:val="24"/>
        </w:rPr>
        <w:t xml:space="preserve"> За тези болести вече се използват около 70—80 % от разходите за здравеопазване</w:t>
      </w:r>
      <w:r>
        <w:rPr>
          <w:rStyle w:val="FootnoteReference"/>
          <w:rFonts w:ascii="Times New Roman" w:hAnsi="Times New Roman" w:cs="Times New Roman"/>
          <w:noProof/>
          <w:sz w:val="24"/>
          <w:szCs w:val="24"/>
        </w:rPr>
        <w:footnoteReference w:id="32"/>
      </w:r>
      <w:r>
        <w:rPr>
          <w:noProof/>
        </w:rPr>
        <w:t>.</w:t>
      </w:r>
      <w:r>
        <w:rPr>
          <w:rFonts w:ascii="Times New Roman" w:hAnsi="Times New Roman"/>
          <w:i/>
          <w:noProof/>
          <w:sz w:val="24"/>
          <w:szCs w:val="24"/>
        </w:rPr>
        <w:t xml:space="preserve"> </w:t>
      </w:r>
      <w:r>
        <w:rPr>
          <w:rFonts w:ascii="Times New Roman" w:hAnsi="Times New Roman"/>
          <w:noProof/>
          <w:sz w:val="24"/>
          <w:szCs w:val="24"/>
        </w:rPr>
        <w:t xml:space="preserve">Понастоящем около 50 милиона европейски граждани (повечето от тях на възраст над 65 години) </w:t>
      </w:r>
      <w:r>
        <w:rPr>
          <w:rFonts w:ascii="Times New Roman" w:hAnsi="Times New Roman"/>
          <w:noProof/>
          <w:sz w:val="24"/>
          <w:szCs w:val="24"/>
        </w:rPr>
        <w:t>страдат от две или повече хронични заболявания</w:t>
      </w:r>
      <w:r>
        <w:rPr>
          <w:rFonts w:ascii="Times New Roman" w:hAnsi="Times New Roman" w:cs="Times New Roman"/>
          <w:noProof/>
          <w:sz w:val="24"/>
          <w:szCs w:val="24"/>
          <w:vertAlign w:val="superscript"/>
        </w:rPr>
        <w:footnoteReference w:id="33"/>
      </w:r>
      <w:r>
        <w:rPr>
          <w:rFonts w:ascii="Times New Roman" w:hAnsi="Times New Roman"/>
          <w:noProof/>
          <w:sz w:val="24"/>
          <w:szCs w:val="24"/>
        </w:rPr>
        <w:t xml:space="preserve">. Като част от усилията за засилване на профилактиката </w:t>
      </w:r>
      <w:r>
        <w:rPr>
          <w:rFonts w:ascii="Times New Roman" w:hAnsi="Times New Roman"/>
          <w:b/>
          <w:noProof/>
          <w:sz w:val="24"/>
          <w:szCs w:val="24"/>
        </w:rPr>
        <w:t>стратегията „От фермата до трапезата“</w:t>
      </w:r>
      <w:r>
        <w:rPr>
          <w:rStyle w:val="FootnoteReference"/>
          <w:rFonts w:ascii="Times New Roman" w:hAnsi="Times New Roman" w:cs="Times New Roman"/>
          <w:b/>
          <w:noProof/>
          <w:sz w:val="24"/>
          <w:szCs w:val="24"/>
        </w:rPr>
        <w:footnoteReference w:id="34"/>
      </w:r>
      <w:r>
        <w:rPr>
          <w:rFonts w:ascii="Times New Roman" w:hAnsi="Times New Roman"/>
          <w:noProof/>
          <w:sz w:val="24"/>
          <w:szCs w:val="24"/>
        </w:rPr>
        <w:t xml:space="preserve"> има за цел да предостави на европейците повече информация и да им помогне да правят по-добър избор на хранителен ре</w:t>
      </w:r>
      <w:r>
        <w:rPr>
          <w:rFonts w:ascii="Times New Roman" w:hAnsi="Times New Roman"/>
          <w:noProof/>
          <w:sz w:val="24"/>
          <w:szCs w:val="24"/>
        </w:rPr>
        <w:t xml:space="preserve">жим. Като се имат предвид по-високите рискове, свързани с хроничните заболявания, работата по </w:t>
      </w:r>
      <w:r>
        <w:rPr>
          <w:rFonts w:ascii="Times New Roman" w:hAnsi="Times New Roman"/>
          <w:b/>
          <w:noProof/>
          <w:sz w:val="24"/>
          <w:szCs w:val="24"/>
        </w:rPr>
        <w:t>европейския план за борба с рака</w:t>
      </w:r>
      <w:r>
        <w:rPr>
          <w:rFonts w:ascii="Times New Roman" w:hAnsi="Times New Roman"/>
          <w:noProof/>
          <w:sz w:val="24"/>
          <w:szCs w:val="24"/>
        </w:rPr>
        <w:t xml:space="preserve"> ще бъде от основно значение за нашето здраве и за състоянието на нашите системи за здравеопазване. Спортът и физическата активнос</w:t>
      </w:r>
      <w:r>
        <w:rPr>
          <w:rFonts w:ascii="Times New Roman" w:hAnsi="Times New Roman"/>
          <w:noProof/>
          <w:sz w:val="24"/>
          <w:szCs w:val="24"/>
        </w:rPr>
        <w:t>т също могат да играят важна роля в здравната профилактика и промоцията на здравето.</w:t>
      </w:r>
    </w:p>
    <w:p w:rsidR="00534131" w:rsidRDefault="00A12529">
      <w:pPr>
        <w:spacing w:after="160"/>
        <w:jc w:val="both"/>
        <w:rPr>
          <w:rFonts w:ascii="Times New Roman" w:hAnsi="Times New Roman" w:cs="Times New Roman"/>
          <w:noProof/>
          <w:sz w:val="24"/>
          <w:szCs w:val="24"/>
        </w:rPr>
      </w:pPr>
      <w:r>
        <w:rPr>
          <w:rFonts w:ascii="Times New Roman" w:hAnsi="Times New Roman"/>
          <w:noProof/>
          <w:sz w:val="24"/>
          <w:szCs w:val="24"/>
        </w:rPr>
        <w:t>Очаква се търсенето на служители специалисти да се увеличи в съответствие с търсенето на здравеопазване и дългосрочни грижи. Вече има признаци за недостиг на работна ръка</w:t>
      </w:r>
      <w:r>
        <w:rPr>
          <w:rFonts w:ascii="Times New Roman" w:hAnsi="Times New Roman" w:cs="Times New Roman"/>
          <w:iCs/>
          <w:noProof/>
          <w:sz w:val="24"/>
          <w:szCs w:val="24"/>
          <w:vertAlign w:val="superscript"/>
        </w:rPr>
        <w:footnoteReference w:id="35"/>
      </w:r>
      <w:r>
        <w:rPr>
          <w:rFonts w:ascii="Times New Roman" w:hAnsi="Times New Roman"/>
          <w:noProof/>
          <w:sz w:val="24"/>
          <w:szCs w:val="24"/>
        </w:rPr>
        <w:t xml:space="preserve"> в сектора на здравеопазването</w:t>
      </w:r>
      <w:r>
        <w:rPr>
          <w:rFonts w:ascii="Times New Roman" w:hAnsi="Times New Roman" w:cs="Times New Roman"/>
          <w:noProof/>
          <w:sz w:val="24"/>
          <w:szCs w:val="24"/>
          <w:vertAlign w:val="superscript"/>
        </w:rPr>
        <w:footnoteReference w:id="36"/>
      </w:r>
      <w:r>
        <w:rPr>
          <w:rFonts w:ascii="Times New Roman" w:hAnsi="Times New Roman"/>
          <w:noProof/>
          <w:sz w:val="24"/>
          <w:szCs w:val="24"/>
        </w:rPr>
        <w:t xml:space="preserve"> и сектора на дългосрочните грижи. Текущата работа на ОИСР относно наетия персонал в сектора на дългосрочните грижи</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xml:space="preserve"> сочи, че е важно да се подобрят условията на труд в сектора и да се увеличи привлекателността на работата, с</w:t>
      </w:r>
      <w:r>
        <w:rPr>
          <w:rFonts w:ascii="Times New Roman" w:hAnsi="Times New Roman"/>
          <w:noProof/>
          <w:sz w:val="24"/>
          <w:szCs w:val="24"/>
        </w:rPr>
        <w:t>вързана с предоставянето на грижи. Въпреки нарастващия брой в почти всички държави от ЕС на лекарите и медицинските сестри през последното десетилетие, продължава да има недостиг на общопрактикуващи лекари, особено в селските и отдалечените райони и в най-</w:t>
      </w:r>
      <w:r>
        <w:rPr>
          <w:rFonts w:ascii="Times New Roman" w:hAnsi="Times New Roman"/>
          <w:noProof/>
          <w:sz w:val="24"/>
          <w:szCs w:val="24"/>
        </w:rPr>
        <w:t xml:space="preserve">отдалечените региони. </w:t>
      </w:r>
    </w:p>
    <w:p w:rsidR="00534131" w:rsidRDefault="00A12529">
      <w:pPr>
        <w:spacing w:after="160"/>
        <w:jc w:val="both"/>
        <w:rPr>
          <w:rFonts w:ascii="Times New Roman" w:hAnsi="Times New Roman" w:cs="Times New Roman"/>
          <w:noProof/>
          <w:sz w:val="24"/>
          <w:szCs w:val="24"/>
        </w:rPr>
      </w:pPr>
      <w:r>
        <w:rPr>
          <w:rFonts w:ascii="Times New Roman" w:hAnsi="Times New Roman"/>
          <w:noProof/>
          <w:sz w:val="24"/>
          <w:szCs w:val="24"/>
        </w:rPr>
        <w:t xml:space="preserve">Основното предизвикателство е </w:t>
      </w:r>
      <w:r>
        <w:rPr>
          <w:rFonts w:ascii="Times New Roman" w:hAnsi="Times New Roman"/>
          <w:b/>
          <w:bCs/>
          <w:noProof/>
          <w:sz w:val="24"/>
          <w:szCs w:val="24"/>
        </w:rPr>
        <w:t>да се отговори на нарастващото търсене на достъп до достатъчни и финансово достъпни здравни услуги и услуги за дългосрочни грижи с добро качество, както е заложено в Европейския стълб на социалните права</w:t>
      </w:r>
      <w:r>
        <w:rPr>
          <w:noProof/>
        </w:rPr>
        <w:t>.</w:t>
      </w:r>
      <w:r>
        <w:rPr>
          <w:rFonts w:ascii="Times New Roman" w:hAnsi="Times New Roman"/>
          <w:noProof/>
          <w:sz w:val="24"/>
          <w:szCs w:val="24"/>
        </w:rPr>
        <w:t xml:space="preserve"> За осигуряването на висока степен на закрила на човешкото здраве</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xml:space="preserve"> е необходима подходяща инфраструктура, като например болници, домове за дългосрочни грижи и жилища, които са адаптирани и оборудвани за възрастни хора За разлика от здравеопазването, в не </w:t>
      </w:r>
      <w:r>
        <w:rPr>
          <w:rFonts w:ascii="Times New Roman" w:hAnsi="Times New Roman"/>
          <w:noProof/>
          <w:sz w:val="24"/>
          <w:szCs w:val="24"/>
        </w:rPr>
        <w:t>всички държави членки има социална закрила за нуждаещите се от дългосрочни грижи. Формалните дългосрочни грижи са скъпи и често се поемат от самòто нуждаещо се лице или от членове на неговото семейство. Тъй като населението на Европа застарява и домакинств</w:t>
      </w:r>
      <w:r>
        <w:rPr>
          <w:rFonts w:ascii="Times New Roman" w:hAnsi="Times New Roman"/>
          <w:noProof/>
          <w:sz w:val="24"/>
          <w:szCs w:val="24"/>
        </w:rPr>
        <w:t>ата стават по-малки, това вероятно ще бъде постоянно предизвикателство за много хора.</w:t>
      </w:r>
    </w:p>
    <w:p w:rsidR="00534131" w:rsidRDefault="00A12529">
      <w:pPr>
        <w:spacing w:after="160"/>
        <w:jc w:val="both"/>
        <w:rPr>
          <w:rFonts w:ascii="Times New Roman" w:hAnsi="Times New Roman" w:cs="Times New Roman"/>
          <w:noProof/>
          <w:sz w:val="24"/>
          <w:szCs w:val="24"/>
        </w:rPr>
      </w:pPr>
      <w:r>
        <w:rPr>
          <w:rFonts w:ascii="Times New Roman" w:hAnsi="Times New Roman"/>
          <w:b/>
          <w:noProof/>
          <w:sz w:val="24"/>
          <w:szCs w:val="24"/>
        </w:rPr>
        <w:t xml:space="preserve">Развиващата се </w:t>
      </w:r>
      <w:r>
        <w:rPr>
          <w:rFonts w:ascii="Times New Roman" w:hAnsi="Times New Roman"/>
          <w:b/>
          <w:i/>
          <w:noProof/>
          <w:sz w:val="24"/>
          <w:szCs w:val="24"/>
        </w:rPr>
        <w:t>„сребърна икономика“</w:t>
      </w:r>
      <w:r>
        <w:rPr>
          <w:rFonts w:ascii="Times New Roman" w:hAnsi="Times New Roman"/>
          <w:b/>
          <w:noProof/>
          <w:sz w:val="24"/>
          <w:szCs w:val="24"/>
        </w:rPr>
        <w:t xml:space="preserve"> може да осигури възможности за секторите на здравеопазването и дългосрочните грижи. </w:t>
      </w:r>
      <w:r>
        <w:rPr>
          <w:rFonts w:ascii="Times New Roman" w:hAnsi="Times New Roman"/>
          <w:noProof/>
          <w:sz w:val="24"/>
          <w:szCs w:val="24"/>
        </w:rPr>
        <w:t>Тя може да бъде двигател на иновациите, за да се п</w:t>
      </w:r>
      <w:r>
        <w:rPr>
          <w:rFonts w:ascii="Times New Roman" w:hAnsi="Times New Roman"/>
          <w:noProof/>
          <w:sz w:val="24"/>
          <w:szCs w:val="24"/>
        </w:rPr>
        <w:t xml:space="preserve">одпомогне предоставянето на висококачествени услуги за полагане на грижи по по-ефикасен начин. Цифровизацията може да осигури на възрастните хора възможността да следят здравословното си състояние самостоятелно. Въздействието на цифровите технологии върху </w:t>
      </w:r>
      <w:r>
        <w:rPr>
          <w:rFonts w:ascii="Times New Roman" w:hAnsi="Times New Roman"/>
          <w:noProof/>
          <w:sz w:val="24"/>
          <w:szCs w:val="24"/>
        </w:rPr>
        <w:t>здравеопазването и дългосрочните грижи може да постигне троен положителен резултат: подобряване на качеството на живот, повишаване на ефективността на здравеопазването и дългосрочните грижи, растеж на пазара и развитие на промишлеността</w:t>
      </w:r>
      <w:r>
        <w:rPr>
          <w:rFonts w:ascii="Times New Roman" w:hAnsi="Times New Roman" w:cs="Times New Roman"/>
          <w:noProof/>
          <w:sz w:val="24"/>
          <w:szCs w:val="24"/>
          <w:vertAlign w:val="superscript"/>
        </w:rPr>
        <w:footnoteReference w:id="39"/>
      </w:r>
      <w:r>
        <w:rPr>
          <w:rFonts w:ascii="Times New Roman" w:hAnsi="Times New Roman"/>
          <w:noProof/>
          <w:sz w:val="24"/>
          <w:szCs w:val="24"/>
        </w:rPr>
        <w:t xml:space="preserve">. В това отношение </w:t>
      </w:r>
      <w:r>
        <w:rPr>
          <w:rFonts w:ascii="Times New Roman" w:hAnsi="Times New Roman"/>
          <w:noProof/>
          <w:sz w:val="24"/>
          <w:szCs w:val="24"/>
        </w:rPr>
        <w:t xml:space="preserve">от решаващо значение ще бъдат научните изследвания и иновациите. </w:t>
      </w:r>
    </w:p>
    <w:p w:rsidR="00534131" w:rsidRDefault="00A12529">
      <w:pPr>
        <w:pStyle w:val="Heading2"/>
        <w:keepNext/>
        <w:rPr>
          <w:noProof/>
        </w:rPr>
      </w:pPr>
      <w:bookmarkStart w:id="49" w:name="_Toc32414445"/>
      <w:bookmarkStart w:id="50" w:name="_Toc32444156"/>
      <w:bookmarkStart w:id="51" w:name="_Toc33800406"/>
      <w:bookmarkStart w:id="52" w:name="_Toc43821384"/>
      <w:r>
        <w:rPr>
          <w:noProof/>
        </w:rPr>
        <w:t xml:space="preserve">3.3. </w:t>
      </w:r>
      <w:bookmarkEnd w:id="49"/>
      <w:bookmarkEnd w:id="50"/>
      <w:bookmarkEnd w:id="51"/>
      <w:r>
        <w:rPr>
          <w:noProof/>
        </w:rPr>
        <w:t>ВЪЗДЕЙСТВИЕТО ВЪРХУ ПУБЛИЧНИТЕ БЮДЖЕТИ</w:t>
      </w:r>
      <w:bookmarkEnd w:id="52"/>
    </w:p>
    <w:p w:rsidR="00534131" w:rsidRDefault="00A12529">
      <w:pPr>
        <w:keepLines/>
        <w:jc w:val="both"/>
        <w:rPr>
          <w:rFonts w:ascii="Times New Roman" w:hAnsi="Times New Roman" w:cs="Times New Roman"/>
          <w:b/>
          <w:noProof/>
          <w:spacing w:val="-4"/>
          <w:sz w:val="24"/>
          <w:szCs w:val="24"/>
        </w:rPr>
      </w:pPr>
      <w:r>
        <w:rPr>
          <w:rFonts w:ascii="Times New Roman" w:hAnsi="Times New Roman"/>
          <w:b/>
          <w:noProof/>
          <w:spacing w:val="-4"/>
          <w:sz w:val="24"/>
          <w:szCs w:val="24"/>
        </w:rPr>
        <w:t>Застаряването на европейското население и намаляването на числеността на работната сила вероятно ще увеличат натиска върху публичните бюджети</w:t>
      </w:r>
      <w:r>
        <w:rPr>
          <w:rFonts w:ascii="Times New Roman" w:hAnsi="Times New Roman"/>
          <w:noProof/>
          <w:spacing w:val="-4"/>
          <w:sz w:val="24"/>
          <w:szCs w:val="24"/>
        </w:rPr>
        <w:t xml:space="preserve"> — в момент, когато усилията за възстановяване изискват значително финансиране. Преди кризата общите разходи, свързани със застаряването на населението</w:t>
      </w:r>
      <w:r>
        <w:rPr>
          <w:rFonts w:ascii="Times New Roman" w:hAnsi="Times New Roman" w:cs="Times New Roman"/>
          <w:noProof/>
          <w:spacing w:val="-4"/>
          <w:sz w:val="24"/>
          <w:szCs w:val="24"/>
          <w:vertAlign w:val="superscript"/>
        </w:rPr>
        <w:footnoteReference w:id="40"/>
      </w:r>
      <w:r>
        <w:rPr>
          <w:rFonts w:ascii="Times New Roman" w:hAnsi="Times New Roman"/>
          <w:noProof/>
          <w:spacing w:val="-4"/>
          <w:sz w:val="24"/>
          <w:szCs w:val="24"/>
        </w:rPr>
        <w:t xml:space="preserve"> в ЕС, се очакваше да възлязат на 26,6 % от БВП през 2070 г. </w:t>
      </w:r>
    </w:p>
    <w:p w:rsidR="00534131" w:rsidRDefault="00A12529">
      <w:pPr>
        <w:jc w:val="both"/>
        <w:rPr>
          <w:rFonts w:ascii="Times New Roman" w:hAnsi="Times New Roman" w:cs="Times New Roman"/>
          <w:noProof/>
          <w:spacing w:val="-2"/>
          <w:sz w:val="24"/>
          <w:szCs w:val="24"/>
        </w:rPr>
      </w:pPr>
      <w:r>
        <w:rPr>
          <w:rFonts w:ascii="Times New Roman" w:hAnsi="Times New Roman"/>
          <w:noProof/>
          <w:spacing w:val="-2"/>
          <w:sz w:val="24"/>
          <w:szCs w:val="24"/>
        </w:rPr>
        <w:t>Европа ще се изправи пред сериозно предизв</w:t>
      </w:r>
      <w:r>
        <w:rPr>
          <w:rFonts w:ascii="Times New Roman" w:hAnsi="Times New Roman"/>
          <w:noProof/>
          <w:spacing w:val="-2"/>
          <w:sz w:val="24"/>
          <w:szCs w:val="24"/>
        </w:rPr>
        <w:t xml:space="preserve">икателство във връзка с финансирането на своите разходи, свързани със застаряването на населението, по начин, който също така е </w:t>
      </w:r>
      <w:r>
        <w:rPr>
          <w:rFonts w:ascii="Times New Roman" w:hAnsi="Times New Roman"/>
          <w:b/>
          <w:bCs/>
          <w:noProof/>
          <w:spacing w:val="-2"/>
          <w:sz w:val="24"/>
          <w:szCs w:val="24"/>
        </w:rPr>
        <w:t>справедлив спрямо различните поколения</w:t>
      </w:r>
      <w:r>
        <w:rPr>
          <w:rFonts w:ascii="Times New Roman" w:hAnsi="Times New Roman"/>
          <w:noProof/>
          <w:spacing w:val="-2"/>
          <w:sz w:val="24"/>
          <w:szCs w:val="24"/>
        </w:rPr>
        <w:t>. Това се дължи на факта, че съотношението на хората, които плащат данъци и вноски за соци</w:t>
      </w:r>
      <w:r>
        <w:rPr>
          <w:rFonts w:ascii="Times New Roman" w:hAnsi="Times New Roman"/>
          <w:noProof/>
          <w:spacing w:val="-2"/>
          <w:sz w:val="24"/>
          <w:szCs w:val="24"/>
        </w:rPr>
        <w:t xml:space="preserve">ално осигуряване спрямо онези, получаващи пенсии и други обезщетения, намалява бързо. През 2019 г. на всяко лице над 65 годишна възраст имаше средно 2,9 лица в трудоспособна възраст. През 2070 г. това съотношение се очаква да спадне до 1,7. </w:t>
      </w:r>
    </w:p>
    <w:p w:rsidR="00534131" w:rsidRDefault="00A12529">
      <w:pPr>
        <w:jc w:val="both"/>
        <w:rPr>
          <w:rFonts w:ascii="Times New Roman" w:hAnsi="Times New Roman" w:cs="Times New Roman"/>
          <w:i/>
          <w:noProof/>
          <w:sz w:val="24"/>
          <w:szCs w:val="24"/>
        </w:rPr>
      </w:pPr>
      <w:r>
        <w:rPr>
          <w:rFonts w:ascii="Times New Roman" w:hAnsi="Times New Roman"/>
          <w:noProof/>
          <w:sz w:val="24"/>
          <w:szCs w:val="24"/>
        </w:rPr>
        <w:t>Въпреки че пов</w:t>
      </w:r>
      <w:r>
        <w:rPr>
          <w:rFonts w:ascii="Times New Roman" w:hAnsi="Times New Roman"/>
          <w:noProof/>
          <w:sz w:val="24"/>
          <w:szCs w:val="24"/>
        </w:rPr>
        <w:t xml:space="preserve">ечето разходи, свързани със застаряването на населението, ще бъдат за здравеопазване и дългосрочни грижи, разходите за държавни пенсии също се очаква до 2040 г. да се повишат спрямо БВП. Благодарение на </w:t>
      </w:r>
      <w:r>
        <w:rPr>
          <w:rFonts w:ascii="Times New Roman" w:hAnsi="Times New Roman"/>
          <w:b/>
          <w:bCs/>
          <w:noProof/>
          <w:sz w:val="24"/>
          <w:szCs w:val="24"/>
        </w:rPr>
        <w:t xml:space="preserve">въздействието на значителните реформи на пенсионните </w:t>
      </w:r>
      <w:r>
        <w:rPr>
          <w:rFonts w:ascii="Times New Roman" w:hAnsi="Times New Roman"/>
          <w:b/>
          <w:bCs/>
          <w:noProof/>
          <w:sz w:val="24"/>
          <w:szCs w:val="24"/>
        </w:rPr>
        <w:t>системи в повечето държави членки</w:t>
      </w:r>
      <w:r>
        <w:rPr>
          <w:rFonts w:ascii="Times New Roman" w:hAnsi="Times New Roman"/>
          <w:noProof/>
          <w:sz w:val="24"/>
          <w:szCs w:val="24"/>
        </w:rPr>
        <w:t>, се предвижда впоследствие те да нарастват по-бавно от БВП, като достигнат приблизително същия дял от БВП, както през 2016 г., макар че в редица държави членки неотдавнашните пенсионни реформи ще доведат до по-големи прогн</w:t>
      </w:r>
      <w:r>
        <w:rPr>
          <w:rFonts w:ascii="Times New Roman" w:hAnsi="Times New Roman"/>
          <w:noProof/>
          <w:sz w:val="24"/>
          <w:szCs w:val="24"/>
        </w:rPr>
        <w:t xml:space="preserve">озни разходи за пенсии. При разработването на решения на тези въпроси </w:t>
      </w:r>
      <w:r>
        <w:rPr>
          <w:rFonts w:ascii="Times New Roman" w:hAnsi="Times New Roman"/>
          <w:b/>
          <w:bCs/>
          <w:noProof/>
          <w:sz w:val="24"/>
          <w:szCs w:val="24"/>
        </w:rPr>
        <w:t>създателите на политики трябва да отчитат висока степен на несигурност</w:t>
      </w:r>
      <w:r>
        <w:rPr>
          <w:rFonts w:ascii="Times New Roman" w:hAnsi="Times New Roman"/>
          <w:noProof/>
          <w:sz w:val="24"/>
          <w:szCs w:val="24"/>
        </w:rPr>
        <w:t>. Начинът, по който публичните разходи ще се променят, зависи не само от демографските тенденции, но и от други факт</w:t>
      </w:r>
      <w:r>
        <w:rPr>
          <w:rFonts w:ascii="Times New Roman" w:hAnsi="Times New Roman"/>
          <w:noProof/>
          <w:sz w:val="24"/>
          <w:szCs w:val="24"/>
        </w:rPr>
        <w:t>ори, като технологичния прогрес при диагностиката, лечението, лекарствените продукти и медицинските изделия или повишеното търсене на обществено здравеопазване и дългосрочни грижи</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Всичко това води до допълнителни разходи в средносрочен и дългосрочен план</w:t>
      </w:r>
      <w:r>
        <w:rPr>
          <w:rFonts w:ascii="Times New Roman" w:hAnsi="Times New Roman"/>
          <w:noProof/>
          <w:sz w:val="24"/>
          <w:szCs w:val="24"/>
        </w:rPr>
        <w:t xml:space="preserve">. Ако няма промяна в политиката, ще се увеличи и натискът върху личните разходи, тъй като може да се наложи хората, ползващи се от дългосрочни грижи, да покриват по-голям дял от общите разходи.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При повечето съществуващи проекции като горна граница на хора</w:t>
      </w:r>
      <w:r>
        <w:rPr>
          <w:rFonts w:ascii="Times New Roman" w:hAnsi="Times New Roman"/>
          <w:noProof/>
          <w:sz w:val="24"/>
          <w:szCs w:val="24"/>
        </w:rPr>
        <w:t xml:space="preserve">та в групата на населението в трудоспособна възраст се използва възрастта 65 години. В бъдеще обаче повече хора ще продължат да работят по-дълго. Използването на по-висока горна граница значително променя проекциите. Всички данни обаче показват значението </w:t>
      </w:r>
      <w:r>
        <w:rPr>
          <w:rFonts w:ascii="Times New Roman" w:hAnsi="Times New Roman"/>
          <w:noProof/>
          <w:sz w:val="24"/>
          <w:szCs w:val="24"/>
        </w:rPr>
        <w:t>на добрите условия на труд, стабилните системи за обществено здравеопазване, ученето през целия живот и непрекъснатите инвестиции в умения и образование.</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 xml:space="preserve">С продължаването на демографските промени вероятно бедността сред хората в напреднала възраст ще буди </w:t>
      </w:r>
      <w:r>
        <w:rPr>
          <w:rFonts w:ascii="Times New Roman" w:hAnsi="Times New Roman"/>
          <w:b/>
          <w:noProof/>
          <w:sz w:val="24"/>
          <w:szCs w:val="24"/>
        </w:rPr>
        <w:t>все повече безпокойство.</w:t>
      </w:r>
      <w:r>
        <w:rPr>
          <w:rFonts w:ascii="Times New Roman" w:hAnsi="Times New Roman"/>
          <w:noProof/>
          <w:sz w:val="24"/>
          <w:szCs w:val="24"/>
        </w:rPr>
        <w:t xml:space="preserve"> Днес повечето пенсионери имат доходи от пенсии, които им позволяват да поддържат жизнения си стандарт и ги предпазват от бедност в напреднала възраст</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Това не означава, че е премахната бедността сред хората в напреднала възраст за</w:t>
      </w:r>
      <w:r>
        <w:rPr>
          <w:rFonts w:ascii="Times New Roman" w:hAnsi="Times New Roman"/>
          <w:noProof/>
          <w:sz w:val="24"/>
          <w:szCs w:val="24"/>
        </w:rPr>
        <w:t xml:space="preserve"> лицата на възраст над 64 години. През 2018 г. в ЕС-27 15,5 % от хората на възраст 65 или повече години са били изложени на риск от бедност</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За жените е по-вероятно да бъдат засегнати от бедност в напреднала възраст.</w:t>
      </w:r>
      <w:r>
        <w:rPr>
          <w:rFonts w:ascii="Times New Roman" w:hAnsi="Times New Roman"/>
          <w:b/>
          <w:noProof/>
          <w:sz w:val="24"/>
        </w:rPr>
        <w:t xml:space="preserve"> </w:t>
      </w:r>
      <w:r>
        <w:rPr>
          <w:rFonts w:ascii="Times New Roman" w:hAnsi="Times New Roman"/>
          <w:noProof/>
          <w:sz w:val="24"/>
          <w:szCs w:val="24"/>
        </w:rPr>
        <w:t>Това се дължи на факта, че те обикнов</w:t>
      </w:r>
      <w:r>
        <w:rPr>
          <w:rFonts w:ascii="Times New Roman" w:hAnsi="Times New Roman"/>
          <w:noProof/>
          <w:sz w:val="24"/>
          <w:szCs w:val="24"/>
        </w:rPr>
        <w:t>ено имат по-ниски равнища на заетост, повече прекъсвания на кариерата, по-ниски заплати и работят повече на непълно работно време</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xml:space="preserve"> и на временна работа</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 Жените получават месечни пенсии, които са около една трета по-ниски от тези на мъжете, докато средната</w:t>
      </w:r>
      <w:r>
        <w:rPr>
          <w:rFonts w:ascii="Times New Roman" w:hAnsi="Times New Roman"/>
          <w:noProof/>
          <w:sz w:val="24"/>
          <w:szCs w:val="24"/>
        </w:rPr>
        <w:t xml:space="preserve"> продължителността на живота им е по-голяма.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 xml:space="preserve">Хората с увреждания — група, изложена на по-висок риск от бедност — може да се сблъскват с допълнителни рискове. </w:t>
      </w:r>
      <w:r>
        <w:rPr>
          <w:rFonts w:ascii="Times New Roman" w:hAnsi="Times New Roman"/>
          <w:noProof/>
          <w:sz w:val="24"/>
          <w:szCs w:val="24"/>
        </w:rPr>
        <w:t>Хората в трудоспособна възраст, които имат увреждания, често отговарят на условията за получаване на специални обезщетения и помощ. Когато обаче достигнат пенсионна възраст, те вече могат да не отговарят на условията, което може да бъде допълнителна причин</w:t>
      </w:r>
      <w:r>
        <w:rPr>
          <w:rFonts w:ascii="Times New Roman" w:hAnsi="Times New Roman"/>
          <w:noProof/>
          <w:sz w:val="24"/>
          <w:szCs w:val="24"/>
        </w:rPr>
        <w:t xml:space="preserve">а за бедност или социално изключване.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 xml:space="preserve">Същевременно по-възрастното население предлага и нови възможности за нашите икономики. </w:t>
      </w:r>
      <w:r>
        <w:rPr>
          <w:rFonts w:ascii="Times New Roman" w:hAnsi="Times New Roman"/>
          <w:noProof/>
          <w:sz w:val="24"/>
          <w:szCs w:val="24"/>
        </w:rPr>
        <w:t>По-възрастните потребители представляват голяма част от икономиката и през 2015 г. потреблението на хората на възраст над 50 годин</w:t>
      </w:r>
      <w:r>
        <w:rPr>
          <w:rFonts w:ascii="Times New Roman" w:hAnsi="Times New Roman"/>
          <w:noProof/>
          <w:sz w:val="24"/>
          <w:szCs w:val="24"/>
        </w:rPr>
        <w:t>и в целия ЕС е било 3,7 трилиона евро. Очаква се то да се увеличава с около 5 % годишно и до 2025 г. да достигне 5,7 трилиона евро. В зелената книга на Комисията по въпросите на застаряването ще бъдат разгледани и начините, по които можем да се възползваме</w:t>
      </w:r>
      <w:r>
        <w:rPr>
          <w:rFonts w:ascii="Times New Roman" w:hAnsi="Times New Roman"/>
          <w:noProof/>
          <w:sz w:val="24"/>
          <w:szCs w:val="24"/>
        </w:rPr>
        <w:t xml:space="preserve"> от тези възможности.</w:t>
      </w:r>
      <w:r>
        <w:rPr>
          <w:rFonts w:ascii="Times New Roman" w:hAnsi="Times New Roman"/>
          <w:b/>
          <w:noProof/>
          <w:sz w:val="24"/>
          <w:szCs w:val="24"/>
        </w:rPr>
        <w:t xml:space="preserve"> </w:t>
      </w:r>
    </w:p>
    <w:p w:rsidR="00534131" w:rsidRDefault="00A12529">
      <w:pPr>
        <w:pStyle w:val="Heading2"/>
        <w:keepNext/>
        <w:rPr>
          <w:b w:val="0"/>
          <w:noProof/>
        </w:rPr>
      </w:pPr>
      <w:bookmarkStart w:id="53" w:name="_Toc32414446"/>
      <w:bookmarkStart w:id="54" w:name="_Toc32444157"/>
      <w:bookmarkStart w:id="55" w:name="_Toc33800407"/>
      <w:bookmarkStart w:id="56" w:name="_Toc35516330"/>
      <w:bookmarkStart w:id="57" w:name="_Toc36563276"/>
      <w:bookmarkStart w:id="58" w:name="_Toc43821385"/>
      <w:r>
        <w:rPr>
          <w:rStyle w:val="Heading2Char"/>
          <w:b/>
          <w:noProof/>
        </w:rPr>
        <w:t xml:space="preserve">3.4. </w:t>
      </w:r>
      <w:bookmarkEnd w:id="53"/>
      <w:bookmarkEnd w:id="54"/>
      <w:bookmarkEnd w:id="55"/>
      <w:bookmarkEnd w:id="56"/>
      <w:r>
        <w:rPr>
          <w:rStyle w:val="Heading2Char"/>
          <w:b/>
          <w:noProof/>
        </w:rPr>
        <w:t>РЕГИОНАЛНО И МЕСТНО ИЗМЕРЕНИЕ</w:t>
      </w:r>
      <w:r>
        <w:rPr>
          <w:b w:val="0"/>
          <w:noProof/>
          <w:vertAlign w:val="superscript"/>
          <w:lang w:val="en-GB"/>
        </w:rPr>
        <w:footnoteReference w:id="46"/>
      </w:r>
      <w:bookmarkEnd w:id="57"/>
      <w:bookmarkEnd w:id="58"/>
    </w:p>
    <w:p w:rsidR="00534131" w:rsidRDefault="00A12529">
      <w:pPr>
        <w:keepLines/>
        <w:jc w:val="both"/>
        <w:rPr>
          <w:rFonts w:ascii="Times New Roman" w:hAnsi="Times New Roman" w:cs="Times New Roman"/>
          <w:noProof/>
          <w:sz w:val="24"/>
          <w:szCs w:val="24"/>
        </w:rPr>
      </w:pPr>
      <w:r>
        <w:rPr>
          <w:rFonts w:ascii="Times New Roman" w:hAnsi="Times New Roman"/>
          <w:b/>
          <w:noProof/>
          <w:sz w:val="24"/>
          <w:szCs w:val="24"/>
        </w:rPr>
        <w:t>Различните региони са засегнати по различен начин от демографските промени.</w:t>
      </w:r>
      <w:r>
        <w:rPr>
          <w:rFonts w:ascii="Times New Roman" w:hAnsi="Times New Roman"/>
          <w:noProof/>
          <w:sz w:val="24"/>
          <w:szCs w:val="24"/>
        </w:rPr>
        <w:t xml:space="preserve"> Някои региони имат относително възрастно население с медианна възраст над 50 години, докато в други тя е под 42,5 години </w:t>
      </w:r>
      <w:r>
        <w:rPr>
          <w:rFonts w:ascii="Times New Roman" w:hAnsi="Times New Roman"/>
          <w:noProof/>
          <w:sz w:val="24"/>
          <w:szCs w:val="24"/>
        </w:rPr>
        <w:t>— като например в (или части от) Люксембург, Кипър, Ирландия, южна Испания, Полша, северна Румъния, Словакия и южна Швеция.</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На регионално равнище преместванията на населението също оказват голямо въздействие върху демографския профил на даден регион. Това </w:t>
      </w:r>
      <w:r>
        <w:rPr>
          <w:rFonts w:ascii="Times New Roman" w:hAnsi="Times New Roman"/>
          <w:noProof/>
          <w:sz w:val="24"/>
          <w:szCs w:val="24"/>
        </w:rPr>
        <w:t xml:space="preserve">се усеща осезаемо на места, където се местят предимно млади хора. </w:t>
      </w:r>
      <w:r>
        <w:rPr>
          <w:rFonts w:ascii="Times New Roman" w:hAnsi="Times New Roman"/>
          <w:bCs/>
          <w:noProof/>
          <w:sz w:val="24"/>
          <w:szCs w:val="24"/>
        </w:rPr>
        <w:t xml:space="preserve">Тези премествания засягат и общото население на даден регион. </w:t>
      </w:r>
      <w:r>
        <w:rPr>
          <w:rFonts w:ascii="Times New Roman" w:hAnsi="Times New Roman"/>
          <w:noProof/>
          <w:sz w:val="24"/>
          <w:szCs w:val="24"/>
        </w:rPr>
        <w:t>65 % от населението на ЕС живее в регион, където между 2011 г. и 2019 г. се наблюдава увеличение на населението. За някои регион</w:t>
      </w:r>
      <w:r>
        <w:rPr>
          <w:rFonts w:ascii="Times New Roman" w:hAnsi="Times New Roman"/>
          <w:noProof/>
          <w:sz w:val="24"/>
          <w:szCs w:val="24"/>
        </w:rPr>
        <w:t xml:space="preserve">и намаляването на населението е продължителна тенденция, често в течение на десетилетия, и може да се очаква в повече региони да настъпи намаляване на населението през следващото десетилетие и след това. </w:t>
      </w:r>
    </w:p>
    <w:p w:rsidR="00534131" w:rsidRDefault="00A12529">
      <w:pPr>
        <w:jc w:val="both"/>
        <w:rPr>
          <w:rFonts w:ascii="Times New Roman" w:hAnsi="Times New Roman"/>
          <w:noProof/>
          <w:sz w:val="24"/>
          <w:szCs w:val="24"/>
        </w:rPr>
      </w:pPr>
      <w:r>
        <w:rPr>
          <w:rFonts w:ascii="Times New Roman" w:hAnsi="Times New Roman"/>
          <w:noProof/>
          <w:sz w:val="24"/>
          <w:szCs w:val="24"/>
        </w:rPr>
        <w:t>За да се избегне допълнително влошаване на положени</w:t>
      </w:r>
      <w:r>
        <w:rPr>
          <w:rFonts w:ascii="Times New Roman" w:hAnsi="Times New Roman"/>
          <w:noProof/>
          <w:sz w:val="24"/>
          <w:szCs w:val="24"/>
        </w:rPr>
        <w:t>ето вследствие на пандемията, Комисията предложи да се отделят допълнителни средства по политиката на сближаване за мерки за преодоляване на последиците от кризата и възстановяване чрез нова инициатива, наречена REACT-EU</w:t>
      </w:r>
      <w:r>
        <w:rPr>
          <w:rStyle w:val="FootnoteReference"/>
          <w:rFonts w:ascii="Times New Roman" w:hAnsi="Times New Roman" w:cs="Times New Roman"/>
          <w:noProof/>
          <w:sz w:val="24"/>
          <w:szCs w:val="24"/>
        </w:rPr>
        <w:footnoteReference w:id="47"/>
      </w:r>
      <w:r>
        <w:rPr>
          <w:rFonts w:ascii="Times New Roman" w:hAnsi="Times New Roman"/>
          <w:noProof/>
          <w:sz w:val="24"/>
          <w:szCs w:val="24"/>
        </w:rPr>
        <w:t>. Предложеният инструмент за възста</w:t>
      </w:r>
      <w:r>
        <w:rPr>
          <w:rFonts w:ascii="Times New Roman" w:hAnsi="Times New Roman"/>
          <w:noProof/>
          <w:sz w:val="24"/>
          <w:szCs w:val="24"/>
        </w:rPr>
        <w:t>новяване, наречен NextGenerationEU, предвижда допълнителна подкрепа за осигуряване на финансиране на ключови мерки за възстановяване на последиците от кризата и за подкрепа на работниците и МСП, системите за здравеопазване и екологичния и цифровия преход в</w:t>
      </w:r>
      <w:r>
        <w:rPr>
          <w:rFonts w:ascii="Times New Roman" w:hAnsi="Times New Roman"/>
          <w:noProof/>
          <w:sz w:val="24"/>
          <w:szCs w:val="24"/>
        </w:rPr>
        <w:t xml:space="preserve"> регионите. Освен това програмата на ЕС за развитие на селските райони ще играе решаваща роля в подкрепата на възстановяването.</w:t>
      </w:r>
    </w:p>
    <w:p w:rsidR="00534131" w:rsidRDefault="00A12529">
      <w:pPr>
        <w:rPr>
          <w:rFonts w:ascii="Times New Roman" w:hAnsi="Times New Roman"/>
          <w:noProof/>
          <w:sz w:val="24"/>
          <w:szCs w:val="24"/>
        </w:rPr>
      </w:pPr>
      <w:r>
        <w:rPr>
          <w:rFonts w:ascii="Times New Roman" w:hAnsi="Times New Roman"/>
          <w:noProof/>
          <w:sz w:val="24"/>
          <w:szCs w:val="24"/>
        </w:rPr>
        <w:br w:type="page"/>
      </w:r>
    </w:p>
    <w:p w:rsidR="00534131" w:rsidRDefault="00A12529">
      <w:pPr>
        <w:keepNext/>
        <w:spacing w:after="0"/>
        <w:jc w:val="center"/>
        <w:rPr>
          <w:rFonts w:ascii="Times New Roman" w:hAnsi="Times New Roman"/>
          <w:b/>
          <w:noProof/>
          <w:sz w:val="24"/>
          <w:szCs w:val="24"/>
        </w:rPr>
      </w:pPr>
      <w:r>
        <w:rPr>
          <w:rFonts w:ascii="Times New Roman" w:hAnsi="Times New Roman"/>
          <w:b/>
          <w:noProof/>
          <w:sz w:val="24"/>
          <w:szCs w:val="24"/>
        </w:rPr>
        <w:t>Общ прираст на населението по региони</w:t>
      </w:r>
      <w:r>
        <w:rPr>
          <w:rFonts w:ascii="Times New Roman" w:hAnsi="Times New Roman" w:cs="Times New Roman"/>
          <w:b/>
          <w:noProof/>
          <w:sz w:val="24"/>
          <w:szCs w:val="24"/>
          <w:vertAlign w:val="superscript"/>
        </w:rPr>
        <w:footnoteReference w:id="48"/>
      </w:r>
      <w:r>
        <w:rPr>
          <w:rFonts w:ascii="Times New Roman" w:hAnsi="Times New Roman"/>
          <w:b/>
          <w:noProof/>
          <w:sz w:val="24"/>
          <w:szCs w:val="24"/>
        </w:rPr>
        <w:t>, 2011—2019 г.</w:t>
      </w:r>
    </w:p>
    <w:p w:rsidR="00534131" w:rsidRDefault="00A12529">
      <w:pPr>
        <w:spacing w:after="0"/>
        <w:jc w:val="center"/>
        <w:rPr>
          <w:rFonts w:ascii="Times New Roman" w:hAnsi="Times New Roman" w:cs="Times New Roman"/>
          <w:b/>
          <w:noProof/>
          <w:sz w:val="24"/>
          <w:szCs w:val="24"/>
        </w:rPr>
      </w:pPr>
      <w:r w:rsidRPr="00A12529">
        <w:rPr>
          <w:rFonts w:ascii="Times New Roman" w:hAnsi="Times New Roman"/>
          <w:noProof/>
          <w:sz w:val="24"/>
          <w:szCs w:val="24"/>
        </w:rPr>
        <w:t>(Общо изменение (в %) между 1/1/2011 г. и 1/1/2019 г.</w:t>
      </w:r>
      <w:r w:rsidRPr="00A12529">
        <w:rPr>
          <w:rFonts w:ascii="Times New Roman" w:hAnsi="Times New Roman"/>
          <w:noProof/>
          <w:sz w:val="24"/>
          <w:szCs w:val="24"/>
        </w:rPr>
        <w:t>)</w:t>
      </w:r>
    </w:p>
    <w:p w:rsidR="00534131" w:rsidRDefault="00A12529">
      <w:pPr>
        <w:jc w:val="center"/>
        <w:rPr>
          <w:rFonts w:ascii="Times New Roman" w:hAnsi="Times New Roman" w:cs="Times New Roman"/>
          <w:noProof/>
          <w:sz w:val="24"/>
          <w:szCs w:val="24"/>
        </w:rPr>
      </w:pPr>
      <w:r>
        <w:rPr>
          <w:rFonts w:ascii="Times New Roman" w:hAnsi="Times New Roman"/>
          <w:noProof/>
          <w:sz w:val="24"/>
          <w:szCs w:val="24"/>
          <w:lang w:val="fr-BE" w:eastAsia="fr-BE"/>
        </w:rPr>
        <w:drawing>
          <wp:inline distT="0" distB="0" distL="0" distR="0">
            <wp:extent cx="5674982" cy="79166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tanle\AppData\Local\Microsoft\Windows\INetCache\Content.Outlook\DLMTIXEC\Map05_N3_POP_CH_1119_A4P20_M.png"/>
                    <pic:cNvPicPr>
                      <a:picLocks noChangeAspect="1" noChangeArrowheads="1"/>
                    </pic:cNvPicPr>
                  </pic:nvPicPr>
                  <pic:blipFill>
                    <a:blip r:embed="rId28"/>
                    <a:stretch>
                      <a:fillRect/>
                    </a:stretch>
                  </pic:blipFill>
                  <pic:spPr bwMode="auto">
                    <a:xfrm>
                      <a:off x="0" y="0"/>
                      <a:ext cx="5674982" cy="7916660"/>
                    </a:xfrm>
                    <a:prstGeom prst="rect">
                      <a:avLst/>
                    </a:prstGeom>
                    <a:noFill/>
                    <a:ln>
                      <a:noFill/>
                    </a:ln>
                  </pic:spPr>
                </pic:pic>
              </a:graphicData>
            </a:graphic>
          </wp:inline>
        </w:drawing>
      </w:r>
    </w:p>
    <w:p w:rsidR="00534131" w:rsidRDefault="00A12529">
      <w:pPr>
        <w:jc w:val="both"/>
        <w:rPr>
          <w:rFonts w:ascii="Times New Roman" w:hAnsi="Times New Roman" w:cs="Times New Roman"/>
          <w:noProof/>
          <w:spacing w:val="-2"/>
          <w:sz w:val="24"/>
          <w:szCs w:val="24"/>
        </w:rPr>
      </w:pPr>
      <w:r>
        <w:rPr>
          <w:rFonts w:ascii="Times New Roman" w:hAnsi="Times New Roman"/>
          <w:b/>
          <w:noProof/>
          <w:spacing w:val="-2"/>
          <w:sz w:val="24"/>
          <w:szCs w:val="24"/>
        </w:rPr>
        <w:t xml:space="preserve">Демографските промени се отразяват по различен начин в градските и селските региони. </w:t>
      </w:r>
      <w:r>
        <w:rPr>
          <w:rFonts w:ascii="Times New Roman" w:hAnsi="Times New Roman"/>
          <w:noProof/>
          <w:spacing w:val="-2"/>
          <w:sz w:val="24"/>
          <w:szCs w:val="24"/>
        </w:rPr>
        <w:t>Регионите в ЕС спадат към различни категории в зависимост от това дали са по-скоро с градски, по-скоро със селски, или са със смесен характер. Всяка от трите категории има</w:t>
      </w:r>
      <w:r>
        <w:rPr>
          <w:rFonts w:ascii="Times New Roman" w:hAnsi="Times New Roman"/>
          <w:noProof/>
          <w:spacing w:val="-2"/>
          <w:sz w:val="24"/>
          <w:szCs w:val="24"/>
        </w:rPr>
        <w:t xml:space="preserve"> свои собствени характеристики. Числеността и гъстотата в населените места намаляват, като се започне от градските, премине се през смесените и се стигне до селските региони. По време на пандемията гъстотата на населението и категорията на региона изглежда</w:t>
      </w:r>
      <w:r>
        <w:rPr>
          <w:rFonts w:ascii="Times New Roman" w:hAnsi="Times New Roman"/>
          <w:noProof/>
          <w:spacing w:val="-2"/>
          <w:sz w:val="24"/>
          <w:szCs w:val="24"/>
        </w:rPr>
        <w:t xml:space="preserve"> са били фактор за разпространението на вируса. Предполага се, че вирусът се е появил по-рано в градските региони и се е разпространил по-бързо в сравнение със смесените и селските региони</w:t>
      </w:r>
      <w:r>
        <w:rPr>
          <w:rStyle w:val="FootnoteReference"/>
          <w:rFonts w:ascii="Times New Roman" w:hAnsi="Times New Roman" w:cs="Times New Roman"/>
          <w:noProof/>
          <w:spacing w:val="-2"/>
          <w:sz w:val="24"/>
          <w:szCs w:val="24"/>
        </w:rPr>
        <w:footnoteReference w:id="49"/>
      </w:r>
      <w:r>
        <w:rPr>
          <w:rFonts w:ascii="Times New Roman" w:hAnsi="Times New Roman"/>
          <w:noProof/>
          <w:spacing w:val="-2"/>
          <w:sz w:val="24"/>
          <w:szCs w:val="24"/>
        </w:rPr>
        <w:t xml:space="preserve">. </w:t>
      </w:r>
    </w:p>
    <w:p w:rsidR="00534131" w:rsidRDefault="00534131">
      <w:pPr>
        <w:jc w:val="both"/>
        <w:rPr>
          <w:rFonts w:ascii="Times New Roman" w:hAnsi="Times New Roman" w:cs="Times New Roman"/>
          <w:noProof/>
          <w:sz w:val="24"/>
          <w:szCs w:val="24"/>
        </w:rPr>
      </w:pPr>
    </w:p>
    <w:p w:rsidR="00534131" w:rsidRDefault="00A12529">
      <w:pPr>
        <w:keepNext/>
        <w:jc w:val="center"/>
        <w:rPr>
          <w:rFonts w:ascii="Times New Roman" w:hAnsi="Times New Roman" w:cs="Times New Roman"/>
          <w:b/>
          <w:noProof/>
          <w:sz w:val="24"/>
          <w:szCs w:val="24"/>
        </w:rPr>
      </w:pPr>
      <w:r>
        <w:rPr>
          <w:rFonts w:ascii="Times New Roman" w:hAnsi="Times New Roman"/>
          <w:b/>
          <w:noProof/>
          <w:sz w:val="24"/>
          <w:szCs w:val="24"/>
        </w:rPr>
        <w:t>Население в ЕС-27 по градско-селска регионална типология, 2019 </w:t>
      </w:r>
      <w:r>
        <w:rPr>
          <w:rFonts w:ascii="Times New Roman" w:hAnsi="Times New Roman"/>
          <w:b/>
          <w:noProof/>
          <w:sz w:val="24"/>
          <w:szCs w:val="24"/>
        </w:rPr>
        <w:t>г.</w:t>
      </w:r>
    </w:p>
    <w:p w:rsidR="00534131" w:rsidRDefault="00A12529">
      <w:pPr>
        <w:jc w:val="center"/>
        <w:rPr>
          <w:rFonts w:ascii="Times New Roman" w:hAnsi="Times New Roman" w:cs="Times New Roman"/>
          <w:noProof/>
          <w:sz w:val="24"/>
          <w:szCs w:val="24"/>
        </w:rPr>
      </w:pPr>
      <w:r>
        <w:rPr>
          <w:noProof/>
          <w:lang w:val="fr-BE" w:eastAsia="fr-BE"/>
        </w:rPr>
        <w:drawing>
          <wp:inline distT="0" distB="0" distL="0" distR="0">
            <wp:extent cx="2860158" cy="251460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6270" cy="2555141"/>
                    </a:xfrm>
                    <a:prstGeom prst="rect">
                      <a:avLst/>
                    </a:prstGeom>
                    <a:noFill/>
                    <a:ln>
                      <a:noFill/>
                    </a:ln>
                  </pic:spPr>
                </pic:pic>
              </a:graphicData>
            </a:graphic>
          </wp:inline>
        </w:drawing>
      </w:r>
    </w:p>
    <w:p w:rsidR="00534131" w:rsidRDefault="00A12529">
      <w:pPr>
        <w:jc w:val="both"/>
        <w:rPr>
          <w:rFonts w:ascii="Times New Roman" w:hAnsi="Times New Roman" w:cs="Times New Roman"/>
          <w:i/>
          <w:noProof/>
          <w:sz w:val="24"/>
          <w:szCs w:val="24"/>
        </w:rPr>
      </w:pPr>
      <w:r>
        <w:rPr>
          <w:rFonts w:ascii="Times New Roman" w:hAnsi="Times New Roman"/>
          <w:i/>
          <w:noProof/>
          <w:sz w:val="24"/>
          <w:szCs w:val="24"/>
        </w:rPr>
        <w:t>Източник: Евростат</w:t>
      </w:r>
    </w:p>
    <w:p w:rsidR="00534131" w:rsidRDefault="00534131">
      <w:pPr>
        <w:jc w:val="both"/>
        <w:rPr>
          <w:rFonts w:ascii="Times New Roman" w:hAnsi="Times New Roman" w:cs="Times New Roman"/>
          <w:noProof/>
          <w:sz w:val="24"/>
          <w:szCs w:val="24"/>
        </w:rPr>
      </w:pP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Между 2014 г. и 2019 г. населението в селските региони е намаляло с 0,8 милиона души.</w:t>
      </w:r>
      <w:r>
        <w:rPr>
          <w:rFonts w:ascii="Times New Roman" w:hAnsi="Times New Roman"/>
          <w:noProof/>
          <w:sz w:val="24"/>
          <w:szCs w:val="24"/>
        </w:rPr>
        <w:t xml:space="preserve"> Това обаче разкрива само част от действителността. В някои държави членки тези региони са нараствали с повече от 0,2 % годишно, докато в други са намалявали със същия темп. От 1991 г. насам население губят селските региони в осем държави: трите балтийски </w:t>
      </w:r>
      <w:r>
        <w:rPr>
          <w:rFonts w:ascii="Times New Roman" w:hAnsi="Times New Roman"/>
          <w:noProof/>
          <w:sz w:val="24"/>
          <w:szCs w:val="24"/>
        </w:rPr>
        <w:t>държави, България, Хърватия, Унгария, Португалия и Румъния. Неотдавнашни разработки на ОИСР показват тенденция на нарастване на регионите в близост до градовете, докато в по-отдалечените региони</w:t>
      </w:r>
      <w:r>
        <w:rPr>
          <w:rFonts w:ascii="Times New Roman" w:hAnsi="Times New Roman" w:cs="Times New Roman"/>
          <w:noProof/>
          <w:sz w:val="24"/>
          <w:szCs w:val="24"/>
          <w:vertAlign w:val="superscript"/>
        </w:rPr>
        <w:footnoteReference w:id="50"/>
      </w:r>
      <w:r>
        <w:rPr>
          <w:rFonts w:ascii="Times New Roman" w:hAnsi="Times New Roman"/>
          <w:noProof/>
          <w:sz w:val="24"/>
          <w:szCs w:val="24"/>
        </w:rPr>
        <w:t xml:space="preserve"> има тенденция да се губи население.</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В градските региони в ЕС</w:t>
      </w:r>
      <w:r>
        <w:rPr>
          <w:rFonts w:ascii="Times New Roman" w:hAnsi="Times New Roman"/>
          <w:b/>
          <w:noProof/>
          <w:sz w:val="24"/>
          <w:szCs w:val="24"/>
        </w:rPr>
        <w:t xml:space="preserve"> нещата стоят по различен начин — през същия период тяхното население е нараснало с 3,8 милиона души.</w:t>
      </w:r>
      <w:r>
        <w:rPr>
          <w:rFonts w:ascii="Times New Roman" w:hAnsi="Times New Roman"/>
          <w:noProof/>
          <w:sz w:val="24"/>
          <w:szCs w:val="24"/>
        </w:rPr>
        <w:t xml:space="preserve"> В Латвия и Гърция обаче то е намаляло съответно с 0,3 % и 0,6 %. 22 % от градското население е живяло в регион, където между 2014 г. и 2019 г. населението</w:t>
      </w:r>
      <w:r>
        <w:rPr>
          <w:rFonts w:ascii="Times New Roman" w:hAnsi="Times New Roman"/>
          <w:noProof/>
          <w:sz w:val="24"/>
          <w:szCs w:val="24"/>
        </w:rPr>
        <w:t xml:space="preserve"> е намаляло. В четиринадесет държави членки населението във всички градски региони се е увеличило. </w:t>
      </w:r>
    </w:p>
    <w:p w:rsidR="00534131" w:rsidRDefault="00A12529">
      <w:pPr>
        <w:pStyle w:val="Heading3"/>
        <w:keepNext/>
        <w:rPr>
          <w:noProof/>
        </w:rPr>
      </w:pPr>
      <w:bookmarkStart w:id="59" w:name="_Toc32414447"/>
      <w:bookmarkStart w:id="60" w:name="_Toc32444158"/>
      <w:bookmarkStart w:id="61" w:name="_Toc33800409"/>
      <w:bookmarkStart w:id="62" w:name="_Toc35516332"/>
      <w:bookmarkStart w:id="63" w:name="_Toc36563277"/>
      <w:bookmarkStart w:id="64" w:name="_Toc43821386"/>
      <w:r>
        <w:rPr>
          <w:noProof/>
        </w:rPr>
        <w:t xml:space="preserve">3.4.1. </w:t>
      </w:r>
      <w:bookmarkEnd w:id="59"/>
      <w:bookmarkEnd w:id="60"/>
      <w:bookmarkEnd w:id="61"/>
      <w:bookmarkEnd w:id="62"/>
      <w:r>
        <w:rPr>
          <w:noProof/>
        </w:rPr>
        <w:t>КАЧЕСТВО НА ЖИВОТ, ИНФРАСТРУКТУРА И ДОСТЪП ДО УСЛУГИ</w:t>
      </w:r>
      <w:bookmarkEnd w:id="63"/>
      <w:bookmarkEnd w:id="64"/>
    </w:p>
    <w:p w:rsidR="00534131" w:rsidRDefault="00A12529">
      <w:pPr>
        <w:keepLines/>
        <w:jc w:val="both"/>
        <w:rPr>
          <w:rFonts w:ascii="Times New Roman" w:hAnsi="Times New Roman" w:cs="Times New Roman"/>
          <w:noProof/>
          <w:sz w:val="24"/>
          <w:szCs w:val="24"/>
        </w:rPr>
      </w:pPr>
      <w:r>
        <w:rPr>
          <w:rFonts w:ascii="Times New Roman" w:hAnsi="Times New Roman"/>
          <w:noProof/>
          <w:sz w:val="24"/>
          <w:szCs w:val="24"/>
        </w:rPr>
        <w:t>Всички части на Европа се стремят да предоставят услуги и инфраструктура, за да обслужват потреб</w:t>
      </w:r>
      <w:r>
        <w:rPr>
          <w:rFonts w:ascii="Times New Roman" w:hAnsi="Times New Roman"/>
          <w:noProof/>
          <w:sz w:val="24"/>
          <w:szCs w:val="24"/>
        </w:rPr>
        <w:t>ностите на своето население. Независимо дали населението расте, или намалява, услугите и инфраструктурата трябва да бъдат съответно приспособени, било то във връзка с транспорта, цифровизацията, жилищното настаняване, училищата, здравеопазването и дългосро</w:t>
      </w:r>
      <w:r>
        <w:rPr>
          <w:rFonts w:ascii="Times New Roman" w:hAnsi="Times New Roman"/>
          <w:noProof/>
          <w:sz w:val="24"/>
          <w:szCs w:val="24"/>
        </w:rPr>
        <w:t xml:space="preserve">чните грижи и социалната интеграция.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Въздействието на демографските промени върху конкретен регион зависи в голяма степен от темпа и величината на промяната на населението, както и от това дали даден регион разполага с необходимите средства, за да се спра</w:t>
      </w:r>
      <w:r>
        <w:rPr>
          <w:rFonts w:ascii="Times New Roman" w:hAnsi="Times New Roman"/>
          <w:noProof/>
          <w:sz w:val="24"/>
          <w:szCs w:val="24"/>
        </w:rPr>
        <w:t>ви с тази промяна.</w:t>
      </w:r>
      <w:r>
        <w:rPr>
          <w:rFonts w:ascii="Times New Roman" w:hAnsi="Times New Roman"/>
          <w:b/>
          <w:noProof/>
          <w:sz w:val="24"/>
          <w:szCs w:val="24"/>
        </w:rPr>
        <w:t xml:space="preserve"> </w:t>
      </w:r>
      <w:r>
        <w:rPr>
          <w:rFonts w:ascii="Times New Roman" w:hAnsi="Times New Roman"/>
          <w:bCs/>
          <w:noProof/>
          <w:sz w:val="24"/>
          <w:szCs w:val="24"/>
        </w:rPr>
        <w:t>В повечето региони, в които се наблюдава бързо нарастване на населението, БВП на глава от населението е над средния за ЕС, докато в регионите с бързо намаляващо население обикновено се наблюдава сравнително нисък БВП на глава от населени</w:t>
      </w:r>
      <w:r>
        <w:rPr>
          <w:rFonts w:ascii="Times New Roman" w:hAnsi="Times New Roman"/>
          <w:bCs/>
          <w:noProof/>
          <w:sz w:val="24"/>
          <w:szCs w:val="24"/>
        </w:rPr>
        <w:t xml:space="preserve">ето. </w:t>
      </w:r>
      <w:r>
        <w:rPr>
          <w:rFonts w:ascii="Times New Roman" w:hAnsi="Times New Roman"/>
          <w:noProof/>
          <w:sz w:val="24"/>
          <w:szCs w:val="24"/>
        </w:rPr>
        <w:t>Регионите, в които доходите са ниски и темпът на промяна на числеността на населението е бърз, са изправени пред най-трудната ситуация.</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31 милиона души, или 7 % от населението на ЕС, живеят в регион, който е изправен пред </w:t>
      </w:r>
      <w:r>
        <w:rPr>
          <w:rFonts w:ascii="Times New Roman" w:hAnsi="Times New Roman"/>
          <w:b/>
          <w:i/>
          <w:noProof/>
          <w:sz w:val="24"/>
          <w:szCs w:val="24"/>
        </w:rPr>
        <w:t>двойното предизвикателство</w:t>
      </w:r>
      <w:r>
        <w:rPr>
          <w:rFonts w:ascii="Times New Roman" w:hAnsi="Times New Roman"/>
          <w:b/>
          <w:noProof/>
          <w:sz w:val="24"/>
          <w:szCs w:val="24"/>
        </w:rPr>
        <w:t xml:space="preserve"> на</w:t>
      </w:r>
      <w:r>
        <w:rPr>
          <w:rFonts w:ascii="Times New Roman" w:hAnsi="Times New Roman"/>
          <w:b/>
          <w:noProof/>
          <w:sz w:val="24"/>
          <w:szCs w:val="24"/>
        </w:rPr>
        <w:t xml:space="preserve"> бързо намаляващо население и нисък БВП на глава от населението</w:t>
      </w:r>
      <w:r>
        <w:rPr>
          <w:rFonts w:ascii="Times New Roman" w:hAnsi="Times New Roman"/>
          <w:noProof/>
          <w:sz w:val="24"/>
          <w:szCs w:val="24"/>
        </w:rPr>
        <w:t xml:space="preserve">. Много от тези региони са в балтийските държави, България, Хърватия, Унгария, Португалия и Румъния. Има и някои региони в Гърция и Испания, както и няколко региона в Източна Германия, Франция </w:t>
      </w:r>
      <w:r>
        <w:rPr>
          <w:rFonts w:ascii="Times New Roman" w:hAnsi="Times New Roman"/>
          <w:noProof/>
          <w:sz w:val="24"/>
          <w:szCs w:val="24"/>
        </w:rPr>
        <w:t xml:space="preserve">и Полша, които са в тази ситуация.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При преодоляването на въздействието на демографските промени на местно и регионално равнище трябва да се отчете това, което кара хората да искат да се преместят в даден регион или да го напуснат. Това често се свежда до </w:t>
      </w:r>
      <w:r>
        <w:rPr>
          <w:rFonts w:ascii="Times New Roman" w:hAnsi="Times New Roman"/>
          <w:noProof/>
          <w:sz w:val="24"/>
          <w:szCs w:val="24"/>
        </w:rPr>
        <w:t>възможностите за заетост и качеството на живот. Качеството на живот в конкретен регион може да бъде повлияно от много различни фактори, било то околната среда, достъпът до услуги (като грижи за деца, достъпност за хора с увреждания, качествено образование,</w:t>
      </w:r>
      <w:r>
        <w:rPr>
          <w:rFonts w:ascii="Times New Roman" w:hAnsi="Times New Roman"/>
          <w:noProof/>
          <w:sz w:val="24"/>
          <w:szCs w:val="24"/>
        </w:rPr>
        <w:t xml:space="preserve"> здравеопазване, дългосрочни грижи, жилищно настаняване, развлекателни и културни услуги), или наличието и качеството на инфраструктурата (като пътна и железопътна инфраструктура, инфраструктура за енергоснабдяване и за достъп до интернет).</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 xml:space="preserve">Достъпността и </w:t>
      </w:r>
      <w:r>
        <w:rPr>
          <w:rFonts w:ascii="Times New Roman" w:hAnsi="Times New Roman"/>
          <w:b/>
          <w:noProof/>
          <w:sz w:val="24"/>
          <w:szCs w:val="24"/>
        </w:rPr>
        <w:t>свързаността ще придобиват по-голямо значение за перспективите на регионите.</w:t>
      </w:r>
      <w:r>
        <w:rPr>
          <w:rFonts w:ascii="Times New Roman" w:hAnsi="Times New Roman"/>
          <w:noProof/>
          <w:sz w:val="24"/>
          <w:szCs w:val="24"/>
        </w:rPr>
        <w:t xml:space="preserve"> Те оказват влияние върху икономическите перспективи на регионите и техния потенциал да предлагат привлекателни работни места. Тъй като Европа поставя начало на екологичния преход,</w:t>
      </w:r>
      <w:r>
        <w:rPr>
          <w:rFonts w:ascii="Times New Roman" w:hAnsi="Times New Roman"/>
          <w:noProof/>
          <w:sz w:val="24"/>
          <w:szCs w:val="24"/>
        </w:rPr>
        <w:t xml:space="preserve"> необходимостта от чист, редовен и достъпен транспорт на разумни цени ще играе все по-голяма роля за привлекателността на региона. С все по-голямата цифровизация в Европа хората ще очакват висококачествен достъп до широколентова инфраструктура от следващо </w:t>
      </w:r>
      <w:r>
        <w:rPr>
          <w:rFonts w:ascii="Times New Roman" w:hAnsi="Times New Roman"/>
          <w:noProof/>
          <w:sz w:val="24"/>
          <w:szCs w:val="24"/>
        </w:rPr>
        <w:t>поколение. Достъпът до широколентова инфраструктура от следващо поколение може да помогне за преодоляване на разделението между градските и селските региони в цифровата област.</w:t>
      </w:r>
    </w:p>
    <w:p w:rsidR="00534131" w:rsidRDefault="00A12529">
      <w:pPr>
        <w:keepNext/>
        <w:jc w:val="center"/>
        <w:rPr>
          <w:rFonts w:ascii="Times New Roman" w:hAnsi="Times New Roman" w:cs="Times New Roman"/>
          <w:b/>
          <w:noProof/>
          <w:sz w:val="24"/>
          <w:szCs w:val="24"/>
        </w:rPr>
      </w:pPr>
      <w:r>
        <w:rPr>
          <w:rFonts w:ascii="Times New Roman" w:hAnsi="Times New Roman"/>
          <w:b/>
          <w:noProof/>
          <w:sz w:val="24"/>
          <w:szCs w:val="24"/>
        </w:rPr>
        <w:t>Обхват на достъпа до широколентова инфраструктура от следващо поколение</w:t>
      </w:r>
    </w:p>
    <w:p w:rsidR="00534131" w:rsidRDefault="00A12529">
      <w:pPr>
        <w:jc w:val="both"/>
        <w:rPr>
          <w:rFonts w:ascii="Times New Roman" w:hAnsi="Times New Roman" w:cs="Times New Roman"/>
          <w:noProof/>
          <w:sz w:val="24"/>
          <w:szCs w:val="24"/>
        </w:rPr>
      </w:pPr>
      <w:r>
        <w:rPr>
          <w:noProof/>
          <w:lang w:val="fr-BE" w:eastAsia="fr-BE"/>
        </w:rPr>
        <w:drawing>
          <wp:inline distT="0" distB="0" distL="0" distR="0">
            <wp:extent cx="6192520" cy="2087880"/>
            <wp:effectExtent l="0" t="0" r="0" b="762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2520" cy="2087880"/>
                    </a:xfrm>
                    <a:prstGeom prst="rect">
                      <a:avLst/>
                    </a:prstGeom>
                    <a:noFill/>
                    <a:ln>
                      <a:noFill/>
                    </a:ln>
                  </pic:spPr>
                </pic:pic>
              </a:graphicData>
            </a:graphic>
          </wp:inline>
        </w:drawing>
      </w:r>
    </w:p>
    <w:p w:rsidR="00534131" w:rsidRDefault="00A12529">
      <w:pPr>
        <w:jc w:val="both"/>
        <w:rPr>
          <w:rFonts w:ascii="Times New Roman" w:hAnsi="Times New Roman"/>
          <w:noProof/>
          <w:sz w:val="24"/>
          <w:szCs w:val="24"/>
        </w:rPr>
      </w:pPr>
      <w:r>
        <w:rPr>
          <w:rFonts w:ascii="Times New Roman" w:hAnsi="Times New Roman"/>
          <w:b/>
          <w:noProof/>
          <w:sz w:val="24"/>
          <w:szCs w:val="24"/>
        </w:rPr>
        <w:t xml:space="preserve">Инвестициите в инфраструктура и услуги, включително чрез политиката на сближаване, са важна част от решението. </w:t>
      </w:r>
      <w:r>
        <w:rPr>
          <w:rFonts w:ascii="Times New Roman" w:hAnsi="Times New Roman"/>
          <w:noProof/>
          <w:sz w:val="24"/>
          <w:szCs w:val="24"/>
        </w:rPr>
        <w:t>Инфраструктурата има много различни измерения, включително наличието на цифрови услуги (в т.ч. достъп до информационни и комуникационни технологи</w:t>
      </w:r>
      <w:r>
        <w:rPr>
          <w:rFonts w:ascii="Times New Roman" w:hAnsi="Times New Roman"/>
          <w:noProof/>
          <w:sz w:val="24"/>
          <w:szCs w:val="24"/>
        </w:rPr>
        <w:t xml:space="preserve">и и 5G покритие), образователни и здравни услуги, както и развлекателни и културни услуги. </w:t>
      </w:r>
    </w:p>
    <w:p w:rsidR="00534131" w:rsidRDefault="00A12529">
      <w:pPr>
        <w:rPr>
          <w:rFonts w:ascii="Times New Roman" w:hAnsi="Times New Roman"/>
          <w:noProof/>
          <w:sz w:val="24"/>
          <w:szCs w:val="24"/>
        </w:rPr>
      </w:pPr>
      <w:r>
        <w:rPr>
          <w:rFonts w:ascii="Times New Roman" w:hAnsi="Times New Roman"/>
          <w:noProof/>
          <w:sz w:val="24"/>
          <w:szCs w:val="24"/>
        </w:rPr>
        <w:br w:type="page"/>
      </w:r>
    </w:p>
    <w:p w:rsidR="00534131" w:rsidRPr="00A12529" w:rsidRDefault="00A12529">
      <w:pPr>
        <w:keepNext/>
        <w:spacing w:after="0"/>
        <w:jc w:val="center"/>
        <w:rPr>
          <w:rFonts w:ascii="Times New Roman Bold" w:hAnsi="Times New Roman Bold"/>
          <w:b/>
          <w:noProof/>
          <w:spacing w:val="-8"/>
          <w:sz w:val="24"/>
          <w:szCs w:val="24"/>
        </w:rPr>
      </w:pPr>
      <w:r>
        <w:rPr>
          <w:rFonts w:ascii="Times New Roman Bold" w:hAnsi="Times New Roman Bold"/>
          <w:b/>
          <w:noProof/>
          <w:spacing w:val="-8"/>
          <w:sz w:val="24"/>
          <w:szCs w:val="24"/>
        </w:rPr>
        <w:t xml:space="preserve">Достъпност на железопътния </w:t>
      </w:r>
      <w:r w:rsidRPr="00A12529">
        <w:rPr>
          <w:rFonts w:ascii="Times New Roman Bold" w:hAnsi="Times New Roman Bold"/>
          <w:b/>
          <w:noProof/>
          <w:spacing w:val="-8"/>
          <w:sz w:val="24"/>
          <w:szCs w:val="24"/>
        </w:rPr>
        <w:t xml:space="preserve">транспорт </w:t>
      </w:r>
      <w:r w:rsidRPr="00A12529">
        <w:rPr>
          <w:rFonts w:ascii="Times New Roman Bold" w:hAnsi="Times New Roman Bold"/>
          <w:b/>
          <w:noProof/>
          <w:spacing w:val="-8"/>
          <w:sz w:val="24"/>
          <w:szCs w:val="24"/>
        </w:rPr>
        <w:t>(оптимално време за пътуване)</w:t>
      </w:r>
      <w:r w:rsidRPr="00A12529">
        <w:rPr>
          <w:rFonts w:ascii="Times New Roman Bold" w:hAnsi="Times New Roman Bold"/>
          <w:b/>
          <w:noProof/>
          <w:spacing w:val="-8"/>
        </w:rPr>
        <w:t xml:space="preserve"> </w:t>
      </w:r>
      <w:r w:rsidRPr="00A12529">
        <w:rPr>
          <w:rFonts w:ascii="Times New Roman Bold" w:hAnsi="Times New Roman Bold"/>
          <w:b/>
          <w:noProof/>
          <w:spacing w:val="-8"/>
          <w:sz w:val="24"/>
          <w:szCs w:val="24"/>
        </w:rPr>
        <w:t>по региони</w:t>
      </w:r>
      <w:r w:rsidRPr="00A12529">
        <w:rPr>
          <w:rFonts w:ascii="Times New Roman Bold" w:hAnsi="Times New Roman Bold" w:cs="Times New Roman"/>
          <w:b/>
          <w:noProof/>
          <w:spacing w:val="-8"/>
          <w:sz w:val="24"/>
          <w:szCs w:val="24"/>
          <w:vertAlign w:val="superscript"/>
        </w:rPr>
        <w:footnoteReference w:id="51"/>
      </w:r>
      <w:r w:rsidRPr="00A12529">
        <w:rPr>
          <w:rFonts w:ascii="Times New Roman Bold" w:hAnsi="Times New Roman Bold"/>
          <w:b/>
          <w:noProof/>
          <w:spacing w:val="-8"/>
          <w:sz w:val="24"/>
          <w:szCs w:val="24"/>
        </w:rPr>
        <w:t>, 2014 г.</w:t>
      </w:r>
    </w:p>
    <w:p w:rsidR="00534131" w:rsidRDefault="00A12529">
      <w:pPr>
        <w:jc w:val="center"/>
        <w:rPr>
          <w:rFonts w:ascii="Times New Roman" w:hAnsi="Times New Roman" w:cs="Times New Roman"/>
          <w:noProof/>
          <w:sz w:val="24"/>
          <w:szCs w:val="24"/>
        </w:rPr>
      </w:pPr>
      <w:r w:rsidRPr="00A12529">
        <w:rPr>
          <w:rFonts w:ascii="Times New Roman" w:hAnsi="Times New Roman"/>
          <w:noProof/>
          <w:sz w:val="24"/>
          <w:szCs w:val="24"/>
        </w:rPr>
        <w:t>(Достъпност за населението на разстояние, което се пропътува за до 1 час и</w:t>
      </w:r>
      <w:r w:rsidRPr="00A12529">
        <w:rPr>
          <w:rFonts w:ascii="Times New Roman" w:hAnsi="Times New Roman"/>
          <w:noProof/>
          <w:sz w:val="24"/>
          <w:szCs w:val="24"/>
        </w:rPr>
        <w:t xml:space="preserve"> 30 минути (хиляди жители): достъпност чрез оптимални налични маршрути, достъпни в пиковите часове сутринта и вечерта)</w:t>
      </w:r>
    </w:p>
    <w:p w:rsidR="00534131" w:rsidRDefault="00A12529">
      <w:pPr>
        <w:jc w:val="center"/>
        <w:rPr>
          <w:rFonts w:ascii="Times New Roman" w:hAnsi="Times New Roman" w:cs="Times New Roman"/>
          <w:noProof/>
          <w:sz w:val="24"/>
          <w:szCs w:val="24"/>
        </w:rPr>
      </w:pPr>
      <w:r>
        <w:rPr>
          <w:rFonts w:ascii="Times New Roman" w:hAnsi="Times New Roman"/>
          <w:noProof/>
          <w:sz w:val="24"/>
          <w:szCs w:val="24"/>
          <w:lang w:val="fr-BE" w:eastAsia="fr-BE"/>
        </w:rPr>
        <w:drawing>
          <wp:inline distT="0" distB="0" distL="0" distR="0">
            <wp:extent cx="5528603" cy="7399606"/>
            <wp:effectExtent l="0" t="0" r="0" b="0"/>
            <wp:docPr id="9" name="Picture 9" descr="Снимка на карта в близък план&#10;&#10;Описанието се генерира автоматичн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509" cy="7407511"/>
                    </a:xfrm>
                    <a:prstGeom prst="rect">
                      <a:avLst/>
                    </a:prstGeom>
                    <a:noFill/>
                    <a:ln>
                      <a:noFill/>
                    </a:ln>
                  </pic:spPr>
                </pic:pic>
              </a:graphicData>
            </a:graphic>
          </wp:inline>
        </w:drawing>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С помощта на регионалните инициативи могат да се подобрят качеството на живот, достъпът до услуги и инфраструктура и да се преодолеят о</w:t>
      </w:r>
      <w:r>
        <w:rPr>
          <w:rFonts w:ascii="Times New Roman" w:hAnsi="Times New Roman"/>
          <w:noProof/>
          <w:sz w:val="24"/>
          <w:szCs w:val="24"/>
        </w:rPr>
        <w:t>трицателните последици от обезлюдяването. Така например местните условия за стопанска дейност могат да бъдат подобрени чрез услуги в подкрепа на бизнеса, като се стимулират иновациите и научните изследвания. Воденото от общностите местно развитие може да о</w:t>
      </w:r>
      <w:r>
        <w:rPr>
          <w:rFonts w:ascii="Times New Roman" w:hAnsi="Times New Roman"/>
          <w:noProof/>
          <w:sz w:val="24"/>
          <w:szCs w:val="24"/>
        </w:rPr>
        <w:t>тговори на нуждите на гражданите и да подобри качеството на живот на местно равнище. Бързото постигане на споразумение относно следващия дългосрочен бюджет на ЕС и неговия инструмент за възстановяване, наречен NextGenerationEU</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xml:space="preserve">, ще гарантира, че фондовете </w:t>
      </w:r>
      <w:r>
        <w:rPr>
          <w:rFonts w:ascii="Times New Roman" w:hAnsi="Times New Roman"/>
          <w:noProof/>
          <w:sz w:val="24"/>
          <w:szCs w:val="24"/>
        </w:rPr>
        <w:t xml:space="preserve">на ЕС и програмите в областта на политиката на сближаване могат да играят важна роля в подпомагането на тези действия.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Основният въпрос за публичните политики е как да се разработят устойчиви решения</w:t>
      </w:r>
      <w:r>
        <w:rPr>
          <w:rFonts w:ascii="Times New Roman" w:hAnsi="Times New Roman"/>
          <w:noProof/>
          <w:sz w:val="24"/>
          <w:szCs w:val="24"/>
        </w:rPr>
        <w:t>. Доказана е възможността на регионално и местно равнище</w:t>
      </w:r>
      <w:r>
        <w:rPr>
          <w:rFonts w:ascii="Times New Roman" w:hAnsi="Times New Roman"/>
          <w:noProof/>
          <w:sz w:val="24"/>
          <w:szCs w:val="24"/>
        </w:rPr>
        <w:t xml:space="preserve"> да се извършват нововъведения и демографските промени да се управляват по интелигентен начин. Ще бъде от съществено значение този опит да се използва за споделяне на най-добри практики и развиване на иновативни идеи, продукти или услуги.</w:t>
      </w:r>
    </w:p>
    <w:p w:rsidR="00534131" w:rsidRDefault="00A12529">
      <w:pPr>
        <w:jc w:val="both"/>
        <w:rPr>
          <w:rFonts w:ascii="Times New Roman" w:hAnsi="Times New Roman" w:cs="Times New Roman"/>
          <w:b/>
          <w:noProof/>
          <w:sz w:val="24"/>
          <w:szCs w:val="24"/>
        </w:rPr>
      </w:pPr>
      <w:r>
        <w:rPr>
          <w:rFonts w:ascii="Times New Roman" w:hAnsi="Times New Roman"/>
          <w:b/>
          <w:noProof/>
          <w:sz w:val="24"/>
          <w:szCs w:val="24"/>
        </w:rPr>
        <w:t xml:space="preserve">Всички ответни действия в рамките на политиката за справяне с предизвикателствата на регионално равнище трябва да бъдат прецизно съобразени със ситуацията на място. </w:t>
      </w:r>
      <w:r>
        <w:rPr>
          <w:rFonts w:ascii="Times New Roman" w:hAnsi="Times New Roman"/>
          <w:noProof/>
          <w:sz w:val="24"/>
          <w:szCs w:val="24"/>
        </w:rPr>
        <w:t>Това отразява факта, че ситуацията е различна между отделните държави, както и в рамките на</w:t>
      </w:r>
      <w:r>
        <w:rPr>
          <w:rFonts w:ascii="Times New Roman" w:hAnsi="Times New Roman"/>
          <w:noProof/>
          <w:sz w:val="24"/>
          <w:szCs w:val="24"/>
        </w:rPr>
        <w:t xml:space="preserve"> всяка държава, с по-голямо разделение между градските и селските райони в някои области и противоположни тенденции на други места. През 2018 г. делът на населението, изложено на риск от изпадане в бедност, беше особено висок сред хората, живеещи в големи </w:t>
      </w:r>
      <w:r>
        <w:rPr>
          <w:rFonts w:ascii="Times New Roman" w:hAnsi="Times New Roman"/>
          <w:noProof/>
          <w:sz w:val="24"/>
          <w:szCs w:val="24"/>
        </w:rPr>
        <w:t>градове в голяма част от западна Европа, докато в източната и южната част на ЕС това се отнасяше за хората, живеещи в селските райони.</w:t>
      </w:r>
      <w:r>
        <w:rPr>
          <w:rFonts w:ascii="Times New Roman" w:hAnsi="Times New Roman"/>
          <w:b/>
          <w:noProof/>
          <w:sz w:val="24"/>
          <w:szCs w:val="24"/>
        </w:rPr>
        <w:t xml:space="preserve">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В големите градове използването на енергията, транспорта и земята е по-ефикасно. Организацията и поддръжката на публична</w:t>
      </w:r>
      <w:r>
        <w:rPr>
          <w:rFonts w:ascii="Times New Roman" w:hAnsi="Times New Roman"/>
          <w:noProof/>
          <w:sz w:val="24"/>
          <w:szCs w:val="24"/>
        </w:rPr>
        <w:t>та инфраструктура са по-лесни, например на обществения транспорт и достъпа до интернет, както и на достъпа до социални услуги, например в сектора за полагане на грижи. Постигането на съответствие между предлагането и търсенето на умения обикновено е по-лес</w:t>
      </w:r>
      <w:r>
        <w:rPr>
          <w:rFonts w:ascii="Times New Roman" w:hAnsi="Times New Roman"/>
          <w:noProof/>
          <w:sz w:val="24"/>
          <w:szCs w:val="24"/>
        </w:rPr>
        <w:t>но, което води до по-висока производителност и по-високи доходи на глава от населението. В големите градове има по-добър достъп до образование с високо качество, включително повече висши училища, което може да спомогне за създаването на иновации</w:t>
      </w:r>
      <w:r>
        <w:rPr>
          <w:rFonts w:ascii="Times New Roman" w:hAnsi="Times New Roman" w:cs="Times New Roman"/>
          <w:noProof/>
          <w:sz w:val="24"/>
          <w:szCs w:val="24"/>
          <w:vertAlign w:val="superscript"/>
        </w:rPr>
        <w:footnoteReference w:id="53"/>
      </w:r>
      <w:r>
        <w:rPr>
          <w:rFonts w:ascii="Times New Roman" w:hAnsi="Times New Roman"/>
          <w:noProof/>
          <w:sz w:val="24"/>
          <w:szCs w:val="24"/>
        </w:rPr>
        <w:t xml:space="preserve">.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От друг</w:t>
      </w:r>
      <w:r>
        <w:rPr>
          <w:rFonts w:ascii="Times New Roman" w:hAnsi="Times New Roman"/>
          <w:noProof/>
          <w:sz w:val="24"/>
          <w:szCs w:val="24"/>
        </w:rPr>
        <w:t xml:space="preserve">а страна, </w:t>
      </w:r>
      <w:r>
        <w:rPr>
          <w:rFonts w:ascii="Times New Roman" w:hAnsi="Times New Roman"/>
          <w:b/>
          <w:noProof/>
          <w:sz w:val="24"/>
          <w:szCs w:val="24"/>
        </w:rPr>
        <w:t>високите темпове на прираст на населението в градовете трябва да бъдат управлявани добре, за да се избегне допълнително увеличаване на задръстванията, замърсяването и разходите за жилища</w:t>
      </w:r>
      <w:r>
        <w:rPr>
          <w:rFonts w:ascii="Times New Roman" w:hAnsi="Times New Roman" w:cs="Times New Roman"/>
          <w:noProof/>
          <w:sz w:val="24"/>
          <w:szCs w:val="24"/>
          <w:vertAlign w:val="superscript"/>
        </w:rPr>
        <w:footnoteReference w:id="54"/>
      </w:r>
      <w:r>
        <w:rPr>
          <w:rFonts w:ascii="Times New Roman" w:hAnsi="Times New Roman"/>
          <w:noProof/>
          <w:sz w:val="24"/>
          <w:szCs w:val="24"/>
        </w:rPr>
        <w:t>. Големите градове ще трябва също така да приспособят своит</w:t>
      </w:r>
      <w:r>
        <w:rPr>
          <w:rFonts w:ascii="Times New Roman" w:hAnsi="Times New Roman"/>
          <w:noProof/>
          <w:sz w:val="24"/>
          <w:szCs w:val="24"/>
        </w:rPr>
        <w:t>е услуги в области като здравеопазването и мобилността, както и публичната инфраструктура, жилищния фонд, образованието и социалната политика, за да отговорят на демографските промени. Предвид тясната връзка между застаряването и уврежданията, това включва</w:t>
      </w:r>
      <w:r>
        <w:rPr>
          <w:rFonts w:ascii="Times New Roman" w:hAnsi="Times New Roman"/>
          <w:noProof/>
          <w:sz w:val="24"/>
          <w:szCs w:val="24"/>
        </w:rPr>
        <w:t xml:space="preserve"> и подобряване на достъпността, по-конкретно на продуктите, услугите и инфраструктурата.</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Земята в селските райони е изобилна, разходите за живот и равнищата на замърсяване на въздуха са по-ниски</w:t>
      </w:r>
      <w:r>
        <w:rPr>
          <w:rFonts w:ascii="Times New Roman" w:hAnsi="Times New Roman"/>
          <w:noProof/>
          <w:sz w:val="24"/>
          <w:szCs w:val="24"/>
        </w:rPr>
        <w:t>. Те обаче са изправени пред редица предизвикателства, по-спец</w:t>
      </w:r>
      <w:r>
        <w:rPr>
          <w:rFonts w:ascii="Times New Roman" w:hAnsi="Times New Roman"/>
          <w:noProof/>
          <w:sz w:val="24"/>
          <w:szCs w:val="24"/>
        </w:rPr>
        <w:t>иално осигуряването на добър достъп до обществени и частни услуги. В селските райони, които са изправени пред значително намаляване на населението, може да се наблюдават изоставяне на земята и повишен риск от горски пожари</w:t>
      </w:r>
      <w:r>
        <w:rPr>
          <w:rFonts w:ascii="Times New Roman" w:hAnsi="Times New Roman" w:cs="Times New Roman"/>
          <w:noProof/>
          <w:sz w:val="24"/>
          <w:szCs w:val="24"/>
          <w:vertAlign w:val="superscript"/>
        </w:rPr>
        <w:footnoteReference w:id="55"/>
      </w:r>
      <w:r>
        <w:rPr>
          <w:rFonts w:ascii="Times New Roman" w:hAnsi="Times New Roman"/>
          <w:noProof/>
          <w:sz w:val="24"/>
          <w:szCs w:val="24"/>
        </w:rPr>
        <w:t xml:space="preserve"> и обикновено там става по-трудно</w:t>
      </w:r>
      <w:r>
        <w:rPr>
          <w:rFonts w:ascii="Times New Roman" w:hAnsi="Times New Roman"/>
          <w:noProof/>
          <w:sz w:val="24"/>
          <w:szCs w:val="24"/>
        </w:rPr>
        <w:t xml:space="preserve"> да се привлекат нови инвестиции. Една от причините за безпокойство е намаляващият брой на младите земеделски стопани и значението на „приемствеността между поколенията“. </w:t>
      </w:r>
    </w:p>
    <w:p w:rsidR="00534131" w:rsidRDefault="00A12529">
      <w:pPr>
        <w:jc w:val="both"/>
        <w:rPr>
          <w:rFonts w:ascii="Times New Roman" w:hAnsi="Times New Roman" w:cs="Times New Roman"/>
          <w:noProof/>
          <w:sz w:val="24"/>
          <w:szCs w:val="24"/>
        </w:rPr>
      </w:pPr>
      <w:r>
        <w:rPr>
          <w:rFonts w:ascii="Times New Roman" w:hAnsi="Times New Roman"/>
          <w:bCs/>
          <w:noProof/>
          <w:sz w:val="24"/>
          <w:szCs w:val="24"/>
        </w:rPr>
        <w:t>Ключов въпрос за селските райони е това дали те са в близост до голям град, или са о</w:t>
      </w:r>
      <w:r>
        <w:rPr>
          <w:rFonts w:ascii="Times New Roman" w:hAnsi="Times New Roman"/>
          <w:bCs/>
          <w:noProof/>
          <w:sz w:val="24"/>
          <w:szCs w:val="24"/>
        </w:rPr>
        <w:t xml:space="preserve">тдалечени от функционален градски район. </w:t>
      </w:r>
      <w:r>
        <w:rPr>
          <w:rFonts w:ascii="Times New Roman" w:hAnsi="Times New Roman"/>
          <w:noProof/>
          <w:sz w:val="24"/>
          <w:szCs w:val="24"/>
        </w:rPr>
        <w:t>Селските райони в близост до голям град могат да имат чести взаимодействия с този град. Хората могат да работят в града, но да живеят извън него, като пътуват от и до работа всеки ден. Този модел е обвързан със спец</w:t>
      </w:r>
      <w:r>
        <w:rPr>
          <w:rFonts w:ascii="Times New Roman" w:hAnsi="Times New Roman"/>
          <w:noProof/>
          <w:sz w:val="24"/>
          <w:szCs w:val="24"/>
        </w:rPr>
        <w:t>иални изисквания, например по отношение на транспорта. Може да има специфично разделение на задачите, например големият град да осигурява достъп до болници, включително на хората, живеещи в разположения в близост селски район.</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От друга страна, някои селски</w:t>
      </w:r>
      <w:r>
        <w:rPr>
          <w:rFonts w:ascii="Times New Roman" w:hAnsi="Times New Roman"/>
          <w:noProof/>
          <w:sz w:val="24"/>
          <w:szCs w:val="24"/>
        </w:rPr>
        <w:t xml:space="preserve"> райони не се намират в близост до по-голям град. В този случай пред развитието на селските райони стоят различни предизвикателства, например преобладаването на сектора на първично производство и свързаните с него вериги за създаване на стойност</w:t>
      </w:r>
      <w:r>
        <w:rPr>
          <w:rFonts w:ascii="Times New Roman" w:hAnsi="Times New Roman" w:cs="Times New Roman"/>
          <w:noProof/>
          <w:sz w:val="24"/>
          <w:szCs w:val="24"/>
          <w:vertAlign w:val="superscript"/>
        </w:rPr>
        <w:footnoteReference w:id="56"/>
      </w:r>
      <w:r>
        <w:rPr>
          <w:rFonts w:ascii="Times New Roman" w:hAnsi="Times New Roman"/>
          <w:noProof/>
          <w:sz w:val="24"/>
          <w:szCs w:val="24"/>
        </w:rPr>
        <w:t xml:space="preserve"> или по-ма</w:t>
      </w:r>
      <w:r>
        <w:rPr>
          <w:rFonts w:ascii="Times New Roman" w:hAnsi="Times New Roman"/>
          <w:noProof/>
          <w:sz w:val="24"/>
          <w:szCs w:val="24"/>
        </w:rPr>
        <w:t>лка численост на населението и по-слаб икономически растеж</w:t>
      </w:r>
      <w:r>
        <w:rPr>
          <w:rFonts w:ascii="Times New Roman" w:hAnsi="Times New Roman" w:cs="Times New Roman"/>
          <w:noProof/>
          <w:sz w:val="24"/>
          <w:szCs w:val="24"/>
          <w:vertAlign w:val="superscript"/>
        </w:rPr>
        <w:footnoteReference w:id="57"/>
      </w:r>
      <w:r>
        <w:rPr>
          <w:rFonts w:ascii="Times New Roman" w:hAnsi="Times New Roman"/>
          <w:noProof/>
          <w:sz w:val="24"/>
          <w:szCs w:val="24"/>
        </w:rPr>
        <w:t>. Икономическият спад в конкретни региони е не само предизвикателство за териториалното сближаване, но може също така да доведе до процес, известен като „география на недоволството“. Ако хората зап</w:t>
      </w:r>
      <w:r>
        <w:rPr>
          <w:rFonts w:ascii="Times New Roman" w:hAnsi="Times New Roman"/>
          <w:noProof/>
          <w:sz w:val="24"/>
          <w:szCs w:val="24"/>
        </w:rPr>
        <w:t xml:space="preserve">очнат да се чувстват забравени, те могат да загубят вяра в справедливостта на нашата икономика и нашите демократични институции.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Всички тези въпроси, и не само те, ще бъдат разгледани в рамките на </w:t>
      </w:r>
      <w:r>
        <w:rPr>
          <w:rFonts w:ascii="Times New Roman" w:hAnsi="Times New Roman"/>
          <w:b/>
          <w:noProof/>
          <w:sz w:val="24"/>
          <w:szCs w:val="24"/>
        </w:rPr>
        <w:t>дългосрочна визия на Комисията за селските райони</w:t>
      </w:r>
      <w:r>
        <w:rPr>
          <w:rFonts w:ascii="Times New Roman" w:hAnsi="Times New Roman"/>
          <w:noProof/>
          <w:sz w:val="24"/>
          <w:szCs w:val="24"/>
        </w:rPr>
        <w:t>, която щ</w:t>
      </w:r>
      <w:r>
        <w:rPr>
          <w:rFonts w:ascii="Times New Roman" w:hAnsi="Times New Roman"/>
          <w:noProof/>
          <w:sz w:val="24"/>
          <w:szCs w:val="24"/>
        </w:rPr>
        <w:t>е бъде представена през следващата година след провеждането на широкообхватна обществена консултация и отчитането на различните аспекти, изведени на преден план от пандемията от COVID-19.</w:t>
      </w:r>
    </w:p>
    <w:p w:rsidR="00534131" w:rsidRDefault="00A12529">
      <w:pPr>
        <w:pStyle w:val="Heading2"/>
        <w:keepNext/>
        <w:rPr>
          <w:noProof/>
        </w:rPr>
      </w:pPr>
      <w:bookmarkStart w:id="65" w:name="_Toc43821387"/>
      <w:r>
        <w:rPr>
          <w:noProof/>
        </w:rPr>
        <w:t>4.</w:t>
      </w:r>
      <w:r>
        <w:rPr>
          <w:noProof/>
        </w:rPr>
        <w:tab/>
        <w:t>ДВОЙНИЯТ ПРЕХОД И ДЕМОГРАФСКИТЕ ПРОМЕНИ</w:t>
      </w:r>
      <w:bookmarkEnd w:id="65"/>
    </w:p>
    <w:p w:rsidR="00534131" w:rsidRDefault="00A12529">
      <w:pPr>
        <w:keepLines/>
        <w:jc w:val="both"/>
        <w:rPr>
          <w:rFonts w:ascii="Times New Roman" w:hAnsi="Times New Roman" w:cs="Times New Roman"/>
          <w:noProof/>
          <w:sz w:val="24"/>
          <w:szCs w:val="24"/>
        </w:rPr>
      </w:pPr>
      <w:r>
        <w:rPr>
          <w:rFonts w:ascii="Times New Roman" w:hAnsi="Times New Roman"/>
          <w:b/>
          <w:noProof/>
          <w:sz w:val="24"/>
          <w:szCs w:val="24"/>
        </w:rPr>
        <w:t>Демографските промени и д</w:t>
      </w:r>
      <w:r>
        <w:rPr>
          <w:rFonts w:ascii="Times New Roman" w:hAnsi="Times New Roman"/>
          <w:b/>
          <w:noProof/>
          <w:sz w:val="24"/>
          <w:szCs w:val="24"/>
        </w:rPr>
        <w:t xml:space="preserve">войният екологичен и цифров преход често ще влияят един върху друг или взаимно ще се ускоряват. </w:t>
      </w:r>
      <w:r>
        <w:rPr>
          <w:rFonts w:ascii="Times New Roman" w:hAnsi="Times New Roman"/>
          <w:noProof/>
          <w:sz w:val="24"/>
          <w:szCs w:val="24"/>
        </w:rPr>
        <w:t>Стратегическите прогнози могат да бъдат важен инструмент за определяне и предвиждане на предизвикателствата, които ще засегнат всеки от тези преходи, и за по-ус</w:t>
      </w:r>
      <w:r>
        <w:rPr>
          <w:rFonts w:ascii="Times New Roman" w:hAnsi="Times New Roman"/>
          <w:noProof/>
          <w:sz w:val="24"/>
          <w:szCs w:val="24"/>
        </w:rPr>
        <w:t xml:space="preserve">пешното изготвяне на политики, чрез които да се справим с тях заедно.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Натискът, породен в световен мащаб от демографските промени, вероятно ще се изостри поради въздействието на изменението на климата и влошаването на състоянието на околната среда. Запазв</w:t>
      </w:r>
      <w:r>
        <w:rPr>
          <w:rFonts w:ascii="Times New Roman" w:hAnsi="Times New Roman"/>
          <w:noProof/>
          <w:sz w:val="24"/>
          <w:szCs w:val="24"/>
        </w:rPr>
        <w:t>ането на обичайните практики би означавало огромно и едновременно увеличение на световните потребности от храни, енергия и вода през следващите десетилетия: 60 процента повече храни, 50 процента повече енергия и 40 процента повече вода до 2050 г.</w:t>
      </w:r>
      <w:r>
        <w:rPr>
          <w:rFonts w:ascii="Times New Roman" w:hAnsi="Times New Roman" w:cs="Times New Roman"/>
          <w:noProof/>
          <w:sz w:val="24"/>
          <w:szCs w:val="24"/>
          <w:vertAlign w:val="superscript"/>
        </w:rPr>
        <w:footnoteReference w:id="58"/>
      </w:r>
      <w:r>
        <w:rPr>
          <w:rFonts w:ascii="Times New Roman" w:hAnsi="Times New Roman"/>
          <w:noProof/>
          <w:sz w:val="24"/>
          <w:szCs w:val="24"/>
        </w:rPr>
        <w:t xml:space="preserve">.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Както </w:t>
      </w:r>
      <w:r>
        <w:rPr>
          <w:rFonts w:ascii="Times New Roman" w:hAnsi="Times New Roman"/>
          <w:noProof/>
          <w:sz w:val="24"/>
          <w:szCs w:val="24"/>
        </w:rPr>
        <w:t>е определено в Европейския зелен пакт и Европейския законодателен акт за климата</w:t>
      </w:r>
      <w:r>
        <w:rPr>
          <w:rStyle w:val="FootnoteReference"/>
          <w:rFonts w:ascii="Times New Roman" w:hAnsi="Times New Roman" w:cs="Times New Roman"/>
          <w:noProof/>
          <w:sz w:val="24"/>
          <w:szCs w:val="24"/>
        </w:rPr>
        <w:footnoteReference w:id="59"/>
      </w:r>
      <w:r>
        <w:rPr>
          <w:rFonts w:ascii="Times New Roman" w:hAnsi="Times New Roman"/>
          <w:noProof/>
          <w:sz w:val="24"/>
          <w:szCs w:val="24"/>
        </w:rPr>
        <w:t>, през същия период Европа ще осъществи преход към неутрална по отношение на климата икономика, ефективно използваща ресурсите. Това засилва необходимостта от чиста енергия, у</w:t>
      </w:r>
      <w:r>
        <w:rPr>
          <w:rFonts w:ascii="Times New Roman" w:hAnsi="Times New Roman"/>
          <w:noProof/>
          <w:sz w:val="24"/>
          <w:szCs w:val="24"/>
        </w:rPr>
        <w:t xml:space="preserve">стойчива и интелигентна мобилност, преход към икономика, доближаваща се в по-голяма степен до кръгова икономика, и големи стъпки за опазване и възстановяване на нашето биологично разнообразие. Ограничителните мерки, наложени неотдавна поради пандемията от </w:t>
      </w:r>
      <w:r>
        <w:rPr>
          <w:rFonts w:ascii="Times New Roman" w:hAnsi="Times New Roman"/>
          <w:noProof/>
          <w:sz w:val="24"/>
          <w:szCs w:val="24"/>
        </w:rPr>
        <w:t xml:space="preserve">COVID-19, показаха значението на зелените градски пространства за физическото и психическото благосъстояние на хората. Много европейски градове предприеха също така стъпки да направят активната мобилност, например ходенето пеш и използването на велосипед, </w:t>
      </w:r>
      <w:r>
        <w:rPr>
          <w:rFonts w:ascii="Times New Roman" w:hAnsi="Times New Roman"/>
          <w:noProof/>
          <w:sz w:val="24"/>
          <w:szCs w:val="24"/>
        </w:rPr>
        <w:t>един по-безопасен и по-привлекателен вариант по време на пандемията. За да бъдат подпомогнати усилията в тази насока, през 2021 г. Комисията ще създаде Европейска платформа за екологизиране на градовете в рамките на ново Споразумение за зелен град с участи</w:t>
      </w:r>
      <w:r>
        <w:rPr>
          <w:rFonts w:ascii="Times New Roman" w:hAnsi="Times New Roman"/>
          <w:noProof/>
          <w:sz w:val="24"/>
          <w:szCs w:val="24"/>
        </w:rPr>
        <w:t>ето на градове и кметове.</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Тъй като градовете стават все по-пренаселени, в градските райони ще трябва да продължат и да се активизират усилията за изграждане на градски зелени площи, които могат да изпълняват и ролята на поглътители на въглерод, спомагащи з</w:t>
      </w:r>
      <w:r>
        <w:rPr>
          <w:rFonts w:ascii="Times New Roman" w:hAnsi="Times New Roman"/>
          <w:noProof/>
          <w:sz w:val="24"/>
          <w:szCs w:val="24"/>
        </w:rPr>
        <w:t xml:space="preserve">а отстраняването на емисиите от атмосферата. По много от тези въпроси ще се работи при изпълнението на </w:t>
      </w:r>
      <w:r>
        <w:rPr>
          <w:rFonts w:ascii="Times New Roman" w:hAnsi="Times New Roman"/>
          <w:b/>
          <w:bCs/>
          <w:noProof/>
          <w:sz w:val="24"/>
          <w:szCs w:val="24"/>
        </w:rPr>
        <w:t>плана за действие на ЕС за кръгова икономика</w:t>
      </w:r>
      <w:r>
        <w:rPr>
          <w:rFonts w:ascii="Times New Roman" w:hAnsi="Times New Roman"/>
          <w:noProof/>
          <w:sz w:val="24"/>
          <w:szCs w:val="24"/>
        </w:rPr>
        <w:t xml:space="preserve">, </w:t>
      </w:r>
      <w:r>
        <w:rPr>
          <w:rFonts w:ascii="Times New Roman" w:hAnsi="Times New Roman"/>
          <w:b/>
          <w:bCs/>
          <w:noProof/>
          <w:sz w:val="24"/>
          <w:szCs w:val="24"/>
        </w:rPr>
        <w:t>стратегията на ЕС за биологичното разнообразие</w:t>
      </w:r>
      <w:r>
        <w:rPr>
          <w:rFonts w:ascii="Times New Roman" w:hAnsi="Times New Roman"/>
          <w:noProof/>
          <w:sz w:val="24"/>
          <w:szCs w:val="24"/>
        </w:rPr>
        <w:t xml:space="preserve"> и </w:t>
      </w:r>
      <w:r>
        <w:rPr>
          <w:rFonts w:ascii="Times New Roman" w:hAnsi="Times New Roman"/>
          <w:b/>
          <w:bCs/>
          <w:noProof/>
          <w:sz w:val="24"/>
          <w:szCs w:val="24"/>
        </w:rPr>
        <w:t>стратегията „От фермата до трапезата“</w:t>
      </w:r>
      <w:r>
        <w:rPr>
          <w:rFonts w:ascii="Times New Roman" w:hAnsi="Times New Roman"/>
          <w:noProof/>
          <w:sz w:val="24"/>
          <w:szCs w:val="24"/>
        </w:rPr>
        <w:t xml:space="preserve">, както и на предстоящата преразгледана </w:t>
      </w:r>
      <w:r>
        <w:rPr>
          <w:rFonts w:ascii="Times New Roman" w:hAnsi="Times New Roman"/>
          <w:b/>
          <w:bCs/>
          <w:noProof/>
          <w:sz w:val="24"/>
          <w:szCs w:val="24"/>
        </w:rPr>
        <w:t>стратегия на ЕС за адаптиране към изменението на климата</w:t>
      </w:r>
      <w:r>
        <w:rPr>
          <w:rFonts w:ascii="Times New Roman" w:hAnsi="Times New Roman"/>
          <w:noProof/>
          <w:sz w:val="24"/>
          <w:szCs w:val="24"/>
        </w:rPr>
        <w:t xml:space="preserve">. </w:t>
      </w:r>
    </w:p>
    <w:p w:rsidR="00534131" w:rsidRDefault="00A12529">
      <w:pPr>
        <w:jc w:val="both"/>
        <w:rPr>
          <w:rFonts w:ascii="Times New Roman" w:hAnsi="Times New Roman" w:cs="Times New Roman"/>
          <w:b/>
          <w:noProof/>
          <w:sz w:val="24"/>
          <w:szCs w:val="24"/>
        </w:rPr>
      </w:pPr>
      <w:r>
        <w:rPr>
          <w:rFonts w:ascii="Times New Roman" w:hAnsi="Times New Roman"/>
          <w:b/>
          <w:noProof/>
          <w:sz w:val="24"/>
          <w:szCs w:val="24"/>
        </w:rPr>
        <w:t>Очаква се изменението на климата и загубата на биологично разнообразие да окажат съществено влияние върху миграционните модели</w:t>
      </w:r>
      <w:r>
        <w:rPr>
          <w:rFonts w:ascii="Times New Roman" w:hAnsi="Times New Roman"/>
          <w:noProof/>
          <w:sz w:val="24"/>
          <w:szCs w:val="24"/>
        </w:rPr>
        <w:t>. Това се дължи на факта, че пр</w:t>
      </w:r>
      <w:r>
        <w:rPr>
          <w:rFonts w:ascii="Times New Roman" w:hAnsi="Times New Roman"/>
          <w:noProof/>
          <w:sz w:val="24"/>
          <w:szCs w:val="24"/>
        </w:rPr>
        <w:t>омените в околната среда, като например опустиняването, увеличаването на киселинността на океанските води и бреговата ерозия, оказват пряко въздействие върху „поминъка на хората и способността им да оцеляват на местата си на произход“</w:t>
      </w:r>
      <w:r>
        <w:rPr>
          <w:rFonts w:ascii="Times New Roman" w:hAnsi="Times New Roman" w:cs="Times New Roman"/>
          <w:noProof/>
          <w:sz w:val="24"/>
          <w:szCs w:val="24"/>
          <w:vertAlign w:val="superscript"/>
        </w:rPr>
        <w:footnoteReference w:id="60"/>
      </w:r>
      <w:r>
        <w:rPr>
          <w:rFonts w:ascii="Times New Roman" w:hAnsi="Times New Roman"/>
          <w:noProof/>
          <w:sz w:val="24"/>
          <w:szCs w:val="24"/>
        </w:rPr>
        <w:t>. Според прогнозите т</w:t>
      </w:r>
      <w:r>
        <w:rPr>
          <w:rFonts w:ascii="Times New Roman" w:hAnsi="Times New Roman"/>
          <w:noProof/>
          <w:sz w:val="24"/>
          <w:szCs w:val="24"/>
        </w:rPr>
        <w:t>ази тенденция със сигурност ще продължи, тъй като последствията от изменението на климата ще се задълбочават. Според Световната банка до 2050 г. близо 143 милиона души в Африка на юг от Сахара, Южна Азия и Латинска Америка биха могли да бъдат разселени в р</w:t>
      </w:r>
      <w:r>
        <w:rPr>
          <w:rFonts w:ascii="Times New Roman" w:hAnsi="Times New Roman"/>
          <w:noProof/>
          <w:sz w:val="24"/>
          <w:szCs w:val="24"/>
        </w:rPr>
        <w:t>амките на собствените им държави, ако не бъдат предприети действия в областта на климата</w:t>
      </w:r>
      <w:r>
        <w:rPr>
          <w:rFonts w:ascii="Times New Roman" w:hAnsi="Times New Roman" w:cs="Times New Roman"/>
          <w:noProof/>
          <w:sz w:val="24"/>
          <w:szCs w:val="24"/>
          <w:vertAlign w:val="superscript"/>
        </w:rPr>
        <w:footnoteReference w:id="61"/>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Това подчертава необходимостта Европа да поеме ролята на световен лидер по отношение на мерките в областта на климата и околната среда, по-специално чрез прилагането</w:t>
      </w:r>
      <w:r>
        <w:rPr>
          <w:rFonts w:ascii="Times New Roman" w:hAnsi="Times New Roman"/>
          <w:noProof/>
          <w:sz w:val="24"/>
          <w:szCs w:val="24"/>
        </w:rPr>
        <w:t xml:space="preserve"> на Европейския зелен пакт и активизирането на дипломацията по линия на Зеления пакт във всичките си политики и партньорства.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Цифровата революция и бързото разпространение на интернет вече промениха начина на живот и навиците на хората. Цифровизацията мож</w:t>
      </w:r>
      <w:r>
        <w:rPr>
          <w:rFonts w:ascii="Times New Roman" w:hAnsi="Times New Roman"/>
          <w:noProof/>
          <w:sz w:val="24"/>
          <w:szCs w:val="24"/>
        </w:rPr>
        <w:t>е да даде тласък на производителността и икономическия растеж, но неравномерният достъп до интернет води до цифрово разделение, което се превръща във важно измерение на неравенството. Освен това недостатъчните цифрови умения и значителните различия в равни</w:t>
      </w:r>
      <w:r>
        <w:rPr>
          <w:rFonts w:ascii="Times New Roman" w:hAnsi="Times New Roman"/>
          <w:noProof/>
          <w:sz w:val="24"/>
          <w:szCs w:val="24"/>
        </w:rPr>
        <w:t>щата на уменията между държавите и регионите, както и липсата на достъпност, могат да задълбочат това разделение.</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Настоящата криза превърна в спешна необходимост възможно най-бързото превръщане на този цифров преход в реалност за всички: с наложените в цял</w:t>
      </w:r>
      <w:r>
        <w:rPr>
          <w:rFonts w:ascii="Times New Roman" w:hAnsi="Times New Roman"/>
          <w:noProof/>
          <w:sz w:val="24"/>
          <w:szCs w:val="24"/>
        </w:rPr>
        <w:t>а Европа мерки за социално дистанциране много хора трябваше да работят от дома си или да прибягват до интернет или мобилни приложения, за да общуват със семейството и приятелите си. Достъпът до надежден и бърз интернет и способностите за използване на цифр</w:t>
      </w:r>
      <w:r>
        <w:rPr>
          <w:rFonts w:ascii="Times New Roman" w:hAnsi="Times New Roman"/>
          <w:noProof/>
          <w:sz w:val="24"/>
          <w:szCs w:val="24"/>
        </w:rPr>
        <w:t>ови инструменти станаха още по-важни за предприятията, работниците и самостоятелно заетите лица.</w:t>
      </w:r>
    </w:p>
    <w:p w:rsidR="00534131" w:rsidRDefault="00A12529">
      <w:pPr>
        <w:pStyle w:val="Heading2"/>
        <w:keepNext/>
        <w:rPr>
          <w:noProof/>
        </w:rPr>
      </w:pPr>
      <w:bookmarkStart w:id="66" w:name="_Toc33643888"/>
      <w:bookmarkStart w:id="67" w:name="_Toc33800411"/>
      <w:bookmarkStart w:id="68" w:name="_Toc36563279"/>
      <w:bookmarkStart w:id="69" w:name="_Toc43821388"/>
      <w:bookmarkStart w:id="70" w:name="_Toc32414448"/>
      <w:bookmarkEnd w:id="66"/>
      <w:r>
        <w:rPr>
          <w:noProof/>
        </w:rPr>
        <w:t xml:space="preserve">5. </w:t>
      </w:r>
      <w:r>
        <w:rPr>
          <w:noProof/>
        </w:rPr>
        <w:tab/>
        <w:t>ГЕОПОЛИТИКАТА НА ДЕМОГРАФСКОТО РАЗВИТИЕ: МЯСТОТО НА ЕВРОПА В СВЕТА</w:t>
      </w:r>
      <w:bookmarkEnd w:id="67"/>
      <w:bookmarkEnd w:id="68"/>
      <w:bookmarkEnd w:id="69"/>
    </w:p>
    <w:bookmarkEnd w:id="70"/>
    <w:p w:rsidR="00534131" w:rsidRDefault="00A12529">
      <w:pPr>
        <w:keepLines/>
        <w:jc w:val="both"/>
        <w:rPr>
          <w:rFonts w:ascii="Times New Roman" w:hAnsi="Times New Roman" w:cs="Times New Roman"/>
          <w:noProof/>
          <w:sz w:val="24"/>
          <w:szCs w:val="24"/>
        </w:rPr>
      </w:pPr>
      <w:r>
        <w:rPr>
          <w:rFonts w:ascii="Times New Roman" w:hAnsi="Times New Roman"/>
          <w:noProof/>
          <w:sz w:val="24"/>
          <w:szCs w:val="24"/>
        </w:rPr>
        <w:t>Демографските промени оказват въздействие и върху геополитическите перспективи и позиции на Европа в света. Числеността на населението и размерът на икономиката играят важна роля в световните структури на влияние. Тъй като европейските нации станаха по-мал</w:t>
      </w:r>
      <w:r>
        <w:rPr>
          <w:rFonts w:ascii="Times New Roman" w:hAnsi="Times New Roman"/>
          <w:noProof/>
          <w:sz w:val="24"/>
          <w:szCs w:val="24"/>
        </w:rPr>
        <w:t>ки и не толкова силни икономически в сравнение с други бързо развиващи се икономики, необходимостта Европейският съюз да използва цялата си колективна тежест става още по-належаща. В същото време, както наблюдаваме по време на пандемията, вирусът не познав</w:t>
      </w:r>
      <w:r>
        <w:rPr>
          <w:rFonts w:ascii="Times New Roman" w:hAnsi="Times New Roman"/>
          <w:noProof/>
          <w:sz w:val="24"/>
          <w:szCs w:val="24"/>
        </w:rPr>
        <w:t xml:space="preserve">а граници и създава предизвикателства, общи за много части на света.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Делът на населението на Европа от световното население намалява</w:t>
      </w:r>
      <w:r>
        <w:rPr>
          <w:rFonts w:ascii="Times New Roman" w:hAnsi="Times New Roman"/>
          <w:noProof/>
          <w:sz w:val="24"/>
          <w:szCs w:val="24"/>
        </w:rPr>
        <w:t xml:space="preserve">. През 1960 г. населението на ЕС-27 е представлявало около 12 % от световното население. Днес то е намаляло на около 6 % и </w:t>
      </w:r>
      <w:r>
        <w:rPr>
          <w:rFonts w:ascii="Times New Roman" w:hAnsi="Times New Roman"/>
          <w:noProof/>
          <w:sz w:val="24"/>
          <w:szCs w:val="24"/>
        </w:rPr>
        <w:t>се очаква да спадне под 4 % от световното население до 2070 г. Другата забележима тенденция е увеличаването на дела на Африка от световното население: очаква се той да се увеличи от 9 % на 32 %, докато за дела на населението в Азия се очаква до известна ст</w:t>
      </w:r>
      <w:r>
        <w:rPr>
          <w:rFonts w:ascii="Times New Roman" w:hAnsi="Times New Roman"/>
          <w:noProof/>
          <w:sz w:val="24"/>
          <w:szCs w:val="24"/>
        </w:rPr>
        <w:t>епен да намалее</w:t>
      </w:r>
      <w:r>
        <w:rPr>
          <w:rFonts w:ascii="Times New Roman" w:hAnsi="Times New Roman" w:cs="Times New Roman"/>
          <w:noProof/>
          <w:sz w:val="24"/>
          <w:szCs w:val="24"/>
          <w:vertAlign w:val="superscript"/>
        </w:rPr>
        <w:footnoteReference w:id="62"/>
      </w:r>
      <w:r>
        <w:rPr>
          <w:rFonts w:ascii="Times New Roman" w:hAnsi="Times New Roman"/>
          <w:noProof/>
          <w:sz w:val="24"/>
          <w:szCs w:val="24"/>
        </w:rPr>
        <w:t>.</w:t>
      </w:r>
    </w:p>
    <w:p w:rsidR="00534131" w:rsidRDefault="00A12529">
      <w:pPr>
        <w:keepNext/>
        <w:ind w:firstLine="720"/>
        <w:jc w:val="center"/>
        <w:rPr>
          <w:rFonts w:ascii="Times New Roman" w:hAnsi="Times New Roman" w:cs="Times New Roman"/>
          <w:b/>
          <w:noProof/>
          <w:sz w:val="24"/>
          <w:szCs w:val="24"/>
        </w:rPr>
      </w:pPr>
      <w:r>
        <w:rPr>
          <w:rFonts w:ascii="Times New Roman" w:hAnsi="Times New Roman"/>
          <w:b/>
          <w:bCs/>
          <w:noProof/>
          <w:sz w:val="24"/>
          <w:szCs w:val="24"/>
        </w:rPr>
        <w:t>Световното население по континенти, 1960—2070 г.</w:t>
      </w:r>
      <w:r>
        <w:rPr>
          <w:rFonts w:ascii="Times New Roman" w:hAnsi="Times New Roman"/>
          <w:b/>
          <w:bCs/>
          <w:noProof/>
          <w:sz w:val="24"/>
          <w:szCs w:val="24"/>
        </w:rPr>
        <w:cr/>
      </w:r>
      <w:r>
        <w:rPr>
          <w:noProof/>
          <w:lang w:val="fr-BE" w:eastAsia="fr-BE"/>
        </w:rPr>
        <w:drawing>
          <wp:inline distT="0" distB="0" distL="0" distR="0">
            <wp:extent cx="6192520" cy="39725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520" cy="3972560"/>
                    </a:xfrm>
                    <a:prstGeom prst="rect">
                      <a:avLst/>
                    </a:prstGeom>
                    <a:noFill/>
                    <a:ln>
                      <a:noFill/>
                    </a:ln>
                  </pic:spPr>
                </pic:pic>
              </a:graphicData>
            </a:graphic>
          </wp:inline>
        </w:drawing>
      </w:r>
    </w:p>
    <w:p w:rsidR="00534131" w:rsidRDefault="00A12529">
      <w:pPr>
        <w:jc w:val="both"/>
        <w:rPr>
          <w:rFonts w:ascii="Times New Roman" w:hAnsi="Times New Roman" w:cs="Times New Roman"/>
          <w:i/>
          <w:noProof/>
          <w:sz w:val="24"/>
          <w:szCs w:val="24"/>
        </w:rPr>
      </w:pPr>
      <w:r>
        <w:rPr>
          <w:rFonts w:ascii="Times New Roman" w:hAnsi="Times New Roman"/>
          <w:i/>
          <w:noProof/>
          <w:sz w:val="24"/>
          <w:szCs w:val="24"/>
        </w:rPr>
        <w:t xml:space="preserve">Източник: Организация на обединените нации, Департамент по икономически и социални въпроси, Отдел за населението (2019 г.). </w:t>
      </w:r>
    </w:p>
    <w:p w:rsidR="00534131" w:rsidRDefault="00A12529">
      <w:pPr>
        <w:jc w:val="both"/>
        <w:rPr>
          <w:rFonts w:ascii="Times New Roman" w:hAnsi="Times New Roman" w:cs="Times New Roman"/>
          <w:b/>
          <w:noProof/>
          <w:sz w:val="24"/>
          <w:szCs w:val="24"/>
        </w:rPr>
      </w:pPr>
      <w:r>
        <w:rPr>
          <w:rFonts w:ascii="Times New Roman" w:hAnsi="Times New Roman"/>
          <w:b/>
          <w:noProof/>
          <w:sz w:val="24"/>
          <w:szCs w:val="24"/>
        </w:rPr>
        <w:t>Европа не е единственият континент, чието население застарява,</w:t>
      </w:r>
      <w:r>
        <w:rPr>
          <w:rFonts w:ascii="Times New Roman" w:hAnsi="Times New Roman"/>
          <w:b/>
          <w:noProof/>
          <w:sz w:val="24"/>
          <w:szCs w:val="24"/>
        </w:rPr>
        <w:t xml:space="preserve"> но средностатистически то е най-възрастното. </w:t>
      </w:r>
      <w:r>
        <w:rPr>
          <w:rFonts w:ascii="Times New Roman" w:hAnsi="Times New Roman"/>
          <w:noProof/>
          <w:sz w:val="24"/>
          <w:szCs w:val="24"/>
        </w:rPr>
        <w:t>Ако тенденциите в Европа се сравнят с други части на света, проличава, че и в други континенти протича подобен процес на застаряване, макар и със закъснение спрямо Европа. Проекциите показват, че средната възра</w:t>
      </w:r>
      <w:r>
        <w:rPr>
          <w:rFonts w:ascii="Times New Roman" w:hAnsi="Times New Roman"/>
          <w:noProof/>
          <w:sz w:val="24"/>
          <w:szCs w:val="24"/>
        </w:rPr>
        <w:t xml:space="preserve">ст в Африка също ще се увеличи с течение на времето, но се очаква в периода до 2070 г. тя да остане най-младият континент. </w:t>
      </w:r>
    </w:p>
    <w:p w:rsidR="00534131" w:rsidRDefault="00A12529">
      <w:pPr>
        <w:keepNext/>
        <w:jc w:val="center"/>
        <w:rPr>
          <w:rFonts w:ascii="Times New Roman" w:hAnsi="Times New Roman" w:cs="Times New Roman"/>
          <w:b/>
          <w:noProof/>
          <w:sz w:val="24"/>
          <w:szCs w:val="24"/>
        </w:rPr>
      </w:pPr>
      <w:r>
        <w:rPr>
          <w:rFonts w:ascii="Times New Roman" w:hAnsi="Times New Roman"/>
          <w:b/>
          <w:noProof/>
          <w:sz w:val="24"/>
          <w:szCs w:val="24"/>
        </w:rPr>
        <w:t>Медианна възраст на световното население по континенти, 1960—2070 г.</w:t>
      </w:r>
    </w:p>
    <w:p w:rsidR="00534131" w:rsidRDefault="00A12529">
      <w:pPr>
        <w:jc w:val="center"/>
        <w:rPr>
          <w:rFonts w:ascii="Times New Roman" w:hAnsi="Times New Roman" w:cs="Times New Roman"/>
          <w:noProof/>
          <w:sz w:val="24"/>
          <w:szCs w:val="24"/>
        </w:rPr>
      </w:pPr>
      <w:r>
        <w:rPr>
          <w:noProof/>
          <w:lang w:val="fr-BE" w:eastAsia="fr-BE"/>
        </w:rPr>
        <w:drawing>
          <wp:inline distT="0" distB="0" distL="0" distR="0">
            <wp:extent cx="6192520" cy="402683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2520" cy="4026832"/>
                    </a:xfrm>
                    <a:prstGeom prst="rect">
                      <a:avLst/>
                    </a:prstGeom>
                    <a:noFill/>
                    <a:ln>
                      <a:noFill/>
                    </a:ln>
                  </pic:spPr>
                </pic:pic>
              </a:graphicData>
            </a:graphic>
          </wp:inline>
        </w:drawing>
      </w:r>
    </w:p>
    <w:p w:rsidR="00534131" w:rsidRDefault="00A12529">
      <w:pPr>
        <w:jc w:val="both"/>
        <w:rPr>
          <w:rFonts w:ascii="Times New Roman" w:hAnsi="Times New Roman" w:cs="Times New Roman"/>
          <w:i/>
          <w:noProof/>
          <w:sz w:val="24"/>
          <w:szCs w:val="24"/>
        </w:rPr>
      </w:pPr>
      <w:r>
        <w:rPr>
          <w:rFonts w:ascii="Times New Roman" w:hAnsi="Times New Roman"/>
          <w:i/>
          <w:noProof/>
          <w:sz w:val="24"/>
          <w:szCs w:val="24"/>
        </w:rPr>
        <w:t>Източник: Организация на обединените нации, Департамент по ик</w:t>
      </w:r>
      <w:r>
        <w:rPr>
          <w:rFonts w:ascii="Times New Roman" w:hAnsi="Times New Roman"/>
          <w:i/>
          <w:noProof/>
          <w:sz w:val="24"/>
          <w:szCs w:val="24"/>
        </w:rPr>
        <w:t>ономически и социални въпроси, Отдел за населението (2019 г.).</w:t>
      </w:r>
    </w:p>
    <w:p w:rsidR="00534131" w:rsidRDefault="00A12529">
      <w:pPr>
        <w:jc w:val="both"/>
        <w:rPr>
          <w:rFonts w:ascii="Times New Roman" w:hAnsi="Times New Roman" w:cs="Times New Roman"/>
          <w:iCs/>
          <w:noProof/>
          <w:sz w:val="24"/>
          <w:szCs w:val="24"/>
        </w:rPr>
      </w:pPr>
      <w:r>
        <w:rPr>
          <w:rFonts w:ascii="Times New Roman" w:hAnsi="Times New Roman"/>
          <w:b/>
          <w:noProof/>
          <w:sz w:val="24"/>
          <w:szCs w:val="24"/>
        </w:rPr>
        <w:t>Делът на Европа от световния БВП също намалява</w:t>
      </w:r>
      <w:r>
        <w:rPr>
          <w:rFonts w:ascii="Times New Roman" w:hAnsi="Times New Roman"/>
          <w:noProof/>
          <w:sz w:val="24"/>
          <w:szCs w:val="24"/>
        </w:rPr>
        <w:t xml:space="preserve">. </w:t>
      </w:r>
      <w:r>
        <w:rPr>
          <w:rFonts w:ascii="Times New Roman" w:hAnsi="Times New Roman"/>
          <w:iCs/>
          <w:noProof/>
          <w:sz w:val="24"/>
          <w:szCs w:val="24"/>
        </w:rPr>
        <w:t>През 2004 г. Европа е формирала 18,3 % от световния БВП, но през 2018 г. делът ѝ е намалял до 14,3 %</w:t>
      </w:r>
      <w:r>
        <w:rPr>
          <w:rStyle w:val="FootnoteReference"/>
          <w:rFonts w:ascii="Times New Roman" w:hAnsi="Times New Roman" w:cs="Times New Roman"/>
          <w:iCs/>
          <w:noProof/>
          <w:sz w:val="24"/>
          <w:szCs w:val="24"/>
        </w:rPr>
        <w:footnoteReference w:id="63"/>
      </w:r>
      <w:r>
        <w:rPr>
          <w:rFonts w:ascii="Times New Roman" w:hAnsi="Times New Roman"/>
          <w:iCs/>
          <w:noProof/>
          <w:sz w:val="24"/>
          <w:szCs w:val="24"/>
        </w:rPr>
        <w:t xml:space="preserve">. Тъй като числеността на населението в </w:t>
      </w:r>
      <w:r>
        <w:rPr>
          <w:rFonts w:ascii="Times New Roman" w:hAnsi="Times New Roman"/>
          <w:iCs/>
          <w:noProof/>
          <w:sz w:val="24"/>
          <w:szCs w:val="24"/>
        </w:rPr>
        <w:t>трудоспособна възраст намалява, съществува риск тази тенденция да продължи или дори да се ускори. Като участници в икономиката държавите членки ще станат по-малки, но ЕС като цяло ще продължи да бъде основен икономически, политически и дипломатически факто</w:t>
      </w:r>
      <w:r>
        <w:rPr>
          <w:rFonts w:ascii="Times New Roman" w:hAnsi="Times New Roman"/>
          <w:iCs/>
          <w:noProof/>
          <w:sz w:val="24"/>
          <w:szCs w:val="24"/>
        </w:rPr>
        <w:t>р.</w:t>
      </w:r>
      <w:r>
        <w:rPr>
          <w:noProof/>
        </w:rPr>
        <w:t xml:space="preserve"> </w:t>
      </w:r>
    </w:p>
    <w:p w:rsidR="00534131" w:rsidRDefault="00A12529">
      <w:pPr>
        <w:jc w:val="both"/>
        <w:rPr>
          <w:rFonts w:ascii="Times New Roman" w:hAnsi="Times New Roman" w:cs="Times New Roman"/>
          <w:iCs/>
          <w:noProof/>
          <w:sz w:val="24"/>
          <w:szCs w:val="24"/>
        </w:rPr>
      </w:pPr>
      <w:r>
        <w:rPr>
          <w:rFonts w:ascii="Times New Roman" w:hAnsi="Times New Roman"/>
          <w:iCs/>
          <w:noProof/>
          <w:sz w:val="24"/>
          <w:szCs w:val="24"/>
        </w:rPr>
        <w:t>Европа ще трябва да стане по-силна, по-обединена и да действа по-стратегически по отношение на мисленето, действията и позициите си. Ще трябва да укрепим съществуващите партньорства и да създадем нови, по-специално с нашите най-близки партньори и съсед</w:t>
      </w:r>
      <w:r>
        <w:rPr>
          <w:rFonts w:ascii="Times New Roman" w:hAnsi="Times New Roman"/>
          <w:iCs/>
          <w:noProof/>
          <w:sz w:val="24"/>
          <w:szCs w:val="24"/>
        </w:rPr>
        <w:t xml:space="preserve">и. Новата </w:t>
      </w:r>
      <w:r>
        <w:rPr>
          <w:rFonts w:ascii="Times New Roman" w:hAnsi="Times New Roman"/>
          <w:b/>
          <w:iCs/>
          <w:noProof/>
          <w:sz w:val="24"/>
          <w:szCs w:val="24"/>
        </w:rPr>
        <w:t>цялостна стратегия с Африка</w:t>
      </w:r>
      <w:r>
        <w:rPr>
          <w:rStyle w:val="FootnoteReference"/>
          <w:rFonts w:ascii="Times New Roman" w:hAnsi="Times New Roman" w:cs="Times New Roman"/>
          <w:b/>
          <w:iCs/>
          <w:noProof/>
          <w:sz w:val="24"/>
          <w:szCs w:val="24"/>
        </w:rPr>
        <w:footnoteReference w:id="64"/>
      </w:r>
      <w:r>
        <w:rPr>
          <w:rFonts w:ascii="Times New Roman" w:hAnsi="Times New Roman"/>
          <w:iCs/>
          <w:noProof/>
          <w:sz w:val="24"/>
          <w:szCs w:val="24"/>
        </w:rPr>
        <w:t xml:space="preserve"> е особено важна предвид допълнителните демографски предизвикателства, пред които ще бъдат изправени нашите континенти. От още по-голямо значение ще бъде отстояването на основания на правила световен ред и на неговите </w:t>
      </w:r>
      <w:r>
        <w:rPr>
          <w:rFonts w:ascii="Times New Roman" w:hAnsi="Times New Roman"/>
          <w:iCs/>
          <w:noProof/>
          <w:sz w:val="24"/>
          <w:szCs w:val="24"/>
        </w:rPr>
        <w:t xml:space="preserve">институции, например Организацията на обединените нации или Световната търговска организация, и поемането на по-активна роля в международните структури. </w:t>
      </w:r>
    </w:p>
    <w:p w:rsidR="00534131" w:rsidRDefault="00A12529">
      <w:pPr>
        <w:pStyle w:val="Heading2"/>
        <w:rPr>
          <w:noProof/>
        </w:rPr>
      </w:pPr>
      <w:bookmarkStart w:id="71" w:name="_Toc32414449"/>
      <w:bookmarkStart w:id="72" w:name="_Toc32444050"/>
      <w:bookmarkStart w:id="73" w:name="_Toc32444159"/>
      <w:bookmarkStart w:id="74" w:name="_Toc33800413"/>
      <w:bookmarkStart w:id="75" w:name="_Toc36563280"/>
      <w:r>
        <w:rPr>
          <w:noProof/>
        </w:rPr>
        <w:br w:type="page"/>
      </w:r>
    </w:p>
    <w:p w:rsidR="00534131" w:rsidRDefault="00A12529">
      <w:pPr>
        <w:pStyle w:val="Heading2"/>
        <w:rPr>
          <w:noProof/>
        </w:rPr>
      </w:pPr>
      <w:bookmarkStart w:id="76" w:name="_Toc43821389"/>
      <w:r>
        <w:rPr>
          <w:noProof/>
        </w:rPr>
        <w:t>ЗАКЛЮЧЕНИЯ И ПЕРСПЕКТИВИ</w:t>
      </w:r>
      <w:bookmarkEnd w:id="71"/>
      <w:bookmarkEnd w:id="72"/>
      <w:bookmarkEnd w:id="73"/>
      <w:bookmarkEnd w:id="74"/>
      <w:bookmarkEnd w:id="75"/>
      <w:bookmarkEnd w:id="76"/>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В този период на извънредни трудности и несигурност Европейският съюз, него</w:t>
      </w:r>
      <w:r>
        <w:rPr>
          <w:rFonts w:ascii="Times New Roman" w:hAnsi="Times New Roman"/>
          <w:noProof/>
          <w:sz w:val="24"/>
          <w:szCs w:val="24"/>
        </w:rPr>
        <w:t>вите държави членки и техните региони имат споделен интерес да дадат отговор на последиците от демографските промени за благото на всички европейци.</w:t>
      </w:r>
      <w:r>
        <w:rPr>
          <w:rFonts w:ascii="Times New Roman" w:hAnsi="Times New Roman"/>
          <w:b/>
          <w:noProof/>
          <w:sz w:val="24"/>
          <w:szCs w:val="24"/>
        </w:rPr>
        <w:t xml:space="preserve"> </w:t>
      </w:r>
      <w:r>
        <w:rPr>
          <w:rFonts w:ascii="Times New Roman" w:hAnsi="Times New Roman"/>
          <w:noProof/>
          <w:sz w:val="24"/>
          <w:szCs w:val="24"/>
        </w:rPr>
        <w:t>Това е част от възстановяването на Европа и изграждането на по-жизнеспособен, устойчив и справедлив Съюз. П</w:t>
      </w:r>
      <w:r>
        <w:rPr>
          <w:rFonts w:ascii="Times New Roman" w:hAnsi="Times New Roman"/>
          <w:noProof/>
          <w:sz w:val="24"/>
          <w:szCs w:val="24"/>
        </w:rPr>
        <w:t xml:space="preserve">ътят напред зависи от редица стратегически въпроси, включително как да бъдат стимулирани иновациите и производителността; как повече хора да бъдат привлечени към пазара на труда; как да бъдат модернизирани системите за здравеопазване, социалната закрила и </w:t>
      </w:r>
      <w:r>
        <w:rPr>
          <w:rFonts w:ascii="Times New Roman" w:hAnsi="Times New Roman"/>
          <w:noProof/>
          <w:sz w:val="24"/>
          <w:szCs w:val="24"/>
        </w:rPr>
        <w:t>социалните услуги и как да бъдат преодолени териториалните неравенства.</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С оглед на това и като използва за отправна точка констатациите в настоящия доклад, Комисията ще представи </w:t>
      </w:r>
      <w:r>
        <w:rPr>
          <w:rFonts w:ascii="Times New Roman" w:hAnsi="Times New Roman"/>
          <w:b/>
          <w:noProof/>
          <w:sz w:val="24"/>
          <w:szCs w:val="24"/>
        </w:rPr>
        <w:t>зелена книга по въпросите на застаряването</w:t>
      </w:r>
      <w:r>
        <w:rPr>
          <w:rFonts w:ascii="Times New Roman" w:hAnsi="Times New Roman"/>
          <w:noProof/>
          <w:sz w:val="24"/>
          <w:szCs w:val="24"/>
        </w:rPr>
        <w:t xml:space="preserve"> и </w:t>
      </w:r>
      <w:r>
        <w:rPr>
          <w:rFonts w:ascii="Times New Roman" w:hAnsi="Times New Roman"/>
          <w:b/>
          <w:noProof/>
          <w:sz w:val="24"/>
          <w:szCs w:val="24"/>
        </w:rPr>
        <w:t>дългосрочна визия за селските ра</w:t>
      </w:r>
      <w:r>
        <w:rPr>
          <w:rFonts w:ascii="Times New Roman" w:hAnsi="Times New Roman"/>
          <w:b/>
          <w:noProof/>
          <w:sz w:val="24"/>
          <w:szCs w:val="24"/>
        </w:rPr>
        <w:t>йони</w:t>
      </w:r>
      <w:r>
        <w:rPr>
          <w:rFonts w:ascii="Times New Roman" w:hAnsi="Times New Roman"/>
          <w:noProof/>
          <w:sz w:val="24"/>
          <w:szCs w:val="24"/>
        </w:rPr>
        <w:t xml:space="preserve">. Комисията също така ще разгледа внимателно други въпроси, които са очертани в настоящия доклад, включително например самотата, социалната изолация, психичното здраве, икономическата устойчивост и дългосрочните здравни грижи.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Наред с това в доклада с</w:t>
      </w:r>
      <w:r>
        <w:rPr>
          <w:rFonts w:ascii="Times New Roman" w:hAnsi="Times New Roman"/>
          <w:noProof/>
          <w:sz w:val="24"/>
          <w:szCs w:val="24"/>
        </w:rPr>
        <w:t xml:space="preserve">е разкрива необходимостта от </w:t>
      </w:r>
      <w:r>
        <w:rPr>
          <w:rFonts w:ascii="Times New Roman" w:hAnsi="Times New Roman"/>
          <w:b/>
          <w:bCs/>
          <w:noProof/>
          <w:sz w:val="24"/>
          <w:szCs w:val="24"/>
        </w:rPr>
        <w:t>включване на демографски съображения във всички политики на ЕС</w:t>
      </w:r>
      <w:r>
        <w:rPr>
          <w:rFonts w:ascii="Times New Roman" w:hAnsi="Times New Roman"/>
          <w:noProof/>
          <w:sz w:val="24"/>
          <w:szCs w:val="24"/>
        </w:rPr>
        <w:t xml:space="preserve">. Комисията е готова да изпълни изцяло своята роля, като използва всички инструменти, с които разполага, по-специално чрез следващия дългосрочен бюджет на ЕС и своя </w:t>
      </w:r>
      <w:r>
        <w:rPr>
          <w:rFonts w:ascii="Times New Roman" w:hAnsi="Times New Roman"/>
          <w:noProof/>
          <w:sz w:val="24"/>
          <w:szCs w:val="24"/>
        </w:rPr>
        <w:t>инструмент за възстановяване NextGenerationEU. С нейните усилия за възстановяване ще бъдат подкрепени социалното сближаване, интеграцията и приобщаването, развитието на селските райони, както и образованието и обучението. Тя ще подкрепя структурните реформ</w:t>
      </w:r>
      <w:r>
        <w:rPr>
          <w:rFonts w:ascii="Times New Roman" w:hAnsi="Times New Roman"/>
          <w:noProof/>
          <w:sz w:val="24"/>
          <w:szCs w:val="24"/>
        </w:rPr>
        <w:t>и, когато такива са необходими, и ще работи за постигането на устойчива конкурентоспособност, като се възползва в максимална степен от европейския семестър.</w:t>
      </w:r>
      <w:r>
        <w:rPr>
          <w:rFonts w:ascii="Times New Roman" w:hAnsi="Times New Roman"/>
          <w:i/>
          <w:iCs/>
          <w:noProof/>
          <w:sz w:val="24"/>
          <w:szCs w:val="24"/>
        </w:rPr>
        <w:t xml:space="preserve"> </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 xml:space="preserve">В същото време е ясно, че няма универсален подход. </w:t>
      </w:r>
      <w:r>
        <w:rPr>
          <w:rFonts w:ascii="Times New Roman" w:hAnsi="Times New Roman"/>
          <w:b/>
          <w:noProof/>
          <w:sz w:val="24"/>
          <w:szCs w:val="24"/>
        </w:rPr>
        <w:t>При изготвянето на политиките е необходимо прец</w:t>
      </w:r>
      <w:r>
        <w:rPr>
          <w:rFonts w:ascii="Times New Roman" w:hAnsi="Times New Roman"/>
          <w:b/>
          <w:noProof/>
          <w:sz w:val="24"/>
          <w:szCs w:val="24"/>
        </w:rPr>
        <w:t>изно съобразяване със ситуацията на място и намаляване на неравенствата между регионите</w:t>
      </w:r>
      <w:r>
        <w:rPr>
          <w:rFonts w:ascii="Times New Roman" w:hAnsi="Times New Roman"/>
          <w:noProof/>
          <w:sz w:val="24"/>
          <w:szCs w:val="24"/>
        </w:rPr>
        <w:t>.</w:t>
      </w:r>
      <w:r>
        <w:rPr>
          <w:rFonts w:ascii="Times New Roman" w:hAnsi="Times New Roman"/>
          <w:iCs/>
          <w:noProof/>
          <w:sz w:val="24"/>
          <w:szCs w:val="24"/>
        </w:rPr>
        <w:t xml:space="preserve"> </w:t>
      </w:r>
      <w:r>
        <w:rPr>
          <w:rFonts w:ascii="Times New Roman" w:hAnsi="Times New Roman"/>
          <w:noProof/>
          <w:sz w:val="24"/>
          <w:szCs w:val="24"/>
        </w:rPr>
        <w:t>В този дух Комисията ще продължи да насърчава сближаването във възходяща посока, да гарантира справедлив преход, да отстоява социалната справедливост, равните възможно</w:t>
      </w:r>
      <w:r>
        <w:rPr>
          <w:rFonts w:ascii="Times New Roman" w:hAnsi="Times New Roman"/>
          <w:noProof/>
          <w:sz w:val="24"/>
          <w:szCs w:val="24"/>
        </w:rPr>
        <w:t>сти и недискриминацията, по-специално чрез Европейския стълб на социалните права и Стратегията на ЕС за равенство между половете.</w:t>
      </w:r>
    </w:p>
    <w:p w:rsidR="00534131" w:rsidRDefault="00A12529">
      <w:pPr>
        <w:jc w:val="both"/>
        <w:rPr>
          <w:rFonts w:ascii="Times New Roman" w:hAnsi="Times New Roman" w:cs="Times New Roman"/>
          <w:noProof/>
          <w:sz w:val="24"/>
          <w:szCs w:val="24"/>
        </w:rPr>
      </w:pPr>
      <w:r>
        <w:rPr>
          <w:rFonts w:ascii="Times New Roman" w:hAnsi="Times New Roman"/>
          <w:b/>
          <w:bCs/>
          <w:noProof/>
          <w:sz w:val="24"/>
          <w:szCs w:val="24"/>
        </w:rPr>
        <w:t>Двойното предизвикателство, свързано с демокрацията и демографията, трябва да бъде посрещнато решително</w:t>
      </w:r>
      <w:r>
        <w:rPr>
          <w:rFonts w:ascii="Times New Roman" w:hAnsi="Times New Roman"/>
          <w:noProof/>
          <w:sz w:val="24"/>
          <w:szCs w:val="24"/>
        </w:rPr>
        <w:t>. Демографските промени</w:t>
      </w:r>
      <w:r>
        <w:rPr>
          <w:rFonts w:ascii="Times New Roman" w:hAnsi="Times New Roman"/>
          <w:noProof/>
          <w:sz w:val="24"/>
          <w:szCs w:val="24"/>
        </w:rPr>
        <w:t xml:space="preserve"> създават предизвикателства и възможности за нашата демокрация, някои от които бяха изведени на преден план от кризата. Ако тези промени бъдат управлявани добре, това ще спомогнат да се гарантира, че нашите системи на управление и участие са динамични, уст</w:t>
      </w:r>
      <w:r>
        <w:rPr>
          <w:rFonts w:ascii="Times New Roman" w:hAnsi="Times New Roman"/>
          <w:noProof/>
          <w:sz w:val="24"/>
          <w:szCs w:val="24"/>
        </w:rPr>
        <w:t>ойчиви, приобщаващи и представителни за многообразието на обществото. Необходимо е да се справим с първопричините за проблемите и да не допуснем „география на недоволството“</w:t>
      </w:r>
      <w:r>
        <w:rPr>
          <w:rFonts w:ascii="Times New Roman" w:hAnsi="Times New Roman" w:cs="Times New Roman"/>
          <w:noProof/>
          <w:sz w:val="24"/>
          <w:szCs w:val="24"/>
          <w:vertAlign w:val="superscript"/>
        </w:rPr>
        <w:footnoteReference w:id="65"/>
      </w:r>
      <w:r>
        <w:rPr>
          <w:rFonts w:ascii="Times New Roman" w:hAnsi="Times New Roman"/>
          <w:noProof/>
          <w:sz w:val="24"/>
          <w:szCs w:val="24"/>
        </w:rPr>
        <w:t>. Конференцията за бъдещето на Европа ще представлява ключова платформа за изслушв</w:t>
      </w:r>
      <w:r>
        <w:rPr>
          <w:rFonts w:ascii="Times New Roman" w:hAnsi="Times New Roman"/>
          <w:noProof/>
          <w:sz w:val="24"/>
          <w:szCs w:val="24"/>
        </w:rPr>
        <w:t>ане, учене и намиране на решения.</w:t>
      </w:r>
    </w:p>
    <w:p w:rsidR="00534131" w:rsidRDefault="00A12529">
      <w:pPr>
        <w:jc w:val="both"/>
        <w:rPr>
          <w:rFonts w:ascii="Times New Roman" w:hAnsi="Times New Roman" w:cs="Times New Roman"/>
          <w:noProof/>
          <w:sz w:val="24"/>
          <w:szCs w:val="24"/>
        </w:rPr>
      </w:pPr>
      <w:r>
        <w:rPr>
          <w:rFonts w:ascii="Times New Roman" w:hAnsi="Times New Roman"/>
          <w:noProof/>
          <w:sz w:val="24"/>
          <w:szCs w:val="24"/>
        </w:rPr>
        <w:t>Макар че е твърде рано да се правят обосновани изводи за демографското развитие от кризата с COVID-19, специалният уебсайт, който беше създаден успоредно с настоящия доклад, ще допринесе за анализа на широкомащабни съпоста</w:t>
      </w:r>
      <w:r>
        <w:rPr>
          <w:rFonts w:ascii="Times New Roman" w:hAnsi="Times New Roman"/>
          <w:noProof/>
          <w:sz w:val="24"/>
          <w:szCs w:val="24"/>
        </w:rPr>
        <w:t xml:space="preserve">вими статистически данни в целия Съюз, след като започне да функционира, така че те да могат да формират надеждна основа за размисъл и решения, свързани с политиките. </w:t>
      </w:r>
    </w:p>
    <w:p w:rsidR="00534131" w:rsidRDefault="00A12529">
      <w:pPr>
        <w:jc w:val="both"/>
        <w:rPr>
          <w:rFonts w:ascii="Times New Roman" w:hAnsi="Times New Roman" w:cs="Times New Roman"/>
          <w:noProof/>
          <w:sz w:val="24"/>
          <w:szCs w:val="24"/>
        </w:rPr>
      </w:pPr>
      <w:r>
        <w:rPr>
          <w:rFonts w:ascii="Times New Roman" w:hAnsi="Times New Roman"/>
          <w:b/>
          <w:noProof/>
          <w:sz w:val="24"/>
          <w:szCs w:val="24"/>
        </w:rPr>
        <w:t>Въз основа на настоящия доклад Комисията ще започне диалог със съответните заинтересован</w:t>
      </w:r>
      <w:r>
        <w:rPr>
          <w:rFonts w:ascii="Times New Roman" w:hAnsi="Times New Roman"/>
          <w:b/>
          <w:noProof/>
          <w:sz w:val="24"/>
          <w:szCs w:val="24"/>
        </w:rPr>
        <w:t>и страни</w:t>
      </w:r>
      <w:r>
        <w:rPr>
          <w:rFonts w:ascii="Times New Roman" w:hAnsi="Times New Roman"/>
          <w:noProof/>
          <w:sz w:val="24"/>
          <w:szCs w:val="24"/>
        </w:rPr>
        <w:t xml:space="preserve">, по-специално на регионално равнище, и ще проведе обсъждания с държавите членки, институциите и органите на ЕС, по-специално Европейския икономически и социален комитет и Комитета на регионите. </w:t>
      </w:r>
    </w:p>
    <w:sectPr w:rsidR="00534131">
      <w:headerReference w:type="even" r:id="rId34"/>
      <w:headerReference w:type="default" r:id="rId35"/>
      <w:footerReference w:type="even" r:id="rId36"/>
      <w:footerReference w:type="default" r:id="rId37"/>
      <w:headerReference w:type="first" r:id="rId38"/>
      <w:footerReference w:type="first" r:id="rId39"/>
      <w:pgSz w:w="11906" w:h="16838"/>
      <w:pgMar w:top="1134" w:right="1077" w:bottom="1134" w:left="1077" w:header="601" w:footer="1077"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089C2" w16cex:dateUtc="2020-06-02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A02FE5" w16cid:durableId="227FB791"/>
  <w16cid:commentId w16cid:paraId="411123E0" w16cid:durableId="227FB792"/>
  <w16cid:commentId w16cid:paraId="257A2B2C" w16cid:durableId="227FB793"/>
  <w16cid:commentId w16cid:paraId="57898443" w16cid:durableId="227FB794"/>
  <w16cid:commentId w16cid:paraId="5D2CCED8" w16cid:durableId="227FB795"/>
  <w16cid:commentId w16cid:paraId="620D67EF" w16cid:durableId="227FB796"/>
  <w16cid:commentId w16cid:paraId="42EDF6F3" w16cid:durableId="227FB797"/>
  <w16cid:commentId w16cid:paraId="6874AD6D" w16cid:durableId="227FB798"/>
  <w16cid:commentId w16cid:paraId="4F575F7B" w16cid:durableId="227FB799"/>
  <w16cid:commentId w16cid:paraId="1C90C26D" w16cid:durableId="227FB79A"/>
  <w16cid:commentId w16cid:paraId="5CA543DD" w16cid:durableId="227FB79B"/>
  <w16cid:commentId w16cid:paraId="6BBB7BB4" w16cid:durableId="227FB79C"/>
  <w16cid:commentId w16cid:paraId="0ED66ACB" w16cid:durableId="227FB79D"/>
  <w16cid:commentId w16cid:paraId="484979A1" w16cid:durableId="227FB79E"/>
  <w16cid:commentId w16cid:paraId="7BC42ADD" w16cid:durableId="227FB79F"/>
  <w16cid:commentId w16cid:paraId="65406D54" w16cid:durableId="227FB7A0"/>
  <w16cid:commentId w16cid:paraId="51CC4654" w16cid:durableId="228089C2"/>
  <w16cid:commentId w16cid:paraId="1F732F68" w16cid:durableId="227FB7A1"/>
  <w16cid:commentId w16cid:paraId="01EF31A1" w16cid:durableId="227FB7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131" w:rsidRDefault="00A12529">
      <w:pPr>
        <w:spacing w:after="0" w:line="240" w:lineRule="auto"/>
      </w:pPr>
      <w:r>
        <w:separator/>
      </w:r>
    </w:p>
  </w:endnote>
  <w:endnote w:type="continuationSeparator" w:id="0">
    <w:p w:rsidR="00534131" w:rsidRDefault="00A12529">
      <w:pPr>
        <w:spacing w:after="0" w:line="240" w:lineRule="auto"/>
      </w:pPr>
      <w:r>
        <w:continuationSeparator/>
      </w:r>
    </w:p>
  </w:endnote>
  <w:endnote w:type="continuationNotice" w:id="1">
    <w:p w:rsidR="00534131" w:rsidRDefault="00534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pitch w:val="variable"/>
    <w:sig w:usb0="00000000"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A12529">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A12529">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A12529">
    <w:pPr>
      <w:pStyle w:val="FooterLine"/>
      <w:jc w:val="center"/>
      <w:rPr>
        <w:sz w:val="20"/>
      </w:rPr>
    </w:pPr>
    <w:r>
      <w:rPr>
        <w:sz w:val="20"/>
      </w:rPr>
      <w:fldChar w:fldCharType="begin"/>
    </w:r>
    <w:r>
      <w:rPr>
        <w:sz w:val="20"/>
      </w:rPr>
      <w:instrText xml:space="preserve"> PAGE   \* MERGEFORMAT </w:instrText>
    </w:r>
    <w:r>
      <w:rPr>
        <w:sz w:val="20"/>
      </w:rPr>
      <w:fldChar w:fldCharType="separate"/>
    </w:r>
    <w:r>
      <w:rPr>
        <w:noProof/>
        <w:sz w:val="20"/>
      </w:rPr>
      <w:t>3</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17491"/>
      <w:docPartObj>
        <w:docPartGallery w:val="Page Numbers (Bottom of Page)"/>
        <w:docPartUnique/>
      </w:docPartObj>
    </w:sdtPr>
    <w:sdtEndPr>
      <w:rPr>
        <w:noProof/>
        <w:sz w:val="20"/>
        <w:szCs w:val="20"/>
      </w:rPr>
    </w:sdtEndPr>
    <w:sdtContent>
      <w:p w:rsidR="00534131" w:rsidRDefault="00A12529">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w:t>
        </w:r>
        <w:r>
          <w:rPr>
            <w:sz w:val="20"/>
            <w:szCs w:val="20"/>
          </w:rPr>
          <w:fldChar w:fldCharType="end"/>
        </w:r>
      </w:p>
    </w:sdtContent>
  </w:sdt>
  <w:p w:rsidR="00534131" w:rsidRDefault="0053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131" w:rsidRDefault="00A12529">
      <w:pPr>
        <w:spacing w:after="0" w:line="240" w:lineRule="auto"/>
      </w:pPr>
      <w:r>
        <w:separator/>
      </w:r>
    </w:p>
  </w:footnote>
  <w:footnote w:type="continuationSeparator" w:id="0">
    <w:p w:rsidR="00534131" w:rsidRDefault="00A12529">
      <w:pPr>
        <w:spacing w:after="0" w:line="240" w:lineRule="auto"/>
      </w:pPr>
      <w:r>
        <w:continuationSeparator/>
      </w:r>
    </w:p>
  </w:footnote>
  <w:footnote w:type="continuationNotice" w:id="1">
    <w:p w:rsidR="00534131" w:rsidRDefault="00534131">
      <w:pPr>
        <w:spacing w:after="0" w:line="240" w:lineRule="auto"/>
      </w:pPr>
    </w:p>
  </w:footnote>
  <w:footnote w:id="2">
    <w:p w:rsidR="00534131" w:rsidRDefault="00A12529">
      <w:pPr>
        <w:pStyle w:val="FootnoteText"/>
      </w:pPr>
      <w:r>
        <w:rPr>
          <w:rStyle w:val="FootnoteReference"/>
        </w:rPr>
        <w:footnoteRef/>
      </w:r>
      <w:r>
        <w:t xml:space="preserve"> COM(2020) 456 final: Часът на Европа: възстановяване и подготовка за следващото поколение</w:t>
      </w:r>
    </w:p>
  </w:footnote>
  <w:footnote w:id="3">
    <w:p w:rsidR="00534131" w:rsidRDefault="00A12529">
      <w:pPr>
        <w:pStyle w:val="FootnoteText"/>
      </w:pPr>
      <w:r>
        <w:rPr>
          <w:rStyle w:val="FootnoteReference"/>
        </w:rPr>
        <w:footnoteRef/>
      </w:r>
      <w:r>
        <w:t xml:space="preserve"> -</w:t>
      </w:r>
      <w:r>
        <w:tab/>
        <w:t>Работният документ на службите на Комисията (SWD(2020) 109 final) допълва доклада с още данни, карти и таблици.</w:t>
      </w:r>
    </w:p>
  </w:footnote>
  <w:footnote w:id="4">
    <w:p w:rsidR="00534131" w:rsidRDefault="00A12529">
      <w:pPr>
        <w:pStyle w:val="FootnoteText"/>
      </w:pPr>
      <w:r>
        <w:rPr>
          <w:rStyle w:val="FootnoteReference"/>
        </w:rPr>
        <w:footnoteRef/>
      </w:r>
      <w:r>
        <w:t xml:space="preserve"> В настоящия доклад понятията „Европа“ и „ЕС“ означават ЕС-27, освен ако не е посочено друго.</w:t>
      </w:r>
    </w:p>
  </w:footnote>
  <w:footnote w:id="5">
    <w:p w:rsidR="00534131" w:rsidRDefault="00A12529">
      <w:pPr>
        <w:pStyle w:val="FootnoteText"/>
      </w:pPr>
      <w:r>
        <w:rPr>
          <w:rStyle w:val="FootnoteReference"/>
        </w:rPr>
        <w:footnoteRef/>
      </w:r>
      <w:r>
        <w:t xml:space="preserve"> Статистическите данни на Евростат, използвани в настоящия доклад, се основават на цифри, извлечени от базата данни на Евростат през май 2020 г.</w:t>
      </w:r>
    </w:p>
  </w:footnote>
  <w:footnote w:id="6">
    <w:p w:rsidR="00534131" w:rsidRDefault="00A12529">
      <w:pPr>
        <w:pStyle w:val="FootnoteText"/>
      </w:pPr>
      <w:r>
        <w:rPr>
          <w:rStyle w:val="FootnoteReference"/>
        </w:rPr>
        <w:footnoteRef/>
      </w:r>
      <w:r>
        <w:t xml:space="preserve"> За повече информация вж. страницата на Евростат „Statistics Explained“ относно статистическите данни за коефициента на смъртност и средната продължителност на живота: </w:t>
      </w:r>
    </w:p>
    <w:p w:rsidR="00534131" w:rsidRDefault="00A12529">
      <w:pPr>
        <w:pStyle w:val="FootnoteText"/>
      </w:pPr>
      <w:hyperlink r:id="rId1" w:history="1">
        <w:r>
          <w:rPr>
            <w:rStyle w:val="Hyperlink"/>
          </w:rPr>
          <w:t>https://ec.europa.eu/eurostat/statistics-explained/index.php?title=Mortality_and_life_expectancy_statistics</w:t>
        </w:r>
      </w:hyperlink>
      <w:r>
        <w:t xml:space="preserve"> </w:t>
      </w:r>
    </w:p>
  </w:footnote>
  <w:footnote w:id="7">
    <w:p w:rsidR="00534131" w:rsidRDefault="00A12529">
      <w:pPr>
        <w:pStyle w:val="FootnoteText"/>
      </w:pPr>
      <w:r>
        <w:rPr>
          <w:rStyle w:val="FootnoteReference"/>
        </w:rPr>
        <w:footnoteRef/>
      </w:r>
      <w:r>
        <w:t xml:space="preserve"> Проекциите на населението са хипотетични сценарии от типа „what-if“, базирани на данни от наблюдения, които </w:t>
      </w:r>
      <w:r>
        <w:t xml:space="preserve">помагат за разбирането на динамиката на населението. Важно е да се отбележи, че проекциите не трябва да се разглеждат като прогнози. За повече информация вж. проекциите на населението на Евростат: </w:t>
      </w:r>
      <w:hyperlink r:id="rId2" w:history="1">
        <w:r>
          <w:rPr>
            <w:rStyle w:val="Hyperlink"/>
          </w:rPr>
          <w:t>https://ec.europa.eu/eurostat/web/population-demography-migration-projections/population-projections-data</w:t>
        </w:r>
      </w:hyperlink>
      <w:r>
        <w:t xml:space="preserve"> </w:t>
      </w:r>
    </w:p>
  </w:footnote>
  <w:footnote w:id="8">
    <w:p w:rsidR="00534131" w:rsidRDefault="00A12529">
      <w:pPr>
        <w:pStyle w:val="FootnoteText"/>
      </w:pPr>
      <w:r>
        <w:rPr>
          <w:rStyle w:val="FootnoteReference"/>
        </w:rPr>
        <w:footnoteRef/>
      </w:r>
      <w:r>
        <w:t xml:space="preserve"> За допълнителна информация относно концепцията и данните вж.: </w:t>
      </w:r>
      <w:hyperlink r:id="rId3" w:history="1">
        <w:r>
          <w:rPr>
            <w:color w:val="0000FF"/>
            <w:u w:val="single"/>
          </w:rPr>
          <w:t>https://ec.europa.eu/eurostat/statistics-explained/pdfscache/1101.pdf</w:t>
        </w:r>
      </w:hyperlink>
    </w:p>
  </w:footnote>
  <w:footnote w:id="9">
    <w:p w:rsidR="00534131" w:rsidRDefault="00A12529">
      <w:pPr>
        <w:pStyle w:val="FootnoteText"/>
      </w:pPr>
      <w:r>
        <w:rPr>
          <w:rStyle w:val="FootnoteReference"/>
        </w:rPr>
        <w:footnoteRef/>
      </w:r>
      <w:r>
        <w:t xml:space="preserve"> За повече информация вж. Състояние на здравеопазването в ЕС. Здравето накратко: Европа, 2018 г., ОИСР/ЕС (2018 г.) — </w:t>
      </w:r>
      <w:hyperlink r:id="rId4" w:history="1">
        <w:r>
          <w:rPr>
            <w:rStyle w:val="Hyperlink"/>
          </w:rPr>
          <w:t>https://ec.europa.eu/health/state/glance_bg</w:t>
        </w:r>
      </w:hyperlink>
      <w:r>
        <w:t xml:space="preserve"> </w:t>
      </w:r>
    </w:p>
  </w:footnote>
  <w:footnote w:id="10">
    <w:p w:rsidR="00534131" w:rsidRDefault="00A12529">
      <w:pPr>
        <w:pStyle w:val="FootnoteText"/>
      </w:pPr>
      <w:r>
        <w:rPr>
          <w:rStyle w:val="FootnoteReference"/>
        </w:rPr>
        <w:footnoteRef/>
      </w:r>
      <w:r>
        <w:t xml:space="preserve"> През 2018 г. 49 % от лицата на 65 или повече години се предполага, че имат увреждане или дългогодишно ограничение на възможностите за действие. (Източни</w:t>
      </w:r>
      <w:r>
        <w:t>к: онлайн таблица на Евростат hlth_silc_06)</w:t>
      </w:r>
    </w:p>
  </w:footnote>
  <w:footnote w:id="11">
    <w:p w:rsidR="00534131" w:rsidRDefault="00A12529">
      <w:pPr>
        <w:pStyle w:val="FootnoteText"/>
      </w:pPr>
      <w:r>
        <w:rPr>
          <w:rStyle w:val="FootnoteReference"/>
        </w:rPr>
        <w:footnoteRef/>
      </w:r>
      <w:r>
        <w:t xml:space="preserve"> Съществуват три вида региони, използвани в общата класификация на териториалните единици, позната като NUTS. На тази карта са показани регионите по NUTS2. Средностатистическият регион по NUTS2 в дадена държава </w:t>
      </w:r>
      <w:r>
        <w:t xml:space="preserve">е с население между 800 000 и 3 милиона души. </w:t>
      </w:r>
    </w:p>
  </w:footnote>
  <w:footnote w:id="12">
    <w:p w:rsidR="00534131" w:rsidRDefault="00A12529">
      <w:pPr>
        <w:pStyle w:val="FootnoteText"/>
      </w:pPr>
      <w:r>
        <w:rPr>
          <w:rStyle w:val="FootnoteReference"/>
        </w:rPr>
        <w:footnoteRef/>
      </w:r>
      <w:r>
        <w:t xml:space="preserve"> За повече информация вж. страницата на Евростат „Statistics Explained“ относно статистическите данни за коефициента за обща плодовитост: </w:t>
      </w:r>
    </w:p>
    <w:p w:rsidR="00534131" w:rsidRDefault="00A12529">
      <w:pPr>
        <w:pStyle w:val="FootnoteText"/>
      </w:pPr>
      <w:hyperlink r:id="rId5" w:history="1">
        <w:r>
          <w:rPr>
            <w:rStyle w:val="Hyperlink"/>
          </w:rPr>
          <w:t>https://ec.europa.eu/eurostat/statistics-explained/index.php?title=Fertility_statistics</w:t>
        </w:r>
      </w:hyperlink>
    </w:p>
  </w:footnote>
  <w:footnote w:id="13">
    <w:p w:rsidR="00534131" w:rsidRDefault="00A12529">
      <w:pPr>
        <w:pStyle w:val="FootnoteText"/>
      </w:pPr>
      <w:r>
        <w:rPr>
          <w:rStyle w:val="FootnoteReference"/>
        </w:rPr>
        <w:footnoteRef/>
      </w:r>
      <w:r>
        <w:t xml:space="preserve"> От общо 1169 региона по NUTS-3, едва четири имат коефициент за обща плодовитост над 2,1: Майот (4,6), Гвиана (3,8), Реюнион (2,4) и</w:t>
      </w:r>
      <w:r>
        <w:t xml:space="preserve"> Мелила (2,3).</w:t>
      </w:r>
    </w:p>
  </w:footnote>
  <w:footnote w:id="14">
    <w:p w:rsidR="00534131" w:rsidRDefault="00A12529">
      <w:pPr>
        <w:pStyle w:val="FootnoteText"/>
      </w:pPr>
      <w:r>
        <w:rPr>
          <w:rStyle w:val="FootnoteReference"/>
        </w:rPr>
        <w:footnoteRef/>
      </w:r>
      <w:r>
        <w:t xml:space="preserve"> На тази карта са показани регионите по NUTS3. Средностатистическият регион по NUTS3 в дадена държава е с население между 150 000 и 800 000 души. </w:t>
      </w:r>
    </w:p>
  </w:footnote>
  <w:footnote w:id="15">
    <w:p w:rsidR="00534131" w:rsidRDefault="00A12529">
      <w:pPr>
        <w:pStyle w:val="FootnoteText"/>
      </w:pPr>
      <w:r>
        <w:rPr>
          <w:rStyle w:val="FootnoteReference"/>
        </w:rPr>
        <w:footnoteRef/>
      </w:r>
      <w:r>
        <w:t xml:space="preserve"> Медианната възраст е мярка в широк смисъл за това колко възрастно е населението: половината</w:t>
      </w:r>
      <w:r>
        <w:t xml:space="preserve"> от населението е на по-висока, а другата половина — на по-ниска от медианната възраст.</w:t>
      </w:r>
    </w:p>
  </w:footnote>
  <w:footnote w:id="16">
    <w:p w:rsidR="00534131" w:rsidRDefault="00A12529">
      <w:pPr>
        <w:pStyle w:val="FootnoteText"/>
      </w:pPr>
      <w:r>
        <w:rPr>
          <w:rStyle w:val="FootnoteReference"/>
        </w:rPr>
        <w:footnoteRef/>
      </w:r>
      <w:r>
        <w:t xml:space="preserve"> За повече информация вж. страницата на Евростат „Statistics Explained“ относно структурата и застаряването на населението: </w:t>
      </w:r>
    </w:p>
    <w:p w:rsidR="00534131" w:rsidRDefault="00A12529">
      <w:pPr>
        <w:pStyle w:val="FootnoteText"/>
        <w:rPr>
          <w:sz w:val="24"/>
          <w:szCs w:val="24"/>
        </w:rPr>
      </w:pPr>
      <w:hyperlink r:id="rId6" w:history="1">
        <w:r>
          <w:rPr>
            <w:rStyle w:val="Hyperlink"/>
          </w:rPr>
          <w:t>https://ec.europa.eu/eurostat/statistics-explained/index.php?title=Population_structure_and_ageing/bg</w:t>
        </w:r>
      </w:hyperlink>
      <w:r>
        <w:t xml:space="preserve"> </w:t>
      </w:r>
    </w:p>
  </w:footnote>
  <w:footnote w:id="17">
    <w:p w:rsidR="00534131" w:rsidRDefault="00A12529">
      <w:pPr>
        <w:pStyle w:val="FootnoteText"/>
      </w:pPr>
      <w:r>
        <w:rPr>
          <w:rStyle w:val="FootnoteReference"/>
        </w:rPr>
        <w:footnoteRef/>
      </w:r>
      <w:r>
        <w:t xml:space="preserve"> Традиционно населението в трудоспособна възраст се определя между 20 и 64 г</w:t>
      </w:r>
      <w:r>
        <w:t>одини. Тъй като населението застарява и повече хора на възраст 65 и повече години продължават да работят, това традиционно определение може да се промени.</w:t>
      </w:r>
    </w:p>
  </w:footnote>
  <w:footnote w:id="18">
    <w:p w:rsidR="00534131" w:rsidRDefault="00A12529">
      <w:pPr>
        <w:pStyle w:val="FootnoteText"/>
      </w:pPr>
      <w:r>
        <w:rPr>
          <w:rStyle w:val="FootnoteReference"/>
        </w:rPr>
        <w:footnoteRef/>
      </w:r>
      <w:r>
        <w:t xml:space="preserve"> Ageing Europe: Looking at the lives of older people in the EU („Застаряваща Европа: поглед към живо</w:t>
      </w:r>
      <w:r>
        <w:t>та на възрастните хора в ЕС“), Европейска комисия (2019 г.).</w:t>
      </w:r>
    </w:p>
  </w:footnote>
  <w:footnote w:id="19">
    <w:p w:rsidR="00534131" w:rsidRDefault="00A12529">
      <w:pPr>
        <w:pStyle w:val="FootnoteText"/>
      </w:pPr>
      <w:r>
        <w:rPr>
          <w:rStyle w:val="FootnoteReference"/>
        </w:rPr>
        <w:footnoteRef/>
      </w:r>
      <w:r>
        <w:t xml:space="preserve"> Освен гражданите на трети държави, тези данни включват граждани на ЕС, които се завръщат в ЕС или го напускат. За повече информация вж. страницата на Евростат „Statistics Explained“ относно ста</w:t>
      </w:r>
      <w:r>
        <w:t xml:space="preserve">тистическите данни за миграцията: </w:t>
      </w:r>
      <w:hyperlink r:id="rId7" w:history="1">
        <w:r>
          <w:rPr>
            <w:rStyle w:val="Hyperlink"/>
          </w:rPr>
          <w:t>https://ec.europa.eu/eurostat/statistics-explained/index.php?title=Migration_and_migrant_pop</w:t>
        </w:r>
        <w:r>
          <w:rPr>
            <w:rStyle w:val="Hyperlink"/>
          </w:rPr>
          <w:t>ulation_statistics/bg</w:t>
        </w:r>
      </w:hyperlink>
      <w:r>
        <w:t xml:space="preserve"> </w:t>
      </w:r>
    </w:p>
    <w:p w:rsidR="00534131" w:rsidRDefault="00534131">
      <w:pPr>
        <w:pStyle w:val="FootnoteText"/>
      </w:pPr>
    </w:p>
  </w:footnote>
  <w:footnote w:id="20">
    <w:p w:rsidR="00534131" w:rsidRDefault="00A12529">
      <w:pPr>
        <w:pStyle w:val="FootnoteText"/>
      </w:pPr>
      <w:r>
        <w:rPr>
          <w:rStyle w:val="FootnoteReference"/>
        </w:rPr>
        <w:footnoteRef/>
      </w:r>
      <w:r>
        <w:t xml:space="preserve"> За повече информация вж. страницата на Евростат „Statistics Explained“ относно статистическите данни за населението и прираста на населението: </w:t>
      </w:r>
    </w:p>
    <w:p w:rsidR="00534131" w:rsidRDefault="00A12529">
      <w:pPr>
        <w:pStyle w:val="FootnoteText"/>
      </w:pPr>
      <w:hyperlink r:id="rId8" w:history="1">
        <w:r>
          <w:rPr>
            <w:rStyle w:val="Hyperlink"/>
          </w:rPr>
          <w:t>https://ec.europa.eu/eurostat/statistics-explained/index.php?title=Population_and_population_change_statistics</w:t>
        </w:r>
      </w:hyperlink>
      <w:r>
        <w:t xml:space="preserve"> </w:t>
      </w:r>
    </w:p>
  </w:footnote>
  <w:footnote w:id="21">
    <w:p w:rsidR="00534131" w:rsidRDefault="00A12529">
      <w:pPr>
        <w:pStyle w:val="FootnoteText"/>
      </w:pPr>
      <w:r>
        <w:rPr>
          <w:rStyle w:val="FootnoteReference"/>
        </w:rPr>
        <w:footnoteRef/>
      </w:r>
      <w:r>
        <w:t xml:space="preserve"> През април 2020 г. Евростат публикува проекции въз основа на данните от 2019 г. По времето на изготвяне на данните последиците от пандемията от COVID-19 не бяха известни и съответно те не са обхванати. За повече информация вж. статията на страницата на Ев</w:t>
      </w:r>
      <w:r>
        <w:t xml:space="preserve">ростат „Statistics Explained“ относно проекциите на населението: </w:t>
      </w:r>
      <w:hyperlink r:id="rId9" w:history="1">
        <w:r>
          <w:rPr>
            <w:rStyle w:val="Hyperlink"/>
          </w:rPr>
          <w:t>https://ec.europa.eu/eurostat/web/population-demography-migration-pro</w:t>
        </w:r>
        <w:r>
          <w:rPr>
            <w:rStyle w:val="Hyperlink"/>
          </w:rPr>
          <w:t>jections/population-projections-data</w:t>
        </w:r>
      </w:hyperlink>
      <w:r>
        <w:rPr>
          <w:rStyle w:val="Hyperlink"/>
        </w:rPr>
        <w:t>.</w:t>
      </w:r>
      <w:r>
        <w:rPr>
          <w:strike/>
        </w:rPr>
        <w:t xml:space="preserve"> </w:t>
      </w:r>
    </w:p>
  </w:footnote>
  <w:footnote w:id="22">
    <w:p w:rsidR="00534131" w:rsidRDefault="00A12529">
      <w:pPr>
        <w:pStyle w:val="FootnoteText"/>
      </w:pPr>
      <w:r>
        <w:rPr>
          <w:rStyle w:val="FootnoteReference"/>
        </w:rPr>
        <w:footnoteRef/>
      </w:r>
      <w:r>
        <w:t xml:space="preserve"> На тази карта са показани регионите по NUTS3. Средностатистическият регион по NUTS3 в дадена държава е с население между 150 000 и 800 000 души. Данните съответстват на регионалните проекции на Евростат (EUROPOP2013</w:t>
      </w:r>
      <w:r>
        <w:t>).</w:t>
      </w:r>
    </w:p>
  </w:footnote>
  <w:footnote w:id="23">
    <w:p w:rsidR="00534131" w:rsidRDefault="00A12529">
      <w:pPr>
        <w:pStyle w:val="FootnoteText"/>
      </w:pPr>
      <w:r>
        <w:rPr>
          <w:rStyle w:val="FootnoteReference"/>
        </w:rPr>
        <w:footnoteRef/>
      </w:r>
      <w:r>
        <w:t xml:space="preserve"> Доклад от 2018 г. относно застаряването на населението: икономически и бюджетни прогнози за държавите — членки на ЕС (2016—2070 г.), институционален документ 079, Европейска комисия и Комитет за икономическа политика (2018 г.)</w:t>
      </w:r>
    </w:p>
  </w:footnote>
  <w:footnote w:id="24">
    <w:p w:rsidR="00534131" w:rsidRDefault="00A12529">
      <w:pPr>
        <w:pStyle w:val="FootnoteText"/>
      </w:pPr>
      <w:r>
        <w:rPr>
          <w:rStyle w:val="FootnoteReference"/>
        </w:rPr>
        <w:footnoteRef/>
      </w:r>
      <w:r>
        <w:t xml:space="preserve"> Икономическата прогноз</w:t>
      </w:r>
      <w:r>
        <w:t>а на Комисията от пролетта на 2020 г., 6.5.2020 г.</w:t>
      </w:r>
    </w:p>
  </w:footnote>
  <w:footnote w:id="25">
    <w:p w:rsidR="00534131" w:rsidRDefault="00A12529">
      <w:pPr>
        <w:pStyle w:val="FootnoteText"/>
      </w:pPr>
      <w:r>
        <w:rPr>
          <w:rStyle w:val="FootnoteReference"/>
        </w:rPr>
        <w:footnoteRef/>
      </w:r>
      <w:r>
        <w:t xml:space="preserve"> Съюз на равенство: Стратегия за равенство между половете (2020—2025 г.), приета на 5 март 2020 г. (COM(2020)152 final).</w:t>
      </w:r>
    </w:p>
  </w:footnote>
  <w:footnote w:id="26">
    <w:p w:rsidR="00534131" w:rsidRDefault="00A12529">
      <w:pPr>
        <w:pStyle w:val="FootnoteText"/>
      </w:pPr>
      <w:r>
        <w:rPr>
          <w:rStyle w:val="FootnoteReference"/>
        </w:rPr>
        <w:footnoteRef/>
      </w:r>
      <w:r>
        <w:t xml:space="preserve"> Доклад от 2018 г. относно застаряването на населението: икономически и бюджетни п</w:t>
      </w:r>
      <w:r>
        <w:t>рогнози за държавите — членки на ЕС (2016—2070 г.), институционален документ 079, Европейска комисия и Комитет за икономическа политика (2018 г.)</w:t>
      </w:r>
    </w:p>
  </w:footnote>
  <w:footnote w:id="27">
    <w:p w:rsidR="00534131" w:rsidRDefault="00A12529">
      <w:pPr>
        <w:pStyle w:val="FootnoteText"/>
      </w:pPr>
      <w:r>
        <w:rPr>
          <w:rStyle w:val="FootnoteReference"/>
        </w:rPr>
        <w:footnoteRef/>
      </w:r>
      <w:r>
        <w:t xml:space="preserve"> Нова промишлена стратегия за Европа, приета на 10 март 2020 г., COM(2020) 102 final.</w:t>
      </w:r>
    </w:p>
  </w:footnote>
  <w:footnote w:id="28">
    <w:p w:rsidR="00534131" w:rsidRDefault="00A12529">
      <w:pPr>
        <w:pStyle w:val="FootnoteText"/>
      </w:pPr>
      <w:r>
        <w:rPr>
          <w:rStyle w:val="FootnoteReference"/>
        </w:rPr>
        <w:footnoteRef/>
      </w:r>
      <w:r>
        <w:t xml:space="preserve"> Вж. например Canton, </w:t>
      </w:r>
      <w:r>
        <w:t>E., Thum-Thysen, A., Voigt, P. (2018 г.) Economists’ musings on human capital investment: How efficient is public spending on education in EU Member States? („Размишления на икономистите относно инвестициите в човешки капитал: доколко са ефикасни публичнит</w:t>
      </w:r>
      <w:r>
        <w:t xml:space="preserve">е разходи за образование в държавите — членки на ЕС?“). Документ за обсъждане на европейската икономика 81: </w:t>
      </w:r>
    </w:p>
    <w:p w:rsidR="00534131" w:rsidRDefault="00A12529">
      <w:pPr>
        <w:pStyle w:val="FootnoteText"/>
      </w:pPr>
      <w:hyperlink r:id="rId10" w:history="1">
        <w:r>
          <w:rPr>
            <w:rStyle w:val="Hyperlink"/>
          </w:rPr>
          <w:t>https://ec.europa.eu/info/publications/economy-finance/economists-musings-human-capital-investment-how-efficient-public-spending-education-eu-member-states_en</w:t>
        </w:r>
      </w:hyperlink>
      <w:r>
        <w:t xml:space="preserve"> </w:t>
      </w:r>
    </w:p>
  </w:footnote>
  <w:footnote w:id="29">
    <w:p w:rsidR="00534131" w:rsidRDefault="00A12529">
      <w:pPr>
        <w:pStyle w:val="FootnoteText"/>
      </w:pPr>
      <w:r>
        <w:rPr>
          <w:rStyle w:val="FootnoteReference"/>
        </w:rPr>
        <w:footnoteRef/>
      </w:r>
      <w:r>
        <w:t xml:space="preserve"> </w:t>
      </w:r>
      <w:hyperlink r:id="rId11" w:history="1">
        <w:r>
          <w:rPr>
            <w:rStyle w:val="Hyperlink"/>
          </w:rPr>
          <w:t>https://www.ecdc.europa.eu/en/cases-2019-ncov-eueea</w:t>
        </w:r>
      </w:hyperlink>
      <w:r>
        <w:t xml:space="preserve"> </w:t>
      </w:r>
    </w:p>
  </w:footnote>
  <w:footnote w:id="30">
    <w:p w:rsidR="00534131" w:rsidRDefault="00A12529">
      <w:pPr>
        <w:pStyle w:val="FootnoteText"/>
      </w:pPr>
      <w:r>
        <w:rPr>
          <w:rStyle w:val="FootnoteReference"/>
        </w:rPr>
        <w:footnoteRef/>
      </w:r>
      <w:r>
        <w:t xml:space="preserve"> На тази карта са показани регионите по NUTS3. Средностатистическият регион по NUTS3 в дадена държава е с население между 150 000 и 800 000 души. Данните съответстват на регионалните проекции на Еврос</w:t>
      </w:r>
      <w:r>
        <w:t>тат (EUROPOP2013).</w:t>
      </w:r>
    </w:p>
    <w:p w:rsidR="00534131" w:rsidRDefault="00534131">
      <w:pPr>
        <w:pStyle w:val="FootnoteText"/>
      </w:pPr>
    </w:p>
  </w:footnote>
  <w:footnote w:id="31">
    <w:p w:rsidR="00534131" w:rsidRDefault="00A12529">
      <w:pPr>
        <w:pStyle w:val="FootnoteText"/>
      </w:pPr>
      <w:r>
        <w:rPr>
          <w:rStyle w:val="FootnoteReference"/>
        </w:rPr>
        <w:footnoteRef/>
      </w:r>
      <w:r>
        <w:t xml:space="preserve"> За повече информация относно EU4Health вж.: </w:t>
      </w:r>
      <w:hyperlink r:id="rId12" w:history="1">
        <w:r>
          <w:rPr>
            <w:rStyle w:val="Hyperlink"/>
          </w:rPr>
          <w:t>https://ec.europa.eu/health/funding/eu4health_bg</w:t>
        </w:r>
      </w:hyperlink>
      <w:r>
        <w:t xml:space="preserve"> </w:t>
      </w:r>
    </w:p>
  </w:footnote>
  <w:footnote w:id="32">
    <w:p w:rsidR="00534131" w:rsidRDefault="00A12529">
      <w:pPr>
        <w:pStyle w:val="FootnoteText"/>
      </w:pPr>
      <w:r>
        <w:rPr>
          <w:rStyle w:val="FootnoteReference"/>
        </w:rPr>
        <w:footnoteRef/>
      </w:r>
      <w:r>
        <w:t xml:space="preserve"> </w:t>
      </w:r>
      <w:hyperlink r:id="rId13" w:history="1">
        <w:r>
          <w:rPr>
            <w:rStyle w:val="Hyperlink"/>
          </w:rPr>
          <w:t>https://data.consilium.europa.eu/doc/document/ST-12983-2013-INIT/en/pdf</w:t>
        </w:r>
      </w:hyperlink>
      <w:r>
        <w:t xml:space="preserve"> </w:t>
      </w:r>
    </w:p>
  </w:footnote>
  <w:footnote w:id="33">
    <w:p w:rsidR="00534131" w:rsidRDefault="00A12529">
      <w:pPr>
        <w:pStyle w:val="FootnoteText"/>
      </w:pPr>
      <w:r>
        <w:rPr>
          <w:rStyle w:val="FootnoteReference"/>
        </w:rPr>
        <w:footnoteRef/>
      </w:r>
      <w:r>
        <w:t xml:space="preserve"> Състояние на здравеопазването в ЕС. Здравни профили на държавите, 2019 г., изследване SHARE (2017 г.).</w:t>
      </w:r>
    </w:p>
  </w:footnote>
  <w:footnote w:id="34">
    <w:p w:rsidR="00534131" w:rsidRDefault="00A12529">
      <w:pPr>
        <w:pStyle w:val="FootnoteText"/>
      </w:pPr>
      <w:r>
        <w:rPr>
          <w:rStyle w:val="FootnoteReference"/>
        </w:rPr>
        <w:footnoteRef/>
      </w:r>
      <w:r>
        <w:t xml:space="preserve"> За повече информация вж.: </w:t>
      </w:r>
      <w:hyperlink r:id="rId14" w:history="1">
        <w:r>
          <w:rPr>
            <w:rStyle w:val="Hyperlink"/>
          </w:rPr>
          <w:t>https://ec.europa.eu/food/farm2fork_en</w:t>
        </w:r>
      </w:hyperlink>
      <w:r>
        <w:t xml:space="preserve"> </w:t>
      </w:r>
    </w:p>
  </w:footnote>
  <w:footnote w:id="35">
    <w:p w:rsidR="00534131" w:rsidRDefault="00A12529">
      <w:pPr>
        <w:pStyle w:val="FootnoteText"/>
      </w:pPr>
      <w:r>
        <w:rPr>
          <w:rStyle w:val="FootnoteReference"/>
        </w:rPr>
        <w:footnoteRef/>
      </w:r>
      <w:r>
        <w:t xml:space="preserve"> Може да има различни причини за този недостиг, включително равнището на заплащане и условията на труд.</w:t>
      </w:r>
    </w:p>
  </w:footnote>
  <w:footnote w:id="36">
    <w:p w:rsidR="00534131" w:rsidRDefault="00A12529">
      <w:pPr>
        <w:pStyle w:val="FootnoteText"/>
      </w:pPr>
      <w:r>
        <w:rPr>
          <w:rStyle w:val="FootnoteReference"/>
        </w:rPr>
        <w:footnoteRef/>
      </w:r>
      <w:r>
        <w:t xml:space="preserve"> Състояние на здравеопазването в ЕС. Здравето накратко: Европа, 2018 г., ОИСР/ЕС (2018 г.)</w:t>
      </w:r>
      <w:r>
        <w:t>, стр. 178 и 180.</w:t>
      </w:r>
    </w:p>
  </w:footnote>
  <w:footnote w:id="37">
    <w:p w:rsidR="00534131" w:rsidRDefault="00A12529">
      <w:pPr>
        <w:pStyle w:val="FootnoteText"/>
      </w:pPr>
      <w:r>
        <w:rPr>
          <w:rStyle w:val="FootnoteReference"/>
        </w:rPr>
        <w:footnoteRef/>
      </w:r>
      <w:r>
        <w:t xml:space="preserve"> За повече информация вж.: </w:t>
      </w:r>
      <w:hyperlink r:id="rId15" w:history="1">
        <w:r>
          <w:rPr>
            <w:rStyle w:val="Hyperlink"/>
          </w:rPr>
          <w:t>https://www.oecd.org/els/health-systems/who-cares-attracting-and-retaining-elderly</w:t>
        </w:r>
        <w:r>
          <w:rPr>
            <w:rStyle w:val="Hyperlink"/>
          </w:rPr>
          <w:t>-care-workers-92c0ef68-en.htm</w:t>
        </w:r>
      </w:hyperlink>
      <w:r>
        <w:t xml:space="preserve"> </w:t>
      </w:r>
    </w:p>
  </w:footnote>
  <w:footnote w:id="38">
    <w:p w:rsidR="00534131" w:rsidRDefault="00A12529">
      <w:pPr>
        <w:pStyle w:val="FootnoteText"/>
      </w:pPr>
      <w:r>
        <w:rPr>
          <w:rStyle w:val="FootnoteReference"/>
        </w:rPr>
        <w:footnoteRef/>
      </w:r>
      <w:r>
        <w:t xml:space="preserve"> Член 35 от Хартата на основните права на Европейския съюз.</w:t>
      </w:r>
    </w:p>
  </w:footnote>
  <w:footnote w:id="39">
    <w:p w:rsidR="00534131" w:rsidRDefault="00A12529">
      <w:pPr>
        <w:pStyle w:val="FootnoteText"/>
      </w:pPr>
      <w:r>
        <w:rPr>
          <w:rStyle w:val="FootnoteReference"/>
        </w:rPr>
        <w:footnoteRef/>
      </w:r>
      <w:r>
        <w:t xml:space="preserve"> „Тройният положителен резултат“ се подкрепя от Европейското партньорство за иновации в областта на активния живот на възрастните хора и остаряването в добро здрав</w:t>
      </w:r>
      <w:r>
        <w:t xml:space="preserve">е. За повече информация вж.: </w:t>
      </w:r>
      <w:hyperlink r:id="rId16" w:history="1">
        <w:r>
          <w:rPr>
            <w:rStyle w:val="Hyperlink"/>
          </w:rPr>
          <w:t>https://ec.europa.eu/eip/ageing/about-the-partnership_en</w:t>
        </w:r>
      </w:hyperlink>
      <w:r>
        <w:t xml:space="preserve"> </w:t>
      </w:r>
    </w:p>
  </w:footnote>
  <w:footnote w:id="40">
    <w:p w:rsidR="00534131" w:rsidRDefault="00A12529">
      <w:pPr>
        <w:pStyle w:val="FootnoteText"/>
      </w:pPr>
      <w:r>
        <w:rPr>
          <w:rStyle w:val="FootnoteReference"/>
        </w:rPr>
        <w:footnoteRef/>
      </w:r>
      <w:r>
        <w:t xml:space="preserve"> В Доклада от 2018 г. относно застаряването на населението общите разходи, свързани със застаряването, се определят като публични разходи за пенсии, здравеопазване, дългосрочни грижи, образование и обезщетения за безработица. </w:t>
      </w:r>
    </w:p>
  </w:footnote>
  <w:footnote w:id="41">
    <w:p w:rsidR="00534131" w:rsidRDefault="00A12529">
      <w:pPr>
        <w:pStyle w:val="FootnoteText"/>
      </w:pPr>
      <w:r>
        <w:rPr>
          <w:rStyle w:val="FootnoteReference"/>
        </w:rPr>
        <w:footnoteRef/>
      </w:r>
      <w:r>
        <w:t xml:space="preserve"> За подробен анализ на факто</w:t>
      </w:r>
      <w:r>
        <w:t>рите за увеличаване на разходите за здравеопазване и дългосрочни грижи вж.: Joint Report on Healthcare and Long-Term Care Systems and Fiscal Sustainability („Съвместен доклад за системите за здравеопазване и дългосрочни грижи и фискалната устойчивост“), Ев</w:t>
      </w:r>
      <w:r>
        <w:t>ропейска комисия и Комитет за икономическа политика (EPC), 2016 г.</w:t>
      </w:r>
    </w:p>
  </w:footnote>
  <w:footnote w:id="42">
    <w:p w:rsidR="00534131" w:rsidRDefault="00A12529">
      <w:pPr>
        <w:pStyle w:val="FootnoteText"/>
      </w:pPr>
      <w:r>
        <w:rPr>
          <w:rStyle w:val="FootnoteReference"/>
        </w:rPr>
        <w:footnoteRef/>
      </w:r>
      <w:r>
        <w:t xml:space="preserve"> Бедността сред хората в напреднала възраст има два компонента: хора, чиито доходи са под 60 % от националния медианен доход, и хора, които не могат да си позволят поне четири от общо десе</w:t>
      </w:r>
      <w:r>
        <w:t xml:space="preserve">т основни неща (вж. </w:t>
      </w:r>
      <w:hyperlink r:id="rId17" w:history="1">
        <w:r>
          <w:rPr>
            <w:rStyle w:val="Hyperlink"/>
          </w:rPr>
          <w:t>https://ec.europa.eu/eurostat/statistics-explained/index.php/Glossary:Material_deprivation</w:t>
        </w:r>
      </w:hyperlink>
      <w:r>
        <w:t>)</w:t>
      </w:r>
    </w:p>
  </w:footnote>
  <w:footnote w:id="43">
    <w:p w:rsidR="00534131" w:rsidRDefault="00A12529">
      <w:pPr>
        <w:pStyle w:val="FootnoteText"/>
      </w:pPr>
      <w:r>
        <w:rPr>
          <w:rStyle w:val="FootnoteReference"/>
        </w:rPr>
        <w:footnoteRef/>
      </w:r>
      <w:r>
        <w:t xml:space="preserve"> За подробен анализ на въздействието</w:t>
      </w:r>
      <w:r>
        <w:t xml:space="preserve"> на демографските промени върху адекватността на пенсиите вж.: Доклад за адекватността на пенсиите от 2018 г.: текуща и бъдеща адекватност на доходите в напреднала възраст в ЕС, Европейска комисия и Комитет за социална закрила (SPC), 2018 г.</w:t>
      </w:r>
    </w:p>
  </w:footnote>
  <w:footnote w:id="44">
    <w:p w:rsidR="00534131" w:rsidRDefault="00A12529">
      <w:pPr>
        <w:pStyle w:val="FootnoteText"/>
      </w:pPr>
      <w:r>
        <w:rPr>
          <w:rStyle w:val="FootnoteReference"/>
        </w:rPr>
        <w:footnoteRef/>
      </w:r>
      <w:r>
        <w:t xml:space="preserve"> През 2018 г.</w:t>
      </w:r>
      <w:r>
        <w:t xml:space="preserve"> в ЕС-27 30,5 % от жените и 9,2 % от мъжете са работили на непълно работно време (Евростат, Наблюдение на работната сила).</w:t>
      </w:r>
    </w:p>
  </w:footnote>
  <w:footnote w:id="45">
    <w:p w:rsidR="00534131" w:rsidRDefault="00A12529">
      <w:pPr>
        <w:pStyle w:val="FootnoteText"/>
      </w:pPr>
      <w:r>
        <w:rPr>
          <w:rStyle w:val="FootnoteReference"/>
        </w:rPr>
        <w:footnoteRef/>
      </w:r>
      <w:r>
        <w:t xml:space="preserve"> През последните години делът на срочните трудови договори за лица на възраст 15—64 години е стабилен. През 2018 г. той възлизаше на 12,1 % от общата заетост. Делът сред жените е малко по-висок (13,1 %), отколкото сред мъжете (11,2 %) (Евростат).</w:t>
      </w:r>
    </w:p>
  </w:footnote>
  <w:footnote w:id="46">
    <w:p w:rsidR="00534131" w:rsidRDefault="00A12529">
      <w:pPr>
        <w:pStyle w:val="FootnoteText"/>
      </w:pPr>
      <w:r>
        <w:rPr>
          <w:rStyle w:val="FootnoteReference"/>
        </w:rPr>
        <w:footnoteRef/>
      </w:r>
      <w:r>
        <w:t xml:space="preserve"> Региона</w:t>
      </w:r>
      <w:r>
        <w:t>лното измерение се отнася до NUTS3, местното — до LAU (местните административни единици).</w:t>
      </w:r>
    </w:p>
  </w:footnote>
  <w:footnote w:id="47">
    <w:p w:rsidR="00534131" w:rsidRDefault="00A12529">
      <w:pPr>
        <w:pStyle w:val="FootnoteText"/>
      </w:pPr>
      <w:r>
        <w:rPr>
          <w:rStyle w:val="FootnoteReference"/>
        </w:rPr>
        <w:footnoteRef/>
      </w:r>
      <w:r>
        <w:t xml:space="preserve"> COM(2020) 451 final, 28.5.2020 г.</w:t>
      </w:r>
    </w:p>
  </w:footnote>
  <w:footnote w:id="48">
    <w:p w:rsidR="00534131" w:rsidRDefault="00A12529">
      <w:pPr>
        <w:pStyle w:val="FootnoteText"/>
      </w:pPr>
      <w:r>
        <w:rPr>
          <w:rStyle w:val="FootnoteReference"/>
        </w:rPr>
        <w:footnoteRef/>
      </w:r>
      <w:r>
        <w:t xml:space="preserve"> На тази карта са показани регионите по NUTS3. Средностатистическият регион по NUTS3 в дадена държава е с население между 150 000</w:t>
      </w:r>
      <w:r>
        <w:t xml:space="preserve"> и 800 000 души.</w:t>
      </w:r>
    </w:p>
  </w:footnote>
  <w:footnote w:id="49">
    <w:p w:rsidR="00534131" w:rsidRDefault="00A12529">
      <w:r>
        <w:rPr>
          <w:rStyle w:val="FootnoteReference"/>
        </w:rPr>
        <w:footnoteRef/>
      </w:r>
      <w:r>
        <w:t xml:space="preserve"> </w:t>
      </w:r>
      <w:hyperlink r:id="rId18" w:history="1">
        <w:r>
          <w:rPr>
            <w:rStyle w:val="Hyperlink"/>
            <w:rFonts w:ascii="Times New Roman" w:hAnsi="Times New Roman"/>
            <w:sz w:val="18"/>
            <w:szCs w:val="18"/>
          </w:rPr>
          <w:t>http://publications.jrc.ec.europa.eu/repository/handle/JRC120680</w:t>
        </w:r>
      </w:hyperlink>
      <w:r>
        <w:rPr>
          <w:rStyle w:val="Hyperlink"/>
          <w:rFonts w:ascii="Times New Roman" w:hAnsi="Times New Roman"/>
          <w:sz w:val="18"/>
          <w:szCs w:val="18"/>
        </w:rPr>
        <w:t xml:space="preserve"> </w:t>
      </w:r>
    </w:p>
  </w:footnote>
  <w:footnote w:id="50">
    <w:p w:rsidR="00534131" w:rsidRDefault="00A12529">
      <w:pPr>
        <w:pStyle w:val="FootnoteText"/>
      </w:pPr>
      <w:r>
        <w:rPr>
          <w:rStyle w:val="FootnoteReference"/>
        </w:rPr>
        <w:footnoteRef/>
      </w:r>
      <w:r>
        <w:t xml:space="preserve"> За повече информация вж.: </w:t>
      </w:r>
      <w:hyperlink r:id="rId19" w:tgtFrame="_blank" w:history="1">
        <w:r>
          <w:rPr>
            <w:rStyle w:val="Hyperlink"/>
          </w:rPr>
          <w:t>https://doi.org/10.1787/b902cc00-en</w:t>
        </w:r>
      </w:hyperlink>
    </w:p>
  </w:footnote>
  <w:footnote w:id="51">
    <w:p w:rsidR="00534131" w:rsidRDefault="00A12529">
      <w:pPr>
        <w:pStyle w:val="FootnoteText"/>
      </w:pPr>
      <w:r>
        <w:rPr>
          <w:rStyle w:val="FootnoteReference"/>
        </w:rPr>
        <w:footnoteRef/>
      </w:r>
      <w:r>
        <w:t xml:space="preserve"> На тази карта са показани регионите по NUTS3. Средностатистическият регион по NUTS3 в дадена държава е</w:t>
      </w:r>
      <w:r>
        <w:t xml:space="preserve"> с население между 150 000 и 800 000 души. </w:t>
      </w:r>
    </w:p>
  </w:footnote>
  <w:footnote w:id="52">
    <w:p w:rsidR="00534131" w:rsidRDefault="00A12529">
      <w:pPr>
        <w:pStyle w:val="FootnoteText"/>
      </w:pPr>
      <w:r>
        <w:rPr>
          <w:rStyle w:val="FootnoteReference"/>
        </w:rPr>
        <w:footnoteRef/>
      </w:r>
      <w:r>
        <w:t xml:space="preserve"> За повече информация вж.: </w:t>
      </w:r>
      <w:hyperlink r:id="rId20" w:history="1">
        <w:r>
          <w:rPr>
            <w:rStyle w:val="Hyperlink"/>
          </w:rPr>
          <w:t>https://ec.europa.eu/info/publications/mff-legislation_en</w:t>
        </w:r>
      </w:hyperlink>
      <w:r>
        <w:t xml:space="preserve"> </w:t>
      </w:r>
    </w:p>
  </w:footnote>
  <w:footnote w:id="53">
    <w:p w:rsidR="00534131" w:rsidRDefault="00A12529">
      <w:pPr>
        <w:pStyle w:val="FootnoteText"/>
      </w:pPr>
      <w:r>
        <w:rPr>
          <w:rStyle w:val="FootnoteReference"/>
        </w:rPr>
        <w:footnoteRef/>
      </w:r>
      <w:r>
        <w:t xml:space="preserve"> За повече информация вж.: </w:t>
      </w:r>
      <w:hyperlink r:id="rId21" w:history="1">
        <w:r>
          <w:rPr>
            <w:rStyle w:val="Hyperlink"/>
          </w:rPr>
          <w:t>https://ec.europa.eu/regional_policy/en/information/publications/regional-focus/2018/access-to-universities-i</w:t>
        </w:r>
        <w:r>
          <w:rPr>
            <w:rStyle w:val="Hyperlink"/>
          </w:rPr>
          <w:t>n-the-eu-a-regional-and-territorial-analysis</w:t>
        </w:r>
      </w:hyperlink>
      <w:r>
        <w:t xml:space="preserve"> </w:t>
      </w:r>
    </w:p>
  </w:footnote>
  <w:footnote w:id="54">
    <w:p w:rsidR="00534131" w:rsidRDefault="00A12529">
      <w:pPr>
        <w:pStyle w:val="FootnoteText"/>
      </w:pPr>
      <w:r>
        <w:rPr>
          <w:rStyle w:val="FootnoteReference"/>
        </w:rPr>
        <w:footnoteRef/>
      </w:r>
      <w:r>
        <w:t xml:space="preserve"> За повече информация вж.: </w:t>
      </w:r>
      <w:hyperlink r:id="rId22" w:anchor="the-chapter" w:history="1">
        <w:r>
          <w:rPr>
            <w:rStyle w:val="Hyperlink"/>
          </w:rPr>
          <w:t>https://urban.jrc.ec.europa.eu/thefutureofcities/ageing#the-chapter</w:t>
        </w:r>
      </w:hyperlink>
    </w:p>
  </w:footnote>
  <w:footnote w:id="55">
    <w:p w:rsidR="00534131" w:rsidRDefault="00A12529">
      <w:pPr>
        <w:pStyle w:val="FootnoteText"/>
      </w:pPr>
      <w:r>
        <w:rPr>
          <w:rStyle w:val="FootnoteReference"/>
        </w:rPr>
        <w:footnoteRef/>
      </w:r>
      <w:r>
        <w:t xml:space="preserve"> Forest fires — Sparking</w:t>
      </w:r>
      <w:r>
        <w:t xml:space="preserve"> firesmart policies in the EU („Горските пожари — блестящи политики за интелигентно справяне с пожарите в ЕС“), Европейска комисия (2018 г.). </w:t>
      </w:r>
    </w:p>
  </w:footnote>
  <w:footnote w:id="56">
    <w:p w:rsidR="00534131" w:rsidRDefault="00A12529">
      <w:pPr>
        <w:pStyle w:val="FootnoteText"/>
      </w:pPr>
      <w:r>
        <w:rPr>
          <w:rStyle w:val="FootnoteReference"/>
        </w:rPr>
        <w:footnoteRef/>
      </w:r>
      <w:r>
        <w:t xml:space="preserve"> ОИСР, 2018 г. Policy note Rural 3.0 – a framework for rural development (Бележка относно политиката в областта </w:t>
      </w:r>
      <w:r>
        <w:t xml:space="preserve">на селските райони 3.0 — рамка за развитие на селските райони). </w:t>
      </w:r>
    </w:p>
    <w:p w:rsidR="00534131" w:rsidRDefault="00A12529">
      <w:pPr>
        <w:pStyle w:val="FootnoteText"/>
      </w:pPr>
      <w:hyperlink r:id="rId23" w:history="1">
        <w:r>
          <w:rPr>
            <w:rStyle w:val="Hyperlink"/>
          </w:rPr>
          <w:t>https://www.oecd.org/cfe/regional-policy/Rural-3.0-Policy-Note.pdf</w:t>
        </w:r>
      </w:hyperlink>
      <w:r>
        <w:t xml:space="preserve"> </w:t>
      </w:r>
    </w:p>
  </w:footnote>
  <w:footnote w:id="57">
    <w:p w:rsidR="00534131" w:rsidRDefault="00A12529">
      <w:pPr>
        <w:pStyle w:val="FootnoteText"/>
      </w:pPr>
      <w:r>
        <w:rPr>
          <w:rStyle w:val="FootnoteReference"/>
        </w:rPr>
        <w:footnoteRef/>
      </w:r>
      <w:r>
        <w:t xml:space="preserve"> </w:t>
      </w:r>
      <w:hyperlink r:id="rId24" w:history="1">
        <w:r>
          <w:rPr>
            <w:rStyle w:val="Hyperlink"/>
          </w:rPr>
          <w:t>https://ec.europa.eu/regional_policy/bg/information/publications/reg</w:t>
        </w:r>
        <w:r>
          <w:rPr>
            <w:rStyle w:val="Hyperlink"/>
          </w:rPr>
          <w:t>ional-focus/2008/remote-rural-regions-how-proximity-to-a-city-influences-the-performance-of-rural-regions</w:t>
        </w:r>
      </w:hyperlink>
      <w:r>
        <w:t xml:space="preserve"> </w:t>
      </w:r>
    </w:p>
  </w:footnote>
  <w:footnote w:id="58">
    <w:p w:rsidR="00534131" w:rsidRDefault="00A12529">
      <w:pPr>
        <w:pStyle w:val="FootnoteText"/>
      </w:pPr>
      <w:r>
        <w:rPr>
          <w:rStyle w:val="FootnoteReference"/>
        </w:rPr>
        <w:footnoteRef/>
      </w:r>
      <w:r>
        <w:t xml:space="preserve"> За повече информация вж.: </w:t>
      </w:r>
      <w:hyperlink r:id="rId25" w:history="1">
        <w:r>
          <w:rPr>
            <w:rStyle w:val="Hyperlink"/>
          </w:rPr>
          <w:t>http://www.fao.org/global-perspectives-studies/en</w:t>
        </w:r>
      </w:hyperlink>
      <w:r>
        <w:t xml:space="preserve"> </w:t>
      </w:r>
    </w:p>
  </w:footnote>
  <w:footnote w:id="59">
    <w:p w:rsidR="00534131" w:rsidRDefault="00A12529">
      <w:pPr>
        <w:pStyle w:val="FootnoteText"/>
      </w:pPr>
      <w:r>
        <w:rPr>
          <w:rStyle w:val="FootnoteReference"/>
        </w:rPr>
        <w:footnoteRef/>
      </w:r>
      <w:r>
        <w:t xml:space="preserve"> За</w:t>
      </w:r>
      <w:r>
        <w:t xml:space="preserve"> повече информация вж.: </w:t>
      </w:r>
      <w:hyperlink r:id="rId26" w:history="1">
        <w:r>
          <w:rPr>
            <w:rStyle w:val="Hyperlink"/>
          </w:rPr>
          <w:t>https://ec.europa.eu/info/strategy/priorities-2019-2024/european-green-deal_bg</w:t>
        </w:r>
      </w:hyperlink>
      <w:r>
        <w:rPr>
          <w:color w:val="1F497D"/>
        </w:rPr>
        <w:t xml:space="preserve"> </w:t>
      </w:r>
    </w:p>
  </w:footnote>
  <w:footnote w:id="60">
    <w:p w:rsidR="00534131" w:rsidRDefault="00A12529">
      <w:pPr>
        <w:pStyle w:val="FootnoteText"/>
      </w:pPr>
      <w:r>
        <w:rPr>
          <w:rStyle w:val="FootnoteReference"/>
        </w:rPr>
        <w:footnoteRef/>
      </w:r>
      <w:r>
        <w:t xml:space="preserve"> За повече информация вж.: </w:t>
      </w:r>
      <w:hyperlink r:id="rId27" w:history="1">
        <w:r>
          <w:rPr>
            <w:rStyle w:val="Hyperlink"/>
          </w:rPr>
          <w:t>https://news.un.org/en/story/2019/07/1043551</w:t>
        </w:r>
      </w:hyperlink>
      <w:r>
        <w:t xml:space="preserve"> </w:t>
      </w:r>
    </w:p>
  </w:footnote>
  <w:footnote w:id="61">
    <w:p w:rsidR="00534131" w:rsidRDefault="00A12529">
      <w:pPr>
        <w:pStyle w:val="FootnoteText"/>
      </w:pPr>
      <w:r>
        <w:rPr>
          <w:rStyle w:val="FootnoteReference"/>
        </w:rPr>
        <w:footnoteRef/>
      </w:r>
      <w:r>
        <w:t xml:space="preserve"> За повече информация вж.: </w:t>
      </w:r>
      <w:hyperlink r:id="rId28" w:history="1">
        <w:r>
          <w:rPr>
            <w:rStyle w:val="Hyperlink"/>
          </w:rPr>
          <w:t>https://openknowledge.worldbank.org/handle/10986/29461</w:t>
        </w:r>
      </w:hyperlink>
      <w:r>
        <w:t xml:space="preserve"> </w:t>
      </w:r>
    </w:p>
  </w:footnote>
  <w:footnote w:id="62">
    <w:p w:rsidR="00534131" w:rsidRDefault="00A12529">
      <w:pPr>
        <w:pStyle w:val="FootnoteText"/>
      </w:pPr>
      <w:r>
        <w:rPr>
          <w:rStyle w:val="FootnoteReference"/>
        </w:rPr>
        <w:footnoteRef/>
      </w:r>
      <w:r>
        <w:t xml:space="preserve"> За повече информация </w:t>
      </w:r>
      <w:r>
        <w:t xml:space="preserve">относно прегледа за 2019 г. на публикацията на ООН „Перспективи за световното население“ вж.: </w:t>
      </w:r>
      <w:hyperlink r:id="rId29" w:history="1">
        <w:r>
          <w:rPr>
            <w:rStyle w:val="Hyperlink"/>
          </w:rPr>
          <w:t>https://population.un.org/wpp/</w:t>
        </w:r>
      </w:hyperlink>
    </w:p>
    <w:p w:rsidR="00534131" w:rsidRDefault="00534131">
      <w:pPr>
        <w:pStyle w:val="FootnoteText"/>
      </w:pPr>
    </w:p>
  </w:footnote>
  <w:footnote w:id="63">
    <w:p w:rsidR="00534131" w:rsidRDefault="00A12529">
      <w:pPr>
        <w:pStyle w:val="FootnoteText"/>
      </w:pPr>
      <w:r>
        <w:rPr>
          <w:rStyle w:val="FootnoteReference"/>
        </w:rPr>
        <w:footnoteRef/>
      </w:r>
      <w:r>
        <w:t xml:space="preserve"> Източник: Световната банка; данните за БВП, ППС (паритет на покупателната способн</w:t>
      </w:r>
      <w:r>
        <w:t>ост) са взети от базата данни Показатели за световното развитие.</w:t>
      </w:r>
    </w:p>
  </w:footnote>
  <w:footnote w:id="64">
    <w:p w:rsidR="00534131" w:rsidRDefault="00A12529">
      <w:pPr>
        <w:pStyle w:val="FootnoteText"/>
      </w:pPr>
      <w:r>
        <w:rPr>
          <w:rStyle w:val="FootnoteReference"/>
        </w:rPr>
        <w:footnoteRef/>
      </w:r>
      <w:r>
        <w:t xml:space="preserve"> JOIN(2020) 4 final, 9.3.2020 г.</w:t>
      </w:r>
    </w:p>
  </w:footnote>
  <w:footnote w:id="65">
    <w:p w:rsidR="00534131" w:rsidRDefault="00A12529">
      <w:r>
        <w:rPr>
          <w:rStyle w:val="FootnoteReference"/>
        </w:rPr>
        <w:footnoteRef/>
      </w:r>
      <w:r>
        <w:rPr>
          <w:rFonts w:ascii="Times New Roman" w:hAnsi="Times New Roman"/>
          <w:sz w:val="18"/>
          <w:szCs w:val="18"/>
        </w:rPr>
        <w:t xml:space="preserve"> </w:t>
      </w:r>
      <w:hyperlink r:id="rId30" w:history="1">
        <w:r>
          <w:rPr>
            <w:rStyle w:val="Hyperlink"/>
            <w:rFonts w:ascii="Times New Roman" w:hAnsi="Times New Roman"/>
            <w:sz w:val="18"/>
            <w:szCs w:val="18"/>
          </w:rPr>
          <w:t>https://ec.europa.eu/re</w:t>
        </w:r>
        <w:r>
          <w:rPr>
            <w:rStyle w:val="Hyperlink"/>
            <w:rFonts w:ascii="Times New Roman" w:hAnsi="Times New Roman"/>
            <w:sz w:val="18"/>
            <w:szCs w:val="18"/>
          </w:rPr>
          <w:t>gional_policy/bg/information/publications/working-papers/2018/the-geography-of-eu-discontent</w:t>
        </w:r>
      </w:hyperlink>
      <w:r>
        <w:rPr>
          <w:rFonts w:ascii="Times New Roman" w:hAnsi="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131" w:rsidRDefault="00534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F7"/>
    <w:multiLevelType w:val="multilevel"/>
    <w:tmpl w:val="D486AEA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EFB7115"/>
    <w:multiLevelType w:val="multilevel"/>
    <w:tmpl w:val="9AE2513C"/>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111D315F"/>
    <w:multiLevelType w:val="hybridMultilevel"/>
    <w:tmpl w:val="D9D2F188"/>
    <w:lvl w:ilvl="0" w:tplc="0809000F">
      <w:start w:val="4"/>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0B7201"/>
    <w:multiLevelType w:val="multilevel"/>
    <w:tmpl w:val="76D0A3B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62685D"/>
    <w:multiLevelType w:val="multilevel"/>
    <w:tmpl w:val="C068DFE4"/>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43D0A16"/>
    <w:multiLevelType w:val="multilevel"/>
    <w:tmpl w:val="C346FAF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72F0AC5"/>
    <w:multiLevelType w:val="multilevel"/>
    <w:tmpl w:val="E94A4A3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C7B624F"/>
    <w:multiLevelType w:val="multilevel"/>
    <w:tmpl w:val="9D506B74"/>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2C8DFDF8"/>
    <w:multiLevelType w:val="multilevel"/>
    <w:tmpl w:val="886C261E"/>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2D293CE3"/>
    <w:multiLevelType w:val="multilevel"/>
    <w:tmpl w:val="256E4D4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36324F1E"/>
    <w:multiLevelType w:val="multilevel"/>
    <w:tmpl w:val="68AE4384"/>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37CB1E1C"/>
    <w:multiLevelType w:val="multilevel"/>
    <w:tmpl w:val="B60457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3A7730C4"/>
    <w:multiLevelType w:val="multilevel"/>
    <w:tmpl w:val="D6FC2BB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429E662A"/>
    <w:multiLevelType w:val="multilevel"/>
    <w:tmpl w:val="2D4C222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4E1A982C"/>
    <w:multiLevelType w:val="multilevel"/>
    <w:tmpl w:val="DC1A72A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5072619B"/>
    <w:multiLevelType w:val="multilevel"/>
    <w:tmpl w:val="7F3CB8D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53A234F1"/>
    <w:multiLevelType w:val="hybridMultilevel"/>
    <w:tmpl w:val="718EA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977472E"/>
    <w:multiLevelType w:val="multilevel"/>
    <w:tmpl w:val="FCB42AC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7B0D7648"/>
    <w:multiLevelType w:val="hybridMultilevel"/>
    <w:tmpl w:val="F2624902"/>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7C65145E"/>
    <w:multiLevelType w:val="multilevel"/>
    <w:tmpl w:val="2BF24F5C"/>
    <w:name w:val="EurolookHeading"/>
    <w:lvl w:ilvl="0">
      <w:start w:val="1"/>
      <w:numFmt w:val="decimal"/>
      <w:pStyle w:val="Heading1"/>
      <w:lvlText w:val="%1."/>
      <w:lvlJc w:val="left"/>
      <w:pPr>
        <w:tabs>
          <w:tab w:val="num" w:pos="624"/>
        </w:tabs>
        <w:ind w:left="624" w:hanging="482"/>
      </w:pPr>
      <w:rPr>
        <w:color w:val="auto"/>
        <w:sz w:val="28"/>
      </w:r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0"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0"/>
  </w:num>
  <w:num w:numId="2">
    <w:abstractNumId w:val="10"/>
  </w:num>
  <w:num w:numId="3">
    <w:abstractNumId w:val="7"/>
  </w:num>
  <w:num w:numId="4">
    <w:abstractNumId w:val="11"/>
  </w:num>
  <w:num w:numId="5">
    <w:abstractNumId w:val="15"/>
  </w:num>
  <w:num w:numId="6">
    <w:abstractNumId w:val="17"/>
  </w:num>
  <w:num w:numId="7">
    <w:abstractNumId w:val="1"/>
  </w:num>
  <w:num w:numId="8">
    <w:abstractNumId w:val="6"/>
  </w:num>
  <w:num w:numId="9">
    <w:abstractNumId w:val="13"/>
  </w:num>
  <w:num w:numId="10">
    <w:abstractNumId w:val="3"/>
  </w:num>
  <w:num w:numId="11">
    <w:abstractNumId w:val="4"/>
  </w:num>
  <w:num w:numId="12">
    <w:abstractNumId w:val="5"/>
  </w:num>
  <w:num w:numId="13">
    <w:abstractNumId w:val="8"/>
  </w:num>
  <w:num w:numId="14">
    <w:abstractNumId w:val="12"/>
  </w:num>
  <w:num w:numId="15">
    <w:abstractNumId w:val="14"/>
  </w:num>
  <w:num w:numId="16">
    <w:abstractNumId w:val="19"/>
  </w:num>
  <w:num w:numId="17">
    <w:abstractNumId w:val="9"/>
  </w:num>
  <w:num w:numId="18">
    <w:abstractNumId w:val="20"/>
  </w:num>
  <w:num w:numId="19">
    <w:abstractNumId w:val="2"/>
  </w:num>
  <w:num w:numId="20">
    <w:abstractNumId w:val="1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hideSpellingErrors/>
  <w:hideGrammaticalErrors/>
  <w:defaultTabStop w:val="72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D330689-DE40-43BA-80B5-8FADD55B1F0B"/>
    <w:docVar w:name="LW_COVERPAGE_TYPE" w:val="1"/>
    <w:docVar w:name="LW_CROSSREFERENCE" w:val="{SWD(2020) 109 final}"/>
    <w:docVar w:name="LW_DocType" w:val="NORMAL"/>
    <w:docVar w:name="LW_EMISSION" w:val="17.6.2020"/>
    <w:docVar w:name="LW_EMISSION_ISODATE" w:val="2020-06-17"/>
    <w:docVar w:name="LW_EMISSION_LOCATION" w:val="BRX"/>
    <w:docVar w:name="LW_EMISSION_PREFIX" w:val="Брюксел, "/>
    <w:docVar w:name="LW_EMISSION_SUFFIX" w:val=" \u1075?."/>
    <w:docVar w:name="LW_ID_DOCTYPE_NONLW" w:val="CP-008"/>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2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u1086?\u1090?\u1085?\u1086?\u1089?\u1085?\u1086? \u1074?\u1098?\u1079?\u1076?\u1077?\u1081?\u1089?\u1090?\u1074?\u1080?\u1077?\u1090?\u1086? \u1085?\u1072? \u1076?\u1077?\u1084?\u1086?\u1075?\u1088?\u1072?\u1092?\u1089?\u1082?\u1080?\u1090?\u1077? \u1087?\u1088?\u1086?\u1084?\u1077?\u1085?\u1080?&lt;/FMT&gt;"/>
    <w:docVar w:name="LW_TYPE.DOC.CP" w:val="\u1044?\u1054?\u1050?\u1051?\u1040?\u1044?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w:rsids>
    <w:rsidRoot w:val="00534131"/>
    <w:rsid w:val="00534131"/>
    <w:rsid w:val="00A12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0" w:qFormat="1"/>
    <w:lsdException w:name="heading 2" w:semiHidden="1" w:uiPriority="90" w:unhideWhenUsed="1" w:qFormat="1"/>
    <w:lsdException w:name="heading 3" w:semiHidden="1" w:uiPriority="90" w:unhideWhenUsed="1" w:qFormat="1"/>
    <w:lsdException w:name="heading 4" w:semiHidden="1" w:uiPriority="9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Text1"/>
    <w:link w:val="Heading1Char"/>
    <w:uiPriority w:val="90"/>
    <w:qFormat/>
    <w:pPr>
      <w:keepNext/>
      <w:numPr>
        <w:numId w:val="16"/>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jc w:val="both"/>
      <w:outlineLvl w:val="1"/>
    </w:pPr>
    <w:rPr>
      <w:rFonts w:ascii="Times New Roman" w:hAnsi="Times New Roman" w:cs="Times New Roman"/>
      <w:b/>
      <w:sz w:val="24"/>
      <w:szCs w:val="24"/>
    </w:rPr>
  </w:style>
  <w:style w:type="paragraph" w:styleId="Heading3">
    <w:name w:val="heading 3"/>
    <w:basedOn w:val="Normal"/>
    <w:next w:val="Text3"/>
    <w:link w:val="Heading3Char"/>
    <w:uiPriority w:val="90"/>
    <w:qFormat/>
    <w:pPr>
      <w:jc w:val="both"/>
      <w:outlineLvl w:val="2"/>
    </w:pPr>
    <w:rPr>
      <w:rFonts w:ascii="Times New Roman" w:hAnsi="Times New Roman" w:cs="Times New Roman"/>
      <w:b/>
      <w:sz w:val="24"/>
      <w:szCs w:val="24"/>
    </w:rPr>
  </w:style>
  <w:style w:type="paragraph" w:styleId="Heading4">
    <w:name w:val="heading 4"/>
    <w:basedOn w:val="Normal"/>
    <w:next w:val="Text4"/>
    <w:link w:val="Heading4Char"/>
    <w:uiPriority w:val="90"/>
    <w:qFormat/>
    <w:pPr>
      <w:keepNext/>
      <w:numPr>
        <w:ilvl w:val="3"/>
        <w:numId w:val="16"/>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16"/>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16"/>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16"/>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16"/>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16"/>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hAnsi="Times New Roman" w:cs="Times New Roman"/>
      <w:b/>
      <w:sz w:val="24"/>
      <w:szCs w:val="24"/>
      <w:lang w:val="bg-BG"/>
    </w:rPr>
  </w:style>
  <w:style w:type="character" w:customStyle="1" w:styleId="Heading3Char">
    <w:name w:val="Heading 3 Char"/>
    <w:basedOn w:val="DefaultParagraphFont"/>
    <w:link w:val="Heading3"/>
    <w:uiPriority w:val="90"/>
    <w:rPr>
      <w:rFonts w:ascii="Times New Roman" w:hAnsi="Times New Roman" w:cs="Times New Roman"/>
      <w:b/>
      <w:sz w:val="24"/>
      <w:szCs w:val="24"/>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line="264" w:lineRule="auto"/>
      <w:jc w:val="both"/>
    </w:pPr>
    <w:rPr>
      <w:rFonts w:ascii="Times New Roman" w:eastAsia="Times New Roman" w:hAnsi="Times New Roman" w:cs="Times New Roman"/>
      <w:sz w:val="16"/>
      <w:szCs w:val="20"/>
      <w:lang w:eastAsia="en-GB"/>
    </w:r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qFormat/>
    <w:pPr>
      <w:spacing w:after="0" w:line="240" w:lineRule="auto"/>
    </w:pPr>
    <w:rPr>
      <w:rFonts w:ascii="Times New Roman" w:eastAsia="Times New Roman" w:hAnsi="Times New Roman" w:cs="Times New Roman"/>
      <w:sz w:val="18"/>
      <w:szCs w:val="16"/>
      <w:lang w:eastAsia="en-GB"/>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rPr>
      <w:rFonts w:ascii="Times New Roman" w:eastAsia="Times New Roman" w:hAnsi="Times New Roman" w:cs="Times New Roman"/>
      <w:sz w:val="18"/>
      <w:szCs w:val="16"/>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qFormat/>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outlineLvl w:val="9"/>
    </w:pPr>
    <w:rPr>
      <w:b w:val="0"/>
    </w:rPr>
  </w:style>
  <w:style w:type="paragraph" w:customStyle="1" w:styleId="NumPar3">
    <w:name w:val="NumPar 3"/>
    <w:basedOn w:val="Heading3"/>
    <w:uiPriority w:val="90"/>
    <w:qFormat/>
    <w:pPr>
      <w:outlineLvl w:val="9"/>
    </w:pPr>
    <w:rPr>
      <w:i/>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uiPriority w:val="39"/>
    <w:qFormat/>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39"/>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uiPriority w:val="39"/>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uiPriority w:val="39"/>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15"/>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unhideWhenUsed/>
    <w:pPr>
      <w:numPr>
        <w:ilvl w:val="2"/>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unhideWhenUsed/>
    <w:pPr>
      <w:numPr>
        <w:ilvl w:val="3"/>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unhideWhenUsed/>
    <w:pPr>
      <w:numPr>
        <w:ilvl w:val="2"/>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unhideWhenUsed/>
    <w:pPr>
      <w:numPr>
        <w:ilvl w:val="3"/>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after="240"/>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7"/>
      </w:numPr>
      <w:spacing w:after="240" w:line="360" w:lineRule="auto"/>
      <w:jc w:val="both"/>
    </w:pP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Footnote#"/>
    <w:basedOn w:val="DefaultParagraphFont"/>
    <w:link w:val="Appelnotedebasdepage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pPr>
      <w:spacing w:before="100" w:beforeAutospacing="1" w:after="100" w:afterAutospacing="1" w:line="240" w:lineRule="auto"/>
    </w:pPr>
    <w:rPr>
      <w:rFonts w:ascii="Times" w:hAnsi="Times"/>
      <w:sz w:val="20"/>
      <w:szCs w:val="20"/>
    </w:rPr>
  </w:style>
  <w:style w:type="paragraph" w:customStyle="1" w:styleId="s77">
    <w:name w:val="s77"/>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76">
    <w:name w:val="s76"/>
    <w:basedOn w:val="DefaultParagraphFont"/>
  </w:style>
  <w:style w:type="character" w:customStyle="1" w:styleId="s91">
    <w:name w:val="s91"/>
    <w:basedOn w:val="DefaultParagraphFont"/>
  </w:style>
  <w:style w:type="paragraph" w:customStyle="1" w:styleId="TableText">
    <w:name w:val="Table Text"/>
    <w:basedOn w:val="Normal"/>
    <w:uiPriority w:val="90"/>
    <w:qFormat/>
    <w:pPr>
      <w:spacing w:before="60" w:after="60" w:line="264" w:lineRule="auto"/>
      <w:jc w:val="both"/>
    </w:pPr>
    <w:rPr>
      <w:rFonts w:ascii="Times New Roman" w:eastAsia="Times New Roman" w:hAnsi="Times New Roman" w:cs="Times New Roman"/>
      <w:szCs w:val="20"/>
    </w:rPr>
  </w:style>
  <w:style w:type="paragraph" w:customStyle="1" w:styleId="FITTable">
    <w:name w:val="FIT Table"/>
    <w:basedOn w:val="Normal"/>
    <w:pPr>
      <w:spacing w:before="60" w:after="60" w:line="264" w:lineRule="auto"/>
      <w:jc w:val="both"/>
    </w:pPr>
    <w:rPr>
      <w:rFonts w:ascii="Times New Roman" w:eastAsia="Times New Roman" w:hAnsi="Times New Roman" w:cs="Times New Roman"/>
      <w:szCs w:val="20"/>
    </w:rPr>
  </w:style>
  <w:style w:type="paragraph" w:customStyle="1" w:styleId="GlossaryHeading">
    <w:name w:val="GlossaryHeading"/>
    <w:basedOn w:val="Normal"/>
    <w:pPr>
      <w:spacing w:after="480" w:line="264" w:lineRule="auto"/>
      <w:jc w:val="center"/>
      <w:outlineLvl w:val="0"/>
    </w:pPr>
    <w:rPr>
      <w:rFonts w:ascii="Times New Roman Bold" w:eastAsia="Times New Roman" w:hAnsi="Times New Roman Bold" w:cs="Times New Roman"/>
      <w:b/>
      <w:sz w:val="32"/>
      <w:szCs w:val="20"/>
    </w:rPr>
  </w:style>
  <w:style w:type="paragraph" w:customStyle="1" w:styleId="Glossary">
    <w:name w:val="Glossary"/>
    <w:basedOn w:val="Normal"/>
    <w:uiPriority w:val="90"/>
    <w:qFormat/>
    <w:pPr>
      <w:tabs>
        <w:tab w:val="left" w:pos="2835"/>
      </w:tabs>
      <w:spacing w:after="120" w:line="264" w:lineRule="auto"/>
      <w:ind w:left="2835" w:hanging="2835"/>
    </w:pPr>
    <w:rPr>
      <w:rFonts w:ascii="Times New Roman" w:eastAsia="Times New Roman" w:hAnsi="Times New Roman" w:cs="Times New Roman"/>
      <w:szCs w:val="20"/>
    </w:rPr>
  </w:style>
  <w:style w:type="paragraph" w:customStyle="1" w:styleId="Citation">
    <w:name w:val="Citation"/>
    <w:basedOn w:val="Normal"/>
    <w:link w:val="CitationChar"/>
    <w:uiPriority w:val="90"/>
    <w:qFormat/>
    <w:pPr>
      <w:spacing w:after="120" w:line="264" w:lineRule="auto"/>
      <w:ind w:left="454" w:right="454"/>
      <w:jc w:val="both"/>
    </w:pPr>
    <w:rPr>
      <w:rFonts w:ascii="Times New Roman" w:eastAsia="Times New Roman" w:hAnsi="Times New Roman" w:cs="Times New Roman"/>
      <w:i/>
      <w:szCs w:val="20"/>
    </w:rPr>
  </w:style>
  <w:style w:type="character" w:customStyle="1" w:styleId="CitationChar">
    <w:name w:val="Citation Char"/>
    <w:link w:val="Citation"/>
    <w:uiPriority w:val="90"/>
    <w:qFormat/>
    <w:rPr>
      <w:rFonts w:ascii="Times New Roman" w:eastAsia="Times New Roman" w:hAnsi="Times New Roman" w:cs="Times New Roman"/>
      <w:i/>
      <w:szCs w:val="20"/>
    </w:rPr>
  </w:style>
  <w:style w:type="table" w:customStyle="1" w:styleId="PropertiesTable">
    <w:name w:val="Properties Table"/>
    <w:basedOn w:val="TableNormal"/>
    <w:uiPriority w:val="99"/>
    <w:pPr>
      <w:spacing w:after="120" w:line="264" w:lineRule="auto"/>
    </w:pPr>
    <w:rPr>
      <w:rFonts w:ascii="Times New Roman" w:eastAsia="Times New Roman" w:hAnsi="Times New Roman" w:cs="Times New Roman"/>
      <w:sz w:val="24"/>
      <w:szCs w:val="20"/>
    </w:rPr>
    <w:tblPr>
      <w:tblInd w:w="1984" w:type="dxa"/>
    </w:tbl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bg-BG"/>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numbering" w:customStyle="1" w:styleId="NoList1">
    <w:name w:val="No List1"/>
    <w:next w:val="NoList"/>
    <w:uiPriority w:val="99"/>
    <w:semiHidden/>
    <w:unhideWhenUsed/>
  </w:style>
  <w:style w:type="paragraph" w:customStyle="1" w:styleId="BVIfnrCharCharCharChar">
    <w:name w:val="BVI fnr Char Char Char Char"/>
    <w:aliases w:val="BVI fnr Car Car Char Char Char Char,BVI fnr Car Char Char Char Char,BVI fnr Car Car Car Car Char Char Char Char"/>
    <w:basedOn w:val="Normal"/>
    <w:uiPriority w:val="99"/>
    <w:pPr>
      <w:spacing w:after="160" w:line="240" w:lineRule="exact"/>
    </w:pPr>
    <w:rPr>
      <w:rFonts w:ascii="Times New Roman" w:eastAsia="Times New Roman" w:hAnsi="Times New Roman" w:cs="Times New Roman"/>
      <w:sz w:val="24"/>
      <w:szCs w:val="20"/>
      <w:vertAlign w:val="superscript"/>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59614">
      <w:bodyDiv w:val="1"/>
      <w:marLeft w:val="0"/>
      <w:marRight w:val="0"/>
      <w:marTop w:val="0"/>
      <w:marBottom w:val="0"/>
      <w:divBdr>
        <w:top w:val="none" w:sz="0" w:space="0" w:color="auto"/>
        <w:left w:val="none" w:sz="0" w:space="0" w:color="auto"/>
        <w:bottom w:val="none" w:sz="0" w:space="0" w:color="auto"/>
        <w:right w:val="none" w:sz="0" w:space="0" w:color="auto"/>
      </w:divBdr>
    </w:div>
    <w:div w:id="258292327">
      <w:bodyDiv w:val="1"/>
      <w:marLeft w:val="0"/>
      <w:marRight w:val="0"/>
      <w:marTop w:val="0"/>
      <w:marBottom w:val="0"/>
      <w:divBdr>
        <w:top w:val="none" w:sz="0" w:space="0" w:color="auto"/>
        <w:left w:val="none" w:sz="0" w:space="0" w:color="auto"/>
        <w:bottom w:val="none" w:sz="0" w:space="0" w:color="auto"/>
        <w:right w:val="none" w:sz="0" w:space="0" w:color="auto"/>
      </w:divBdr>
    </w:div>
    <w:div w:id="396440200">
      <w:bodyDiv w:val="1"/>
      <w:marLeft w:val="0"/>
      <w:marRight w:val="0"/>
      <w:marTop w:val="0"/>
      <w:marBottom w:val="0"/>
      <w:divBdr>
        <w:top w:val="none" w:sz="0" w:space="0" w:color="auto"/>
        <w:left w:val="none" w:sz="0" w:space="0" w:color="auto"/>
        <w:bottom w:val="none" w:sz="0" w:space="0" w:color="auto"/>
        <w:right w:val="none" w:sz="0" w:space="0" w:color="auto"/>
      </w:divBdr>
    </w:div>
    <w:div w:id="514150291">
      <w:bodyDiv w:val="1"/>
      <w:marLeft w:val="0"/>
      <w:marRight w:val="0"/>
      <w:marTop w:val="0"/>
      <w:marBottom w:val="0"/>
      <w:divBdr>
        <w:top w:val="none" w:sz="0" w:space="0" w:color="auto"/>
        <w:left w:val="none" w:sz="0" w:space="0" w:color="auto"/>
        <w:bottom w:val="none" w:sz="0" w:space="0" w:color="auto"/>
        <w:right w:val="none" w:sz="0" w:space="0" w:color="auto"/>
      </w:divBdr>
    </w:div>
    <w:div w:id="526867492">
      <w:bodyDiv w:val="1"/>
      <w:marLeft w:val="0"/>
      <w:marRight w:val="0"/>
      <w:marTop w:val="0"/>
      <w:marBottom w:val="0"/>
      <w:divBdr>
        <w:top w:val="none" w:sz="0" w:space="0" w:color="auto"/>
        <w:left w:val="none" w:sz="0" w:space="0" w:color="auto"/>
        <w:bottom w:val="none" w:sz="0" w:space="0" w:color="auto"/>
        <w:right w:val="none" w:sz="0" w:space="0" w:color="auto"/>
      </w:divBdr>
    </w:div>
    <w:div w:id="1204517692">
      <w:bodyDiv w:val="1"/>
      <w:marLeft w:val="0"/>
      <w:marRight w:val="0"/>
      <w:marTop w:val="0"/>
      <w:marBottom w:val="0"/>
      <w:divBdr>
        <w:top w:val="none" w:sz="0" w:space="0" w:color="auto"/>
        <w:left w:val="none" w:sz="0" w:space="0" w:color="auto"/>
        <w:bottom w:val="none" w:sz="0" w:space="0" w:color="auto"/>
        <w:right w:val="none" w:sz="0" w:space="0" w:color="auto"/>
      </w:divBdr>
    </w:div>
    <w:div w:id="1284843426">
      <w:bodyDiv w:val="1"/>
      <w:marLeft w:val="0"/>
      <w:marRight w:val="0"/>
      <w:marTop w:val="0"/>
      <w:marBottom w:val="0"/>
      <w:divBdr>
        <w:top w:val="none" w:sz="0" w:space="0" w:color="auto"/>
        <w:left w:val="none" w:sz="0" w:space="0" w:color="auto"/>
        <w:bottom w:val="none" w:sz="0" w:space="0" w:color="auto"/>
        <w:right w:val="none" w:sz="0" w:space="0" w:color="auto"/>
      </w:divBdr>
    </w:div>
    <w:div w:id="1311859669">
      <w:bodyDiv w:val="1"/>
      <w:marLeft w:val="0"/>
      <w:marRight w:val="0"/>
      <w:marTop w:val="0"/>
      <w:marBottom w:val="0"/>
      <w:divBdr>
        <w:top w:val="none" w:sz="0" w:space="0" w:color="auto"/>
        <w:left w:val="none" w:sz="0" w:space="0" w:color="auto"/>
        <w:bottom w:val="none" w:sz="0" w:space="0" w:color="auto"/>
        <w:right w:val="none" w:sz="0" w:space="0" w:color="auto"/>
      </w:divBdr>
    </w:div>
    <w:div w:id="1360005866">
      <w:bodyDiv w:val="1"/>
      <w:marLeft w:val="0"/>
      <w:marRight w:val="0"/>
      <w:marTop w:val="0"/>
      <w:marBottom w:val="0"/>
      <w:divBdr>
        <w:top w:val="none" w:sz="0" w:space="0" w:color="auto"/>
        <w:left w:val="none" w:sz="0" w:space="0" w:color="auto"/>
        <w:bottom w:val="none" w:sz="0" w:space="0" w:color="auto"/>
        <w:right w:val="none" w:sz="0" w:space="0" w:color="auto"/>
      </w:divBdr>
    </w:div>
    <w:div w:id="1433012372">
      <w:bodyDiv w:val="1"/>
      <w:marLeft w:val="0"/>
      <w:marRight w:val="0"/>
      <w:marTop w:val="0"/>
      <w:marBottom w:val="0"/>
      <w:divBdr>
        <w:top w:val="none" w:sz="0" w:space="0" w:color="auto"/>
        <w:left w:val="none" w:sz="0" w:space="0" w:color="auto"/>
        <w:bottom w:val="none" w:sz="0" w:space="0" w:color="auto"/>
        <w:right w:val="none" w:sz="0" w:space="0" w:color="auto"/>
      </w:divBdr>
    </w:div>
    <w:div w:id="1450397417">
      <w:bodyDiv w:val="1"/>
      <w:marLeft w:val="0"/>
      <w:marRight w:val="0"/>
      <w:marTop w:val="0"/>
      <w:marBottom w:val="0"/>
      <w:divBdr>
        <w:top w:val="none" w:sz="0" w:space="0" w:color="auto"/>
        <w:left w:val="none" w:sz="0" w:space="0" w:color="auto"/>
        <w:bottom w:val="none" w:sz="0" w:space="0" w:color="auto"/>
        <w:right w:val="none" w:sz="0" w:space="0" w:color="auto"/>
      </w:divBdr>
    </w:div>
    <w:div w:id="1876768501">
      <w:bodyDiv w:val="1"/>
      <w:marLeft w:val="0"/>
      <w:marRight w:val="0"/>
      <w:marTop w:val="0"/>
      <w:marBottom w:val="0"/>
      <w:divBdr>
        <w:top w:val="none" w:sz="0" w:space="0" w:color="auto"/>
        <w:left w:val="none" w:sz="0" w:space="0" w:color="auto"/>
        <w:bottom w:val="none" w:sz="0" w:space="0" w:color="auto"/>
        <w:right w:val="none" w:sz="0" w:space="0" w:color="auto"/>
      </w:divBdr>
    </w:div>
    <w:div w:id="1926303820">
      <w:bodyDiv w:val="1"/>
      <w:marLeft w:val="0"/>
      <w:marRight w:val="0"/>
      <w:marTop w:val="0"/>
      <w:marBottom w:val="0"/>
      <w:divBdr>
        <w:top w:val="none" w:sz="0" w:space="0" w:color="auto"/>
        <w:left w:val="none" w:sz="0" w:space="0" w:color="auto"/>
        <w:bottom w:val="none" w:sz="0" w:space="0" w:color="auto"/>
        <w:right w:val="none" w:sz="0" w:space="0" w:color="auto"/>
      </w:divBdr>
    </w:div>
    <w:div w:id="207030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4.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header" Target="header6.xml"/><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statistics-explained/index.php?title=Population_and_population_change_statistics" TargetMode="External"/><Relationship Id="rId13" Type="http://schemas.openxmlformats.org/officeDocument/2006/relationships/hyperlink" Target="https://data.consilium.europa.eu/doc/document/ST-12983-2013-INIT/en/pdf" TargetMode="External"/><Relationship Id="rId18" Type="http://schemas.openxmlformats.org/officeDocument/2006/relationships/hyperlink" Target="http://publications.jrc.ec.europa.eu/repository/handle/JRC120680" TargetMode="External"/><Relationship Id="rId26" Type="http://schemas.openxmlformats.org/officeDocument/2006/relationships/hyperlink" Target="https://ec.europa.eu/info/strategy/priorities-2019-2024/european-green-deal_bg" TargetMode="External"/><Relationship Id="rId3" Type="http://schemas.openxmlformats.org/officeDocument/2006/relationships/hyperlink" Target="https://ec.europa.eu/eurostat/statistics-explained/pdfscache/1101.pdf" TargetMode="External"/><Relationship Id="rId21" Type="http://schemas.openxmlformats.org/officeDocument/2006/relationships/hyperlink" Target="https://ec.europa.eu/regional_policy/en/information/publications/regional-focus/2018/access-to-universities-in-the-eu-a-regional-and-territorial-analysis" TargetMode="External"/><Relationship Id="rId7" Type="http://schemas.openxmlformats.org/officeDocument/2006/relationships/hyperlink" Target="https://ec.europa.eu/eurostat/statistics-explained/index.php?title=Migration_and_migrant_population_statistics/bg" TargetMode="External"/><Relationship Id="rId12" Type="http://schemas.openxmlformats.org/officeDocument/2006/relationships/hyperlink" Target="https://ec.europa.eu/health/funding/eu4health_bg" TargetMode="External"/><Relationship Id="rId17" Type="http://schemas.openxmlformats.org/officeDocument/2006/relationships/hyperlink" Target="https://ec.europa.eu/eurostat/statistics-explained/index.php/Glossary:Material_deprivation" TargetMode="External"/><Relationship Id="rId25" Type="http://schemas.openxmlformats.org/officeDocument/2006/relationships/hyperlink" Target="http://www.fao.org/global-perspectives-studies/en" TargetMode="External"/><Relationship Id="rId2" Type="http://schemas.openxmlformats.org/officeDocument/2006/relationships/hyperlink" Target="https://ec.europa.eu/eurostat/web/population-demography-migration-projections/population-projections-data" TargetMode="External"/><Relationship Id="rId16" Type="http://schemas.openxmlformats.org/officeDocument/2006/relationships/hyperlink" Target="https://ec.europa.eu/eip/ageing/about-the-partnership_en" TargetMode="External"/><Relationship Id="rId20" Type="http://schemas.openxmlformats.org/officeDocument/2006/relationships/hyperlink" Target="https://ec.europa.eu/info/publications/mff-legislation_en" TargetMode="External"/><Relationship Id="rId29" Type="http://schemas.openxmlformats.org/officeDocument/2006/relationships/hyperlink" Target="https://population.un.org/wpp/" TargetMode="External"/><Relationship Id="rId1" Type="http://schemas.openxmlformats.org/officeDocument/2006/relationships/hyperlink" Target="https://ec.europa.eu/eurostat/statistics-explained/index.php?title=Mortality_and_life_expectancy_statistics" TargetMode="External"/><Relationship Id="rId6" Type="http://schemas.openxmlformats.org/officeDocument/2006/relationships/hyperlink" Target="https://ec.europa.eu/eurostat/statistics-explained/index.php?title=Population_structure_and_ageing/bg" TargetMode="External"/><Relationship Id="rId11" Type="http://schemas.openxmlformats.org/officeDocument/2006/relationships/hyperlink" Target="https://www.ecdc.europa.eu/en/cases-2019-ncov-eueea" TargetMode="External"/><Relationship Id="rId24" Type="http://schemas.openxmlformats.org/officeDocument/2006/relationships/hyperlink" Target="https://ec.europa.eu/regional_policy/bg/information/publications/regional-focus/2008/remote-rural-regions-how-proximity-to-a-city-influences-the-performance-of-rural-regions" TargetMode="External"/><Relationship Id="rId5" Type="http://schemas.openxmlformats.org/officeDocument/2006/relationships/hyperlink" Target="https://ec.europa.eu/eurostat/statistics-explained/index.php?title=Fertility_statistics" TargetMode="External"/><Relationship Id="rId15" Type="http://schemas.openxmlformats.org/officeDocument/2006/relationships/hyperlink" Target="https://www.oecd.org/els/health-systems/who-cares-attracting-and-retaining-elderly-care-workers-92c0ef68-en.htm" TargetMode="External"/><Relationship Id="rId23" Type="http://schemas.openxmlformats.org/officeDocument/2006/relationships/hyperlink" Target="https://www.oecd.org/cfe/regional-policy/Rural-3.0-Policy-Note.pdf" TargetMode="External"/><Relationship Id="rId28" Type="http://schemas.openxmlformats.org/officeDocument/2006/relationships/hyperlink" Target="https://openknowledge.worldbank.org/handle/10986/29461" TargetMode="External"/><Relationship Id="rId10" Type="http://schemas.openxmlformats.org/officeDocument/2006/relationships/hyperlink" Target="https://ec.europa.eu/info/publications/economy-finance/economists-musings-human-capital-investment-how-efficient-public-spending-education-eu-member-states_en" TargetMode="External"/><Relationship Id="rId19" Type="http://schemas.openxmlformats.org/officeDocument/2006/relationships/hyperlink" Target="https://urldefense.com/v3/__https:/doi.org/10.1787/b902cc00-en__;!!DOxrgLBm!XIOlO0824qKuoP5_CkmxzkAXuVqDihmiPLY6WWZqia09gnpYwaWx4PkOST04llZWbklw13At$" TargetMode="External"/><Relationship Id="rId4" Type="http://schemas.openxmlformats.org/officeDocument/2006/relationships/hyperlink" Target="https://ec.europa.eu/health/state/glance_bg" TargetMode="External"/><Relationship Id="rId9" Type="http://schemas.openxmlformats.org/officeDocument/2006/relationships/hyperlink" Target="https://ec.europa.eu/eurostat/web/population-demography-migration-projections/population-projections-data" TargetMode="External"/><Relationship Id="rId14" Type="http://schemas.openxmlformats.org/officeDocument/2006/relationships/hyperlink" Target="https://ec.europa.eu/food/farm2fork_en" TargetMode="External"/><Relationship Id="rId22" Type="http://schemas.openxmlformats.org/officeDocument/2006/relationships/hyperlink" Target="https://urban.jrc.ec.europa.eu/thefutureofcities/ageing" TargetMode="External"/><Relationship Id="rId27" Type="http://schemas.openxmlformats.org/officeDocument/2006/relationships/hyperlink" Target="https://news.un.org/en/story/2019/07/1043551" TargetMode="External"/><Relationship Id="rId30" Type="http://schemas.openxmlformats.org/officeDocument/2006/relationships/hyperlink" Target="https://ec.europa.eu/regional_policy/bg/information/publications/working-papers/2018/the-geography-of-eu-dis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B1FEC-F3B8-471B-B921-07390E44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9607</Words>
  <Characters>53995</Characters>
  <Application>Microsoft Office Word</Application>
  <DocSecurity>0</DocSecurity>
  <Lines>899</Lines>
  <Paragraphs>221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2020-06-15T16:46:00Z</dcterms:created>
  <dcterms:modified xsi:type="dcterms:W3CDTF">2020-06-25T10:16:00Z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CP-008</vt:lpwstr>
  </property>
</Properties>
</file>