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4A07902-881D-42F9-A192-0EC2A635A040" style="width:450.95pt;height:334.25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2"/>
          <w:cols w:space="720"/>
          <w:docGrid w:linePitch="326"/>
        </w:sectPr>
      </w:pPr>
    </w:p>
    <w:p>
      <w:pPr>
        <w:pStyle w:val="Typedudocument"/>
        <w:rPr>
          <w:noProof/>
        </w:rPr>
      </w:pPr>
      <w:bookmarkStart w:id="1" w:name="_GoBack"/>
      <w:bookmarkEnd w:id="1"/>
      <w:r>
        <w:rPr>
          <w:noProof/>
        </w:rPr>
        <w:lastRenderedPageBreak/>
        <w:t>СЪОБЩЕНИЕ НА КОМИСИЯТА ДО ЕВРОПЕЙСКИЯ ПАРЛАМЕНТ И СЪВЕТА</w:t>
      </w:r>
    </w:p>
    <w:p>
      <w:pPr>
        <w:pStyle w:val="Titreobjet"/>
        <w:rPr>
          <w:noProof/>
        </w:rPr>
      </w:pPr>
      <w:r>
        <w:rPr>
          <w:noProof/>
        </w:rPr>
        <w:t xml:space="preserve">Към по-устойчив риболов в ЕС: актуално състояние и насоки за 2021 г. </w:t>
      </w:r>
      <w:r>
        <w:rPr>
          <w:noProof/>
        </w:rPr>
        <w:br/>
      </w:r>
    </w:p>
    <w:p>
      <w:pPr>
        <w:pStyle w:val="Heading1"/>
        <w:rPr>
          <w:noProof/>
        </w:rPr>
      </w:pPr>
      <w:r>
        <w:rPr>
          <w:noProof/>
        </w:rPr>
        <w:t>Въведение</w:t>
      </w:r>
    </w:p>
    <w:p>
      <w:pPr>
        <w:spacing w:after="0"/>
        <w:rPr>
          <w:noProof/>
          <w:szCs w:val="24"/>
        </w:rPr>
      </w:pPr>
      <w:r>
        <w:rPr>
          <w:noProof/>
        </w:rPr>
        <w:t>В настоящото съобщение се съдържа общ преглед на напредъка при постигането на устойчив риболов от флотовете в ЕС и са разгледани социално-икономическите показатели на риболовния флот на ЕС, съотношението между риболовния капацитет и възможностите за риболов и изпълнението на задължението за разтоварване. Съобщението следва да се разглежда заедно с информацията, представена в придружаващия го работен документ на службите на Комисията.</w:t>
      </w:r>
    </w:p>
    <w:p>
      <w:pPr>
        <w:spacing w:after="0"/>
        <w:rPr>
          <w:noProof/>
          <w:szCs w:val="24"/>
          <w:lang w:eastAsia="en-GB"/>
        </w:rPr>
      </w:pPr>
    </w:p>
    <w:p>
      <w:pPr>
        <w:spacing w:after="0"/>
        <w:rPr>
          <w:noProof/>
          <w:szCs w:val="24"/>
        </w:rPr>
      </w:pPr>
      <w:r>
        <w:rPr>
          <w:noProof/>
        </w:rPr>
        <w:t xml:space="preserve">В настоящото съобщение също така са включени основните насоки, които ще определят предложенията на Комисията относно възможностите за риболов за 2021 г. Държавите членки, консултативните съвети, заинтересованите страни и обществеността се приканват да обсъдят тези насоки и да представят на Комисията своите становища до 31 август 2020 г. </w:t>
      </w:r>
    </w:p>
    <w:p>
      <w:pPr>
        <w:pStyle w:val="Text1"/>
        <w:ind w:left="0"/>
        <w:rPr>
          <w:noProof/>
        </w:rPr>
      </w:pPr>
    </w:p>
    <w:p>
      <w:pPr>
        <w:pStyle w:val="Heading1"/>
        <w:rPr>
          <w:noProof/>
        </w:rPr>
      </w:pPr>
      <w:r>
        <w:rPr>
          <w:noProof/>
        </w:rPr>
        <w:t>Напредък при постигането на Fmsy</w:t>
      </w:r>
      <w:r>
        <w:rPr>
          <w:rStyle w:val="FootnoteReference"/>
          <w:noProof/>
          <w:lang w:eastAsia="en-GB"/>
        </w:rPr>
        <w:footnoteReference w:id="2"/>
      </w:r>
      <w:r>
        <w:rPr>
          <w:noProof/>
        </w:rPr>
        <w:t xml:space="preserve"> </w:t>
      </w:r>
    </w:p>
    <w:p>
      <w:pPr>
        <w:pStyle w:val="Text2"/>
        <w:ind w:left="0"/>
        <w:rPr>
          <w:noProof/>
        </w:rPr>
      </w:pPr>
      <w:r>
        <w:rPr>
          <w:noProof/>
        </w:rPr>
        <w:t xml:space="preserve">През периода 2003—2018 г. предизвиканият от риболовни дейности натиск върху рибните запаси в североизточната част на Атлантическия океан отбеляза устойчиво понижаване. Макар че в първите години след 2000 г. средната смъртност от риболов беше над 1,5 пъти по-висока от </w:t>
      </w:r>
      <w:r>
        <w:rPr>
          <w:rStyle w:val="st"/>
          <w:noProof/>
        </w:rPr>
        <w:t>смъртността от риболов при максималния устойчив улов</w:t>
      </w:r>
      <w:r>
        <w:rPr>
          <w:noProof/>
        </w:rPr>
        <w:t xml:space="preserve"> (Fmsy), понастоящем се стабилизира на около 1,0, което означава, че риболовът се извършва при все по-устойчиви равнища. Тази стойност също така показва, че </w:t>
      </w:r>
      <w:r>
        <w:rPr>
          <w:rStyle w:val="st"/>
          <w:noProof/>
        </w:rPr>
        <w:t>целта за максимален устойчив улов (</w:t>
      </w:r>
      <w:r>
        <w:rPr>
          <w:noProof/>
        </w:rPr>
        <w:t>МУУ) е като цяло постигната, въпреки че остават някои предизвикателства, които следва да бъдат преодолени.</w:t>
      </w:r>
    </w:p>
    <w:p>
      <w:pPr>
        <w:pStyle w:val="Text2"/>
        <w:ind w:left="0"/>
        <w:rPr>
          <w:noProof/>
        </w:rPr>
      </w:pPr>
      <w:r>
        <w:rPr>
          <w:noProof/>
        </w:rPr>
        <w:t>Показателят „общ допустим улов“ (ОДУ) е един от основните инструменти за управление, предвидени в общата политика в областта на рибарството. Предложените от Комисията равнища на ОДУ за 2020 г. в североизточната част на Атлантическия океан и съседните зони са в съответствие с устойчивото равнище или са под него (от гледна точка на смъртността от риболов — Fmsy) за всички 78 равнища на ОДУ, по отношение на които е издадено становище за Fmsy, с изключение на шест случая, за които Международният съвет за изследване на морето (ICES) препоръчва нулев улов. В тези случаи беше решено да се определят минимални равнища на ОДУ единствено за прилова, които позволяват възстановяването на намалените запаси, без да се прекратяват преждевременно важни дейности на търговския риболов, нито да се възпрепятства събирането на научни данни.</w:t>
      </w:r>
    </w:p>
    <w:p>
      <w:pPr>
        <w:pStyle w:val="Text2"/>
        <w:ind w:left="0"/>
        <w:rPr>
          <w:noProof/>
        </w:rPr>
      </w:pPr>
      <w:r>
        <w:rPr>
          <w:noProof/>
        </w:rPr>
        <w:t>Същевременно беше доказана ползата от регионалните многогодишни планове за Балтийско море</w:t>
      </w:r>
      <w:r>
        <w:rPr>
          <w:rStyle w:val="FootnoteReference"/>
          <w:noProof/>
        </w:rPr>
        <w:footnoteReference w:id="3"/>
      </w:r>
      <w:r>
        <w:rPr>
          <w:noProof/>
        </w:rPr>
        <w:t>, Северно море</w:t>
      </w:r>
      <w:r>
        <w:rPr>
          <w:rStyle w:val="FootnoteReference"/>
          <w:noProof/>
        </w:rPr>
        <w:footnoteReference w:id="4"/>
      </w:r>
      <w:r>
        <w:rPr>
          <w:noProof/>
        </w:rPr>
        <w:t xml:space="preserve"> и западните води</w:t>
      </w:r>
      <w:r>
        <w:rPr>
          <w:rStyle w:val="FootnoteReference"/>
          <w:noProof/>
        </w:rPr>
        <w:footnoteReference w:id="5"/>
      </w:r>
      <w:r>
        <w:rPr>
          <w:noProof/>
        </w:rPr>
        <w:t>, които предоставиха необходимата гъвкавост при определяне на възможностите за риболов и позволиха установяването на равнища на риболов, които са в рамките на МУУ. В някои строго ограничени случаи тези планове дадоха възможност за определяне на ОДУ в горния диапазон на МУУ, което води до смекчаване на последиците от намаляването на запасите в добро състояние — такъв беше например случаят със запазите от южна и северна мерлуза. В същото време многогодишните планове бяха от решаващо значение за определянето на ОДУ в долния диапазон на МУУ за редица запаси в недобро състояние.</w:t>
      </w:r>
    </w:p>
    <w:p>
      <w:pPr>
        <w:pStyle w:val="Text2"/>
        <w:ind w:left="0"/>
        <w:rPr>
          <w:noProof/>
        </w:rPr>
      </w:pPr>
      <w:r>
        <w:rPr>
          <w:noProof/>
        </w:rPr>
        <w:t>Съветът определи 62 от общо 78 равнища на ОДУ в съответствие с Fmsy. Поради това се очаква през 2020 г. над 99 % от разтоварванията в Балтийско море, Северно море и Атлантическия океан, управлявани изключително от ЕС, да произлизат от устойчиво управляван риболов.</w:t>
      </w:r>
    </w:p>
    <w:p>
      <w:pPr>
        <w:pStyle w:val="Text2"/>
        <w:ind w:left="0"/>
        <w:rPr>
          <w:noProof/>
        </w:rPr>
      </w:pPr>
      <w:r>
        <w:rPr>
          <w:noProof/>
        </w:rPr>
        <w:t>Що се отнася до 11-те запаса в североизточната част на Атлантическия океан, които се управляват от държави извън ЕС, положителната обща тенденция, наблюдавана във водите на ЕС до 2014 г., се потвърждава от медианата на показателя F/Fmsy, която се доближава до стойността, получена за водите на ЕС. След 2014 г. обаче показателят отбелязва нарастващ брой запаси, експлоатирани над Fmsy</w:t>
      </w:r>
      <w:r>
        <w:rPr>
          <w:rStyle w:val="FootnoteReference"/>
          <w:noProof/>
        </w:rPr>
        <w:footnoteReference w:id="6"/>
      </w:r>
      <w:r>
        <w:rPr>
          <w:noProof/>
        </w:rPr>
        <w:t xml:space="preserve">. </w:t>
      </w:r>
    </w:p>
    <w:p>
      <w:pPr>
        <w:pStyle w:val="Text2"/>
        <w:ind w:left="0"/>
        <w:rPr>
          <w:noProof/>
        </w:rPr>
      </w:pPr>
      <w:r>
        <w:rPr>
          <w:noProof/>
        </w:rPr>
        <w:t xml:space="preserve">Освен определянето на ОДУ, през 2019 г. Съветът прие коригиращи мерки в рамките на многогодишните планове, които да позволят възстановяването на определени рибни запаси — на атлантическа треска и меджид в Келтско море и на треска в източната част на Балтийско море. При консултациите между ЕС и Норвегия бяха договорени и коригиращи мерки по отношение на запасите от атлантическа треска в Северно море, Скагерак и Категат. В момента управлението на тези запаси, които се намират в критично състояние, е насочено основно към възстановяването на биомасата. Поради това бяха въведени извънредни защитни мерки, за да се сведе до минимум основният търговски риболов на посочените запаси (като за целта се използват по-селективни риболовни уреди) и да се гарантира извършването на напълно документиран риболов при правилно прилагане на риболовните модели.  </w:t>
      </w:r>
    </w:p>
    <w:p>
      <w:pPr>
        <w:pStyle w:val="Text2"/>
        <w:ind w:left="0"/>
        <w:rPr>
          <w:noProof/>
        </w:rPr>
      </w:pPr>
      <w:r>
        <w:rPr>
          <w:noProof/>
        </w:rPr>
        <w:t>Въпреки че коригиращите мерки ще бъдат полезни, за по-бързото възстановяване на запаса от атлантическа треска в Келтско море в съответствие с целите на многогодишните планове за западните води Комисията би предпочела ОДУ за този запас за 2020 г. да бъде определен на по-предпазливо равнище.</w:t>
      </w:r>
    </w:p>
    <w:p>
      <w:pPr>
        <w:pStyle w:val="Text2"/>
        <w:ind w:left="0"/>
        <w:rPr>
          <w:noProof/>
        </w:rPr>
      </w:pPr>
      <w:r>
        <w:rPr>
          <w:noProof/>
        </w:rPr>
        <w:t xml:space="preserve">Показателят за смъртност от риболов (F/Fmsy) за Средиземно море и Черно море остана много висок през целия период 2003—2017 г. След като достигна най-високото си историческо равнище през 2011 г., оттогава насам стойността на F/Fmsy се задържа на около 2,4. Това показва, че като цяло запасите се експлоатират на нива, които са значително над целта за устойчивост на общата политика в областта на рибарството. </w:t>
      </w:r>
    </w:p>
    <w:p>
      <w:pPr>
        <w:pStyle w:val="Heading2"/>
        <w:rPr>
          <w:noProof/>
        </w:rPr>
      </w:pPr>
      <w:r>
        <w:rPr>
          <w:noProof/>
        </w:rPr>
        <w:t>Тенденции при биомасата</w:t>
      </w:r>
      <w:r>
        <w:rPr>
          <w:rStyle w:val="FootnoteReference"/>
          <w:noProof/>
        </w:rPr>
        <w:footnoteReference w:id="7"/>
      </w:r>
    </w:p>
    <w:p>
      <w:pPr>
        <w:pStyle w:val="Text2"/>
        <w:ind w:left="0"/>
        <w:rPr>
          <w:noProof/>
        </w:rPr>
      </w:pPr>
      <w:r>
        <w:rPr>
          <w:noProof/>
        </w:rPr>
        <w:t>От 2007 г. насам биомасата в североизточната част на Атлантическия океан непрекъснато се увеличава, като през 2018 г. биомасата на запасите, подложени на цялостна оценка, беше с 48 % по-висока в сравнение с 2003 г.</w:t>
      </w:r>
      <w:r>
        <w:rPr>
          <w:rStyle w:val="FootnoteReference"/>
          <w:noProof/>
        </w:rPr>
        <w:footnoteReference w:id="8"/>
      </w:r>
      <w:r>
        <w:rPr>
          <w:noProof/>
        </w:rPr>
        <w:t xml:space="preserve">. </w:t>
      </w:r>
    </w:p>
    <w:p>
      <w:pPr>
        <w:pStyle w:val="Text2"/>
        <w:ind w:left="0"/>
        <w:rPr>
          <w:noProof/>
        </w:rPr>
      </w:pPr>
      <w:r>
        <w:rPr>
          <w:noProof/>
        </w:rPr>
        <w:t>В Средиземно море и в Черно море положението след 2003 г. — когато започна поредицата от данни — остана по същество непроменено, като е възможно от 2012 г. насам да има неголямо увеличение на биомасата. Научният, технически и икономически комитет по рибарство (НТИКР) отбелязва обаче голямата несигурност по отношение на този показател.</w:t>
      </w:r>
    </w:p>
    <w:p>
      <w:pPr>
        <w:rPr>
          <w:noProof/>
          <w:szCs w:val="24"/>
          <w:highlight w:val="yellow"/>
        </w:rPr>
      </w:pPr>
      <w:r>
        <w:rPr>
          <w:noProof/>
        </w:rPr>
        <w:t xml:space="preserve">Въпреки значителните подобрения в намаляването на натиска от риболов в североизточната част на Атлантическия океан и в увеличаването на биомасата все още съществуват предизвикателства. Някои запаси продължават да са подложени на прекомерен улов и/или са извън безопасните биологични граници, поради което са необходими повече усилия за постигане на устойчиви равнища на тези запаси. Ясно е също така, че е необходимо да продължи усилената работа по опазване на запасите в Средиземно море и Черно море, и по-специално прилагането на многогодишния план за западната част на Средиземно море, както и да се осъществят редицата действия, предприети в изпълнение на декларацията MedFish4Ever и на Декларацията от София, като например многогодишния план за дълбоководния риболов в Адриатическо море, приет през 2019 г. от Генералната комисия по рибарство за Средиземно море. </w:t>
      </w:r>
    </w:p>
    <w:p>
      <w:pPr>
        <w:pStyle w:val="Heading2"/>
        <w:rPr>
          <w:noProof/>
        </w:rPr>
      </w:pPr>
      <w:r>
        <w:rPr>
          <w:noProof/>
        </w:rPr>
        <w:t>Състояние на флота на ЕС</w:t>
      </w:r>
      <w:r>
        <w:rPr>
          <w:rStyle w:val="FootnoteReference"/>
          <w:noProof/>
        </w:rPr>
        <w:footnoteReference w:id="9"/>
      </w:r>
    </w:p>
    <w:p>
      <w:pPr>
        <w:rPr>
          <w:noProof/>
          <w:szCs w:val="24"/>
        </w:rPr>
      </w:pPr>
      <w:r>
        <w:rPr>
          <w:noProof/>
        </w:rPr>
        <w:t xml:space="preserve">Налице е непрекъснат спад в броя на корабите, съставляващи риболовния флот на ЕС. През декември 2019 г. в регистъра на риболовния флот на ЕС (включително най-отдалечените региони) бяха вписани 81 279 кораба, т.е. с 365 по-малко в сравнение с предходната година. Общият капацитет в бруто тонаж (БТ) беше 1 521 189 БТ, т.е. в рамките на една година е отбелязан спад от 11 991 БТ, а общият капацитет в киловатова мощност беше 6 047 356 kW, което представлява намаление с 428 278 kW в сравнение с декември 2018 г. Въпреки че като цяло капацитетът на риболовния флот на ЕС остава под таваните на риболовния капацитет, това положение трябва да се разглежда в по-общ контекст, тъй като все още има значителен брой сегменти на риболовния флот, за които се предполага, че не са в равновесие с наличните възможности за риболов. Последните констатации показват, че през 2017 г. от 247 оценявани сегмента на риболовния флот 182 не са били съобразени с един от основните биологични показатели — този за устойчивост на улова. </w:t>
      </w:r>
    </w:p>
    <w:p>
      <w:pPr>
        <w:spacing w:after="0"/>
        <w:textAlignment w:val="baseline"/>
        <w:rPr>
          <w:rFonts w:ascii="&amp;quot" w:hAnsi="&amp;quot"/>
          <w:noProof/>
          <w:color w:val="000000"/>
          <w:szCs w:val="24"/>
          <w:bdr w:val="none" w:sz="0" w:space="0" w:color="auto" w:frame="1"/>
        </w:rPr>
      </w:pPr>
      <w:r>
        <w:rPr>
          <w:rFonts w:ascii="&amp;quot" w:hAnsi="&amp;quot"/>
          <w:noProof/>
          <w:color w:val="000000"/>
          <w:szCs w:val="24"/>
          <w:bdr w:val="none" w:sz="0" w:space="0" w:color="auto" w:frame="1"/>
        </w:rPr>
        <w:t>През 2018 г. икономическата ефективност на риболовния флот на ЕС се запази на много добро равнище — нетната печалба беше приблизително 1,4 млрд. евро, а средният нетен марж на печалбата — 18 %. Това равнище на рентабилност представлява значително подобрение предвид факта, че през 2008 г. рентабилността на риболовния флот на ЕС е била незначителна. Продължаващите подобрения в ефективността са резултат главно от подобреното състояние на някои важни запаси, от високите средни цени на рибата (по-голяма стойност за по-малко количество на улова) и от ниските цени на горивата.</w:t>
      </w:r>
    </w:p>
    <w:p>
      <w:pPr>
        <w:spacing w:after="0"/>
        <w:textAlignment w:val="baseline"/>
        <w:rPr>
          <w:rFonts w:ascii="&amp;quot" w:hAnsi="&amp;quot"/>
          <w:noProof/>
          <w:color w:val="000000"/>
          <w:szCs w:val="24"/>
          <w:bdr w:val="none" w:sz="0" w:space="0" w:color="auto" w:frame="1"/>
          <w:lang w:val="en-IE" w:eastAsia="en-IE"/>
        </w:rPr>
      </w:pPr>
    </w:p>
    <w:p>
      <w:pPr>
        <w:spacing w:after="0"/>
        <w:textAlignment w:val="baseline"/>
        <w:rPr>
          <w:rFonts w:ascii="&amp;quot" w:hAnsi="&amp;quot"/>
          <w:noProof/>
          <w:color w:val="000000"/>
          <w:szCs w:val="24"/>
        </w:rPr>
      </w:pPr>
      <w:r>
        <w:rPr>
          <w:rFonts w:ascii="&amp;quot" w:hAnsi="&amp;quot"/>
          <w:noProof/>
          <w:color w:val="000000"/>
          <w:szCs w:val="24"/>
          <w:bdr w:val="none" w:sz="0" w:space="0" w:color="auto" w:frame="1"/>
        </w:rPr>
        <w:t>Въпреки че данните за 2019 г. все още не са налични, се очаква общата рентабилност за тази година да е много добра, като нетната печалба и средният нетен марж на печалбата бъдат подобни на тези през 2018 г.</w:t>
      </w:r>
      <w:r>
        <w:rPr>
          <w:rFonts w:ascii="&amp;quot" w:hAnsi="&amp;quot"/>
          <w:noProof/>
          <w:color w:val="000000"/>
          <w:szCs w:val="24"/>
        </w:rPr>
        <w:t xml:space="preserve"> Продължават обаче да съществуват значителни различия между риболовните региони на ЕС, като с по-ниски нива на рентабилност се характеризират Балтийско море, Средиземно море и Черно море. Положителна икономическа тенденция се наблюдава при редица риболовни флотове, които са ориентирани към устойчиво експлоатирани рибни запаси (например морски дявол и мегрим в Ирландско море, морски език в западната част на Ламанша и мегрим в Северно море) и отбелязват повишаване на рентабилността и на заплатите. От друга страна, флотовете, които извършват риболов на свръхексплоатирани запаси (треска в източната част на Балтийско море, атлантическа треска в Келтско море), като цяло регистрират по-слаби икономически показатели.</w:t>
      </w:r>
    </w:p>
    <w:p>
      <w:pPr>
        <w:spacing w:after="0"/>
        <w:textAlignment w:val="baseline"/>
        <w:rPr>
          <w:rFonts w:ascii="&amp;quot" w:hAnsi="&amp;quot"/>
          <w:noProof/>
          <w:color w:val="000000"/>
          <w:szCs w:val="24"/>
          <w:lang w:val="en-IE" w:eastAsia="en-IE"/>
        </w:rPr>
      </w:pPr>
    </w:p>
    <w:p>
      <w:pPr>
        <w:spacing w:after="0"/>
        <w:textAlignment w:val="baseline"/>
        <w:rPr>
          <w:rFonts w:ascii="&amp;quot" w:hAnsi="&amp;quot"/>
          <w:noProof/>
          <w:color w:val="000000"/>
          <w:szCs w:val="24"/>
          <w:bdr w:val="none" w:sz="0" w:space="0" w:color="auto" w:frame="1"/>
        </w:rPr>
      </w:pPr>
      <w:r>
        <w:rPr>
          <w:rFonts w:ascii="&amp;quot" w:hAnsi="&amp;quot"/>
          <w:noProof/>
          <w:color w:val="000000"/>
          <w:szCs w:val="24"/>
          <w:bdr w:val="none" w:sz="0" w:space="0" w:color="auto" w:frame="1"/>
        </w:rPr>
        <w:t xml:space="preserve">От 2008 г. насам общата заетост в риболовния флот на ЕС в еквивалент на пълно работно време намалява средно с 1,2 % годишно, което отчасти се дължи на намаляването на капацитета на флота. Средната работна заплата в еквивалент на пълно работно време обаче нараства с 2,5 % годишно и е в размер на 25 000 EUR. Отчита се нарастване на броя на заетите в редица риболовни флотове в Северно море и Атлантическия океан, където, за разлика от други региони, заетостта вече се стабилизира. </w:t>
      </w:r>
    </w:p>
    <w:p>
      <w:pPr>
        <w:spacing w:after="0"/>
        <w:textAlignment w:val="baseline"/>
        <w:rPr>
          <w:rFonts w:ascii="&amp;quot" w:hAnsi="&amp;quot"/>
          <w:noProof/>
          <w:color w:val="000000"/>
          <w:szCs w:val="24"/>
          <w:lang w:val="en-IE" w:eastAsia="en-IE"/>
        </w:rPr>
      </w:pPr>
    </w:p>
    <w:p>
      <w:pPr>
        <w:spacing w:after="0"/>
        <w:textAlignment w:val="baseline"/>
        <w:rPr>
          <w:rFonts w:ascii="&amp;quot" w:hAnsi="&amp;quot"/>
          <w:noProof/>
          <w:color w:val="000000"/>
          <w:szCs w:val="24"/>
        </w:rPr>
      </w:pPr>
      <w:r>
        <w:rPr>
          <w:rFonts w:ascii="&amp;quot" w:hAnsi="&amp;quot"/>
          <w:noProof/>
          <w:color w:val="000000"/>
          <w:szCs w:val="24"/>
        </w:rPr>
        <w:t>Прогнозите за икономическите показатели на риболовния флот на ЕС през 2020 г. засега са твърде несигурни поради спада в търсенето и прекъсването на веригите на доставки в резултат на санитарната криза, свързана с избухването на COVID-19. Въпреки това вече са налице признаци, че сътресението на пазара в началото на пандемията е засегнало сериозно сектора на рибарството, тъй като търсенето е отбелязало внезапен спад. Този спад и последвалото го понижаване на цените на първа продажба принудиха много кораби да прекратят дейността си. Временното прекратяване на дейностите в сектора на хотелиерството и ресторантьорството засегна както сегменти на риболовния флот, насочени към рибни видове с висока стойност, така и дребномащабния крайбрежен риболов. Силно засегнати бяха и риболовните флотове, които зависят от експортните пазари. Освен от проблемите с търсенето някои риболовни дейности бяха възпрепятствани и от въведените санитарни мерки.</w:t>
      </w:r>
    </w:p>
    <w:p>
      <w:pPr>
        <w:spacing w:after="0"/>
        <w:textAlignment w:val="baseline"/>
        <w:rPr>
          <w:rFonts w:ascii="&amp;quot" w:hAnsi="&amp;quot"/>
          <w:noProof/>
          <w:color w:val="000000"/>
          <w:szCs w:val="24"/>
          <w:lang w:val="en-IE" w:eastAsia="en-IE"/>
        </w:rPr>
      </w:pPr>
    </w:p>
    <w:p>
      <w:pPr>
        <w:spacing w:after="0"/>
        <w:textAlignment w:val="baseline"/>
        <w:rPr>
          <w:rFonts w:ascii="&amp;quot" w:hAnsi="&amp;quot"/>
          <w:noProof/>
          <w:color w:val="000000"/>
          <w:szCs w:val="24"/>
        </w:rPr>
      </w:pPr>
      <w:r>
        <w:rPr>
          <w:rFonts w:ascii="&amp;quot" w:hAnsi="&amp;quot"/>
          <w:noProof/>
          <w:color w:val="000000"/>
          <w:szCs w:val="24"/>
        </w:rPr>
        <w:t>От средата на април се наблюдава подобряване на ситуацията както в риболовния, така и в рибопреработвателния сектор</w:t>
      </w:r>
      <w:r>
        <w:rPr>
          <w:rStyle w:val="FootnoteReference"/>
          <w:rFonts w:ascii="&amp;quot" w:hAnsi="&amp;quot"/>
          <w:noProof/>
          <w:color w:val="000000"/>
          <w:szCs w:val="24"/>
          <w:lang w:val="en-IE" w:eastAsia="en-IE"/>
        </w:rPr>
        <w:footnoteReference w:id="10"/>
      </w:r>
      <w:r>
        <w:rPr>
          <w:rFonts w:ascii="&amp;quot" w:hAnsi="&amp;quot"/>
          <w:noProof/>
          <w:color w:val="000000"/>
          <w:szCs w:val="24"/>
        </w:rPr>
        <w:t>. Много ниските цени на горивата през 2020 г. могат да спомогнат за облекчаване на оперативните разходи на европейските флотове.</w:t>
      </w:r>
    </w:p>
    <w:p>
      <w:pPr>
        <w:spacing w:after="0"/>
        <w:textAlignment w:val="baseline"/>
        <w:rPr>
          <w:rFonts w:ascii="&amp;quot" w:hAnsi="&amp;quot"/>
          <w:noProof/>
          <w:color w:val="000000"/>
          <w:szCs w:val="24"/>
          <w:lang w:val="en-IE" w:eastAsia="en-IE"/>
        </w:rPr>
      </w:pPr>
    </w:p>
    <w:p>
      <w:pPr>
        <w:spacing w:after="0"/>
        <w:textAlignment w:val="baseline"/>
        <w:rPr>
          <w:rFonts w:ascii="&amp;quot" w:hAnsi="&amp;quot"/>
          <w:noProof/>
          <w:color w:val="000000"/>
          <w:szCs w:val="24"/>
        </w:rPr>
      </w:pPr>
      <w:r>
        <w:rPr>
          <w:rFonts w:ascii="&amp;quot" w:hAnsi="&amp;quot"/>
          <w:noProof/>
          <w:color w:val="000000"/>
          <w:szCs w:val="24"/>
        </w:rPr>
        <w:t>С цел разрешаване на тази безпрецедентна ситуация Комисията предложи редица спешни мерки за подпомагане, одобрени от законодателите на ЕС. Тези мерки ще помогнат за запазването на хиляди работни места в крайбрежните региони на ЕС и за поддържането на продоволствената сигурност. Те разширяват обхвата на Европейския фонд за морско дело и рибарство, като създават възможност за компенсиране на икономическите загуби, причинени от санитарната криза, позволяват по-гъвкаво разпределение на финансовите ресурси в рамките на оперативната програма на всяка държава членка и въвеждат опростена процедура за изменение на оперативните програми с цел бързото въвеждане на новите мерки. Приетата нова временна рамка за държавната помощ дава възможност на държавите членки да предоставят такава помощ на икономическите оператори в сектора на рибарството, които са били засегнати от кризата.</w:t>
      </w:r>
    </w:p>
    <w:p>
      <w:pPr>
        <w:spacing w:after="0"/>
        <w:textAlignment w:val="baseline"/>
        <w:rPr>
          <w:rFonts w:ascii="&amp;quot" w:hAnsi="&amp;quot"/>
          <w:noProof/>
          <w:color w:val="000000"/>
          <w:szCs w:val="24"/>
          <w:lang w:val="en-IE" w:eastAsia="en-IE"/>
        </w:rPr>
      </w:pPr>
    </w:p>
    <w:p>
      <w:pPr>
        <w:spacing w:after="0"/>
        <w:textAlignment w:val="baseline"/>
        <w:rPr>
          <w:rFonts w:ascii="&amp;quot" w:hAnsi="&amp;quot"/>
          <w:noProof/>
          <w:color w:val="000000"/>
          <w:szCs w:val="24"/>
        </w:rPr>
      </w:pPr>
      <w:r>
        <w:rPr>
          <w:rFonts w:ascii="&amp;quot" w:hAnsi="&amp;quot"/>
          <w:noProof/>
          <w:color w:val="000000"/>
          <w:szCs w:val="24"/>
        </w:rPr>
        <w:t xml:space="preserve">Въпреки че като цяло капацитетът на риболовния флот на ЕС остава под регламентираните тавани на риболовния капацитет, значителният брой сегменти на флота, за които се предполага, че не са в равновесие с наличните възможности за риболов, продължава да буди загриженост и следва да бъде обект на подходящи мерки в плановете за действие на държавите членки. </w:t>
      </w:r>
    </w:p>
    <w:p>
      <w:pPr>
        <w:spacing w:after="0"/>
        <w:textAlignment w:val="baseline"/>
        <w:rPr>
          <w:rFonts w:ascii="&amp;quot" w:hAnsi="&amp;quot"/>
          <w:noProof/>
          <w:color w:val="000000"/>
          <w:szCs w:val="24"/>
          <w:lang w:val="en-IE" w:eastAsia="en-IE"/>
        </w:rPr>
      </w:pPr>
    </w:p>
    <w:p>
      <w:pPr>
        <w:pStyle w:val="Heading2"/>
        <w:rPr>
          <w:noProof/>
        </w:rPr>
      </w:pPr>
      <w:r>
        <w:rPr>
          <w:noProof/>
        </w:rPr>
        <w:t>Задължение за разтоварване</w:t>
      </w:r>
      <w:r>
        <w:rPr>
          <w:rStyle w:val="FootnoteReference"/>
          <w:noProof/>
        </w:rPr>
        <w:footnoteReference w:id="11"/>
      </w:r>
    </w:p>
    <w:p>
      <w:pPr>
        <w:rPr>
          <w:bCs/>
          <w:noProof/>
          <w:szCs w:val="24"/>
        </w:rPr>
      </w:pPr>
      <w:r>
        <w:rPr>
          <w:noProof/>
        </w:rPr>
        <w:t>Задължението за разтоварване на целия улов влезе напълно в сила през 2019 г. За да оцени напредъка при изпълнението на това задължение, Комисията получи доклади от 18 държави членки</w:t>
      </w:r>
      <w:r>
        <w:rPr>
          <w:rStyle w:val="FootnoteReference"/>
          <w:bCs/>
          <w:noProof/>
          <w:szCs w:val="24"/>
          <w:lang w:eastAsia="en-GB"/>
        </w:rPr>
        <w:footnoteReference w:id="12"/>
      </w:r>
      <w:r>
        <w:rPr>
          <w:noProof/>
        </w:rPr>
        <w:t xml:space="preserve"> и от пет консултативни съвета. Бяха използвани и други източници на информация — например организиран от Комисията семинар относно изпълнението, контрола и правоприлагането на задължението за разтоварване, който се проведе на 14 юни 2019 г.</w:t>
      </w:r>
    </w:p>
    <w:p>
      <w:pPr>
        <w:rPr>
          <w:bCs/>
          <w:noProof/>
          <w:szCs w:val="24"/>
        </w:rPr>
      </w:pPr>
      <w:r>
        <w:rPr>
          <w:noProof/>
        </w:rPr>
        <w:t>Данните показват, че като цяло спазването на нормативните изисквания все още е недостатъчно. Държавите членки трябва да поставят по-голям акцент върху контрола и правоприлагането. Проблемите, които будят сериозно безпокойство, са свързани с представяните от повечето държави членки неточни данни за количествата риба, изхвърляни съгласно изключенията от задължението за разтоварване, много малкият обем риба под минималния размер, който се разтоварва, и трудностите, пред които са изправени държавите членки при наблюдението на този улов. Също така поради посочените недостатъци въздействието на задължението за разтоварване върху държавите членки и риболовната промишленост остава ниско въпреки първоначалните сериозни опасения, изразени от заинтересованите страни преди пълното му влизане в сила през 2019 г.</w:t>
      </w:r>
    </w:p>
    <w:p>
      <w:pPr>
        <w:rPr>
          <w:noProof/>
          <w:szCs w:val="24"/>
        </w:rPr>
      </w:pPr>
      <w:r>
        <w:rPr>
          <w:noProof/>
        </w:rPr>
        <w:t>Значително по-малко държави членки са провели конкретни проучвания и пилотни проекти за изпитване на селективни риболовни уреди или стратегии за избягване. През 2019 г. вниманието беше пренасочено към програми за вземане на проби или икономически проучвания в подкрепа на минималните изключения и изключенията въз основа на висока способност за оцеляване. През 2019 г. регионалните групи на държавите членки успешно преодоляха потенциални случаи на блокиращи риболова видове, използвайки решения, разработени с Комисията и с други заинтересовани страни. Така например някои държави членки се съгласиха вместо квоти да използват ОДУ само за прилова, придружен от мерки за намаляване на прилова. Въпреки че механизмът за замяна беше използван успешно, НТИКР прецени, че някои от мерките за намаляване на прилова не са достатъчно ефективни. Ето защо, с цел решаване на този проблем, в предложението си за възможностите за риболов Комисията включи някои тясно свързани коригиращи мерки</w:t>
      </w:r>
      <w:r>
        <w:rPr>
          <w:rStyle w:val="FootnoteReference"/>
          <w:noProof/>
          <w:szCs w:val="24"/>
        </w:rPr>
        <w:footnoteReference w:id="13"/>
      </w:r>
      <w:r>
        <w:rPr>
          <w:noProof/>
        </w:rPr>
        <w:t xml:space="preserve">. </w:t>
      </w:r>
    </w:p>
    <w:p>
      <w:pPr>
        <w:rPr>
          <w:bCs/>
          <w:noProof/>
          <w:szCs w:val="24"/>
        </w:rPr>
      </w:pPr>
      <w:r>
        <w:rPr>
          <w:noProof/>
        </w:rPr>
        <w:t>Контролът на задължението за разтоварване остава предизвикателство, което все още не е решено</w:t>
      </w:r>
      <w:r>
        <w:rPr>
          <w:rStyle w:val="FootnoteReference"/>
          <w:bCs/>
          <w:noProof/>
          <w:szCs w:val="24"/>
        </w:rPr>
        <w:footnoteReference w:id="14"/>
      </w:r>
      <w:r>
        <w:rPr>
          <w:noProof/>
        </w:rPr>
        <w:t>. През февруари 2020 г. Комисията започна поредица от одити на начина, по който определени държави членки гарантират контрола и правоприлагането на задължението за разтоварване. Първоначалните констатации от проведените досега одити показват, че тези държави членки не са приели необходимите мерки и че се извършва недокументирано изхвърляне на улов в значителни количества. Тези констатации се подкрепят от различни доклади, включително три доклада във връзка с изпълнението на задължението за разтоварване</w:t>
      </w:r>
      <w:r>
        <w:rPr>
          <w:rStyle w:val="FootnoteReference"/>
          <w:bCs/>
          <w:noProof/>
          <w:szCs w:val="24"/>
          <w:lang w:val="en-US"/>
        </w:rPr>
        <w:footnoteReference w:id="15"/>
      </w:r>
      <w:r>
        <w:rPr>
          <w:noProof/>
        </w:rPr>
        <w:t xml:space="preserve">, изготвени от Европейската агенция за контрол на рибарството за оценка на съответствието. Докладите потвърждават, че през периода, обхванат от оценката (2015/2016 до 2017 г.), са били допуснати множество нарушения на задължението за разтоварване при извършването на определени риболовни дейности от някои сегменти на флота в Северно море и в северозападните води. </w:t>
      </w:r>
    </w:p>
    <w:p>
      <w:pPr>
        <w:rPr>
          <w:bCs/>
          <w:noProof/>
          <w:szCs w:val="24"/>
        </w:rPr>
      </w:pPr>
      <w:r>
        <w:rPr>
          <w:noProof/>
        </w:rPr>
        <w:t>Необходими са постоянни усилия за повишаване на селективността на риболовните уреди и техники. Трябва да се обърне по-голямо внимание на контрола и правоприлагането на задължението за разтоварване — по-специално чрез използване на подходящи съвременни инструменти за контрол, като например системи за електронно наблюдение от разстояние, които са най-ефективните и икономични средства, позволяващи извършването на контрол в морето на задължението за разтоварване. Комисията ще продължи да работи със съзаконодателите за постигане на споразумение относно преработената система за контрол на рибарството</w:t>
      </w:r>
      <w:r>
        <w:rPr>
          <w:rStyle w:val="FootnoteReference"/>
          <w:bCs/>
          <w:noProof/>
          <w:szCs w:val="24"/>
        </w:rPr>
        <w:footnoteReference w:id="16"/>
      </w:r>
      <w:r>
        <w:rPr>
          <w:noProof/>
        </w:rPr>
        <w:t>, която може да улесни използването на тези модерни инструменти за контрол.</w:t>
      </w:r>
    </w:p>
    <w:p>
      <w:pPr>
        <w:numPr>
          <w:ilvl w:val="0"/>
          <w:numId w:val="3"/>
        </w:numPr>
        <w:rPr>
          <w:b/>
          <w:smallCaps/>
          <w:noProof/>
        </w:rPr>
      </w:pPr>
      <w:r>
        <w:rPr>
          <w:b/>
          <w:smallCaps/>
          <w:noProof/>
        </w:rPr>
        <w:t xml:space="preserve">Предложения за възможностите за риболов за 2021 г. </w:t>
      </w:r>
    </w:p>
    <w:p>
      <w:pPr>
        <w:pStyle w:val="Heading2"/>
        <w:rPr>
          <w:noProof/>
        </w:rPr>
      </w:pPr>
      <w:r>
        <w:rPr>
          <w:noProof/>
        </w:rPr>
        <w:t>Цели на предложенията за възможности за риболов за 2021 г.</w:t>
      </w:r>
    </w:p>
    <w:p>
      <w:pPr>
        <w:rPr>
          <w:noProof/>
        </w:rPr>
      </w:pPr>
      <w:r>
        <w:rPr>
          <w:noProof/>
        </w:rPr>
        <w:t>От 2020 г. нататък рибните запаси трябва да се управляват в съответствие с целта за МУУ. Поради това основната цел на предложенията на Комисията по отношение на запасите в Атлантическия океан, Северно море и Балтийско море ще бъде поддържането или постигането на максимален устойчив улов (Fmsy) за запасите, оценявани въз основа на МУУ</w:t>
      </w:r>
      <w:r>
        <w:rPr>
          <w:rStyle w:val="FootnoteReference"/>
          <w:rFonts w:eastAsia="Calibri"/>
          <w:noProof/>
          <w:color w:val="000000"/>
          <w:szCs w:val="24"/>
        </w:rPr>
        <w:footnoteReference w:id="17"/>
      </w:r>
      <w:r>
        <w:rPr>
          <w:noProof/>
        </w:rPr>
        <w:t>. Комисията ще прилага изцяло плановете за управление. Тя ще предложи конкретна стойност на МУУ или ще използва диапазона на МУУ, определен от ICES, когато това е юридически възможно, в рамките на многогодишен план.</w:t>
      </w:r>
      <w:r>
        <w:rPr>
          <w:noProof/>
          <w:color w:val="000000"/>
          <w:szCs w:val="24"/>
        </w:rPr>
        <w:t xml:space="preserve"> В случаите, в които ICES препоръчва да не се извършва улов на целеви запаси, вниманието ще бъде насочено към възстановяването на тези запаси чрез коригиращи мерки в рамките на многогодишните планове. </w:t>
      </w:r>
      <w:r>
        <w:rPr>
          <w:noProof/>
        </w:rPr>
        <w:t>Освен това с предложенията ще продължат да се търсят начини за улесняване на ефективното изпълнение на задължението за разтоварване. Работата с всички заинтересовани страни продължава, за да се гарантира, че възможно най-скоро ще се извърши пълна научна оценка на МУУ по отношение на запасите, обхванати от тези планове.</w:t>
      </w:r>
    </w:p>
    <w:p>
      <w:pPr>
        <w:rPr>
          <w:noProof/>
        </w:rPr>
      </w:pPr>
      <w:r>
        <w:rPr>
          <w:noProof/>
        </w:rPr>
        <w:t xml:space="preserve">Макар че лошото състояние на някои запаси се дължи и на други антропогенни фактори (като изменението на климата и замърсяването), по отношение на които трябва да бъдат взети съответните мерки, все още съществува необходимост от ограничаване на риболовния натиск върху тези запаси. Комисията, заедно с научните среди, засилва работата върху екосистемите в областта на рибарството и ще се стреми да интегрира тези елементи в управлението на рибарството. </w:t>
      </w:r>
    </w:p>
    <w:p>
      <w:pPr>
        <w:spacing w:after="0"/>
        <w:rPr>
          <w:rFonts w:eastAsia="Calibri"/>
          <w:noProof/>
          <w:color w:val="000000"/>
          <w:szCs w:val="24"/>
        </w:rPr>
      </w:pPr>
      <w:r>
        <w:rPr>
          <w:noProof/>
        </w:rPr>
        <w:t>Предложението за регламент относно възможностите за риболов за Средиземно море и Черно море ще определи, във връзка с изпълнението на многогодишния план за западната част на Средиземно море през 2021 г., по-нататъшните усилия за постигане на намаление на прилова съобразно заложената в многогодишния план цел за постигане на Fmsy в района най-късно до 2025 г. въз основа на наличните научни становища.</w:t>
      </w:r>
      <w:r>
        <w:rPr>
          <w:noProof/>
          <w:color w:val="000000"/>
          <w:szCs w:val="24"/>
        </w:rPr>
        <w:t xml:space="preserve"> Предложението ще включва и действащите мерки на Генералната комисия по рибарство за Средиземно море, включително приетите през 2019 г. мерки, като например многогодишния план за дънните запаси в Адриатическо море и спешните мерки в Адриатическо море за дребните пелагични видове, мерките за змиорките и ОДУ за калкан в Черно море и автономната квота за цаца в този басейн</w:t>
      </w:r>
      <w:r>
        <w:rPr>
          <w:rStyle w:val="FootnoteReference"/>
          <w:rFonts w:eastAsia="Calibri"/>
          <w:noProof/>
          <w:color w:val="000000"/>
          <w:szCs w:val="24"/>
        </w:rPr>
        <w:footnoteReference w:id="18"/>
      </w:r>
      <w:r>
        <w:rPr>
          <w:noProof/>
          <w:color w:val="000000"/>
          <w:szCs w:val="24"/>
        </w:rPr>
        <w:t>.</w:t>
      </w:r>
    </w:p>
    <w:p>
      <w:pPr>
        <w:spacing w:after="0"/>
        <w:rPr>
          <w:noProof/>
          <w:lang w:eastAsia="en-GB"/>
        </w:rPr>
      </w:pPr>
    </w:p>
    <w:p>
      <w:pPr>
        <w:pStyle w:val="Heading2"/>
        <w:rPr>
          <w:noProof/>
        </w:rPr>
      </w:pPr>
      <w:r>
        <w:rPr>
          <w:noProof/>
        </w:rPr>
        <w:t xml:space="preserve">Основни стъпки към определяне на следващите възможности за риболов </w:t>
      </w:r>
    </w:p>
    <w:p>
      <w:pPr>
        <w:rPr>
          <w:noProof/>
        </w:rPr>
      </w:pPr>
      <w:r>
        <w:rPr>
          <w:noProof/>
        </w:rPr>
        <w:t xml:space="preserve">Предложенията на Комисията за възможностите за риболов ще се основават на научните становища на ICES относно улова, издадени в няколко части. ICES ще публикува своите препоръки по отношение на улова през май и юни и ще актуализира някои от препоръките след провеждането на есенните проучвания в открито море. Становищата по отношение на запасите от едри пелагични видове се оповестяват през месец септември. Намерението на Комисията е първоначалните ѝ предложения да обхванат възможно най-голям брой запаси. Предложенията за възможностите за риболов ще продължат да съдържат възможности за риболов, отбелязани като </w:t>
      </w:r>
      <w:r>
        <w:rPr>
          <w:i/>
          <w:noProof/>
        </w:rPr>
        <w:t>pro memoria</w:t>
      </w:r>
      <w:r>
        <w:rPr>
          <w:noProof/>
        </w:rPr>
        <w:t xml:space="preserve"> за запаси, които се управляват с международни партньори (например Норвегия) и за които научните становища се получават по-късно през годината. </w:t>
      </w:r>
    </w:p>
    <w:p>
      <w:pPr>
        <w:rPr>
          <w:noProof/>
        </w:rPr>
      </w:pPr>
      <w:r>
        <w:rPr>
          <w:noProof/>
        </w:rPr>
        <w:t xml:space="preserve">Преходният период, определен в споразумението за оттегляне на Обединеното кралство от ЕС, изтича в края на 2020 г., освен ако не бъде удължен. Запасите, за които Комисията ще трябва да се консултира с Обединеното кралство, включително с Обединеното кралство и Норвегия, относно възможностите за риболов за 2021 г. също ще бъдат отбелязани като </w:t>
      </w:r>
      <w:r>
        <w:rPr>
          <w:i/>
          <w:noProof/>
        </w:rPr>
        <w:t>pro memoria</w:t>
      </w:r>
      <w:r>
        <w:rPr>
          <w:noProof/>
        </w:rPr>
        <w:t xml:space="preserve"> в очакване на графика на тези консултации и на резултата от тях. </w:t>
      </w:r>
    </w:p>
    <w:p>
      <w:pPr>
        <w:rPr>
          <w:noProof/>
        </w:rPr>
      </w:pPr>
      <w:r>
        <w:rPr>
          <w:noProof/>
        </w:rPr>
        <w:t>Предоставянето на научни становища и приемствеността при предаването на данни бяха осуетени вследствие на пандемията от COVID-19, като това може да доведе до разлики в сроковете и формата на консултациите в сравнение с предходните години.</w:t>
      </w:r>
    </w:p>
    <w:p>
      <w:pPr>
        <w:rPr>
          <w:noProof/>
        </w:rPr>
      </w:pPr>
      <w:r>
        <w:rPr>
          <w:noProof/>
        </w:rPr>
        <w:t>Комисията приканва държавите членки и заинтересованите страни да разгледат научните становища веднага след тяхното публикуване</w:t>
      </w:r>
      <w:r>
        <w:rPr>
          <w:rStyle w:val="FootnoteReference"/>
          <w:noProof/>
          <w:lang w:eastAsia="en-GB"/>
        </w:rPr>
        <w:footnoteReference w:id="19"/>
      </w:r>
      <w:r>
        <w:rPr>
          <w:noProof/>
        </w:rPr>
        <w:t xml:space="preserve">. Заинтересованите страни също така ще могат да отправят препоръки относно възможностите за риболов чрез съответните си консултативни съвети и държави членки.   </w:t>
      </w:r>
    </w:p>
    <w:p>
      <w:pPr>
        <w:rPr>
          <w:noProof/>
        </w:rPr>
      </w:pPr>
      <w:r>
        <w:rPr>
          <w:noProof/>
        </w:rPr>
        <w:t>В съответствие с посочените консултации Комисията има за цел да приеме четири предложения: за Балтийско море (през август), за Средиземно море и Черно море (през септември), за дълбоководните запаси в североизточната част на Атлантическия океан (през октомври) и за Атлантическия океан и Северно море (през октомври)</w:t>
      </w:r>
      <w:r>
        <w:rPr>
          <w:rStyle w:val="FootnoteReference"/>
          <w:noProof/>
          <w:lang w:eastAsia="en-GB"/>
        </w:rPr>
        <w:footnoteReference w:id="20"/>
      </w:r>
      <w:r>
        <w:rPr>
          <w:noProof/>
        </w:rPr>
        <w:t>. Тези предложения ще бъдат обсъдени на отделни заседания на Съвета — на октомврийското заседание за Балтийско море, на ноемврийското заседание за дълбоководните запаси и за Средиземно и Черно море и на декемврийското заседание за Атлантическия океан и Северно море</w:t>
      </w:r>
      <w:r>
        <w:rPr>
          <w:rStyle w:val="FootnoteReference"/>
          <w:noProof/>
          <w:lang w:eastAsia="en-GB"/>
        </w:rPr>
        <w:footnoteReference w:id="21"/>
      </w:r>
      <w:r>
        <w:rPr>
          <w:noProof/>
        </w:rPr>
        <w:t>.</w:t>
      </w:r>
    </w:p>
    <w:p>
      <w:pPr>
        <w:pStyle w:val="Heading2"/>
        <w:rPr>
          <w:noProof/>
        </w:rPr>
      </w:pPr>
      <w:r>
        <w:rPr>
          <w:noProof/>
        </w:rPr>
        <w:t xml:space="preserve">Определяне на възможности за риболов за различни морски басейни </w:t>
      </w:r>
    </w:p>
    <w:p>
      <w:pPr>
        <w:rPr>
          <w:noProof/>
        </w:rPr>
      </w:pPr>
      <w:r>
        <w:rPr>
          <w:noProof/>
        </w:rPr>
        <w:t xml:space="preserve">Възможностите за риболов по отношение на запасите, управлявани единствено от ЕС, в Балтийско море, Северно море и западните води, ще се основават на съответните многогодишни планове, в които се установяват диапазоните на смъртност по Fmsy и съответно се предлага известна степен на гъвкавост при определени условия. От ICES се изисква да издаде становище, което позволява да се преценят необходимостта и възможността за използване на тази гъвкавост. Горният диапазон на стойностите на Fmsy може да се използва за предлагане на ОДУ само за запаси в добро състояние и само ако в научните становища бъде посочено, че това е необходимо за постигането на целите на многогодишните планове за случаите на смесен риболов, за да се избегне сериозна вреда за даден запас, предизвикана от процеси в рамките на видовия състав на запаса или от взаимодействия със запаси от други видове, или за да се ограничат значителните колебания между годините. </w:t>
      </w:r>
    </w:p>
    <w:p>
      <w:pPr>
        <w:rPr>
          <w:noProof/>
        </w:rPr>
      </w:pPr>
      <w:r>
        <w:rPr>
          <w:noProof/>
        </w:rPr>
        <w:t xml:space="preserve">В контекста на пълното изпълнение на задължението за разтоварване Комисията възнамерява да предложи възможности за риболов за Балтийско море, западните води и Северно море, които са в съответствие със становището на ICES по отношение на улова, като при необходимост приспадне минималните разрешени количества или количествата въз основа на висока способност за оцеляване.  </w:t>
      </w:r>
    </w:p>
    <w:p>
      <w:pPr>
        <w:rPr>
          <w:noProof/>
        </w:rPr>
      </w:pPr>
      <w:r>
        <w:rPr>
          <w:noProof/>
        </w:rPr>
        <w:t>За да се улесни още повече пълното изпълнение на задължението за разтоварване е целесъобразно да се използват всички налични инструменти за смекчаване на отрицателните последици от риболова, включително становищата на ICES относно подхода към смесения риболов, когато това е целесъобразно. В този контекст напредъкът на държавите членки по отношение на мерките за намаляване на прилова ще бъде оценяван от Комисията, като от съответните регионални групи ще се изисква да разработят средносрочни коригиращи мерки за уязвимите запаси.</w:t>
      </w:r>
    </w:p>
    <w:p>
      <w:pPr>
        <w:rPr>
          <w:noProof/>
        </w:rPr>
      </w:pPr>
      <w:r>
        <w:rPr>
          <w:noProof/>
        </w:rPr>
        <w:t xml:space="preserve">Що се отнася до запасите, които се оценяват по Fmsy и са обект на консултации с държави извън ЕС, Комисията ще се стреми към постигане на споразумение в съответствие с дългосрочните стратегии за управление или, при липсата на такива стратегии, със становище за Fmsy. ЕС следва също така да продължи да търси решения за избягване на прекомерния риболов на пелагични запаси в североизточната част на Атлантическия океан поради липсата на договорености за подялба на тези запаси между крайбрежните държави. </w:t>
      </w:r>
    </w:p>
    <w:p>
      <w:pPr>
        <w:rPr>
          <w:noProof/>
        </w:rPr>
      </w:pPr>
      <w:r>
        <w:rPr>
          <w:noProof/>
        </w:rPr>
        <w:t xml:space="preserve">По отношение на запасите, управлявани от </w:t>
      </w:r>
      <w:r>
        <w:rPr>
          <w:rStyle w:val="st"/>
          <w:noProof/>
        </w:rPr>
        <w:t xml:space="preserve">регионални </w:t>
      </w:r>
      <w:r>
        <w:rPr>
          <w:noProof/>
        </w:rPr>
        <w:t xml:space="preserve">организации за управление на </w:t>
      </w:r>
      <w:r>
        <w:rPr>
          <w:rStyle w:val="Emphasis"/>
          <w:i w:val="0"/>
          <w:noProof/>
        </w:rPr>
        <w:t>рибарството</w:t>
      </w:r>
      <w:r>
        <w:rPr>
          <w:rStyle w:val="st"/>
          <w:noProof/>
        </w:rPr>
        <w:t xml:space="preserve"> (РОУР)</w:t>
      </w:r>
      <w:r>
        <w:rPr>
          <w:noProof/>
        </w:rPr>
        <w:t xml:space="preserve">, включително в Средиземно море и Черно море, Комисията ще предложи възможности за риболов въз основа на решенията на РОУР. Поради пандемията от COVID-19 може да се очаква, че през 2020 г. дневният ред на много заседания на РОУР ще бъде ограничен само до най-важните решения поради трудностите при организирането на заседанията, включително заседанията на научните комитети, което ще засегне научните становища, предоставяни на ръководните кадри в сектора на рибарството.  </w:t>
      </w:r>
    </w:p>
    <w:p>
      <w:pPr>
        <w:rPr>
          <w:noProof/>
        </w:rPr>
      </w:pPr>
      <w:r>
        <w:rPr>
          <w:noProof/>
        </w:rPr>
        <w:t>Запасите, обхванати от споразумения за партньорство в областта на устойчивото рибарство между ЕС и трети държави, се управляват въз основа на конкретни научни становища за смесените споразумения. При споразуменията за риба тон наличните възможности и практики за риболов са в съответствие с препоръките на РОУР.</w:t>
      </w:r>
    </w:p>
    <w:p>
      <w:pPr>
        <w:rPr>
          <w:noProof/>
        </w:rPr>
      </w:pPr>
      <w:r>
        <w:rPr>
          <w:noProof/>
        </w:rPr>
        <w:t xml:space="preserve">В рамките на многогодишния план за западната част на Средиземно море за 2021 г. Съветът ще определи допълнителни количествени цели за намаляване на риболовното усилие въз основа на научни становища, които ще са съобразени със заложената в многогодишния план амбиция за постигане на Fmsy най-късно до 2025 г. </w:t>
      </w:r>
    </w:p>
    <w:p>
      <w:pPr>
        <w:rPr>
          <w:noProof/>
          <w:color w:val="1F497D"/>
          <w:sz w:val="22"/>
        </w:rPr>
      </w:pPr>
      <w:r>
        <w:rPr>
          <w:noProof/>
        </w:rPr>
        <w:t>Настоящото прекъсване на риболовните дейности поради пандемията от COVID-19 би могло да доведе до непълно усвояване на риболовните квоти в много държави членки. Засега не е известно докога ще продължат ограничителните мерки и какви части от квотите ще останат неизползвани. Възможно е тези части да са различни в зависимост от целевите запаси и от риболовните сезони. Комисията ще следи много внимателно напредъка в риболовните дейности и начините, по които държавите членки ще използват клаузата за гъвкавост по отношение на квотите в две последователни години, която им позволява да прехвърлят 10 % от неусвоените си квоти от 2020 г. към 2021 г. Всяка допълнителна гъвкавост ще се оценява в контекста на съществуващата правна рамка и целите на общата политика в областта на рибарството, потвърдени въз основа на най-добрите налични научни становища. Във всички случаи държавите членки са длъжни да гарантират, че целият улов се приспада от наличните квоти и че документацията за всички риболовни рейсове е подробна и точна.</w:t>
      </w:r>
    </w:p>
    <w:p>
      <w:pPr>
        <w:pStyle w:val="Heading1"/>
        <w:rPr>
          <w:noProof/>
        </w:rPr>
      </w:pPr>
      <w:r>
        <w:rPr>
          <w:noProof/>
        </w:rPr>
        <w:t xml:space="preserve">Заключение </w:t>
      </w:r>
    </w:p>
    <w:p>
      <w:pPr>
        <w:rPr>
          <w:noProof/>
        </w:rPr>
      </w:pPr>
      <w:r>
        <w:rPr>
          <w:noProof/>
        </w:rPr>
        <w:t>Наличието на рибни запаси в добро състояние оказва системна подкрепа за подобряване на икономическите резултати на риболовния флот на ЕС, въпреки че през 2020 г. тези резултати остават несигурни поради комплексното въздействие на санитарната криза, предизвикана от COVID-19.</w:t>
      </w:r>
    </w:p>
    <w:p>
      <w:pPr>
        <w:rPr>
          <w:noProof/>
        </w:rPr>
      </w:pPr>
      <w:r>
        <w:rPr>
          <w:noProof/>
        </w:rPr>
        <w:t>Постигането на устойчиви равнища на запасите чрез управлението им по МУУ до 2020 г. и в периода след това, както и преустановяването на изхвърлянето на улов, са основната цел на общата политика в областта на рибарството и продължават да бъдат приоритет. Осъществяването на тази цел ще допринесе също така за постигането на добро екологично състояние на европейските морета и за свеждане до минимум на отрицателното въздействие на риболовните дейности върху морските екосистеми. То е също толкова важно и за възстановяването на сектора на рибарството. Въпреки значителните подобрения в североизточната част на Атлантическия океан все още са налице предизвикателства във всички морски басейни. Някои запаси продължават да са подложени на прекомерен улов и/или са извън безопасните биологични граници, като очевидно са необходими повече усилия за разрешаването на тези проблеми.</w:t>
      </w:r>
    </w:p>
    <w:p>
      <w:pPr>
        <w:rPr>
          <w:noProof/>
        </w:rPr>
      </w:pPr>
      <w:r>
        <w:rPr>
          <w:noProof/>
        </w:rPr>
        <w:t xml:space="preserve">Положението в Средиземно море и Черно море продължава да буди безпокойство и изисква допълнителни съгласувани действия. Комисията ще работи в тясно сътрудничество с всички заинтересовани страни за прилагането на многогодишния план за западната част на Средиземно море. </w:t>
      </w:r>
    </w:p>
    <w:p>
      <w:pPr>
        <w:rPr>
          <w:noProof/>
        </w:rPr>
      </w:pPr>
      <w:r>
        <w:rPr>
          <w:noProof/>
        </w:rPr>
        <w:t xml:space="preserve">Устойчивият риболов и по-селективните риболовни техники са съставни елементи на устойчивите продоволствени системи, които предлагат стойност за производителите и потребителите, и са съществени изисквания, които трябва да се изпълнят с оглед на защитата и възстановяването на биологичното разнообразие в природната среда в полза на бъдещите поколения. В стратегията на Комисията за биологичното разнообразие и в стратегията „От фермата до трапезата“ се подчертава необходимостта от устойчив риболов и се посочват конкретните действия, които следва да бъдат предприети от Комисията, за да се гарантира свеждането до минимум на отрицателното въздействие на риболовните дейности върху морската екосистема. </w:t>
      </w:r>
    </w:p>
    <w:p>
      <w:pPr>
        <w:rPr>
          <w:noProof/>
        </w:rPr>
      </w:pPr>
      <w:r>
        <w:rPr>
          <w:noProof/>
        </w:rPr>
        <w:t>Постигането на целта за устойчивост на общата политика в областта на рибарството и нейната цел за намаляване на ненужното изхвърляне на улов са част от посочените усилия. Важно е да се отбележи, че устойчивият риболов е най-добрият начин да се защитят работните места и доходите на европейските риболовни общности и да им се помогне да се справят с последиците от сегашната криза. Значителните постижения на общата политика в областта на рибарството през последното десетилетие показват посоката, която трябва да се следва в бъдеще.</w:t>
      </w:r>
    </w:p>
    <w:p>
      <w:pPr>
        <w:rPr>
          <w:noProof/>
        </w:rPr>
      </w:pPr>
      <w:r>
        <w:rPr>
          <w:noProof/>
        </w:rPr>
        <w:t>Държавите членки, консултативните съвети, заинтересованите страни и обществеността се приканват да разгледат политическите насоки, изложени в настоящото съобщение, и да представят на Комисията своите становища до 31 август 2020 г.</w:t>
      </w:r>
    </w:p>
    <w:p>
      <w:pPr>
        <w:spacing w:after="200" w:line="276" w:lineRule="auto"/>
        <w:jc w:val="left"/>
        <w:rPr>
          <w:noProof/>
        </w:rPr>
      </w:pPr>
      <w:r>
        <w:rPr>
          <w:noProof/>
        </w:rPr>
        <w:br w:type="page"/>
      </w:r>
    </w:p>
    <w:p>
      <w:pPr>
        <w:rPr>
          <w:noProof/>
          <w:lang w:eastAsia="en-GB"/>
        </w:rPr>
      </w:pPr>
    </w:p>
    <w:p>
      <w:pPr>
        <w:keepNext/>
        <w:tabs>
          <w:tab w:val="num" w:pos="850"/>
        </w:tabs>
        <w:spacing w:before="240" w:after="120"/>
        <w:ind w:left="851" w:hanging="851"/>
        <w:jc w:val="center"/>
        <w:outlineLvl w:val="0"/>
        <w:rPr>
          <w:noProof/>
          <w:szCs w:val="24"/>
        </w:rPr>
      </w:pPr>
      <w:r>
        <w:rPr>
          <w:b/>
          <w:bCs/>
          <w:smallCaps/>
          <w:noProof/>
          <w:szCs w:val="32"/>
        </w:rPr>
        <w:t>График на работата</w:t>
      </w:r>
      <w:r>
        <w:rPr>
          <w:rStyle w:val="FootnoteReference"/>
          <w:b/>
          <w:bCs/>
          <w:smallCaps/>
          <w:noProof/>
          <w:szCs w:val="32"/>
        </w:rPr>
        <w:footnoteReference w:id="22"/>
      </w:r>
      <w:r>
        <w:rPr>
          <w:b/>
          <w:bCs/>
          <w:smallCaps/>
          <w:noProof/>
          <w:szCs w:val="32"/>
        </w:rPr>
        <w:t xml:space="preserve"> </w:t>
      </w:r>
      <w:r>
        <w:rPr>
          <w:rStyle w:val="FootnoteReference"/>
          <w:b/>
          <w:noProof/>
          <w:szCs w:val="24"/>
        </w:rPr>
        <w:footnoteReference w:id="23"/>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6368"/>
      </w:tblGrid>
      <w:tr>
        <w:tc>
          <w:tcPr>
            <w:tcW w:w="0" w:type="auto"/>
            <w:shd w:val="clear" w:color="auto" w:fill="auto"/>
          </w:tcPr>
          <w:p>
            <w:pPr>
              <w:spacing w:before="120" w:after="60"/>
              <w:jc w:val="center"/>
              <w:rPr>
                <w:b/>
                <w:noProof/>
              </w:rPr>
            </w:pPr>
            <w:r>
              <w:rPr>
                <w:b/>
                <w:noProof/>
              </w:rPr>
              <w:t>Кога?</w:t>
            </w:r>
          </w:p>
        </w:tc>
        <w:tc>
          <w:tcPr>
            <w:tcW w:w="0" w:type="auto"/>
            <w:shd w:val="clear" w:color="auto" w:fill="auto"/>
          </w:tcPr>
          <w:p>
            <w:pPr>
              <w:spacing w:before="120" w:after="60"/>
              <w:jc w:val="center"/>
              <w:rPr>
                <w:b/>
                <w:noProof/>
              </w:rPr>
            </w:pPr>
            <w:r>
              <w:rPr>
                <w:b/>
                <w:noProof/>
                <w:szCs w:val="24"/>
              </w:rPr>
              <w:t>Какво?</w:t>
            </w:r>
          </w:p>
        </w:tc>
      </w:tr>
      <w:tr>
        <w:tc>
          <w:tcPr>
            <w:tcW w:w="0" w:type="auto"/>
            <w:shd w:val="clear" w:color="auto" w:fill="auto"/>
          </w:tcPr>
          <w:p>
            <w:pPr>
              <w:spacing w:before="120" w:after="60"/>
              <w:rPr>
                <w:noProof/>
                <w:szCs w:val="24"/>
              </w:rPr>
            </w:pPr>
            <w:r>
              <w:rPr>
                <w:noProof/>
              </w:rPr>
              <w:t>Май/юни/октомври</w:t>
            </w:r>
          </w:p>
        </w:tc>
        <w:tc>
          <w:tcPr>
            <w:tcW w:w="0" w:type="auto"/>
            <w:shd w:val="clear" w:color="auto" w:fill="auto"/>
          </w:tcPr>
          <w:p>
            <w:pPr>
              <w:spacing w:before="120" w:after="60"/>
              <w:rPr>
                <w:noProof/>
                <w:szCs w:val="24"/>
              </w:rPr>
            </w:pPr>
            <w:r>
              <w:rPr>
                <w:noProof/>
              </w:rPr>
              <w:t>Становище на ICES относно запасите</w:t>
            </w:r>
          </w:p>
        </w:tc>
      </w:tr>
      <w:tr>
        <w:tc>
          <w:tcPr>
            <w:tcW w:w="0" w:type="auto"/>
            <w:shd w:val="clear" w:color="auto" w:fill="auto"/>
          </w:tcPr>
          <w:p>
            <w:pPr>
              <w:spacing w:before="120" w:after="60"/>
              <w:rPr>
                <w:noProof/>
                <w:szCs w:val="24"/>
              </w:rPr>
            </w:pPr>
            <w:r>
              <w:rPr>
                <w:noProof/>
              </w:rPr>
              <w:t>Юни — края на август</w:t>
            </w:r>
          </w:p>
        </w:tc>
        <w:tc>
          <w:tcPr>
            <w:tcW w:w="0" w:type="auto"/>
            <w:shd w:val="clear" w:color="auto" w:fill="auto"/>
          </w:tcPr>
          <w:p>
            <w:pPr>
              <w:spacing w:before="120" w:after="60"/>
              <w:rPr>
                <w:noProof/>
                <w:szCs w:val="24"/>
              </w:rPr>
            </w:pPr>
            <w:r>
              <w:rPr>
                <w:noProof/>
              </w:rPr>
              <w:t>Обществена консултация относно съобщението</w:t>
            </w:r>
          </w:p>
        </w:tc>
      </w:tr>
      <w:tr>
        <w:tc>
          <w:tcPr>
            <w:tcW w:w="0" w:type="auto"/>
            <w:shd w:val="clear" w:color="auto" w:fill="auto"/>
          </w:tcPr>
          <w:p>
            <w:pPr>
              <w:spacing w:before="120" w:after="60"/>
              <w:rPr>
                <w:noProof/>
                <w:szCs w:val="24"/>
              </w:rPr>
            </w:pPr>
            <w:r>
              <w:rPr>
                <w:noProof/>
              </w:rPr>
              <w:t>Края на август</w:t>
            </w:r>
          </w:p>
        </w:tc>
        <w:tc>
          <w:tcPr>
            <w:tcW w:w="0" w:type="auto"/>
            <w:shd w:val="clear" w:color="auto" w:fill="auto"/>
          </w:tcPr>
          <w:p>
            <w:pPr>
              <w:spacing w:before="120" w:after="60"/>
              <w:rPr>
                <w:noProof/>
                <w:szCs w:val="24"/>
              </w:rPr>
            </w:pPr>
            <w:r>
              <w:rPr>
                <w:noProof/>
              </w:rPr>
              <w:t>Приемане от Комисията на предложенията за възможности за риболов в Балтийско море</w:t>
            </w:r>
          </w:p>
        </w:tc>
      </w:tr>
      <w:tr>
        <w:tc>
          <w:tcPr>
            <w:tcW w:w="0" w:type="auto"/>
            <w:shd w:val="clear" w:color="auto" w:fill="auto"/>
          </w:tcPr>
          <w:p>
            <w:pPr>
              <w:spacing w:before="120" w:after="60"/>
              <w:rPr>
                <w:noProof/>
                <w:szCs w:val="24"/>
              </w:rPr>
            </w:pPr>
            <w:r>
              <w:rPr>
                <w:noProof/>
              </w:rPr>
              <w:t>Средата на септември</w:t>
            </w:r>
          </w:p>
        </w:tc>
        <w:tc>
          <w:tcPr>
            <w:tcW w:w="0" w:type="auto"/>
            <w:shd w:val="clear" w:color="auto" w:fill="auto"/>
          </w:tcPr>
          <w:p>
            <w:pPr>
              <w:spacing w:before="120" w:after="60"/>
              <w:rPr>
                <w:noProof/>
                <w:szCs w:val="24"/>
              </w:rPr>
            </w:pPr>
            <w:r>
              <w:rPr>
                <w:noProof/>
              </w:rPr>
              <w:t>Приемане от Комисията на предложението за възможности за риболов в Средиземно море и в Черно море</w:t>
            </w:r>
          </w:p>
        </w:tc>
      </w:tr>
      <w:tr>
        <w:tc>
          <w:tcPr>
            <w:tcW w:w="0" w:type="auto"/>
            <w:shd w:val="clear" w:color="auto" w:fill="auto"/>
          </w:tcPr>
          <w:p>
            <w:pPr>
              <w:spacing w:before="120" w:after="60"/>
              <w:rPr>
                <w:noProof/>
                <w:szCs w:val="24"/>
              </w:rPr>
            </w:pPr>
            <w:r>
              <w:rPr>
                <w:noProof/>
              </w:rPr>
              <w:t>Октомври</w:t>
            </w:r>
          </w:p>
        </w:tc>
        <w:tc>
          <w:tcPr>
            <w:tcW w:w="0" w:type="auto"/>
            <w:shd w:val="clear" w:color="auto" w:fill="auto"/>
          </w:tcPr>
          <w:p>
            <w:pPr>
              <w:spacing w:before="120" w:after="60"/>
              <w:rPr>
                <w:noProof/>
                <w:szCs w:val="24"/>
              </w:rPr>
            </w:pPr>
            <w:r>
              <w:rPr>
                <w:noProof/>
              </w:rPr>
              <w:t>Заседание на Съвета относно възможностите за риболов в Балтийско море</w:t>
            </w:r>
          </w:p>
          <w:p>
            <w:pPr>
              <w:spacing w:before="120" w:after="60"/>
              <w:rPr>
                <w:noProof/>
                <w:szCs w:val="24"/>
              </w:rPr>
            </w:pPr>
            <w:r>
              <w:rPr>
                <w:noProof/>
              </w:rPr>
              <w:t>Приемане от Комисията на възможностите за риболов за дълбоководните запаси</w:t>
            </w:r>
          </w:p>
        </w:tc>
      </w:tr>
      <w:tr>
        <w:tc>
          <w:tcPr>
            <w:tcW w:w="0" w:type="auto"/>
            <w:shd w:val="clear" w:color="auto" w:fill="auto"/>
          </w:tcPr>
          <w:p>
            <w:pPr>
              <w:spacing w:before="120" w:after="60"/>
              <w:rPr>
                <w:noProof/>
                <w:szCs w:val="24"/>
              </w:rPr>
            </w:pPr>
            <w:r>
              <w:rPr>
                <w:noProof/>
              </w:rPr>
              <w:t>Края на октомври</w:t>
            </w:r>
          </w:p>
        </w:tc>
        <w:tc>
          <w:tcPr>
            <w:tcW w:w="0" w:type="auto"/>
            <w:shd w:val="clear" w:color="auto" w:fill="auto"/>
          </w:tcPr>
          <w:p>
            <w:pPr>
              <w:spacing w:before="120" w:after="60"/>
              <w:rPr>
                <w:noProof/>
                <w:szCs w:val="24"/>
              </w:rPr>
            </w:pPr>
            <w:r>
              <w:rPr>
                <w:noProof/>
              </w:rPr>
              <w:t xml:space="preserve">Приемане от Комисията на предложението за възможностите за риболов в Атлантическия океан/Северно море </w:t>
            </w:r>
          </w:p>
        </w:tc>
      </w:tr>
      <w:tr>
        <w:tc>
          <w:tcPr>
            <w:tcW w:w="0" w:type="auto"/>
            <w:shd w:val="clear" w:color="auto" w:fill="auto"/>
          </w:tcPr>
          <w:p>
            <w:pPr>
              <w:spacing w:before="120" w:after="60"/>
              <w:rPr>
                <w:noProof/>
                <w:szCs w:val="24"/>
              </w:rPr>
            </w:pPr>
            <w:r>
              <w:rPr>
                <w:noProof/>
              </w:rPr>
              <w:t xml:space="preserve">Ноември </w:t>
            </w:r>
          </w:p>
        </w:tc>
        <w:tc>
          <w:tcPr>
            <w:tcW w:w="0" w:type="auto"/>
            <w:shd w:val="clear" w:color="auto" w:fill="auto"/>
          </w:tcPr>
          <w:p>
            <w:pPr>
              <w:spacing w:before="120" w:after="60"/>
              <w:rPr>
                <w:noProof/>
                <w:szCs w:val="24"/>
              </w:rPr>
            </w:pPr>
            <w:r>
              <w:rPr>
                <w:noProof/>
              </w:rPr>
              <w:t>Заседание на Съвета относно предложението за възможностите за риболов за дълбоководните запаси</w:t>
            </w:r>
          </w:p>
          <w:p>
            <w:pPr>
              <w:spacing w:before="120" w:after="60"/>
              <w:rPr>
                <w:noProof/>
                <w:szCs w:val="24"/>
              </w:rPr>
            </w:pPr>
            <w:r>
              <w:rPr>
                <w:noProof/>
              </w:rPr>
              <w:t>Заседание на Съвета относно предложението за възможностите за риболов в Средиземно море и в Черно море</w:t>
            </w:r>
            <w:r>
              <w:rPr>
                <w:noProof/>
                <w:szCs w:val="24"/>
                <w:vertAlign w:val="superscript"/>
              </w:rPr>
              <w:footnoteReference w:id="24"/>
            </w:r>
          </w:p>
        </w:tc>
      </w:tr>
      <w:tr>
        <w:tc>
          <w:tcPr>
            <w:tcW w:w="0" w:type="auto"/>
            <w:shd w:val="clear" w:color="auto" w:fill="auto"/>
          </w:tcPr>
          <w:p>
            <w:pPr>
              <w:spacing w:before="120" w:after="60"/>
              <w:rPr>
                <w:noProof/>
                <w:szCs w:val="24"/>
              </w:rPr>
            </w:pPr>
            <w:r>
              <w:rPr>
                <w:noProof/>
              </w:rPr>
              <w:t>Декември</w:t>
            </w:r>
          </w:p>
        </w:tc>
        <w:tc>
          <w:tcPr>
            <w:tcW w:w="0" w:type="auto"/>
            <w:shd w:val="clear" w:color="auto" w:fill="auto"/>
          </w:tcPr>
          <w:p>
            <w:pPr>
              <w:spacing w:before="120" w:after="60"/>
              <w:rPr>
                <w:noProof/>
                <w:szCs w:val="24"/>
              </w:rPr>
            </w:pPr>
            <w:r>
              <w:rPr>
                <w:noProof/>
              </w:rPr>
              <w:t xml:space="preserve">Заседание на Съвета относно предложението за възможностите за риболов в Атлантическия океан/Северно море </w:t>
            </w:r>
          </w:p>
          <w:p>
            <w:pPr>
              <w:spacing w:before="120" w:after="60"/>
              <w:rPr>
                <w:noProof/>
                <w:szCs w:val="24"/>
              </w:rPr>
            </w:pPr>
          </w:p>
        </w:tc>
      </w:tr>
    </w:tbl>
    <w:p>
      <w:pPr>
        <w:spacing w:after="0"/>
        <w:rPr>
          <w:noProof/>
        </w:rPr>
      </w:pPr>
      <w:r>
        <w:rPr>
          <w:noProof/>
        </w:rPr>
        <w:tab/>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1917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Да се разглежда във връзка с раздел 1 от придружаващия работен документ на службите на Комисията.  </w:t>
      </w:r>
    </w:p>
  </w:footnote>
  <w:footnote w:id="3">
    <w:p>
      <w:pPr>
        <w:pStyle w:val="FootnoteText"/>
      </w:pPr>
      <w:r>
        <w:rPr>
          <w:rStyle w:val="FootnoteReference"/>
        </w:rPr>
        <w:footnoteRef/>
      </w:r>
      <w:r>
        <w:t xml:space="preserve"> Регламент (ЕС) 2016/1139 на Европейския парламент и на Съвета от 6 юли 2016 г. за създаване на многогодишен план за запасите от треска, херинга и цаца в Балтийско море и за видовете риболов, които експлоатират тези запаси, за изменение на Регламент (ЕО) № 2187/2005 на Съвета и за отмяна на Регламент (ЕО) № 1098/2007 на Съвета (ОВ L 191, 15.7.2016 г., стр. 1—15).</w:t>
      </w:r>
    </w:p>
  </w:footnote>
  <w:footnote w:id="4">
    <w:p>
      <w:pPr>
        <w:pStyle w:val="FootnoteText"/>
      </w:pPr>
      <w:r>
        <w:rPr>
          <w:rStyle w:val="FootnoteReference"/>
        </w:rPr>
        <w:footnoteRef/>
      </w:r>
      <w:r>
        <w:t xml:space="preserve"> Регламент (ЕС) 2018/973 на Европейския парламент и на Съвета от 4 юли 2018 г. за създаване на многогодишен план за дънните запаси в Северно море и за риболовните дейности, които експлоатират тези запаси, за уточняване на подробностите за изпълнение на задължението за разтоварване на сушата в Северно море, и за отмяна на регламенти (ЕО) № 676/2007 и (ЕО) № 1342/2008 на Съвета (ОВ L 179, 16.7.2018 г., стр. 1—13).</w:t>
      </w:r>
    </w:p>
  </w:footnote>
  <w:footnote w:id="5">
    <w:p>
      <w:pPr>
        <w:pStyle w:val="FootnoteText"/>
      </w:pPr>
      <w:r>
        <w:rPr>
          <w:rStyle w:val="FootnoteReference"/>
        </w:rPr>
        <w:footnoteRef/>
      </w:r>
      <w:r>
        <w:t xml:space="preserve"> Регламент (ЕС) 2019/472 на Европейския парламент и на Съвета от 19 март 2019 г. за създаване на многогодишен план за запасите, уловени в западните води и съседните на водите води, и за видовете риболов, които експлоатират тези запаси, за изменение на регламенти (ЕС) 2016/1139 и (ЕС) 2018/973 и за отмяна на регламенти (ЕО) № 811/2004, (ЕО) № 2166/2005, (ЕО) № 388/2006, (ЕО) № 509/2007 и (ЕО) № 1300/2008 на Съвета (ОВ L 83, 25.3.2019 г., стр. 1—17). </w:t>
      </w:r>
    </w:p>
  </w:footnote>
  <w:footnote w:id="6">
    <w:p>
      <w:pPr>
        <w:pStyle w:val="FootnoteText"/>
      </w:pPr>
      <w:r>
        <w:rPr>
          <w:rStyle w:val="FootnoteReference"/>
        </w:rPr>
        <w:footnoteRef/>
      </w:r>
      <w:r>
        <w:t xml:space="preserve"> Въпреки това НТИКР отбелязва, че показателят за запасите в зоните на ICES извън водите на ЕС се основава на сравнително малък брой запаси с висока степен на неопределеност.</w:t>
      </w:r>
    </w:p>
  </w:footnote>
  <w:footnote w:id="7">
    <w:p>
      <w:pPr>
        <w:pStyle w:val="FootnoteText"/>
      </w:pPr>
      <w:r>
        <w:rPr>
          <w:rStyle w:val="FootnoteReference"/>
        </w:rPr>
        <w:footnoteRef/>
      </w:r>
      <w:r>
        <w:t xml:space="preserve"> Да се разглежда във връзка с раздел 1 от придружаващия работен документ на службите на Комисията.  </w:t>
      </w:r>
    </w:p>
  </w:footnote>
  <w:footnote w:id="8">
    <w:p>
      <w:pPr>
        <w:pStyle w:val="FootnoteText"/>
      </w:pPr>
      <w:r>
        <w:rPr>
          <w:rStyle w:val="FootnoteReference"/>
        </w:rPr>
        <w:footnoteRef/>
      </w:r>
      <w:r>
        <w:t xml:space="preserve"> НТИКР приема 2003 г. за референтна година, тъй като поредицата от данни започва тогава. </w:t>
      </w:r>
    </w:p>
  </w:footnote>
  <w:footnote w:id="9">
    <w:p>
      <w:pPr>
        <w:pStyle w:val="FootnoteText"/>
      </w:pPr>
      <w:r>
        <w:rPr>
          <w:rStyle w:val="FootnoteReference"/>
        </w:rPr>
        <w:footnoteRef/>
      </w:r>
      <w:r>
        <w:t xml:space="preserve"> Да се разглежда във връзка с раздели 4 и 5 от придружаващия работен документ на службите на Комисията. </w:t>
      </w:r>
    </w:p>
  </w:footnote>
  <w:footnote w:id="10">
    <w:p>
      <w:pPr>
        <w:pStyle w:val="FootnoteText"/>
      </w:pPr>
      <w:r>
        <w:rPr>
          <w:rStyle w:val="FootnoteReference"/>
        </w:rPr>
        <w:footnoteRef/>
      </w:r>
      <w:r>
        <w:t xml:space="preserve"> Съответната информация е публикувана на уебсайта на Европейската обсерватория на пазара на продукти от риболов и аквакултури (EUMOFA): </w:t>
      </w:r>
      <w:hyperlink r:id="rId1" w:history="1">
        <w:r>
          <w:rPr>
            <w:rStyle w:val="Hyperlink"/>
          </w:rPr>
          <w:t>https://www.eumofa.eu</w:t>
        </w:r>
      </w:hyperlink>
      <w:r>
        <w:t xml:space="preserve"> </w:t>
      </w:r>
    </w:p>
  </w:footnote>
  <w:footnote w:id="11">
    <w:p>
      <w:pPr>
        <w:pStyle w:val="FootnoteText"/>
      </w:pPr>
      <w:r>
        <w:rPr>
          <w:rStyle w:val="FootnoteReference"/>
        </w:rPr>
        <w:footnoteRef/>
      </w:r>
      <w:r>
        <w:t xml:space="preserve"> Да се разглежда във връзка с раздел 6 от придружаващия работен документ на службите на Комисията. </w:t>
      </w:r>
    </w:p>
  </w:footnote>
  <w:footnote w:id="12">
    <w:p>
      <w:pPr>
        <w:pStyle w:val="FootnoteText"/>
      </w:pPr>
      <w:r>
        <w:rPr>
          <w:rStyle w:val="FootnoteReference"/>
        </w:rPr>
        <w:footnoteRef/>
      </w:r>
      <w:r>
        <w:t xml:space="preserve"> Докладът от Литва беше получен, но поради технически проблеми при неговото предаване не беше взет предвид за целите на оценката.</w:t>
      </w:r>
    </w:p>
  </w:footnote>
  <w:footnote w:id="13">
    <w:p>
      <w:pPr>
        <w:pStyle w:val="FootnoteText"/>
      </w:pPr>
      <w:r>
        <w:rPr>
          <w:rStyle w:val="FootnoteReference"/>
        </w:rPr>
        <w:footnoteRef/>
      </w:r>
      <w:r>
        <w:t xml:space="preserve"> Като пример могат да се посочат коригиращите мерки по отношение на запасите от атлантическа треска и меджид в Келтско море и от атлантическа треска в Северно море и Категат, предвиждащи ограничения за технически модификации (размер на окото на мрежата, риболовни уреди) или зони със забрана за риболов, които мерки могат да подобрят селективността и да намалят прилова на конкретния запас (членове 13, 14 и 15 от Регламент (ЕС) 2020/123 на Съвета).</w:t>
      </w:r>
    </w:p>
  </w:footnote>
  <w:footnote w:id="14">
    <w:p>
      <w:pPr>
        <w:pStyle w:val="FootnoteText"/>
      </w:pPr>
      <w:r>
        <w:rPr>
          <w:rStyle w:val="FootnoteReference"/>
        </w:rPr>
        <w:footnoteRef/>
      </w:r>
      <w:r>
        <w:t xml:space="preserve"> Традиционните средства за контрол не позволяват да се определи дали е било извършено изхвърляне на улов и дали изхвърлянето е било документирано. Проведените изпитвания показват, че най-ефективните и икономични средства, с които задължението за разтоварване може да се контролира в морето, са инструментите за електронно наблюдение от разстояние, като например вътрешни системи за видеонаблюдение (CCTV) и данни от датчици, но те все още не се използват. Комисията подкрепи прилагането на тези мерки в предложението си за преработване на системата за контрол на рибарството</w:t>
      </w:r>
      <w:r>
        <w:rPr>
          <w:rStyle w:val="FootnoteReference"/>
          <w:bCs/>
          <w:noProof/>
          <w:szCs w:val="24"/>
          <w:lang w:eastAsia="en-GB"/>
        </w:rPr>
        <w:footnoteRef/>
      </w:r>
      <w:r>
        <w:t>, което в момента се обсъжда от Съвета и Европейския парламент.</w:t>
      </w:r>
    </w:p>
  </w:footnote>
  <w:footnote w:id="15">
    <w:p>
      <w:pPr>
        <w:pStyle w:val="FootnoteText"/>
        <w:spacing w:after="0"/>
        <w:rPr>
          <w:rStyle w:val="Hyperlink"/>
        </w:rPr>
      </w:pPr>
      <w:r>
        <w:rPr>
          <w:rStyle w:val="FootnoteReference"/>
        </w:rPr>
        <w:footnoteRef/>
      </w:r>
      <w:r>
        <w:t xml:space="preserve"> Обобщенията са публикувани на </w:t>
      </w:r>
      <w:hyperlink r:id="rId2" w:history="1">
        <w:r>
          <w:rPr>
            <w:rStyle w:val="Hyperlink"/>
          </w:rPr>
          <w:t>https://www.efca.europa.eu/en/content/pressroom/evaluation-suggests-non-compliance-landing-obligations-certain-fisheries-north-sea</w:t>
        </w:r>
      </w:hyperlink>
    </w:p>
    <w:p>
      <w:pPr>
        <w:pStyle w:val="FootnoteText"/>
        <w:spacing w:after="0"/>
      </w:pPr>
    </w:p>
  </w:footnote>
  <w:footnote w:id="16">
    <w:p>
      <w:pPr>
        <w:pStyle w:val="FootnoteText"/>
      </w:pPr>
      <w:r>
        <w:rPr>
          <w:rStyle w:val="FootnoteReference"/>
        </w:rPr>
        <w:footnoteRef/>
      </w:r>
      <w:r>
        <w:t xml:space="preserve"> Предложение за Регламент на Европейския парламент и на Съвета за изменение на Регламент (ЕО) № 1224/2009 на Съвета и за изменение на регламенти (ЕО) № 768/2005, (ЕО) № 1967/2006, (ЕО) № 1005/2008 на Съвета и Регламент (ЕС) 2016/1139 на Европейския парламент и на Съвета по отношение на контрола на рибарството (COM/2018/368 final).</w:t>
      </w:r>
    </w:p>
  </w:footnote>
  <w:footnote w:id="17">
    <w:p>
      <w:pPr>
        <w:pStyle w:val="FootnoteText"/>
      </w:pPr>
      <w:r>
        <w:rPr>
          <w:rStyle w:val="FootnoteReference"/>
        </w:rPr>
        <w:footnoteRef/>
      </w:r>
      <w:r>
        <w:t xml:space="preserve"> 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 2004/585/ЕО на Съвета (ОВ L 354, 28.12.2013 г., стр. 22).</w:t>
      </w:r>
    </w:p>
  </w:footnote>
  <w:footnote w:id="18">
    <w:p>
      <w:pPr>
        <w:pStyle w:val="FootnoteText"/>
      </w:pPr>
      <w:r>
        <w:rPr>
          <w:rStyle w:val="FootnoteReference"/>
        </w:rPr>
        <w:footnoteRef/>
      </w:r>
      <w:r>
        <w:t xml:space="preserve"> Поради пандемията от COVID-19 годишното заседание на Генералната комисия по рибарство за Средиземно море през 2020 г. вероятно ще бъде отложено за началото на 2021 г., което може да наложи изменение на регламента по-късно през 2021 г. </w:t>
      </w:r>
    </w:p>
  </w:footnote>
  <w:footnote w:id="19">
    <w:p>
      <w:pPr>
        <w:pStyle w:val="FootnoteText"/>
      </w:pPr>
      <w:r>
        <w:rPr>
          <w:rStyle w:val="FootnoteReference"/>
        </w:rPr>
        <w:footnoteRef/>
      </w:r>
      <w:r>
        <w:t xml:space="preserve"> Становищата на ICES са публикувани на </w:t>
      </w:r>
      <w:hyperlink r:id="rId3" w:history="1">
        <w:r>
          <w:rPr>
            <w:rStyle w:val="Hyperlink"/>
          </w:rPr>
          <w:t>http://www.ices.dk/publications/library/Pages/default.aspx</w:t>
        </w:r>
      </w:hyperlink>
      <w:r>
        <w:t xml:space="preserve"> </w:t>
      </w:r>
    </w:p>
  </w:footnote>
  <w:footnote w:id="20">
    <w:p>
      <w:pPr>
        <w:pStyle w:val="FootnoteText"/>
      </w:pPr>
      <w:r>
        <w:rPr>
          <w:rStyle w:val="FootnoteReference"/>
        </w:rPr>
        <w:footnoteRef/>
      </w:r>
      <w:r>
        <w:t xml:space="preserve"> Графикът на предложенията на Комисията може да претърпи промени, дължащи се на непредвидено въздействие на пандемията от COVID-19 върху научните становища. </w:t>
      </w:r>
    </w:p>
  </w:footnote>
  <w:footnote w:id="21">
    <w:p>
      <w:pPr>
        <w:pStyle w:val="FootnoteText"/>
      </w:pPr>
      <w:r>
        <w:rPr>
          <w:rStyle w:val="FootnoteReference"/>
        </w:rPr>
        <w:footnoteRef/>
      </w:r>
      <w:r>
        <w:t xml:space="preserve"> Графикът на заседанията на Съвета може да претърпи промени, дължащи се на непредвидено въздействие на пандемията от COVID-19 върху научните становища.</w:t>
      </w:r>
    </w:p>
  </w:footnote>
  <w:footnote w:id="22">
    <w:p>
      <w:pPr>
        <w:pStyle w:val="FootnoteText"/>
      </w:pPr>
      <w:r>
        <w:rPr>
          <w:rStyle w:val="FootnoteReference"/>
        </w:rPr>
        <w:footnoteRef/>
      </w:r>
      <w:r>
        <w:t xml:space="preserve"> Графикът на заседанията на Комисията може да претърпи промени, дължащи се на непредвиденото въздействие на пандемията от COVID-19 върху наличието на научни становища. </w:t>
      </w:r>
    </w:p>
  </w:footnote>
  <w:footnote w:id="23">
    <w:p>
      <w:pPr>
        <w:pStyle w:val="FootnoteText"/>
        <w:ind w:left="142" w:hanging="142"/>
      </w:pPr>
      <w:r>
        <w:rPr>
          <w:rStyle w:val="FootnoteReference"/>
        </w:rPr>
        <w:footnoteRef/>
      </w:r>
      <w:r>
        <w:t xml:space="preserve"> За управляваните от РОУР запаси във водите на ЕС и в определени води извън ЕС възможностите за риболов се приемат след годишните заседания на РОУР чрез периодично преразглеждане на Регламента на Съвета за определяне на възможностите за риболов на определени рибни запаси и групи от рибни запаси, приложими във водите на Съюза, както и за риболовните кораби на Съюза в някои води извън Съюза.</w:t>
      </w:r>
    </w:p>
  </w:footnote>
  <w:footnote w:id="24">
    <w:p>
      <w:pPr>
        <w:pStyle w:val="FootnoteText"/>
      </w:pPr>
      <w:r>
        <w:rPr>
          <w:rStyle w:val="FootnoteReference"/>
        </w:rPr>
        <w:footnoteRef/>
      </w:r>
      <w:r>
        <w:t xml:space="preserve"> Тъй като срокът за провеждане на годишното заседание на Генералната комисия по рибарство за Средиземно море е несигурен поради пандемията от COVID-19, тази дата може да бъде променена.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B3763F"/>
    <w:multiLevelType w:val="hybridMultilevel"/>
    <w:tmpl w:val="EF16B7F0"/>
    <w:lvl w:ilvl="0" w:tplc="B9EE7B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B2956"/>
    <w:multiLevelType w:val="hybridMultilevel"/>
    <w:tmpl w:val="FAA2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E833137"/>
    <w:multiLevelType w:val="hybridMultilevel"/>
    <w:tmpl w:val="AC46A35E"/>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34306"/>
    <w:multiLevelType w:val="multilevel"/>
    <w:tmpl w:val="B04A9F6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428"/>
        </w:tabs>
        <w:ind w:left="1428" w:hanging="720"/>
      </w:pPr>
      <w:rPr>
        <w:b/>
        <w:i w:val="0"/>
      </w:r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037D8"/>
    <w:multiLevelType w:val="hybridMultilevel"/>
    <w:tmpl w:val="9B767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43E333E"/>
    <w:multiLevelType w:val="hybridMultilevel"/>
    <w:tmpl w:val="FAE84638"/>
    <w:lvl w:ilvl="0" w:tplc="A3B4E41A">
      <w:start w:val="3"/>
      <w:numFmt w:val="bullet"/>
      <w:lvlText w:val="-"/>
      <w:lvlJc w:val="left"/>
      <w:pPr>
        <w:ind w:left="720" w:hanging="360"/>
      </w:pPr>
      <w:rPr>
        <w:rFonts w:ascii="Times New Roman" w:eastAsia="Times New Roman" w:hAnsi="Times New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49DE0F82"/>
    <w:multiLevelType w:val="hybridMultilevel"/>
    <w:tmpl w:val="338CFF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92366A"/>
    <w:multiLevelType w:val="hybridMultilevel"/>
    <w:tmpl w:val="689EDF1E"/>
    <w:lvl w:ilvl="0" w:tplc="0809000B">
      <w:start w:val="1"/>
      <w:numFmt w:val="bullet"/>
      <w:lvlText w:val=""/>
      <w:lvlJc w:val="left"/>
      <w:pPr>
        <w:ind w:left="1100" w:hanging="360"/>
      </w:pPr>
      <w:rPr>
        <w:rFonts w:ascii="Wingdings" w:hAnsi="Wingdings" w:hint="default"/>
      </w:rPr>
    </w:lvl>
    <w:lvl w:ilvl="1" w:tplc="FBB4B018">
      <w:numFmt w:val="bullet"/>
      <w:lvlText w:val=""/>
      <w:lvlJc w:val="left"/>
      <w:pPr>
        <w:ind w:left="2000" w:hanging="540"/>
      </w:pPr>
      <w:rPr>
        <w:rFonts w:ascii="Times New Roman" w:eastAsia="Calibri" w:hAnsi="Times New Roman" w:cs="Times New Roman"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
    <w:nsid w:val="576D332A"/>
    <w:multiLevelType w:val="hybridMultilevel"/>
    <w:tmpl w:val="15F0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B032AE"/>
    <w:multiLevelType w:val="hybridMultilevel"/>
    <w:tmpl w:val="F0BE30CA"/>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6A594A"/>
    <w:multiLevelType w:val="hybridMultilevel"/>
    <w:tmpl w:val="6988D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3C06C35"/>
    <w:multiLevelType w:val="hybridMultilevel"/>
    <w:tmpl w:val="F3D84E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633403"/>
    <w:multiLevelType w:val="hybridMultilevel"/>
    <w:tmpl w:val="4FC0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8E09EE"/>
    <w:multiLevelType w:val="hybridMultilevel"/>
    <w:tmpl w:val="03A4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C477AF6"/>
    <w:multiLevelType w:val="hybridMultilevel"/>
    <w:tmpl w:val="09E2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6"/>
  </w:num>
  <w:num w:numId="5">
    <w:abstractNumId w:val="9"/>
  </w:num>
  <w:num w:numId="6">
    <w:abstractNumId w:val="15"/>
  </w:num>
  <w:num w:numId="7">
    <w:abstractNumId w:val="27"/>
  </w:num>
  <w:num w:numId="8">
    <w:abstractNumId w:val="28"/>
  </w:num>
  <w:num w:numId="9">
    <w:abstractNumId w:val="13"/>
  </w:num>
  <w:num w:numId="10">
    <w:abstractNumId w:val="26"/>
  </w:num>
  <w:num w:numId="11">
    <w:abstractNumId w:val="25"/>
  </w:num>
  <w:num w:numId="12">
    <w:abstractNumId w:val="18"/>
  </w:num>
  <w:num w:numId="13">
    <w:abstractNumId w:val="21"/>
  </w:num>
  <w:num w:numId="14">
    <w:abstractNumId w:val="8"/>
  </w:num>
  <w:num w:numId="15">
    <w:abstractNumId w:val="14"/>
  </w:num>
  <w:num w:numId="16">
    <w:abstractNumId w:val="5"/>
  </w:num>
  <w:num w:numId="17">
    <w:abstractNumId w:val="11"/>
  </w:num>
  <w:num w:numId="18">
    <w:abstractNumId w:val="29"/>
  </w:num>
  <w:num w:numId="19">
    <w:abstractNumId w:val="12"/>
  </w:num>
  <w:num w:numId="20">
    <w:abstractNumId w:val="6"/>
  </w:num>
  <w:num w:numId="21">
    <w:abstractNumId w:val="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
  </w:num>
  <w:num w:numId="25">
    <w:abstractNumId w:val="23"/>
  </w:num>
  <w:num w:numId="26">
    <w:abstractNumId w:val="30"/>
  </w:num>
  <w:num w:numId="27">
    <w:abstractNumId w:val="19"/>
  </w:num>
  <w:num w:numId="28">
    <w:abstractNumId w:val="20"/>
  </w:num>
  <w:num w:numId="29">
    <w:abstractNumId w:val="31"/>
  </w:num>
  <w:num w:numId="30">
    <w:abstractNumId w:val="33"/>
  </w:num>
  <w:num w:numId="31">
    <w:abstractNumId w:val="22"/>
  </w:num>
  <w:num w:numId="32">
    <w:abstractNumId w:val="7"/>
  </w:num>
  <w:num w:numId="33">
    <w:abstractNumId w:val="7"/>
  </w:num>
  <w:num w:numId="34">
    <w:abstractNumId w:val="7"/>
  </w:num>
  <w:num w:numId="35">
    <w:abstractNumId w:val="7"/>
  </w:num>
  <w:num w:numId="36">
    <w:abstractNumId w:val="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7"/>
  </w:num>
  <w:num w:numId="40">
    <w:abstractNumId w:val="7"/>
  </w:num>
  <w:num w:numId="41">
    <w:abstractNumId w:val="32"/>
  </w:num>
  <w:num w:numId="42">
    <w:abstractNumId w:val="10"/>
  </w:num>
  <w:num w:numId="43">
    <w:abstractNumId w:val="2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4A07902-881D-42F9-A192-0EC2A635A040"/>
    <w:docVar w:name="LW_COVERPAGE_TYPE" w:val="1"/>
    <w:docVar w:name="LW_CROSSREFERENCE" w:val="{SWD(2020) 112 final}"/>
    <w:docVar w:name="LW_DocType" w:val="NORMAL"/>
    <w:docVar w:name="LW_EMISSION" w:val="16.6.2020"/>
    <w:docVar w:name="LW_EMISSION_ISODATE" w:val="2020-06-16"/>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0?\u1098?\u1084? \u1087?\u1086?-\u1091?\u1089?\u1090?\u1086?\u1081?\u1095?\u1080?\u1074? \u1088?\u1080?\u1073?\u1086?\u1083?\u1086?\u1074? \u1074? \u1045?\u1057?: \u1072?\u1082?\u1090?\u1091?\u1072?\u1083?\u1085?\u1086? \u1089?\u1098?\u1089?\u1090?\u1086?\u1103?\u1085?\u1080?\u1077? \u1080? \u1085?\u1072?\u1089?\u1086?\u1082?\u1080? \u1079?\u1072? 2021 \u1075?. _x000b_"/>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 text,Char,Char1,Char1 Char,Char2,Char3,Char11,Char1 Char2,Char21,Char4,Char12,Char1 Char3,Char22,Char5,Char13,Char1 Char4,Char23,Char6,Char14,Char1 Char5,Char24,Char7,Char15,Char1 Char6,Char25,Char8,fn,ft, Char, Char1, Char1 Char"/>
    <w:basedOn w:val="Normal"/>
    <w:link w:val="FootnoteTextChar"/>
    <w:uiPriority w:val="99"/>
    <w:qFormat/>
    <w:pPr>
      <w:ind w:left="357" w:hanging="357"/>
    </w:pPr>
    <w:rPr>
      <w:sz w:val="20"/>
    </w:rPr>
  </w:style>
  <w:style w:type="character" w:customStyle="1" w:styleId="FootnoteTextChar">
    <w:name w:val="Footnote Text Char"/>
    <w:aliases w:val="Footnote text Char,Char Char,Char1 Char1,Char1 Char Char,Char2 Char,Char3 Char,Char11 Char,Char1 Char2 Char,Char21 Char,Char4 Char,Char12 Char,Char1 Char3 Char,Char22 Char,Char5 Char,Char13 Char,Char1 Char4 Char,Char23 Char,Char6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styleId="FootnoteReference">
    <w:name w:val="footnote reference"/>
    <w:aliases w:val="stylish,Appel note de bas de page,16 Point,Superscript 6 Point,Ref,de nota al pie,Footnote Reference Superscript,Footnote symbol,Footnote Reference Number,E FNZ,-E Fußnotenzeichen,Footnote#,Footnote,Times 10 Point,Exposant 3 Point"/>
    <w:uiPriority w:val="99"/>
    <w:qFormat/>
    <w:rPr>
      <w:shd w:val="clear" w:color="auto" w:fill="auto"/>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Pr>
      <w:rFonts w:eastAsia="Times New Roman"/>
      <w:color w:val="auto"/>
      <w:lang w:eastAsia="en-GB"/>
    </w:rPr>
  </w:style>
  <w:style w:type="paragraph" w:styleId="NormalWeb">
    <w:name w:val="Normal (Web)"/>
    <w:basedOn w:val="Normal"/>
    <w:uiPriority w:val="99"/>
    <w:semiHidden/>
    <w:unhideWhenUsed/>
    <w:pPr>
      <w:spacing w:before="100" w:beforeAutospacing="1" w:after="100" w:afterAutospacing="1"/>
      <w:jc w:val="left"/>
    </w:pPr>
    <w:rPr>
      <w:szCs w:val="24"/>
      <w:lang w:eastAsia="zh-CN"/>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u w:val="single"/>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paragraph" w:customStyle="1" w:styleId="Typedudocument">
    <w:name w:val="Type du document"/>
    <w:basedOn w:val="Normal"/>
    <w:next w:val="Titreobjet"/>
    <w:pPr>
      <w:spacing w:before="360" w:after="0"/>
      <w:jc w:val="center"/>
    </w:pPr>
    <w:rPr>
      <w:rFonts w:eastAsiaTheme="minorHAnsi"/>
      <w:b/>
      <w:szCs w:val="22"/>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character" w:customStyle="1" w:styleId="Text1Char">
    <w:name w:val="Text 1 Char"/>
    <w:link w:val="Text1"/>
    <w:locked/>
    <w:rPr>
      <w:rFonts w:ascii="Times New Roman" w:eastAsia="Times New Roman" w:hAnsi="Times New Roman" w:cs="Times New Roman"/>
      <w:sz w:val="24"/>
      <w:szCs w:val="20"/>
    </w:rPr>
  </w:style>
  <w:style w:type="character" w:customStyle="1" w:styleId="st">
    <w:name w:val="st"/>
    <w:basedOn w:val="DefaultParagraphFont"/>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 text,Char,Char1,Char1 Char,Char2,Char3,Char11,Char1 Char2,Char21,Char4,Char12,Char1 Char3,Char22,Char5,Char13,Char1 Char4,Char23,Char6,Char14,Char1 Char5,Char24,Char7,Char15,Char1 Char6,Char25,Char8,fn,ft, Char, Char1, Char1 Char"/>
    <w:basedOn w:val="Normal"/>
    <w:link w:val="FootnoteTextChar"/>
    <w:uiPriority w:val="99"/>
    <w:qFormat/>
    <w:pPr>
      <w:ind w:left="357" w:hanging="357"/>
    </w:pPr>
    <w:rPr>
      <w:sz w:val="20"/>
    </w:rPr>
  </w:style>
  <w:style w:type="character" w:customStyle="1" w:styleId="FootnoteTextChar">
    <w:name w:val="Footnote Text Char"/>
    <w:aliases w:val="Footnote text Char,Char Char,Char1 Char1,Char1 Char Char,Char2 Char,Char3 Char,Char11 Char,Char1 Char2 Char,Char21 Char,Char4 Char,Char12 Char,Char1 Char3 Char,Char22 Char,Char5 Char,Char13 Char,Char1 Char4 Char,Char23 Char,Char6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styleId="FootnoteReference">
    <w:name w:val="footnote reference"/>
    <w:aliases w:val="stylish,Appel note de bas de page,16 Point,Superscript 6 Point,Ref,de nota al pie,Footnote Reference Superscript,Footnote symbol,Footnote Reference Number,E FNZ,-E Fußnotenzeichen,Footnote#,Footnote,Times 10 Point,Exposant 3 Point"/>
    <w:uiPriority w:val="99"/>
    <w:qFormat/>
    <w:rPr>
      <w:shd w:val="clear" w:color="auto" w:fill="auto"/>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Pr>
      <w:rFonts w:eastAsia="Times New Roman"/>
      <w:color w:val="auto"/>
      <w:lang w:eastAsia="en-GB"/>
    </w:rPr>
  </w:style>
  <w:style w:type="paragraph" w:styleId="NormalWeb">
    <w:name w:val="Normal (Web)"/>
    <w:basedOn w:val="Normal"/>
    <w:uiPriority w:val="99"/>
    <w:semiHidden/>
    <w:unhideWhenUsed/>
    <w:pPr>
      <w:spacing w:before="100" w:beforeAutospacing="1" w:after="100" w:afterAutospacing="1"/>
      <w:jc w:val="left"/>
    </w:pPr>
    <w:rPr>
      <w:szCs w:val="24"/>
      <w:lang w:eastAsia="zh-CN"/>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u w:val="single"/>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paragraph" w:customStyle="1" w:styleId="Typedudocument">
    <w:name w:val="Type du document"/>
    <w:basedOn w:val="Normal"/>
    <w:next w:val="Titreobjet"/>
    <w:pPr>
      <w:spacing w:before="360" w:after="0"/>
      <w:jc w:val="center"/>
    </w:pPr>
    <w:rPr>
      <w:rFonts w:eastAsiaTheme="minorHAnsi"/>
      <w:b/>
      <w:szCs w:val="22"/>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character" w:customStyle="1" w:styleId="Text1Char">
    <w:name w:val="Text 1 Char"/>
    <w:link w:val="Text1"/>
    <w:locked/>
    <w:rPr>
      <w:rFonts w:ascii="Times New Roman" w:eastAsia="Times New Roman" w:hAnsi="Times New Roman" w:cs="Times New Roman"/>
      <w:sz w:val="24"/>
      <w:szCs w:val="20"/>
    </w:rPr>
  </w:style>
  <w:style w:type="character" w:customStyle="1" w:styleId="st">
    <w:name w:val="st"/>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6691">
      <w:bodyDiv w:val="1"/>
      <w:marLeft w:val="0"/>
      <w:marRight w:val="0"/>
      <w:marTop w:val="0"/>
      <w:marBottom w:val="0"/>
      <w:divBdr>
        <w:top w:val="none" w:sz="0" w:space="0" w:color="auto"/>
        <w:left w:val="none" w:sz="0" w:space="0" w:color="auto"/>
        <w:bottom w:val="none" w:sz="0" w:space="0" w:color="auto"/>
        <w:right w:val="none" w:sz="0" w:space="0" w:color="auto"/>
      </w:divBdr>
      <w:divsChild>
        <w:div w:id="1646545368">
          <w:marLeft w:val="240"/>
          <w:marRight w:val="0"/>
          <w:marTop w:val="0"/>
          <w:marBottom w:val="0"/>
          <w:divBdr>
            <w:top w:val="none" w:sz="0" w:space="0" w:color="auto"/>
            <w:left w:val="none" w:sz="0" w:space="0" w:color="auto"/>
            <w:bottom w:val="none" w:sz="0" w:space="0" w:color="auto"/>
            <w:right w:val="none" w:sz="0" w:space="0" w:color="auto"/>
          </w:divBdr>
        </w:div>
      </w:divsChild>
    </w:div>
    <w:div w:id="1333072324">
      <w:bodyDiv w:val="1"/>
      <w:marLeft w:val="0"/>
      <w:marRight w:val="0"/>
      <w:marTop w:val="0"/>
      <w:marBottom w:val="0"/>
      <w:divBdr>
        <w:top w:val="none" w:sz="0" w:space="0" w:color="auto"/>
        <w:left w:val="none" w:sz="0" w:space="0" w:color="auto"/>
        <w:bottom w:val="none" w:sz="0" w:space="0" w:color="auto"/>
        <w:right w:val="none" w:sz="0" w:space="0" w:color="auto"/>
      </w:divBdr>
    </w:div>
    <w:div w:id="171797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ices.dk/publications/library/Pages/default.aspx" TargetMode="External"/><Relationship Id="rId2" Type="http://schemas.openxmlformats.org/officeDocument/2006/relationships/hyperlink" Target="https://www.efca.europa.eu/en/content/pressroom/evaluation-suggests-non-compliance-landing-obligations-certain-fisheries-north-sea" TargetMode="External"/><Relationship Id="rId1" Type="http://schemas.openxmlformats.org/officeDocument/2006/relationships/hyperlink" Target="https://www.eumof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ECC506078DB840AA0734C63B456C7F" ma:contentTypeVersion="2" ma:contentTypeDescription="Create a new document." ma:contentTypeScope="" ma:versionID="40b194734fdc9153997f1696afadc8eb">
  <xsd:schema xmlns:xsd="http://www.w3.org/2001/XMLSchema" xmlns:xs="http://www.w3.org/2001/XMLSchema" xmlns:p="http://schemas.microsoft.com/office/2006/metadata/properties" xmlns:ns1="4962eb87-691e-4ab8-bcad-1e23c43f590e" xmlns:ns3="http://schemas.microsoft.com/sharepoint/v4" targetNamespace="http://schemas.microsoft.com/office/2006/metadata/properties" ma:root="true" ma:fieldsID="38722e2cbe80aff242ee89183d1815ef" ns1:_="" ns3:_="">
    <xsd:import namespace="4962eb87-691e-4ab8-bcad-1e23c43f590e"/>
    <xsd:import namespace="http://schemas.microsoft.com/sharepoint/v4"/>
    <xsd:element name="properties">
      <xsd:complexType>
        <xsd:sequence>
          <xsd:element name="documentManagement">
            <xsd:complexType>
              <xsd:all>
                <xsd:element ref="ns1:Hyperlink"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2eb87-691e-4ab8-bcad-1e23c43f590e" elementFormDefault="qualified">
    <xsd:import namespace="http://schemas.microsoft.com/office/2006/documentManagement/types"/>
    <xsd:import namespace="http://schemas.microsoft.com/office/infopath/2007/PartnerControls"/>
    <xsd:element name="Hyperlink" ma:index="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yperlink xmlns="4962eb87-691e-4ab8-bcad-1e23c43f590e">
      <Url xsi:nil="true"/>
      <Description xsi:nil="true"/>
    </Hyper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45698-C208-4BC4-B7C6-82B9F4316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2eb87-691e-4ab8-bcad-1e23c43f59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77D1E-B995-4BB4-A6CD-B560E80E1B75}">
  <ds:schemaRefs>
    <ds:schemaRef ds:uri="http://schemas.microsoft.com/sharepoint/v3/contenttype/forms"/>
  </ds:schemaRefs>
</ds:datastoreItem>
</file>

<file path=customXml/itemProps3.xml><?xml version="1.0" encoding="utf-8"?>
<ds:datastoreItem xmlns:ds="http://schemas.openxmlformats.org/officeDocument/2006/customXml" ds:itemID="{A8ACCA8D-EB1F-4346-9097-7402FF22EF38}">
  <ds:schemaRefs>
    <ds:schemaRef ds:uri="http://purl.org/dc/elements/1.1/"/>
    <ds:schemaRef ds:uri="http://schemas.microsoft.com/office/2006/metadata/properties"/>
    <ds:schemaRef ds:uri="4962eb87-691e-4ab8-bcad-1e23c43f590e"/>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4C54F1C-8852-43F9-9B9A-1B08D7205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14</Pages>
  <Words>4351</Words>
  <Characters>25064</Characters>
  <Application>Microsoft Office Word</Application>
  <DocSecurity>0</DocSecurity>
  <Lines>464</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2020-06-03T13:17:00Z</cp:lastPrinted>
  <dcterms:created xsi:type="dcterms:W3CDTF">2020-06-11T12:30:00Z</dcterms:created>
  <dcterms:modified xsi:type="dcterms:W3CDTF">2020-06-25T11:38:00Z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CP-012</vt:lpwstr>
  </property>
  <property fmtid="{D5CDD505-2E9C-101B-9397-08002B2CF9AE}" pid="9" name="_LW_INVALIDATED__LW_INVALIDATED__LW_INVALIDATED__LW_INVALIDATED_ContentTypeId">
    <vt:lpwstr>0x01010081ECC506078DB840AA0734C63B456C7F</vt:lpwstr>
  </property>
</Properties>
</file>