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5F66451-2C72-43AB-B58D-399A1B796B09" style="width:450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ПРОЕКТ НА</w:t>
      </w:r>
    </w:p>
    <w:p>
      <w:pPr>
        <w:jc w:val="center"/>
        <w:rPr>
          <w:b/>
          <w:caps/>
          <w:noProof/>
        </w:rPr>
      </w:pPr>
      <w:r>
        <w:rPr>
          <w:b/>
          <w:noProof/>
        </w:rPr>
        <w:t xml:space="preserve">РЕШЕНИЕ № .../… НА СЪВМЕСТНИЯ КОМИТЕТ НА ЕО И ФАРЬОРСКИТЕ ОСТРОВИ </w:t>
      </w:r>
    </w:p>
    <w:p>
      <w:pPr>
        <w:jc w:val="center"/>
        <w:rPr>
          <w:b/>
          <w:noProof/>
        </w:rPr>
      </w:pPr>
      <w:r>
        <w:rPr>
          <w:b/>
          <w:noProof/>
        </w:rPr>
        <w:t>от … 2020 година</w:t>
      </w:r>
    </w:p>
    <w:p>
      <w:pPr>
        <w:spacing w:after="360"/>
        <w:jc w:val="center"/>
        <w:rPr>
          <w:b/>
          <w:noProof/>
        </w:rPr>
      </w:pPr>
      <w:r>
        <w:rPr>
          <w:b/>
          <w:noProof/>
        </w:rPr>
        <w:t>за изменение на протоколи 1 и 4 към Споразумението между Европейската общност, от една страна, и правителството на Дания и местното правителство на Фaрьорските острови, от друга страна</w:t>
      </w:r>
      <w:r>
        <w:rPr>
          <w:b/>
          <w:noProof/>
        </w:rPr>
        <w:cr/>
      </w:r>
    </w:p>
    <w:p>
      <w:pPr>
        <w:rPr>
          <w:rFonts w:eastAsia="Times New Roman"/>
          <w:noProof/>
          <w:szCs w:val="24"/>
        </w:rPr>
      </w:pPr>
      <w:r>
        <w:rPr>
          <w:noProof/>
        </w:rPr>
        <w:t xml:space="preserve">СЪВМЕСТНИЯТ КОМИТЕТ, </w:t>
      </w:r>
    </w:p>
    <w:p>
      <w:pPr>
        <w:rPr>
          <w:rFonts w:eastAsia="Times New Roman"/>
          <w:noProof/>
          <w:szCs w:val="24"/>
        </w:rPr>
      </w:pPr>
      <w:r>
        <w:rPr>
          <w:noProof/>
        </w:rPr>
        <w:t>като взе предвид Споразумението между Европейската общност, от една страна, и правителството на Дания и местното правителство на Фарьорските острови, от друга страна</w:t>
      </w:r>
      <w:r>
        <w:rPr>
          <w:rStyle w:val="FootnoteReference"/>
          <w:noProof/>
        </w:rPr>
        <w:footnoteReference w:id="1"/>
      </w:r>
      <w:r>
        <w:rPr>
          <w:noProof/>
        </w:rPr>
        <w:t>, и по-специално член 34, параграф 1 от него,</w:t>
      </w:r>
    </w:p>
    <w:p>
      <w:pPr>
        <w:rPr>
          <w:rFonts w:eastAsia="Times New Roman"/>
          <w:noProof/>
          <w:szCs w:val="24"/>
        </w:rPr>
      </w:pPr>
      <w:r>
        <w:rPr>
          <w:noProof/>
        </w:rPr>
        <w:t>като има предвид, че:</w:t>
      </w:r>
    </w:p>
    <w:p>
      <w:pPr>
        <w:pStyle w:val="Considrant"/>
        <w:numPr>
          <w:ilvl w:val="0"/>
          <w:numId w:val="1"/>
        </w:numPr>
        <w:rPr>
          <w:noProof/>
        </w:rPr>
      </w:pPr>
      <w:r>
        <w:rPr>
          <w:noProof/>
        </w:rPr>
        <w:t>Протокол 1 към Споразумението между Европейската общност, от една страна, и правителството на Дания и местното правителство на Фарьорските острови, от друга страна („Споразумението“) се отнася до тарифното третиране и разпоредбите, приложими към определени риби и рибни продукти, допуснати за свободно обращение в Европейския съюз или внесени във Фарьорските острови. В приложението към протокол 1 са посочени преференциалните митнически ставки и други условия, приложими по отношение на вноса в Европейския съюз на продукти с произход от и пристигащи от Фарьорските острови.</w:t>
      </w:r>
    </w:p>
    <w:p>
      <w:pPr>
        <w:pStyle w:val="Considrant"/>
        <w:rPr>
          <w:noProof/>
        </w:rPr>
      </w:pPr>
      <w:r>
        <w:rPr>
          <w:noProof/>
        </w:rPr>
        <w:t xml:space="preserve">Фарьорските острови подадоха искане въз основа на член 36 от Споразумението към приложението към протокол 1 да бъдат добавени кодове по КН 0303 53 90 и 1604 13 90. Въз основа проучване на съответния пазар Европейският съюз счита, че тези продукти могат да се внасят безмитно в Европейския съюз, без количествени ограничения. </w:t>
      </w:r>
    </w:p>
    <w:p>
      <w:pPr>
        <w:pStyle w:val="Considrant"/>
        <w:rPr>
          <w:noProof/>
        </w:rPr>
      </w:pPr>
      <w:r>
        <w:rPr>
          <w:noProof/>
        </w:rPr>
        <w:t>Протокол 4 към Споразумението се отнася до специалните разпоредби, прилагани при внос на някои селскостопански продукти, различни от изброените в протокол 1.</w:t>
      </w:r>
    </w:p>
    <w:p>
      <w:pPr>
        <w:pStyle w:val="Considrant"/>
        <w:rPr>
          <w:noProof/>
        </w:rPr>
      </w:pPr>
      <w:r>
        <w:rPr>
          <w:noProof/>
        </w:rPr>
        <w:t>Съгласно член 1 от протокол 4 към Споразумението Европейският съюз първоначално е предоставил тарифни отстъпки за продуктите от риба, предназначени за храна на животни, от Фарьорските острови, по отношение на годишната безмитна тарифна квота от 5000 тона. Тази безмитна тарифна квота е била изменена с Решение № 2/98 на Съвместния комитет ЕО/Дания — Фарьорски острови</w:t>
      </w:r>
      <w:r>
        <w:rPr>
          <w:rStyle w:val="FootnoteReference"/>
          <w:noProof/>
        </w:rPr>
        <w:footnoteReference w:id="2"/>
      </w:r>
      <w:r>
        <w:rPr>
          <w:noProof/>
        </w:rPr>
        <w:t>, с което тя е била увеличена на 10 000 тона от 1 януари 2000 г., и с Решение № 1/2005 на Съвместния комитет ЕО/Дания — Фарьорски острови</w:t>
      </w:r>
      <w:r>
        <w:rPr>
          <w:rStyle w:val="FootnoteReference"/>
          <w:noProof/>
        </w:rPr>
        <w:footnoteReference w:id="3"/>
      </w:r>
      <w:r>
        <w:rPr>
          <w:noProof/>
        </w:rPr>
        <w:t>, с което е била увеличена на 20 000 тона и в което се предвижда, че продуктите от риба, предназначени за храна на животни, които се ползват от преференциалния вносен режим, не могат да съдържат добавен глутен.</w:t>
      </w:r>
    </w:p>
    <w:p>
      <w:pPr>
        <w:pStyle w:val="Considrant"/>
        <w:rPr>
          <w:noProof/>
        </w:rPr>
      </w:pPr>
      <w:r>
        <w:rPr>
          <w:noProof/>
        </w:rPr>
        <w:t xml:space="preserve">Фарьорските острови поискаха да се измени протокол 4 от Споразумението, като се премахнат ограниченията върху съдържанието на добавен глутен в продуктите от риба, предназначени за храна на животни, които се ползват от преференциално третиране, тъй като глутенът се е превърнал в основна суровина в състава на продуктите от риба, предназначени за храна на животни. </w:t>
      </w:r>
    </w:p>
    <w:p>
      <w:pPr>
        <w:pStyle w:val="Considrant"/>
        <w:rPr>
          <w:noProof/>
        </w:rPr>
      </w:pPr>
      <w:r>
        <w:rPr>
          <w:noProof/>
        </w:rPr>
        <w:t xml:space="preserve">В член 2 от протокол 4 към Споразумението се изброяват стоките с произход от Европейския съюз в рамките на глави 1—24 от Хармонизираната система, които Фарьорските острови не освобождават от тарифи и мита при вноса им във Фарьорските острови. </w:t>
      </w:r>
    </w:p>
    <w:p>
      <w:pPr>
        <w:pStyle w:val="Considrant"/>
        <w:rPr>
          <w:rFonts w:eastAsia="Times New Roman"/>
          <w:noProof/>
        </w:rPr>
      </w:pPr>
      <w:r>
        <w:rPr>
          <w:noProof/>
        </w:rPr>
        <w:t>Европейският съюз поиска да бъде открита безмитна тарифна квота за кодове по КН 0204, 0206 80 99, 0206 90 99, 0210 90 11, 0210 90 60, ex 0210 90 90, които са изброени в член 2 от протокол 4. Фарьорските острови считат, че може да бъде предоставена безмитна тарифна квота за 80 тона износ на тези продукти от Европейския съюз, при условие, че бъде прилаган тригодишен преходен период, с безмитна тарифна квота в размер на 40 тона.</w:t>
      </w:r>
    </w:p>
    <w:p>
      <w:pPr>
        <w:pStyle w:val="Considrant"/>
        <w:rPr>
          <w:rFonts w:eastAsia="Times New Roman"/>
          <w:noProof/>
        </w:rPr>
      </w:pPr>
      <w:r>
        <w:rPr>
          <w:noProof/>
        </w:rPr>
        <w:t xml:space="preserve">Поради това протоколи 1 и 4 следва да бъдат съответно изменени, </w:t>
      </w:r>
    </w:p>
    <w:p>
      <w:pPr>
        <w:rPr>
          <w:noProof/>
        </w:rPr>
      </w:pPr>
      <w:r>
        <w:rPr>
          <w:noProof/>
        </w:rPr>
        <w:t>ПРИЕ НАСТОЯЩОТО РЕШЕНИЕ:</w:t>
      </w:r>
    </w:p>
    <w:p>
      <w:pPr>
        <w:pStyle w:val="Titrearticle"/>
        <w:rPr>
          <w:noProof/>
        </w:rPr>
      </w:pPr>
      <w:r>
        <w:rPr>
          <w:noProof/>
        </w:rPr>
        <w:t>Член 1</w:t>
      </w:r>
    </w:p>
    <w:p>
      <w:pPr>
        <w:rPr>
          <w:noProof/>
        </w:rPr>
      </w:pPr>
      <w:r>
        <w:rPr>
          <w:noProof/>
        </w:rPr>
        <w:t xml:space="preserve">Таблица I от приложението към протокол 1 към Споразумението се изменя, както следва: </w:t>
      </w:r>
    </w:p>
    <w:p>
      <w:pPr>
        <w:pStyle w:val="Point0number"/>
        <w:numPr>
          <w:ilvl w:val="0"/>
          <w:numId w:val="11"/>
        </w:numPr>
        <w:rPr>
          <w:noProof/>
        </w:rPr>
      </w:pPr>
      <w:r>
        <w:rPr>
          <w:noProof/>
        </w:rPr>
        <w:t xml:space="preserve">Между код по КН 0303 50 98 и код по КН 0303 60 11 се вмъква следният ред: </w:t>
      </w:r>
    </w:p>
    <w:tbl>
      <w:tblPr>
        <w:tblStyle w:val="TableGrid"/>
        <w:tblW w:w="0" w:type="auto"/>
        <w:tblLook w:val="04A0" w:firstRow="1" w:lastRow="0" w:firstColumn="1" w:lastColumn="0" w:noHBand="0" w:noVBand="1"/>
      </w:tblPr>
      <w:tblGrid>
        <w:gridCol w:w="1384"/>
        <w:gridCol w:w="4678"/>
        <w:gridCol w:w="1701"/>
        <w:gridCol w:w="1448"/>
      </w:tblGrid>
      <w:tr>
        <w:tc>
          <w:tcPr>
            <w:tcW w:w="1384" w:type="dxa"/>
            <w:tcBorders>
              <w:left w:val="nil"/>
            </w:tcBorders>
          </w:tcPr>
          <w:p>
            <w:pPr>
              <w:pStyle w:val="Text1"/>
              <w:ind w:left="0"/>
              <w:rPr>
                <w:noProof/>
              </w:rPr>
            </w:pPr>
            <w:r>
              <w:rPr>
                <w:noProof/>
              </w:rPr>
              <w:t>„еx 0303 53 90</w:t>
            </w:r>
          </w:p>
        </w:tc>
        <w:tc>
          <w:tcPr>
            <w:tcW w:w="4678" w:type="dxa"/>
          </w:tcPr>
          <w:p>
            <w:pPr>
              <w:pStyle w:val="Text1"/>
              <w:ind w:left="0"/>
              <w:rPr>
                <w:noProof/>
              </w:rPr>
            </w:pPr>
            <w:r>
              <w:rPr>
                <w:noProof/>
              </w:rPr>
              <w:t xml:space="preserve">– – – Шпрот, трицона или цаца (Sprattus sprattus) </w:t>
            </w:r>
          </w:p>
        </w:tc>
        <w:tc>
          <w:tcPr>
            <w:tcW w:w="1701" w:type="dxa"/>
          </w:tcPr>
          <w:p>
            <w:pPr>
              <w:pStyle w:val="Text1"/>
              <w:ind w:left="0"/>
              <w:jc w:val="center"/>
              <w:rPr>
                <w:noProof/>
              </w:rPr>
            </w:pPr>
            <w:r>
              <w:rPr>
                <w:noProof/>
              </w:rPr>
              <w:t>0“</w:t>
            </w:r>
          </w:p>
        </w:tc>
        <w:tc>
          <w:tcPr>
            <w:tcW w:w="1448" w:type="dxa"/>
            <w:tcBorders>
              <w:right w:val="nil"/>
            </w:tcBorders>
          </w:tcPr>
          <w:p>
            <w:pPr>
              <w:pStyle w:val="Text1"/>
              <w:ind w:left="0"/>
              <w:rPr>
                <w:noProof/>
              </w:rPr>
            </w:pPr>
          </w:p>
        </w:tc>
      </w:tr>
    </w:tbl>
    <w:p>
      <w:pPr>
        <w:rPr>
          <w:noProof/>
          <w:highlight w:val="yellow"/>
        </w:rPr>
      </w:pPr>
    </w:p>
    <w:p>
      <w:pPr>
        <w:pStyle w:val="Point0number"/>
        <w:rPr>
          <w:noProof/>
        </w:rPr>
      </w:pPr>
      <w:r>
        <w:rPr>
          <w:noProof/>
        </w:rPr>
        <w:t>Между код по КН 1604 12 99 и код по КН 1604 19 се вмъкват следните редове:</w:t>
      </w:r>
    </w:p>
    <w:tbl>
      <w:tblPr>
        <w:tblStyle w:val="TableGrid"/>
        <w:tblW w:w="0" w:type="auto"/>
        <w:tblLook w:val="04A0" w:firstRow="1" w:lastRow="0" w:firstColumn="1" w:lastColumn="0" w:noHBand="0" w:noVBand="1"/>
      </w:tblPr>
      <w:tblGrid>
        <w:gridCol w:w="1384"/>
        <w:gridCol w:w="4678"/>
        <w:gridCol w:w="1701"/>
        <w:gridCol w:w="1448"/>
      </w:tblGrid>
      <w:tr>
        <w:tc>
          <w:tcPr>
            <w:tcW w:w="1384" w:type="dxa"/>
            <w:tcBorders>
              <w:left w:val="nil"/>
            </w:tcBorders>
          </w:tcPr>
          <w:p>
            <w:pPr>
              <w:pStyle w:val="Text1"/>
              <w:ind w:left="0"/>
              <w:rPr>
                <w:noProof/>
              </w:rPr>
            </w:pPr>
            <w:r>
              <w:rPr>
                <w:noProof/>
              </w:rPr>
              <w:t>„1604 13</w:t>
            </w:r>
          </w:p>
          <w:p>
            <w:pPr>
              <w:pStyle w:val="Text1"/>
              <w:ind w:left="0"/>
              <w:rPr>
                <w:noProof/>
              </w:rPr>
            </w:pPr>
          </w:p>
          <w:p>
            <w:pPr>
              <w:pStyle w:val="Text1"/>
              <w:ind w:left="0"/>
              <w:rPr>
                <w:noProof/>
              </w:rPr>
            </w:pPr>
            <w:r>
              <w:rPr>
                <w:noProof/>
              </w:rPr>
              <w:t>1604 13 90</w:t>
            </w:r>
          </w:p>
        </w:tc>
        <w:tc>
          <w:tcPr>
            <w:tcW w:w="4678" w:type="dxa"/>
          </w:tcPr>
          <w:p>
            <w:pPr>
              <w:pStyle w:val="Text1"/>
              <w:ind w:left="0"/>
              <w:rPr>
                <w:noProof/>
              </w:rPr>
            </w:pPr>
            <w:r>
              <w:rPr>
                <w:noProof/>
              </w:rPr>
              <w:t>– – Сардини, сардинели, шпрот, трицона или цаца</w:t>
            </w:r>
          </w:p>
          <w:p>
            <w:pPr>
              <w:pStyle w:val="Text1"/>
              <w:ind w:left="0"/>
              <w:rPr>
                <w:noProof/>
              </w:rPr>
            </w:pPr>
            <w:r>
              <w:rPr>
                <w:noProof/>
              </w:rPr>
              <w:t>– – – Сардини:</w:t>
            </w:r>
          </w:p>
          <w:p>
            <w:pPr>
              <w:pStyle w:val="Text1"/>
              <w:ind w:left="0"/>
              <w:rPr>
                <w:noProof/>
              </w:rPr>
            </w:pPr>
            <w:r>
              <w:rPr>
                <w:noProof/>
              </w:rPr>
              <w:t>– – – Други</w:t>
            </w:r>
          </w:p>
        </w:tc>
        <w:tc>
          <w:tcPr>
            <w:tcW w:w="1701" w:type="dxa"/>
          </w:tcPr>
          <w:p>
            <w:pPr>
              <w:pStyle w:val="Text1"/>
              <w:ind w:left="0"/>
              <w:rPr>
                <w:noProof/>
              </w:rPr>
            </w:pPr>
          </w:p>
          <w:p>
            <w:pPr>
              <w:pStyle w:val="Text1"/>
              <w:ind w:left="0"/>
              <w:rPr>
                <w:noProof/>
              </w:rPr>
            </w:pPr>
          </w:p>
          <w:p>
            <w:pPr>
              <w:pStyle w:val="Text1"/>
              <w:ind w:left="0"/>
              <w:jc w:val="center"/>
              <w:rPr>
                <w:noProof/>
              </w:rPr>
            </w:pPr>
            <w:r>
              <w:rPr>
                <w:noProof/>
              </w:rPr>
              <w:t>0“</w:t>
            </w:r>
          </w:p>
        </w:tc>
        <w:tc>
          <w:tcPr>
            <w:tcW w:w="1448" w:type="dxa"/>
            <w:tcBorders>
              <w:right w:val="nil"/>
            </w:tcBorders>
          </w:tcPr>
          <w:p>
            <w:pPr>
              <w:pStyle w:val="Text1"/>
              <w:ind w:left="0"/>
              <w:rPr>
                <w:noProof/>
              </w:rPr>
            </w:pPr>
          </w:p>
        </w:tc>
      </w:tr>
    </w:tbl>
    <w:p>
      <w:pPr>
        <w:pStyle w:val="Titrearticle"/>
        <w:rPr>
          <w:rFonts w:eastAsia="Times New Roman"/>
          <w:noProof/>
          <w:szCs w:val="24"/>
        </w:rPr>
      </w:pPr>
      <w:r>
        <w:rPr>
          <w:noProof/>
        </w:rPr>
        <w:t>Член 2</w:t>
      </w:r>
    </w:p>
    <w:p>
      <w:pPr>
        <w:rPr>
          <w:rFonts w:eastAsia="Times New Roman"/>
          <w:noProof/>
          <w:szCs w:val="24"/>
        </w:rPr>
      </w:pPr>
      <w:r>
        <w:rPr>
          <w:noProof/>
        </w:rPr>
        <w:t xml:space="preserve">Протокол 4 към Споразумението се изменя, както следва: </w:t>
      </w:r>
    </w:p>
    <w:p>
      <w:pPr>
        <w:pStyle w:val="Point0number"/>
        <w:numPr>
          <w:ilvl w:val="0"/>
          <w:numId w:val="10"/>
        </w:numPr>
        <w:rPr>
          <w:rFonts w:eastAsia="Times New Roman"/>
          <w:noProof/>
          <w:szCs w:val="24"/>
        </w:rPr>
      </w:pPr>
      <w:r>
        <w:rPr>
          <w:noProof/>
        </w:rPr>
        <w:t xml:space="preserve">Член 1 се заменя със следното: </w:t>
      </w:r>
    </w:p>
    <w:p>
      <w:pPr>
        <w:spacing w:after="360"/>
        <w:jc w:val="center"/>
        <w:rPr>
          <w:rFonts w:eastAsia="Times New Roman"/>
          <w:noProof/>
          <w:szCs w:val="24"/>
        </w:rPr>
      </w:pPr>
      <w:r>
        <w:rPr>
          <w:noProof/>
        </w:rPr>
        <w:t>„Член 1</w:t>
      </w:r>
    </w:p>
    <w:p>
      <w:pPr>
        <w:spacing w:after="360"/>
        <w:rPr>
          <w:rFonts w:eastAsia="Times New Roman"/>
          <w:noProof/>
          <w:szCs w:val="24"/>
        </w:rPr>
      </w:pPr>
      <w:r>
        <w:rPr>
          <w:noProof/>
        </w:rPr>
        <w:t>Европейският съюз предоставя на продуктите с произход от и пристигащи от Фарьорските острови следните тарифни квоти:</w:t>
      </w:r>
    </w:p>
    <w:tbl>
      <w:tblPr>
        <w:tblStyle w:val="TableGrid"/>
        <w:tblW w:w="0" w:type="auto"/>
        <w:tblLook w:val="04A0" w:firstRow="1" w:lastRow="0" w:firstColumn="1" w:lastColumn="0" w:noHBand="0" w:noVBand="1"/>
      </w:tblPr>
      <w:tblGrid>
        <w:gridCol w:w="1668"/>
        <w:gridCol w:w="4961"/>
        <w:gridCol w:w="1134"/>
        <w:gridCol w:w="1524"/>
      </w:tblGrid>
      <w:tr>
        <w:tc>
          <w:tcPr>
            <w:tcW w:w="1668" w:type="dxa"/>
            <w:tcBorders>
              <w:left w:val="nil"/>
            </w:tcBorders>
            <w:vAlign w:val="center"/>
          </w:tcPr>
          <w:p>
            <w:pPr>
              <w:pStyle w:val="NoSpacing"/>
              <w:jc w:val="center"/>
              <w:rPr>
                <w:noProof/>
              </w:rPr>
            </w:pPr>
            <w:r>
              <w:rPr>
                <w:noProof/>
              </w:rPr>
              <w:t>Код по КН</w:t>
            </w:r>
          </w:p>
        </w:tc>
        <w:tc>
          <w:tcPr>
            <w:tcW w:w="4961" w:type="dxa"/>
            <w:vAlign w:val="center"/>
          </w:tcPr>
          <w:p>
            <w:pPr>
              <w:pStyle w:val="NoSpacing"/>
              <w:jc w:val="center"/>
              <w:rPr>
                <w:rFonts w:eastAsia="Times New Roman"/>
                <w:noProof/>
                <w:szCs w:val="24"/>
              </w:rPr>
            </w:pPr>
            <w:r>
              <w:rPr>
                <w:noProof/>
              </w:rPr>
              <w:t>Описание</w:t>
            </w:r>
          </w:p>
        </w:tc>
        <w:tc>
          <w:tcPr>
            <w:tcW w:w="1134" w:type="dxa"/>
            <w:vAlign w:val="center"/>
          </w:tcPr>
          <w:p>
            <w:pPr>
              <w:pStyle w:val="NoSpacing"/>
              <w:jc w:val="center"/>
              <w:rPr>
                <w:rFonts w:eastAsia="Times New Roman"/>
                <w:noProof/>
                <w:szCs w:val="24"/>
              </w:rPr>
            </w:pPr>
            <w:r>
              <w:rPr>
                <w:noProof/>
              </w:rPr>
              <w:t>Ставка на митото</w:t>
            </w:r>
          </w:p>
        </w:tc>
        <w:tc>
          <w:tcPr>
            <w:tcW w:w="1524" w:type="dxa"/>
            <w:tcBorders>
              <w:right w:val="nil"/>
            </w:tcBorders>
            <w:vAlign w:val="center"/>
          </w:tcPr>
          <w:p>
            <w:pPr>
              <w:pStyle w:val="NoSpacing"/>
              <w:jc w:val="center"/>
              <w:rPr>
                <w:rFonts w:eastAsia="Times New Roman"/>
                <w:noProof/>
                <w:szCs w:val="24"/>
              </w:rPr>
            </w:pPr>
            <w:r>
              <w:rPr>
                <w:noProof/>
              </w:rPr>
              <w:t>Тарифна квота (ТК) в тонове</w:t>
            </w:r>
          </w:p>
        </w:tc>
      </w:tr>
      <w:tr>
        <w:tc>
          <w:tcPr>
            <w:tcW w:w="1668" w:type="dxa"/>
            <w:tcBorders>
              <w:left w:val="nil"/>
            </w:tcBorders>
          </w:tcPr>
          <w:p>
            <w:pPr>
              <w:pStyle w:val="NoSpacing"/>
              <w:spacing w:line="276" w:lineRule="auto"/>
              <w:rPr>
                <w:noProof/>
              </w:rPr>
            </w:pPr>
            <w:r>
              <w:rPr>
                <w:noProof/>
              </w:rPr>
              <w:t>0204</w:t>
            </w:r>
          </w:p>
          <w:p>
            <w:pPr>
              <w:pStyle w:val="NoSpacing"/>
              <w:spacing w:line="276" w:lineRule="auto"/>
              <w:rPr>
                <w:noProof/>
              </w:rPr>
            </w:pPr>
            <w:r>
              <w:rPr>
                <w:noProof/>
              </w:rPr>
              <w:t>0206 80 99</w:t>
            </w:r>
          </w:p>
          <w:p>
            <w:pPr>
              <w:pStyle w:val="NoSpacing"/>
              <w:spacing w:line="276" w:lineRule="auto"/>
              <w:rPr>
                <w:noProof/>
              </w:rPr>
            </w:pPr>
            <w:r>
              <w:rPr>
                <w:noProof/>
              </w:rPr>
              <w:t>0206 90 99</w:t>
            </w:r>
          </w:p>
          <w:p>
            <w:pPr>
              <w:pStyle w:val="NoSpacing"/>
              <w:spacing w:line="276" w:lineRule="auto"/>
              <w:rPr>
                <w:noProof/>
              </w:rPr>
            </w:pPr>
            <w:r>
              <w:rPr>
                <w:noProof/>
              </w:rPr>
              <w:t>0210 90 11</w:t>
            </w:r>
          </w:p>
          <w:p>
            <w:pPr>
              <w:pStyle w:val="NoSpacing"/>
              <w:spacing w:line="276" w:lineRule="auto"/>
              <w:rPr>
                <w:noProof/>
              </w:rPr>
            </w:pPr>
          </w:p>
          <w:p>
            <w:pPr>
              <w:pStyle w:val="NoSpacing"/>
              <w:spacing w:line="276" w:lineRule="auto"/>
              <w:rPr>
                <w:noProof/>
              </w:rPr>
            </w:pPr>
            <w:r>
              <w:rPr>
                <w:noProof/>
              </w:rPr>
              <w:t>0210 90 19</w:t>
            </w:r>
          </w:p>
          <w:p>
            <w:pPr>
              <w:pStyle w:val="NoSpacing"/>
              <w:spacing w:line="276" w:lineRule="auto"/>
              <w:rPr>
                <w:noProof/>
              </w:rPr>
            </w:pPr>
          </w:p>
          <w:p>
            <w:pPr>
              <w:pStyle w:val="NoSpacing"/>
              <w:spacing w:line="276" w:lineRule="auto"/>
              <w:rPr>
                <w:noProof/>
              </w:rPr>
            </w:pPr>
            <w:r>
              <w:rPr>
                <w:noProof/>
              </w:rPr>
              <w:t>0210 90 60</w:t>
            </w:r>
          </w:p>
          <w:p>
            <w:pPr>
              <w:pStyle w:val="NoSpacing"/>
              <w:spacing w:line="276" w:lineRule="auto"/>
              <w:rPr>
                <w:noProof/>
              </w:rPr>
            </w:pPr>
          </w:p>
          <w:p>
            <w:pPr>
              <w:pStyle w:val="NoSpacing"/>
              <w:spacing w:line="276" w:lineRule="auto"/>
              <w:rPr>
                <w:rFonts w:eastAsia="Times New Roman"/>
                <w:noProof/>
                <w:szCs w:val="24"/>
              </w:rPr>
            </w:pPr>
            <w:r>
              <w:rPr>
                <w:noProof/>
              </w:rPr>
              <w:t>ех 1601</w:t>
            </w: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r>
              <w:rPr>
                <w:noProof/>
              </w:rPr>
              <w:t>ех 1602</w:t>
            </w:r>
          </w:p>
        </w:tc>
        <w:tc>
          <w:tcPr>
            <w:tcW w:w="4961" w:type="dxa"/>
          </w:tcPr>
          <w:p>
            <w:pPr>
              <w:pStyle w:val="NoSpacing"/>
              <w:spacing w:line="276" w:lineRule="auto"/>
              <w:rPr>
                <w:rFonts w:eastAsia="Times New Roman"/>
                <w:noProof/>
                <w:szCs w:val="24"/>
              </w:rPr>
            </w:pPr>
            <w:r>
              <w:rPr>
                <w:noProof/>
              </w:rPr>
              <w:t>Меса от животни от рода на овцете или козите, пресни, охладени или замразени</w:t>
            </w:r>
          </w:p>
          <w:p>
            <w:pPr>
              <w:pStyle w:val="NoSpacing"/>
              <w:spacing w:line="276" w:lineRule="auto"/>
              <w:rPr>
                <w:rFonts w:eastAsia="Times New Roman"/>
                <w:noProof/>
                <w:szCs w:val="24"/>
              </w:rPr>
            </w:pPr>
            <w:r>
              <w:rPr>
                <w:noProof/>
              </w:rPr>
              <w:t>Карантии, годни за консумация, от животни от рода на овцете и козите, пресни или охладени</w:t>
            </w:r>
          </w:p>
          <w:p>
            <w:pPr>
              <w:pStyle w:val="NoSpacing"/>
              <w:spacing w:line="276" w:lineRule="auto"/>
              <w:rPr>
                <w:rFonts w:eastAsia="Times New Roman"/>
                <w:noProof/>
                <w:szCs w:val="24"/>
              </w:rPr>
            </w:pPr>
            <w:r>
              <w:rPr>
                <w:noProof/>
              </w:rPr>
              <w:t>Карантии, годни за консумация, от животни от рода на овцете и козите, замразени</w:t>
            </w:r>
          </w:p>
          <w:p>
            <w:pPr>
              <w:pStyle w:val="NoSpacing"/>
              <w:spacing w:line="276" w:lineRule="auto"/>
              <w:rPr>
                <w:rFonts w:eastAsia="Times New Roman"/>
                <w:noProof/>
                <w:szCs w:val="24"/>
              </w:rPr>
            </w:pPr>
            <w:r>
              <w:rPr>
                <w:noProof/>
              </w:rPr>
              <w:t>Меса от животни от рода на овцете или козите, осолени, в саламура, сушени или пушени, необезкостени</w:t>
            </w:r>
          </w:p>
          <w:p>
            <w:pPr>
              <w:pStyle w:val="NoSpacing"/>
              <w:spacing w:line="276" w:lineRule="auto"/>
              <w:rPr>
                <w:rFonts w:eastAsia="Times New Roman"/>
                <w:noProof/>
                <w:szCs w:val="24"/>
              </w:rPr>
            </w:pPr>
            <w:r>
              <w:rPr>
                <w:noProof/>
              </w:rPr>
              <w:t>Меса от животни от рода на овцете или козите, осолени, в саламура, сушени или пушени, обезкостени</w:t>
            </w:r>
          </w:p>
          <w:p>
            <w:pPr>
              <w:pStyle w:val="NoSpacing"/>
              <w:spacing w:line="276" w:lineRule="auto"/>
              <w:rPr>
                <w:rFonts w:eastAsia="Times New Roman"/>
                <w:noProof/>
                <w:szCs w:val="24"/>
              </w:rPr>
            </w:pPr>
            <w:r>
              <w:rPr>
                <w:noProof/>
              </w:rPr>
              <w:t>Карантии, годни за консумация, от животни от рода на овцете или козите, осолени, в саламура, сушени или пушени</w:t>
            </w:r>
          </w:p>
          <w:p>
            <w:pPr>
              <w:pStyle w:val="NoSpacing"/>
              <w:spacing w:line="276" w:lineRule="auto"/>
              <w:rPr>
                <w:rFonts w:eastAsia="Times New Roman"/>
                <w:noProof/>
                <w:szCs w:val="24"/>
              </w:rPr>
            </w:pPr>
            <w:r>
              <w:rPr>
                <w:noProof/>
              </w:rPr>
              <w:t>Колбаси и подобни продукти от месо, карантии или кръв; приготвени храни на база на тези продукти:</w:t>
            </w:r>
          </w:p>
          <w:p>
            <w:pPr>
              <w:pStyle w:val="NoSpacing"/>
              <w:spacing w:line="276" w:lineRule="auto"/>
              <w:rPr>
                <w:rFonts w:eastAsia="Times New Roman"/>
                <w:noProof/>
                <w:szCs w:val="24"/>
              </w:rPr>
            </w:pPr>
            <w:r>
              <w:rPr>
                <w:noProof/>
              </w:rPr>
              <w:t>— От рода на овцете и козите</w:t>
            </w:r>
          </w:p>
          <w:p>
            <w:pPr>
              <w:pStyle w:val="NoSpacing"/>
              <w:spacing w:line="276" w:lineRule="auto"/>
              <w:rPr>
                <w:rFonts w:eastAsia="Times New Roman"/>
                <w:noProof/>
                <w:szCs w:val="24"/>
              </w:rPr>
            </w:pPr>
          </w:p>
          <w:p>
            <w:pPr>
              <w:pStyle w:val="NoSpacing"/>
              <w:spacing w:line="276" w:lineRule="auto"/>
              <w:rPr>
                <w:rFonts w:eastAsia="Times New Roman"/>
                <w:noProof/>
                <w:szCs w:val="24"/>
              </w:rPr>
            </w:pPr>
            <w:r>
              <w:rPr>
                <w:noProof/>
              </w:rPr>
              <w:t>Други приготвени храни и консерви от месо, карантии или кръв:</w:t>
            </w:r>
          </w:p>
          <w:p>
            <w:pPr>
              <w:pStyle w:val="NoSpacing"/>
              <w:spacing w:line="276" w:lineRule="auto"/>
              <w:rPr>
                <w:rFonts w:eastAsia="Times New Roman"/>
                <w:noProof/>
                <w:szCs w:val="24"/>
              </w:rPr>
            </w:pPr>
            <w:r>
              <w:rPr>
                <w:noProof/>
              </w:rPr>
              <w:t>— От животни от рода на овцете и козите</w:t>
            </w:r>
          </w:p>
        </w:tc>
        <w:tc>
          <w:tcPr>
            <w:tcW w:w="1134" w:type="dxa"/>
          </w:tcPr>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noProof/>
              </w:rPr>
              <w:t>0</w:t>
            </w:r>
          </w:p>
        </w:tc>
        <w:tc>
          <w:tcPr>
            <w:tcW w:w="1524" w:type="dxa"/>
            <w:tcBorders>
              <w:right w:val="nil"/>
            </w:tcBorders>
          </w:tcPr>
          <w:p>
            <w:pPr>
              <w:pStyle w:val="NoSpacing"/>
              <w:spacing w:line="276" w:lineRule="auto"/>
              <w:rPr>
                <w:rFonts w:eastAsia="Times New Roman"/>
                <w:noProof/>
                <w:szCs w:val="24"/>
              </w:rPr>
            </w:pPr>
            <w:r>
              <w:rPr>
                <w:noProof/>
              </w:rPr>
              <w:t xml:space="preserve"> </w:t>
            </w: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r>
              <w:rPr>
                <w:noProof/>
              </w:rPr>
              <w:t xml:space="preserve">20 </w:t>
            </w:r>
          </w:p>
        </w:tc>
      </w:tr>
      <w:tr>
        <w:tc>
          <w:tcPr>
            <w:tcW w:w="1668" w:type="dxa"/>
            <w:tcBorders>
              <w:left w:val="nil"/>
            </w:tcBorders>
          </w:tcPr>
          <w:p>
            <w:pPr>
              <w:pStyle w:val="NoSpacing"/>
              <w:spacing w:line="276" w:lineRule="auto"/>
              <w:rPr>
                <w:noProof/>
              </w:rPr>
            </w:pPr>
            <w:r>
              <w:rPr>
                <w:noProof/>
              </w:rPr>
              <w:t xml:space="preserve">ex 2309 90 10 </w:t>
            </w:r>
          </w:p>
          <w:p>
            <w:pPr>
              <w:pStyle w:val="NoSpacing"/>
              <w:spacing w:line="276" w:lineRule="auto"/>
              <w:rPr>
                <w:noProof/>
              </w:rPr>
            </w:pPr>
            <w:r>
              <w:rPr>
                <w:noProof/>
              </w:rPr>
              <w:t>ex 2309 90 31</w:t>
            </w:r>
          </w:p>
          <w:p>
            <w:pPr>
              <w:pStyle w:val="NoSpacing"/>
              <w:spacing w:line="276" w:lineRule="auto"/>
              <w:rPr>
                <w:noProof/>
              </w:rPr>
            </w:pPr>
            <w:r>
              <w:rPr>
                <w:noProof/>
              </w:rPr>
              <w:t>ex 2309 90 41</w:t>
            </w:r>
          </w:p>
        </w:tc>
        <w:tc>
          <w:tcPr>
            <w:tcW w:w="4961" w:type="dxa"/>
          </w:tcPr>
          <w:p>
            <w:pPr>
              <w:pStyle w:val="NoSpacing"/>
              <w:spacing w:line="276" w:lineRule="auto"/>
              <w:rPr>
                <w:rFonts w:eastAsia="Times New Roman"/>
                <w:noProof/>
                <w:szCs w:val="24"/>
              </w:rPr>
            </w:pPr>
            <w:r>
              <w:rPr>
                <w:noProof/>
              </w:rPr>
              <w:t>Продукти от риба, предназначени за храна на животни</w:t>
            </w:r>
          </w:p>
        </w:tc>
        <w:tc>
          <w:tcPr>
            <w:tcW w:w="1134" w:type="dxa"/>
          </w:tcPr>
          <w:p>
            <w:pPr>
              <w:pStyle w:val="NoSpacing"/>
              <w:spacing w:line="276" w:lineRule="auto"/>
              <w:jc w:val="center"/>
              <w:rPr>
                <w:rFonts w:eastAsia="Times New Roman"/>
                <w:noProof/>
                <w:szCs w:val="24"/>
              </w:rPr>
            </w:pPr>
            <w:r>
              <w:rPr>
                <w:noProof/>
              </w:rPr>
              <w:t>0</w:t>
            </w:r>
          </w:p>
        </w:tc>
        <w:tc>
          <w:tcPr>
            <w:tcW w:w="1524" w:type="dxa"/>
            <w:tcBorders>
              <w:right w:val="nil"/>
            </w:tcBorders>
          </w:tcPr>
          <w:p>
            <w:pPr>
              <w:pStyle w:val="NoSpacing"/>
              <w:spacing w:line="276" w:lineRule="auto"/>
              <w:rPr>
                <w:rFonts w:eastAsia="Times New Roman"/>
                <w:noProof/>
                <w:szCs w:val="24"/>
              </w:rPr>
            </w:pPr>
            <w:r>
              <w:rPr>
                <w:noProof/>
              </w:rPr>
              <w:t>20 000</w:t>
            </w:r>
          </w:p>
        </w:tc>
      </w:tr>
    </w:tbl>
    <w:p>
      <w:pPr>
        <w:spacing w:after="360"/>
        <w:rPr>
          <w:rFonts w:eastAsia="Times New Roman"/>
          <w:noProof/>
          <w:szCs w:val="24"/>
        </w:rPr>
      </w:pPr>
      <w:r>
        <w:rPr>
          <w:noProof/>
        </w:rPr>
        <w:t>“</w:t>
      </w:r>
    </w:p>
    <w:p>
      <w:pPr>
        <w:pStyle w:val="Point0number"/>
        <w:rPr>
          <w:rFonts w:eastAsia="Times New Roman"/>
          <w:noProof/>
          <w:szCs w:val="24"/>
        </w:rPr>
      </w:pPr>
      <w:r>
        <w:rPr>
          <w:noProof/>
        </w:rPr>
        <w:t xml:space="preserve">Добавя се следният член 3: </w:t>
      </w:r>
    </w:p>
    <w:p>
      <w:pPr>
        <w:spacing w:after="360"/>
        <w:jc w:val="center"/>
        <w:rPr>
          <w:rFonts w:eastAsia="Times New Roman"/>
          <w:noProof/>
          <w:szCs w:val="24"/>
        </w:rPr>
      </w:pPr>
      <w:r>
        <w:rPr>
          <w:noProof/>
        </w:rPr>
        <w:t>„Член 3</w:t>
      </w:r>
    </w:p>
    <w:p>
      <w:pPr>
        <w:spacing w:after="360"/>
        <w:rPr>
          <w:rFonts w:eastAsia="Times New Roman"/>
          <w:noProof/>
          <w:szCs w:val="24"/>
        </w:rPr>
      </w:pPr>
      <w:r>
        <w:rPr>
          <w:noProof/>
        </w:rPr>
        <w:t>Фарьорските острови откриват следните тарифни квоти за продукти с произход от и пристигащи от Европейския съюз:</w:t>
      </w:r>
    </w:p>
    <w:tbl>
      <w:tblPr>
        <w:tblStyle w:val="TableGrid"/>
        <w:tblW w:w="0" w:type="auto"/>
        <w:tblLayout w:type="fixed"/>
        <w:tblLook w:val="04A0" w:firstRow="1" w:lastRow="0" w:firstColumn="1" w:lastColumn="0" w:noHBand="0" w:noVBand="1"/>
      </w:tblPr>
      <w:tblGrid>
        <w:gridCol w:w="1663"/>
        <w:gridCol w:w="5084"/>
        <w:gridCol w:w="990"/>
        <w:gridCol w:w="309"/>
        <w:gridCol w:w="1243"/>
      </w:tblGrid>
      <w:tr>
        <w:tc>
          <w:tcPr>
            <w:tcW w:w="1663" w:type="dxa"/>
            <w:tcBorders>
              <w:left w:val="nil"/>
            </w:tcBorders>
            <w:vAlign w:val="center"/>
          </w:tcPr>
          <w:p>
            <w:pPr>
              <w:pStyle w:val="NoSpacing"/>
              <w:jc w:val="center"/>
              <w:rPr>
                <w:noProof/>
              </w:rPr>
            </w:pPr>
            <w:r>
              <w:rPr>
                <w:noProof/>
              </w:rPr>
              <w:t>Код по КН</w:t>
            </w:r>
          </w:p>
        </w:tc>
        <w:tc>
          <w:tcPr>
            <w:tcW w:w="5084" w:type="dxa"/>
            <w:vAlign w:val="center"/>
          </w:tcPr>
          <w:p>
            <w:pPr>
              <w:pStyle w:val="NoSpacing"/>
              <w:jc w:val="center"/>
              <w:rPr>
                <w:rFonts w:eastAsia="Times New Roman"/>
                <w:noProof/>
                <w:szCs w:val="24"/>
              </w:rPr>
            </w:pPr>
            <w:r>
              <w:rPr>
                <w:noProof/>
              </w:rPr>
              <w:t>Описание</w:t>
            </w:r>
          </w:p>
        </w:tc>
        <w:tc>
          <w:tcPr>
            <w:tcW w:w="990" w:type="dxa"/>
            <w:vAlign w:val="center"/>
          </w:tcPr>
          <w:p>
            <w:pPr>
              <w:pStyle w:val="NoSpacing"/>
              <w:jc w:val="center"/>
              <w:rPr>
                <w:rFonts w:eastAsia="Times New Roman"/>
                <w:noProof/>
                <w:szCs w:val="24"/>
              </w:rPr>
            </w:pPr>
            <w:r>
              <w:rPr>
                <w:noProof/>
              </w:rPr>
              <w:t>Ставка на митото</w:t>
            </w:r>
          </w:p>
        </w:tc>
        <w:tc>
          <w:tcPr>
            <w:tcW w:w="1552" w:type="dxa"/>
            <w:gridSpan w:val="2"/>
            <w:tcBorders>
              <w:bottom w:val="single" w:sz="4" w:space="0" w:color="auto"/>
              <w:right w:val="nil"/>
            </w:tcBorders>
            <w:vAlign w:val="center"/>
          </w:tcPr>
          <w:p>
            <w:pPr>
              <w:pStyle w:val="NoSpacing"/>
              <w:jc w:val="center"/>
              <w:rPr>
                <w:rFonts w:eastAsia="Times New Roman"/>
                <w:noProof/>
                <w:szCs w:val="24"/>
              </w:rPr>
            </w:pPr>
            <w:r>
              <w:rPr>
                <w:noProof/>
              </w:rPr>
              <w:t>Тарифна квота (ТК) в тонове</w:t>
            </w:r>
          </w:p>
        </w:tc>
      </w:tr>
      <w:tr>
        <w:tc>
          <w:tcPr>
            <w:tcW w:w="1663" w:type="dxa"/>
            <w:tcBorders>
              <w:left w:val="nil"/>
            </w:tcBorders>
          </w:tcPr>
          <w:p>
            <w:pPr>
              <w:pStyle w:val="NoSpacing"/>
              <w:spacing w:after="240" w:line="276" w:lineRule="auto"/>
              <w:rPr>
                <w:noProof/>
              </w:rPr>
            </w:pPr>
            <w:r>
              <w:rPr>
                <w:noProof/>
              </w:rPr>
              <w:t>0204</w:t>
            </w:r>
          </w:p>
          <w:p>
            <w:pPr>
              <w:pStyle w:val="NoSpacing"/>
              <w:spacing w:after="240" w:line="276" w:lineRule="auto"/>
              <w:rPr>
                <w:noProof/>
              </w:rPr>
            </w:pPr>
            <w:r>
              <w:rPr>
                <w:noProof/>
              </w:rPr>
              <w:t>0206 80 99</w:t>
            </w:r>
          </w:p>
          <w:p>
            <w:pPr>
              <w:pStyle w:val="NoSpacing"/>
              <w:spacing w:after="240" w:line="276" w:lineRule="auto"/>
              <w:rPr>
                <w:noProof/>
              </w:rPr>
            </w:pPr>
            <w:r>
              <w:rPr>
                <w:noProof/>
              </w:rPr>
              <w:t>0206 90 99</w:t>
            </w:r>
          </w:p>
          <w:p>
            <w:pPr>
              <w:pStyle w:val="NoSpacing"/>
              <w:spacing w:after="240" w:line="276" w:lineRule="auto"/>
              <w:rPr>
                <w:noProof/>
              </w:rPr>
            </w:pPr>
            <w:r>
              <w:rPr>
                <w:noProof/>
              </w:rPr>
              <w:t>0210 90 11</w:t>
            </w:r>
          </w:p>
          <w:p>
            <w:pPr>
              <w:pStyle w:val="NoSpacing"/>
              <w:spacing w:line="276" w:lineRule="auto"/>
              <w:rPr>
                <w:noProof/>
              </w:rPr>
            </w:pPr>
          </w:p>
          <w:p>
            <w:pPr>
              <w:pStyle w:val="NoSpacing"/>
              <w:spacing w:after="240" w:line="276" w:lineRule="auto"/>
              <w:rPr>
                <w:noProof/>
              </w:rPr>
            </w:pPr>
            <w:r>
              <w:rPr>
                <w:noProof/>
              </w:rPr>
              <w:t>0210 90 60</w:t>
            </w:r>
          </w:p>
          <w:p>
            <w:pPr>
              <w:pStyle w:val="NoSpacing"/>
              <w:spacing w:line="276" w:lineRule="auto"/>
              <w:rPr>
                <w:noProof/>
              </w:rPr>
            </w:pPr>
          </w:p>
          <w:p>
            <w:pPr>
              <w:pStyle w:val="NoSpacing"/>
              <w:spacing w:after="240" w:line="276" w:lineRule="auto"/>
              <w:rPr>
                <w:rFonts w:eastAsia="Times New Roman"/>
                <w:noProof/>
                <w:szCs w:val="24"/>
              </w:rPr>
            </w:pPr>
            <w:r>
              <w:rPr>
                <w:noProof/>
              </w:rPr>
              <w:t>ex 0210 90 90</w:t>
            </w:r>
          </w:p>
        </w:tc>
        <w:tc>
          <w:tcPr>
            <w:tcW w:w="5084" w:type="dxa"/>
          </w:tcPr>
          <w:p>
            <w:pPr>
              <w:pStyle w:val="NoSpacing"/>
              <w:spacing w:after="240" w:line="276" w:lineRule="auto"/>
              <w:rPr>
                <w:rFonts w:eastAsia="Times New Roman"/>
                <w:noProof/>
                <w:szCs w:val="24"/>
              </w:rPr>
            </w:pPr>
            <w:r>
              <w:rPr>
                <w:noProof/>
              </w:rPr>
              <w:t>Меса от животни от рода на овцете или козите, пресни, охладени или замразени</w:t>
            </w:r>
          </w:p>
          <w:p>
            <w:pPr>
              <w:pStyle w:val="NoSpacing"/>
              <w:spacing w:after="240" w:line="276" w:lineRule="auto"/>
              <w:rPr>
                <w:rFonts w:eastAsia="Times New Roman"/>
                <w:noProof/>
                <w:szCs w:val="24"/>
              </w:rPr>
            </w:pPr>
            <w:r>
              <w:rPr>
                <w:noProof/>
              </w:rPr>
              <w:t>Карантии, годни за консумация, от животни от рода на овцете и козите, пресни или охладени:</w:t>
            </w:r>
          </w:p>
          <w:p>
            <w:pPr>
              <w:pStyle w:val="NoSpacing"/>
              <w:spacing w:after="240" w:line="276" w:lineRule="auto"/>
              <w:rPr>
                <w:rFonts w:eastAsia="Times New Roman"/>
                <w:noProof/>
                <w:szCs w:val="24"/>
              </w:rPr>
            </w:pPr>
            <w:r>
              <w:rPr>
                <w:noProof/>
              </w:rPr>
              <w:t>Карантии, годни за консумация, от животни от рода на овцете и козите, замразени</w:t>
            </w:r>
          </w:p>
          <w:p>
            <w:pPr>
              <w:pStyle w:val="NoSpacing"/>
              <w:spacing w:after="240" w:line="276" w:lineRule="auto"/>
              <w:rPr>
                <w:rFonts w:eastAsia="Times New Roman"/>
                <w:noProof/>
                <w:szCs w:val="24"/>
              </w:rPr>
            </w:pPr>
            <w:r>
              <w:rPr>
                <w:noProof/>
              </w:rPr>
              <w:t>Меса от животни от рода на овцете или козите, осолени, в саламура, сушени или пушени, необезкостени</w:t>
            </w:r>
          </w:p>
          <w:p>
            <w:pPr>
              <w:pStyle w:val="NoSpacing"/>
              <w:spacing w:after="240" w:line="276" w:lineRule="auto"/>
              <w:rPr>
                <w:rFonts w:eastAsia="Times New Roman"/>
                <w:noProof/>
                <w:szCs w:val="24"/>
              </w:rPr>
            </w:pPr>
            <w:r>
              <w:rPr>
                <w:noProof/>
              </w:rPr>
              <w:t>Карантии, годни за консумация, от животни от рода на овцете или козите, осолени, в саламура, сушени или пушени</w:t>
            </w:r>
          </w:p>
          <w:p>
            <w:pPr>
              <w:pStyle w:val="NoSpacing"/>
              <w:spacing w:after="240" w:line="276" w:lineRule="auto"/>
              <w:rPr>
                <w:rFonts w:eastAsia="Times New Roman"/>
                <w:noProof/>
                <w:szCs w:val="24"/>
              </w:rPr>
            </w:pPr>
            <w:r>
              <w:rPr>
                <w:noProof/>
              </w:rPr>
              <w:t>Брашна и прахове, годни за консумация, от меса или карантии от животни от рода на овцете и козите</w:t>
            </w:r>
          </w:p>
        </w:tc>
        <w:tc>
          <w:tcPr>
            <w:tcW w:w="990" w:type="dxa"/>
          </w:tcPr>
          <w:p>
            <w:pPr>
              <w:pStyle w:val="NoSpacing"/>
              <w:spacing w:after="240" w:line="276" w:lineRule="auto"/>
              <w:rPr>
                <w:rFonts w:eastAsia="Times New Roman"/>
                <w:noProof/>
                <w:szCs w:val="24"/>
              </w:rPr>
            </w:pPr>
            <w:r>
              <w:rPr>
                <w:noProof/>
              </w:rPr>
              <w:t>0</w:t>
            </w:r>
          </w:p>
          <w:p>
            <w:pPr>
              <w:pStyle w:val="NoSpacing"/>
              <w:spacing w:after="240" w:line="276" w:lineRule="auto"/>
              <w:rPr>
                <w:rFonts w:eastAsia="Times New Roman"/>
                <w:noProof/>
                <w:szCs w:val="24"/>
              </w:rPr>
            </w:pPr>
            <w:r>
              <w:rPr>
                <w:noProof/>
              </w:rPr>
              <w:t>0</w:t>
            </w:r>
          </w:p>
          <w:p>
            <w:pPr>
              <w:pStyle w:val="NoSpacing"/>
              <w:spacing w:after="240" w:line="276" w:lineRule="auto"/>
              <w:rPr>
                <w:rFonts w:eastAsia="Times New Roman"/>
                <w:noProof/>
                <w:szCs w:val="24"/>
              </w:rPr>
            </w:pPr>
            <w:r>
              <w:rPr>
                <w:noProof/>
              </w:rPr>
              <w:t>0</w:t>
            </w:r>
          </w:p>
          <w:p>
            <w:pPr>
              <w:pStyle w:val="NoSpacing"/>
              <w:spacing w:after="240" w:line="276" w:lineRule="auto"/>
              <w:rPr>
                <w:rFonts w:eastAsia="Times New Roman"/>
                <w:noProof/>
                <w:szCs w:val="24"/>
              </w:rPr>
            </w:pPr>
            <w:r>
              <w:rPr>
                <w:noProof/>
              </w:rPr>
              <w:t>0</w:t>
            </w:r>
          </w:p>
          <w:p>
            <w:pPr>
              <w:pStyle w:val="NoSpacing"/>
              <w:spacing w:line="276" w:lineRule="auto"/>
              <w:rPr>
                <w:rFonts w:eastAsia="Times New Roman"/>
                <w:noProof/>
                <w:szCs w:val="24"/>
              </w:rPr>
            </w:pPr>
          </w:p>
          <w:p>
            <w:pPr>
              <w:pStyle w:val="NoSpacing"/>
              <w:spacing w:after="240" w:line="276" w:lineRule="auto"/>
              <w:rPr>
                <w:rFonts w:eastAsia="Times New Roman"/>
                <w:noProof/>
                <w:szCs w:val="24"/>
              </w:rPr>
            </w:pPr>
            <w:r>
              <w:rPr>
                <w:noProof/>
              </w:rPr>
              <w:t>0</w:t>
            </w:r>
          </w:p>
          <w:p>
            <w:pPr>
              <w:pStyle w:val="NoSpacing"/>
              <w:spacing w:line="276" w:lineRule="auto"/>
              <w:rPr>
                <w:rFonts w:eastAsia="Times New Roman"/>
                <w:noProof/>
                <w:szCs w:val="24"/>
              </w:rPr>
            </w:pPr>
          </w:p>
          <w:p>
            <w:pPr>
              <w:pStyle w:val="NoSpacing"/>
              <w:spacing w:after="240" w:line="276" w:lineRule="auto"/>
              <w:rPr>
                <w:rFonts w:eastAsia="Times New Roman"/>
                <w:noProof/>
                <w:szCs w:val="24"/>
              </w:rPr>
            </w:pPr>
            <w:r>
              <w:rPr>
                <w:noProof/>
              </w:rPr>
              <w:t>0</w:t>
            </w:r>
          </w:p>
        </w:tc>
        <w:tc>
          <w:tcPr>
            <w:tcW w:w="309" w:type="dxa"/>
            <w:tcBorders>
              <w:right w:val="nil"/>
            </w:tcBorders>
          </w:tcPr>
          <w:p>
            <w:pPr>
              <w:pStyle w:val="NoSpacing"/>
              <w:spacing w:after="240" w:line="276" w:lineRule="auto"/>
              <w:rPr>
                <w:rFonts w:eastAsia="Times New Roman"/>
                <w:noProof/>
                <w:szCs w:val="24"/>
              </w:rPr>
            </w:pPr>
            <w:r>
              <w:rPr>
                <w:noProof/>
              </w:rPr>
              <w:t xml:space="preserve"> </w:t>
            </w:r>
          </w:p>
        </w:tc>
        <w:tc>
          <w:tcPr>
            <w:tcW w:w="1243" w:type="dxa"/>
            <w:tcBorders>
              <w:left w:val="nil"/>
              <w:right w:val="nil"/>
            </w:tcBorders>
          </w:tcPr>
          <w:p>
            <w:pPr>
              <w:pStyle w:val="NoSpacing"/>
              <w:spacing w:after="240" w:line="276" w:lineRule="auto"/>
              <w:jc w:val="left"/>
              <w:rPr>
                <w:iCs/>
                <w:noProof/>
                <w:color w:val="000000"/>
              </w:rPr>
            </w:pPr>
          </w:p>
          <w:p>
            <w:pPr>
              <w:pStyle w:val="NoSpacing"/>
              <w:spacing w:after="240" w:line="276" w:lineRule="auto"/>
              <w:jc w:val="left"/>
              <w:rPr>
                <w:iCs/>
                <w:noProof/>
                <w:color w:val="000000"/>
              </w:rPr>
            </w:pPr>
            <w:r>
              <w:rPr>
                <w:iCs/>
                <w:noProof/>
                <w:color w:val="000000"/>
              </w:rPr>
              <w:t>40 през 2020 г., 2021 г. и 2022 г.;</w:t>
            </w:r>
          </w:p>
          <w:p>
            <w:pPr>
              <w:pStyle w:val="NoSpacing"/>
              <w:spacing w:after="240" w:line="276" w:lineRule="auto"/>
              <w:jc w:val="left"/>
              <w:rPr>
                <w:rFonts w:eastAsia="Times New Roman"/>
                <w:noProof/>
                <w:szCs w:val="24"/>
              </w:rPr>
            </w:pPr>
            <w:r>
              <w:rPr>
                <w:iCs/>
                <w:noProof/>
                <w:color w:val="000000"/>
              </w:rPr>
              <w:t xml:space="preserve">80 от 2023 г. </w:t>
            </w:r>
          </w:p>
        </w:tc>
      </w:tr>
    </w:tbl>
    <w:p>
      <w:pPr>
        <w:spacing w:after="360"/>
        <w:rPr>
          <w:rFonts w:eastAsia="Times New Roman"/>
          <w:noProof/>
          <w:szCs w:val="24"/>
        </w:rPr>
      </w:pPr>
      <w:r>
        <w:rPr>
          <w:i/>
          <w:iCs/>
          <w:noProof/>
          <w:color w:val="000000"/>
        </w:rPr>
        <w:t>“</w:t>
      </w:r>
    </w:p>
    <w:p>
      <w:pPr>
        <w:pStyle w:val="Point0number"/>
        <w:rPr>
          <w:rFonts w:eastAsia="Times New Roman"/>
          <w:noProof/>
          <w:szCs w:val="24"/>
        </w:rPr>
      </w:pPr>
      <w:r>
        <w:rPr>
          <w:noProof/>
        </w:rPr>
        <w:t>Приложение I се заличава.</w:t>
      </w:r>
    </w:p>
    <w:p>
      <w:pPr>
        <w:pStyle w:val="Titrearticle"/>
        <w:rPr>
          <w:rFonts w:eastAsia="Times New Roman"/>
          <w:i w:val="0"/>
          <w:noProof/>
          <w:szCs w:val="24"/>
        </w:rPr>
      </w:pPr>
      <w:r>
        <w:rPr>
          <w:noProof/>
        </w:rPr>
        <w:t>Член 3</w:t>
      </w:r>
    </w:p>
    <w:p>
      <w:pPr>
        <w:spacing w:after="360"/>
        <w:rPr>
          <w:rFonts w:eastAsia="Times New Roman"/>
          <w:noProof/>
          <w:szCs w:val="24"/>
        </w:rPr>
      </w:pPr>
      <w:r>
        <w:rPr>
          <w:noProof/>
        </w:rPr>
        <w:t>Настоящото решение влиза в сила в деня на приемането му.</w:t>
      </w:r>
    </w:p>
    <w:p>
      <w:pPr>
        <w:rPr>
          <w:rFonts w:eastAsia="Times New Roman"/>
          <w:noProof/>
          <w:szCs w:val="24"/>
        </w:rPr>
      </w:pPr>
      <w:r>
        <w:rPr>
          <w:noProof/>
        </w:rPr>
        <w:t xml:space="preserve">Съставено в […] на […] година.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4606" w:type="dxa"/>
          </w:tcPr>
          <w:p>
            <w:pPr>
              <w:rPr>
                <w:rFonts w:eastAsia="Times New Roman"/>
                <w:noProof/>
                <w:szCs w:val="24"/>
              </w:rPr>
            </w:pPr>
          </w:p>
        </w:tc>
        <w:tc>
          <w:tcPr>
            <w:tcW w:w="4607" w:type="dxa"/>
          </w:tcPr>
          <w:p>
            <w:pPr>
              <w:rPr>
                <w:i/>
                <w:noProof/>
              </w:rPr>
            </w:pPr>
            <w:r>
              <w:rPr>
                <w:i/>
                <w:noProof/>
              </w:rPr>
              <w:t>За Съвместния комитет</w:t>
            </w:r>
          </w:p>
          <w:p>
            <w:pPr>
              <w:rPr>
                <w:rFonts w:eastAsia="Times New Roman"/>
                <w:noProof/>
                <w:szCs w:val="24"/>
              </w:rPr>
            </w:pPr>
            <w:r>
              <w:rPr>
                <w:i/>
                <w:noProof/>
              </w:rPr>
              <w:t>Председател</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53, 22.2.1997 г., стр. 2.</w:t>
      </w:r>
    </w:p>
  </w:footnote>
  <w:footnote w:id="2">
    <w:p>
      <w:pPr>
        <w:pStyle w:val="FootnoteText"/>
      </w:pPr>
      <w:r>
        <w:rPr>
          <w:rStyle w:val="FootnoteReference"/>
        </w:rPr>
        <w:footnoteRef/>
      </w:r>
      <w:r>
        <w:tab/>
        <w:t>ОВ L 263, 26.9.1998 г., стр. 37.</w:t>
      </w:r>
    </w:p>
  </w:footnote>
  <w:footnote w:id="3">
    <w:p>
      <w:pPr>
        <w:pStyle w:val="FootnoteText"/>
      </w:pPr>
      <w:r>
        <w:rPr>
          <w:rStyle w:val="FootnoteReference"/>
        </w:rPr>
        <w:footnoteRef/>
      </w:r>
      <w:r>
        <w:tab/>
        <w:t>ОВ L 275, 19.10.2007 г., стр.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CED6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12BA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CD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B86E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0671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C67A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60D6C8"/>
    <w:lvl w:ilvl="0">
      <w:start w:val="1"/>
      <w:numFmt w:val="decimal"/>
      <w:pStyle w:val="ListNumber"/>
      <w:lvlText w:val="%1."/>
      <w:lvlJc w:val="left"/>
      <w:pPr>
        <w:tabs>
          <w:tab w:val="num" w:pos="360"/>
        </w:tabs>
        <w:ind w:left="360" w:hanging="360"/>
      </w:pPr>
    </w:lvl>
  </w:abstractNum>
  <w:abstractNum w:abstractNumId="7">
    <w:nsid w:val="FFFFFF89"/>
    <w:multiLevelType w:val="singleLevel"/>
    <w:tmpl w:val="EFEC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9 11:31: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5F66451-2C72-43AB-B58D-399A1B796B09"/>
    <w:docVar w:name="LW_COVERPAGE_TYPE" w:val="1"/>
    <w:docVar w:name="LW_CROSSREFERENCE" w:val="&lt;UNUSED&gt;"/>
    <w:docVar w:name="LW_DocType" w:val="ANNEX"/>
    <w:docVar w:name="LW_EMISSION" w:val="26.6.2020"/>
    <w:docVar w:name="LW_EMISSION_ISODATE" w:val="2020-06-26"/>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6?\u1073?\u1097?\u1085?\u1086?\u1089?\u1090?, \u1086?\u1090? \u1077?\u1076?\u1085?\u1072? \u1089?\u1090?\u1088?\u1072?\u1085?\u1072?, \u1080? \u1087?\u1088?\u1072?\u1074?\u1080?\u1090?\u1077?\u1083?\u1089?\u1090?\u1074?\u1086?\u1090?\u1086? \u1085?\u1072? \u1044?\u1072?\u1085?\u1080?\u1103? \u1080? \u1084?\u1077?\u1089?\u1090?\u1085?\u1086?\u1090?\u1086? \u1087?\u1088?\u1072?\u1074?\u1080?\u1090?\u1077?\u1083?\u1089?\u1090?\u1074?\u1086? \u1085?\u1072? \u1060?\u1072?\u1088?\u1100?\u1086?\u1088?\u1089?\u1082?\u1080?\u1090?\u1077? \u1086?\u1089?\u1090?\u1088?\u1086?\u1074?\u1080?, \u1086?\u1090? \u1076?\u1088?\u1091?\u1075?\u1072? \u1089?\u1090?\u1088?\u1072?\u1085?\u1072?, \u1074?\u1098?\u1074? \u1074?\u1088?\u1098?\u1079?\u1082?\u1072? \u1089? \u1087?\u1088?\u1080?\u1077?\u1084?\u1072?\u1085?\u1077?\u1090?\u1086? \u1085?\u1072? \u1080?\u1079?\u1084?\u1077?\u1085?\u1077?\u1085?\u1080?\u1103? \u1085?\u1072? \u1087?\u1088?\u1086?\u1090?\u1086?\u1082?\u1086?\u1083?\u1080? 1 \u1080? 4 \u1082?\u1098?\u1084? \u1057?\u1087?\u1086?\u1088?\u1072?\u1079?\u1091?\u1084?\u1077?\u1085?\u1080?\u1077?\u1090?\u1086?_x000b__x000d__x000d__x000d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6?\u1073?\u1097?\u1085?\u1086?\u1089?\u1090?, \u1086?\u1090? \u1077?\u1076?\u1085?\u1072? \u1089?\u1090?\u1088?\u1072?\u1085?\u1072?, \u1080? \u1087?\u1088?\u1072?\u1074?\u1080?\u1090?\u1077?\u1083?\u1089?\u1090?\u1074?\u1086?\u1090?\u1086? \u1085?\u1072? \u1044?\u1072?\u1085?\u1080?\u1103? \u1080? \u1084?\u1077?\u1089?\u1090?\u1085?\u1086?\u1090?\u1086? \u1087?\u1088?\u1072?\u1074?\u1080?\u1090?\u1077?\u1083?\u1089?\u1090?\u1074?\u1086? \u1085?\u1072? \u1060?\u1072?\u1088?\u1100?\u1086?\u1088?\u1089?\u1082?\u1080?\u1090?\u1077? \u1086?\u1089?\u1090?\u1088?\u1086?\u1074?\u1080?, \u1086?\u1090? \u1076?\u1088?\u1091?\u1075?\u1072? \u1089?\u1090?\u1088?\u1072?\u1085?\u1072?, \u1074?\u1098?\u1074? \u1074?\u1088?\u1098?\u1079?\u1082?\u1072? \u1089? \u1087?\u1088?\u1080?\u1077?\u1084?\u1072?\u1085?\u1077?\u1090?\u1086? \u1085?\u1072? \u1080?\u1079?\u1084?\u1077?\u1085?\u1077?\u1085?\u1080?\u1103? \u1085?\u1072? \u1087?\u1088?\u1086?\u1090?\u1086?\u1082?\u1086?\u1083?\u1080? 1 \u1080? 4 \u1082?\u1098?\u1084? \u1057?\u1087?\u1086?\u1088?\u1072?\u1079?\u1091?\u1084?\u1077?\u1085?\u1080?\u1077?\u1090?\u1086?_x000b__x000d__x000d__x000d_"/>
    <w:docVar w:name="LW_PART_NBR" w:val="1"/>
    <w:docVar w:name="LW_PART_NBR_TOTAL" w:val="1"/>
    <w:docVar w:name="LW_REF.INST.NEW" w:val="COM"/>
    <w:docVar w:name="LW_REF.INST.NEW_ADOPTED" w:val="final"/>
    <w:docVar w:name="LW_REF.INST.NEW_TEXT" w:val="(2020)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semiHidden/>
    <w:unhideWhenUsed/>
    <w:pPr>
      <w:numPr>
        <w:numId w:val="2"/>
      </w:numPr>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semiHidden/>
    <w:unhideWhenUsed/>
    <w:pPr>
      <w:numPr>
        <w:numId w:val="2"/>
      </w:numPr>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1054</Words>
  <Characters>5168</Characters>
  <Application>Microsoft Office Word</Application>
  <DocSecurity>0</DocSecurity>
  <Lines>224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2020-06-02T13:41:00Z</dcterms:created>
  <dcterms:modified xsi:type="dcterms:W3CDTF">2020-06-19T09:31:00Z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