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0A5223A9-D85A-401D-ABF2-8F5139D769FB" style="width:450.75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DRAFT</w:t>
      </w:r>
    </w:p>
    <w:p>
      <w:pPr>
        <w:jc w:val="center"/>
        <w:rPr>
          <w:b/>
          <w:caps/>
          <w:noProof/>
        </w:rPr>
      </w:pPr>
      <w:r>
        <w:rPr>
          <w:b/>
          <w:noProof/>
        </w:rPr>
        <w:t>DECISION No .../… OF THE EC/ FAROE ISLANDS JOINT COMMITTEE</w:t>
      </w:r>
    </w:p>
    <w:p>
      <w:pPr>
        <w:jc w:val="center"/>
        <w:rPr>
          <w:b/>
          <w:noProof/>
        </w:rPr>
      </w:pPr>
      <w:r>
        <w:rPr>
          <w:b/>
          <w:noProof/>
        </w:rPr>
        <w:t>of … 2020</w:t>
      </w:r>
    </w:p>
    <w:p>
      <w:pPr>
        <w:spacing w:after="360"/>
        <w:jc w:val="center"/>
        <w:rPr>
          <w:b/>
          <w:noProof/>
        </w:rPr>
      </w:pPr>
      <w:r>
        <w:rPr>
          <w:b/>
          <w:noProof/>
        </w:rPr>
        <w:t>amending Protocols 1 and 4 to the Agreement between the European Community, of the one part, and the Government of Denmark and the Home Government of the Faroe Islands, of the other part</w:t>
      </w:r>
      <w:r>
        <w:rPr>
          <w:b/>
          <w:noProof/>
        </w:rPr>
        <w:cr/>
      </w:r>
    </w:p>
    <w:p>
      <w:pPr>
        <w:rPr>
          <w:rFonts w:eastAsia="Times New Roman"/>
          <w:noProof/>
          <w:szCs w:val="24"/>
        </w:rPr>
      </w:pPr>
      <w:r>
        <w:rPr>
          <w:rFonts w:eastAsia="Times New Roman"/>
          <w:noProof/>
          <w:szCs w:val="24"/>
        </w:rPr>
        <w:t xml:space="preserve">THE JOINT COMMITTEE, </w:t>
      </w:r>
    </w:p>
    <w:p>
      <w:pPr>
        <w:rPr>
          <w:rFonts w:eastAsia="Times New Roman"/>
          <w:noProof/>
          <w:szCs w:val="24"/>
        </w:rPr>
      </w:pPr>
      <w:r>
        <w:rPr>
          <w:noProof/>
        </w:rPr>
        <w:t>Having regard to the Agreement between the European Community, of the one part, and the Government of Denmark and the Home Government of the Faroe Islands, of the other part</w:t>
      </w:r>
      <w:r>
        <w:rPr>
          <w:rStyle w:val="FootnoteReference"/>
          <w:noProof/>
        </w:rPr>
        <w:footnoteReference w:id="1"/>
      </w:r>
      <w:r>
        <w:rPr>
          <w:noProof/>
        </w:rPr>
        <w:t>, and in particular Article 34(1) thereof</w:t>
      </w:r>
      <w:r>
        <w:rPr>
          <w:rFonts w:eastAsia="Times New Roman"/>
          <w:noProof/>
          <w:szCs w:val="24"/>
        </w:rPr>
        <w:t>,</w:t>
      </w:r>
    </w:p>
    <w:p>
      <w:pPr>
        <w:rPr>
          <w:rFonts w:eastAsia="Times New Roman"/>
          <w:noProof/>
          <w:szCs w:val="24"/>
        </w:rPr>
      </w:pPr>
      <w:r>
        <w:rPr>
          <w:rFonts w:eastAsia="Times New Roman"/>
          <w:noProof/>
          <w:szCs w:val="24"/>
        </w:rPr>
        <w:t>Whereas:</w:t>
      </w:r>
    </w:p>
    <w:p>
      <w:pPr>
        <w:pStyle w:val="Considrant"/>
        <w:numPr>
          <w:ilvl w:val="0"/>
          <w:numId w:val="1"/>
        </w:numPr>
        <w:rPr>
          <w:noProof/>
        </w:rPr>
      </w:pPr>
      <w:r>
        <w:rPr>
          <w:noProof/>
        </w:rPr>
        <w:t>Protocol 1 to the Agreement between the European Community, of the one part, and the Government of Denmark and the Home Government of the Faroe Islands, of the other part (‘the Agreement’) concerns the tariff treatment and arrangements applicable to certain fish and fishery products released for free circulation in the European Union or imported into the Faroe Islands. The Annex to Protocol 1 indicates the preferential customs duties and other conditions to be applied on imports into the European Union of products originating in and coming from the Faroe Islands.</w:t>
      </w:r>
    </w:p>
    <w:p>
      <w:pPr>
        <w:pStyle w:val="Considrant"/>
        <w:rPr>
          <w:noProof/>
        </w:rPr>
      </w:pPr>
      <w:r>
        <w:rPr>
          <w:noProof/>
        </w:rPr>
        <w:t xml:space="preserve">The Faroe Islands have submitted a request based on Article 36 of the Agreement that the CN codes 0303 53 90 and 1604 13 90 be added to the Annex to Protocol 1 to the Agreement. The European Union considers, after the examination of the relevant market, that these products could be imported free of duty into the European Union without quantitative restrictions. </w:t>
      </w:r>
    </w:p>
    <w:p>
      <w:pPr>
        <w:pStyle w:val="Considrant"/>
        <w:rPr>
          <w:noProof/>
        </w:rPr>
      </w:pPr>
      <w:r>
        <w:rPr>
          <w:noProof/>
        </w:rPr>
        <w:t>Protocol 4 to the Agreement concerns the special provisions applicable to imports of certain agricultural products other than those listed in Protocol 1.</w:t>
      </w:r>
    </w:p>
    <w:p>
      <w:pPr>
        <w:pStyle w:val="Considrant"/>
        <w:rPr>
          <w:noProof/>
        </w:rPr>
      </w:pPr>
      <w:r>
        <w:rPr>
          <w:noProof/>
        </w:rPr>
        <w:t>Under Article 1 of Protocol 4 to the Agreement, the European Union has initially granted tariff concessions for Faroese fish feed, in respect of an annual duty free tariff quota of 5 000 tonnes. This duty free tariff quota has been amended by Decision No 2/98 of the EC/Denmark-Faroe Islands Joint Committee</w:t>
      </w:r>
      <w:r>
        <w:rPr>
          <w:rStyle w:val="FootnoteReference"/>
          <w:noProof/>
        </w:rPr>
        <w:footnoteReference w:id="2"/>
      </w:r>
      <w:r>
        <w:rPr>
          <w:noProof/>
        </w:rPr>
        <w:t>, increasing it to 10 000 tonnes as of 1 January 2000 and by Decision No 1/2007 of the EC/Denmark-Faroe Islands Joint Committee</w:t>
      </w:r>
      <w:r>
        <w:rPr>
          <w:rStyle w:val="FootnoteReference"/>
          <w:noProof/>
        </w:rPr>
        <w:footnoteReference w:id="3"/>
      </w:r>
      <w:r>
        <w:rPr>
          <w:noProof/>
        </w:rPr>
        <w:t>, which increased it to 20 000 tonnes and provided that fish feed which benefits from the preferential import regime may not contain added gluten.</w:t>
      </w:r>
    </w:p>
    <w:p>
      <w:pPr>
        <w:pStyle w:val="Considrant"/>
        <w:rPr>
          <w:noProof/>
        </w:rPr>
      </w:pPr>
      <w:r>
        <w:rPr>
          <w:noProof/>
        </w:rPr>
        <w:t xml:space="preserve">The Faroe Islands requested to amend Protocol 4 to the Agreement by removing the restrictions on added gluten contained in fish feed that benefits from preferential treatment, as gluten has become an essential raw material in the fish feed composition. </w:t>
      </w:r>
    </w:p>
    <w:p>
      <w:pPr>
        <w:pStyle w:val="Considrant"/>
        <w:rPr>
          <w:noProof/>
        </w:rPr>
      </w:pPr>
      <w:r>
        <w:rPr>
          <w:noProof/>
        </w:rPr>
        <w:t xml:space="preserve">Article 2 of Protocol 4 to the Agreement lists the goods of European Union origin, falling within chapters 1 to 24 of the Harmonised System, for which the Faroe Islands does not grant freedom from tariffs and duties upon import into the Faroe Islands. </w:t>
      </w:r>
    </w:p>
    <w:p>
      <w:pPr>
        <w:pStyle w:val="Considrant"/>
        <w:rPr>
          <w:rFonts w:eastAsia="Times New Roman"/>
          <w:noProof/>
        </w:rPr>
      </w:pPr>
      <w:r>
        <w:rPr>
          <w:noProof/>
        </w:rPr>
        <w:t xml:space="preserve">The European Union requested that a duty free tariff quota be open for CN codes 0204, 0206 80 99, 0206 90 99, 0210 90 11, 0210 90 60, ex 0210 90 90, which are </w:t>
      </w:r>
      <w:r>
        <w:rPr>
          <w:noProof/>
        </w:rPr>
        <w:lastRenderedPageBreak/>
        <w:t xml:space="preserve">listed in Article 2 of Protocol 4. The Faroe Islands considers that a </w:t>
      </w:r>
      <w:r>
        <w:rPr>
          <w:rFonts w:eastAsia="Times New Roman"/>
          <w:noProof/>
        </w:rPr>
        <w:t>duty free tariff rate quota of 80 tonnes of European Union exports of these products could be granted, subject to three years transition period with a duty free tariff rate quota of 40 tonnes.</w:t>
      </w:r>
    </w:p>
    <w:p>
      <w:pPr>
        <w:pStyle w:val="Considrant"/>
        <w:rPr>
          <w:rFonts w:eastAsia="Times New Roman"/>
          <w:noProof/>
        </w:rPr>
      </w:pPr>
      <w:r>
        <w:rPr>
          <w:rFonts w:eastAsia="Times New Roman"/>
          <w:noProof/>
        </w:rPr>
        <w:t xml:space="preserve">Protocols 1 and 4 should therefore be amended accordingly, </w:t>
      </w:r>
    </w:p>
    <w:p>
      <w:pPr>
        <w:rPr>
          <w:noProof/>
        </w:rPr>
      </w:pPr>
      <w:r>
        <w:rPr>
          <w:noProof/>
        </w:rPr>
        <w:t>HAS ADOPTED THIS DECISION:</w:t>
      </w:r>
    </w:p>
    <w:p>
      <w:pPr>
        <w:pStyle w:val="Titrearticle"/>
        <w:rPr>
          <w:noProof/>
        </w:rPr>
      </w:pPr>
      <w:r>
        <w:rPr>
          <w:noProof/>
        </w:rPr>
        <w:t>Article 1</w:t>
      </w:r>
    </w:p>
    <w:p>
      <w:pPr>
        <w:rPr>
          <w:noProof/>
        </w:rPr>
      </w:pPr>
      <w:r>
        <w:rPr>
          <w:noProof/>
        </w:rPr>
        <w:t xml:space="preserve">Table I of the Annex to Protocol 1 to the Agreement is amended as follows: </w:t>
      </w:r>
    </w:p>
    <w:p>
      <w:pPr>
        <w:pStyle w:val="Point0number"/>
        <w:numPr>
          <w:ilvl w:val="0"/>
          <w:numId w:val="11"/>
        </w:numPr>
        <w:rPr>
          <w:noProof/>
        </w:rPr>
      </w:pPr>
      <w:r>
        <w:rPr>
          <w:noProof/>
        </w:rPr>
        <w:t xml:space="preserve">Between CN code 0303 50 98 and CN code 0303 60 11 the following row is inserted: </w:t>
      </w:r>
    </w:p>
    <w:tbl>
      <w:tblPr>
        <w:tblStyle w:val="TableGrid"/>
        <w:tblW w:w="0" w:type="auto"/>
        <w:tblLook w:val="04A0" w:firstRow="1" w:lastRow="0" w:firstColumn="1" w:lastColumn="0" w:noHBand="0" w:noVBand="1"/>
      </w:tblPr>
      <w:tblGrid>
        <w:gridCol w:w="1384"/>
        <w:gridCol w:w="4678"/>
        <w:gridCol w:w="1701"/>
        <w:gridCol w:w="1448"/>
      </w:tblGrid>
      <w:tr>
        <w:tc>
          <w:tcPr>
            <w:tcW w:w="1384" w:type="dxa"/>
            <w:tcBorders>
              <w:left w:val="nil"/>
            </w:tcBorders>
          </w:tcPr>
          <w:p>
            <w:pPr>
              <w:pStyle w:val="Text1"/>
              <w:ind w:left="0"/>
              <w:rPr>
                <w:noProof/>
              </w:rPr>
            </w:pPr>
            <w:r>
              <w:rPr>
                <w:noProof/>
              </w:rPr>
              <w:t>‘0303 53 90</w:t>
            </w:r>
          </w:p>
        </w:tc>
        <w:tc>
          <w:tcPr>
            <w:tcW w:w="4678" w:type="dxa"/>
          </w:tcPr>
          <w:p>
            <w:pPr>
              <w:pStyle w:val="Text1"/>
              <w:ind w:left="0"/>
              <w:rPr>
                <w:noProof/>
              </w:rPr>
            </w:pPr>
            <w:r>
              <w:rPr>
                <w:noProof/>
              </w:rPr>
              <w:t xml:space="preserve">– – – Brisling or sprats (Sprattus sprattus) </w:t>
            </w:r>
          </w:p>
        </w:tc>
        <w:tc>
          <w:tcPr>
            <w:tcW w:w="1701" w:type="dxa"/>
          </w:tcPr>
          <w:p>
            <w:pPr>
              <w:pStyle w:val="Text1"/>
              <w:ind w:left="0"/>
              <w:jc w:val="center"/>
              <w:rPr>
                <w:noProof/>
              </w:rPr>
            </w:pPr>
            <w:r>
              <w:rPr>
                <w:noProof/>
              </w:rPr>
              <w:t>0’</w:t>
            </w:r>
          </w:p>
        </w:tc>
        <w:tc>
          <w:tcPr>
            <w:tcW w:w="1448" w:type="dxa"/>
            <w:tcBorders>
              <w:right w:val="nil"/>
            </w:tcBorders>
          </w:tcPr>
          <w:p>
            <w:pPr>
              <w:pStyle w:val="Text1"/>
              <w:ind w:left="0"/>
              <w:rPr>
                <w:noProof/>
              </w:rPr>
            </w:pPr>
          </w:p>
        </w:tc>
      </w:tr>
    </w:tbl>
    <w:p>
      <w:pPr>
        <w:rPr>
          <w:noProof/>
          <w:highlight w:val="yellow"/>
        </w:rPr>
      </w:pPr>
    </w:p>
    <w:p>
      <w:pPr>
        <w:pStyle w:val="Point0number"/>
        <w:rPr>
          <w:noProof/>
        </w:rPr>
      </w:pPr>
      <w:r>
        <w:rPr>
          <w:noProof/>
        </w:rPr>
        <w:t>Between CN code 1604 12 99 and CN code 1604 19, the following rows are inserted:</w:t>
      </w:r>
    </w:p>
    <w:tbl>
      <w:tblPr>
        <w:tblStyle w:val="TableGrid"/>
        <w:tblW w:w="0" w:type="auto"/>
        <w:tblLook w:val="04A0" w:firstRow="1" w:lastRow="0" w:firstColumn="1" w:lastColumn="0" w:noHBand="0" w:noVBand="1"/>
      </w:tblPr>
      <w:tblGrid>
        <w:gridCol w:w="1384"/>
        <w:gridCol w:w="4678"/>
        <w:gridCol w:w="1701"/>
        <w:gridCol w:w="1448"/>
      </w:tblGrid>
      <w:tr>
        <w:tc>
          <w:tcPr>
            <w:tcW w:w="1384" w:type="dxa"/>
            <w:tcBorders>
              <w:left w:val="nil"/>
            </w:tcBorders>
          </w:tcPr>
          <w:p>
            <w:pPr>
              <w:pStyle w:val="Text1"/>
              <w:ind w:left="0"/>
              <w:rPr>
                <w:noProof/>
              </w:rPr>
            </w:pPr>
            <w:r>
              <w:rPr>
                <w:noProof/>
              </w:rPr>
              <w:t>‘1604 13</w:t>
            </w:r>
          </w:p>
          <w:p>
            <w:pPr>
              <w:pStyle w:val="Text1"/>
              <w:ind w:left="0"/>
              <w:rPr>
                <w:noProof/>
              </w:rPr>
            </w:pPr>
          </w:p>
          <w:p>
            <w:pPr>
              <w:pStyle w:val="Text1"/>
              <w:ind w:left="0"/>
              <w:rPr>
                <w:noProof/>
              </w:rPr>
            </w:pPr>
            <w:r>
              <w:rPr>
                <w:noProof/>
              </w:rPr>
              <w:t>1604 13 90</w:t>
            </w:r>
          </w:p>
        </w:tc>
        <w:tc>
          <w:tcPr>
            <w:tcW w:w="4678" w:type="dxa"/>
          </w:tcPr>
          <w:p>
            <w:pPr>
              <w:pStyle w:val="Text1"/>
              <w:ind w:left="0"/>
              <w:rPr>
                <w:noProof/>
              </w:rPr>
            </w:pPr>
            <w:r>
              <w:rPr>
                <w:noProof/>
              </w:rPr>
              <w:t>– – Sardines, sardinella and brisling or sprats</w:t>
            </w:r>
          </w:p>
          <w:p>
            <w:pPr>
              <w:pStyle w:val="Text1"/>
              <w:ind w:left="0"/>
              <w:rPr>
                <w:noProof/>
              </w:rPr>
            </w:pPr>
            <w:r>
              <w:rPr>
                <w:noProof/>
              </w:rPr>
              <w:t>– – – Sardines:</w:t>
            </w:r>
          </w:p>
          <w:p>
            <w:pPr>
              <w:pStyle w:val="Text1"/>
              <w:ind w:left="0"/>
              <w:rPr>
                <w:noProof/>
              </w:rPr>
            </w:pPr>
            <w:r>
              <w:rPr>
                <w:noProof/>
              </w:rPr>
              <w:t>– – – Other</w:t>
            </w:r>
          </w:p>
        </w:tc>
        <w:tc>
          <w:tcPr>
            <w:tcW w:w="1701" w:type="dxa"/>
          </w:tcPr>
          <w:p>
            <w:pPr>
              <w:pStyle w:val="Text1"/>
              <w:ind w:left="0"/>
              <w:rPr>
                <w:noProof/>
              </w:rPr>
            </w:pPr>
          </w:p>
          <w:p>
            <w:pPr>
              <w:pStyle w:val="Text1"/>
              <w:ind w:left="0"/>
              <w:rPr>
                <w:noProof/>
              </w:rPr>
            </w:pPr>
          </w:p>
          <w:p>
            <w:pPr>
              <w:pStyle w:val="Text1"/>
              <w:ind w:left="0"/>
              <w:jc w:val="center"/>
              <w:rPr>
                <w:noProof/>
              </w:rPr>
            </w:pPr>
            <w:r>
              <w:rPr>
                <w:noProof/>
              </w:rPr>
              <w:t>0’</w:t>
            </w:r>
          </w:p>
        </w:tc>
        <w:tc>
          <w:tcPr>
            <w:tcW w:w="1448" w:type="dxa"/>
            <w:tcBorders>
              <w:right w:val="nil"/>
            </w:tcBorders>
          </w:tcPr>
          <w:p>
            <w:pPr>
              <w:pStyle w:val="Text1"/>
              <w:ind w:left="0"/>
              <w:rPr>
                <w:noProof/>
              </w:rPr>
            </w:pPr>
          </w:p>
        </w:tc>
      </w:tr>
    </w:tbl>
    <w:p>
      <w:pPr>
        <w:pStyle w:val="Titrearticle"/>
        <w:rPr>
          <w:rFonts w:eastAsia="Times New Roman"/>
          <w:noProof/>
          <w:szCs w:val="24"/>
        </w:rPr>
      </w:pPr>
      <w:r>
        <w:rPr>
          <w:noProof/>
        </w:rPr>
        <w:t>Article</w:t>
      </w:r>
      <w:r>
        <w:rPr>
          <w:rFonts w:eastAsia="Times New Roman"/>
          <w:noProof/>
          <w:szCs w:val="24"/>
        </w:rPr>
        <w:t xml:space="preserve"> 2</w:t>
      </w:r>
    </w:p>
    <w:p>
      <w:pPr>
        <w:rPr>
          <w:rFonts w:eastAsia="Times New Roman"/>
          <w:noProof/>
          <w:szCs w:val="24"/>
        </w:rPr>
      </w:pPr>
      <w:r>
        <w:rPr>
          <w:rFonts w:eastAsia="Times New Roman"/>
          <w:noProof/>
          <w:szCs w:val="24"/>
        </w:rPr>
        <w:t xml:space="preserve">Protocol 4 to the Agreement is amended as follows: </w:t>
      </w:r>
    </w:p>
    <w:p>
      <w:pPr>
        <w:pStyle w:val="Point0number"/>
        <w:numPr>
          <w:ilvl w:val="0"/>
          <w:numId w:val="10"/>
        </w:numPr>
        <w:rPr>
          <w:rFonts w:eastAsia="Times New Roman"/>
          <w:noProof/>
          <w:szCs w:val="24"/>
        </w:rPr>
      </w:pPr>
      <w:r>
        <w:rPr>
          <w:rFonts w:eastAsia="Times New Roman"/>
          <w:noProof/>
          <w:szCs w:val="24"/>
        </w:rPr>
        <w:t xml:space="preserve">Article 1 is replaced by the following: </w:t>
      </w:r>
    </w:p>
    <w:p>
      <w:pPr>
        <w:spacing w:after="360"/>
        <w:jc w:val="center"/>
        <w:rPr>
          <w:rFonts w:eastAsia="Times New Roman"/>
          <w:noProof/>
          <w:szCs w:val="24"/>
        </w:rPr>
      </w:pPr>
      <w:r>
        <w:rPr>
          <w:rFonts w:eastAsia="Times New Roman"/>
          <w:noProof/>
          <w:szCs w:val="24"/>
        </w:rPr>
        <w:t>‘Article 1</w:t>
      </w:r>
    </w:p>
    <w:p>
      <w:pPr>
        <w:spacing w:after="360"/>
        <w:rPr>
          <w:rFonts w:eastAsia="Times New Roman"/>
          <w:noProof/>
          <w:szCs w:val="24"/>
        </w:rPr>
      </w:pPr>
      <w:r>
        <w:rPr>
          <w:noProof/>
        </w:rPr>
        <w:t>The European Union shall grant to products originating in and coming from the Faroes the following tariff quotas:</w:t>
      </w:r>
    </w:p>
    <w:tbl>
      <w:tblPr>
        <w:tblStyle w:val="TableGrid"/>
        <w:tblW w:w="0" w:type="auto"/>
        <w:tblLook w:val="04A0" w:firstRow="1" w:lastRow="0" w:firstColumn="1" w:lastColumn="0" w:noHBand="0" w:noVBand="1"/>
      </w:tblPr>
      <w:tblGrid>
        <w:gridCol w:w="1668"/>
        <w:gridCol w:w="4961"/>
        <w:gridCol w:w="1134"/>
        <w:gridCol w:w="1524"/>
      </w:tblGrid>
      <w:tr>
        <w:tc>
          <w:tcPr>
            <w:tcW w:w="1668" w:type="dxa"/>
            <w:tcBorders>
              <w:left w:val="nil"/>
            </w:tcBorders>
            <w:vAlign w:val="center"/>
          </w:tcPr>
          <w:p>
            <w:pPr>
              <w:pStyle w:val="NoSpacing"/>
              <w:jc w:val="center"/>
              <w:rPr>
                <w:noProof/>
              </w:rPr>
            </w:pPr>
            <w:r>
              <w:rPr>
                <w:noProof/>
              </w:rPr>
              <w:t>CN code</w:t>
            </w:r>
          </w:p>
        </w:tc>
        <w:tc>
          <w:tcPr>
            <w:tcW w:w="4961" w:type="dxa"/>
            <w:vAlign w:val="center"/>
          </w:tcPr>
          <w:p>
            <w:pPr>
              <w:pStyle w:val="NoSpacing"/>
              <w:jc w:val="center"/>
              <w:rPr>
                <w:rFonts w:eastAsia="Times New Roman"/>
                <w:noProof/>
                <w:szCs w:val="24"/>
              </w:rPr>
            </w:pPr>
            <w:r>
              <w:rPr>
                <w:rFonts w:eastAsia="Times New Roman"/>
                <w:noProof/>
                <w:szCs w:val="24"/>
              </w:rPr>
              <w:t>Description</w:t>
            </w:r>
          </w:p>
        </w:tc>
        <w:tc>
          <w:tcPr>
            <w:tcW w:w="1134" w:type="dxa"/>
            <w:vAlign w:val="center"/>
          </w:tcPr>
          <w:p>
            <w:pPr>
              <w:pStyle w:val="NoSpacing"/>
              <w:jc w:val="center"/>
              <w:rPr>
                <w:rFonts w:eastAsia="Times New Roman"/>
                <w:noProof/>
                <w:szCs w:val="24"/>
              </w:rPr>
            </w:pPr>
            <w:r>
              <w:rPr>
                <w:rFonts w:eastAsia="Times New Roman"/>
                <w:noProof/>
                <w:szCs w:val="24"/>
              </w:rPr>
              <w:t>Rate of duty</w:t>
            </w:r>
          </w:p>
        </w:tc>
        <w:tc>
          <w:tcPr>
            <w:tcW w:w="1524" w:type="dxa"/>
            <w:tcBorders>
              <w:right w:val="nil"/>
            </w:tcBorders>
            <w:vAlign w:val="center"/>
          </w:tcPr>
          <w:p>
            <w:pPr>
              <w:pStyle w:val="NoSpacing"/>
              <w:jc w:val="center"/>
              <w:rPr>
                <w:rFonts w:eastAsia="Times New Roman"/>
                <w:noProof/>
                <w:szCs w:val="24"/>
                <w:lang w:val="de-DE"/>
              </w:rPr>
            </w:pPr>
            <w:r>
              <w:rPr>
                <w:rFonts w:eastAsia="Times New Roman"/>
                <w:noProof/>
                <w:szCs w:val="24"/>
                <w:lang w:val="de-DE"/>
              </w:rPr>
              <w:t>Tariff quota (TQ) in tonnes</w:t>
            </w:r>
          </w:p>
        </w:tc>
      </w:tr>
      <w:tr>
        <w:tc>
          <w:tcPr>
            <w:tcW w:w="1668" w:type="dxa"/>
            <w:tcBorders>
              <w:left w:val="nil"/>
            </w:tcBorders>
          </w:tcPr>
          <w:p>
            <w:pPr>
              <w:pStyle w:val="NoSpacing"/>
              <w:spacing w:line="276" w:lineRule="auto"/>
              <w:rPr>
                <w:noProof/>
              </w:rPr>
            </w:pPr>
            <w:r>
              <w:rPr>
                <w:noProof/>
              </w:rPr>
              <w:t>0204</w:t>
            </w:r>
          </w:p>
          <w:p>
            <w:pPr>
              <w:pStyle w:val="NoSpacing"/>
              <w:spacing w:line="276" w:lineRule="auto"/>
              <w:rPr>
                <w:noProof/>
              </w:rPr>
            </w:pPr>
            <w:r>
              <w:rPr>
                <w:noProof/>
              </w:rPr>
              <w:t>0206 80 99</w:t>
            </w:r>
          </w:p>
          <w:p>
            <w:pPr>
              <w:pStyle w:val="NoSpacing"/>
              <w:spacing w:line="276" w:lineRule="auto"/>
              <w:rPr>
                <w:noProof/>
              </w:rPr>
            </w:pPr>
            <w:r>
              <w:rPr>
                <w:noProof/>
              </w:rPr>
              <w:t>0206 90 99</w:t>
            </w:r>
          </w:p>
          <w:p>
            <w:pPr>
              <w:pStyle w:val="NoSpacing"/>
              <w:spacing w:line="276" w:lineRule="auto"/>
              <w:rPr>
                <w:noProof/>
              </w:rPr>
            </w:pPr>
            <w:r>
              <w:rPr>
                <w:noProof/>
              </w:rPr>
              <w:t>0210 90 11</w:t>
            </w:r>
          </w:p>
          <w:p>
            <w:pPr>
              <w:pStyle w:val="NoSpacing"/>
              <w:spacing w:line="276" w:lineRule="auto"/>
              <w:rPr>
                <w:noProof/>
              </w:rPr>
            </w:pPr>
          </w:p>
          <w:p>
            <w:pPr>
              <w:pStyle w:val="NoSpacing"/>
              <w:spacing w:line="276" w:lineRule="auto"/>
              <w:rPr>
                <w:noProof/>
              </w:rPr>
            </w:pPr>
            <w:r>
              <w:rPr>
                <w:noProof/>
              </w:rPr>
              <w:t>0210 90 19</w:t>
            </w:r>
          </w:p>
          <w:p>
            <w:pPr>
              <w:pStyle w:val="NoSpacing"/>
              <w:spacing w:line="276" w:lineRule="auto"/>
              <w:rPr>
                <w:noProof/>
              </w:rPr>
            </w:pPr>
          </w:p>
          <w:p>
            <w:pPr>
              <w:pStyle w:val="NoSpacing"/>
              <w:spacing w:line="276" w:lineRule="auto"/>
              <w:rPr>
                <w:noProof/>
              </w:rPr>
            </w:pPr>
            <w:r>
              <w:rPr>
                <w:noProof/>
              </w:rPr>
              <w:t>0210 90 60</w:t>
            </w:r>
          </w:p>
          <w:p>
            <w:pPr>
              <w:pStyle w:val="NoSpacing"/>
              <w:spacing w:line="276" w:lineRule="auto"/>
              <w:rPr>
                <w:noProof/>
              </w:rPr>
            </w:pPr>
          </w:p>
          <w:p>
            <w:pPr>
              <w:pStyle w:val="NoSpacing"/>
              <w:spacing w:line="276" w:lineRule="auto"/>
              <w:rPr>
                <w:rFonts w:eastAsia="Times New Roman"/>
                <w:noProof/>
                <w:szCs w:val="24"/>
              </w:rPr>
            </w:pPr>
            <w:r>
              <w:rPr>
                <w:rFonts w:eastAsia="Times New Roman"/>
                <w:noProof/>
                <w:szCs w:val="24"/>
              </w:rPr>
              <w:t>ex 1601</w:t>
            </w:r>
          </w:p>
          <w:p>
            <w:pPr>
              <w:pStyle w:val="NoSpacing"/>
              <w:spacing w:line="276" w:lineRule="auto"/>
              <w:rPr>
                <w:rFonts w:eastAsia="Times New Roman"/>
                <w:noProof/>
                <w:szCs w:val="24"/>
              </w:rPr>
            </w:pPr>
          </w:p>
          <w:p>
            <w:pPr>
              <w:pStyle w:val="NoSpacing"/>
              <w:spacing w:line="276" w:lineRule="auto"/>
              <w:rPr>
                <w:rFonts w:eastAsia="Times New Roman"/>
                <w:noProof/>
                <w:szCs w:val="24"/>
              </w:rPr>
            </w:pPr>
          </w:p>
          <w:p>
            <w:pPr>
              <w:pStyle w:val="NoSpacing"/>
              <w:spacing w:line="276" w:lineRule="auto"/>
              <w:rPr>
                <w:rFonts w:eastAsia="Times New Roman"/>
                <w:noProof/>
                <w:szCs w:val="24"/>
              </w:rPr>
            </w:pPr>
          </w:p>
          <w:p>
            <w:pPr>
              <w:pStyle w:val="NoSpacing"/>
              <w:spacing w:line="276" w:lineRule="auto"/>
              <w:rPr>
                <w:rFonts w:eastAsia="Times New Roman"/>
                <w:noProof/>
                <w:szCs w:val="24"/>
              </w:rPr>
            </w:pPr>
            <w:r>
              <w:rPr>
                <w:rFonts w:eastAsia="Times New Roman"/>
                <w:noProof/>
                <w:szCs w:val="24"/>
              </w:rPr>
              <w:t>ex 1602</w:t>
            </w:r>
          </w:p>
        </w:tc>
        <w:tc>
          <w:tcPr>
            <w:tcW w:w="4961" w:type="dxa"/>
          </w:tcPr>
          <w:p>
            <w:pPr>
              <w:pStyle w:val="NoSpacing"/>
              <w:spacing w:line="276" w:lineRule="auto"/>
              <w:rPr>
                <w:rFonts w:eastAsia="Times New Roman"/>
                <w:noProof/>
                <w:szCs w:val="24"/>
              </w:rPr>
            </w:pPr>
            <w:r>
              <w:rPr>
                <w:rFonts w:eastAsia="Times New Roman"/>
                <w:noProof/>
                <w:szCs w:val="24"/>
              </w:rPr>
              <w:t>Meat of sheep or goats, fresh, chilled or frozen</w:t>
            </w:r>
          </w:p>
          <w:p>
            <w:pPr>
              <w:pStyle w:val="NoSpacing"/>
              <w:spacing w:line="276" w:lineRule="auto"/>
              <w:rPr>
                <w:rFonts w:eastAsia="Times New Roman"/>
                <w:noProof/>
                <w:szCs w:val="24"/>
              </w:rPr>
            </w:pPr>
            <w:r>
              <w:rPr>
                <w:rFonts w:eastAsia="Times New Roman"/>
                <w:noProof/>
                <w:szCs w:val="24"/>
              </w:rPr>
              <w:t>Edible offal of sheep and goats, fresh or chilled</w:t>
            </w:r>
          </w:p>
          <w:p>
            <w:pPr>
              <w:pStyle w:val="NoSpacing"/>
              <w:spacing w:line="276" w:lineRule="auto"/>
              <w:rPr>
                <w:rFonts w:eastAsia="Times New Roman"/>
                <w:noProof/>
                <w:szCs w:val="24"/>
              </w:rPr>
            </w:pPr>
            <w:r>
              <w:rPr>
                <w:rFonts w:eastAsia="Times New Roman"/>
                <w:noProof/>
                <w:szCs w:val="24"/>
              </w:rPr>
              <w:t>Edible offal of sheep and goats, frozen</w:t>
            </w:r>
          </w:p>
          <w:p>
            <w:pPr>
              <w:pStyle w:val="NoSpacing"/>
              <w:spacing w:line="276" w:lineRule="auto"/>
              <w:rPr>
                <w:rFonts w:eastAsia="Times New Roman"/>
                <w:noProof/>
                <w:szCs w:val="24"/>
              </w:rPr>
            </w:pPr>
            <w:r>
              <w:rPr>
                <w:rFonts w:eastAsia="Times New Roman"/>
                <w:noProof/>
                <w:szCs w:val="24"/>
              </w:rPr>
              <w:t>Meat of sheep or goats, salted, in brine, dried or smoked, with bone in</w:t>
            </w:r>
          </w:p>
          <w:p>
            <w:pPr>
              <w:pStyle w:val="NoSpacing"/>
              <w:spacing w:line="276" w:lineRule="auto"/>
              <w:rPr>
                <w:rFonts w:eastAsia="Times New Roman"/>
                <w:noProof/>
                <w:szCs w:val="24"/>
              </w:rPr>
            </w:pPr>
            <w:r>
              <w:rPr>
                <w:rFonts w:eastAsia="Times New Roman"/>
                <w:noProof/>
                <w:szCs w:val="24"/>
              </w:rPr>
              <w:t>Meat of sheep or goats, salted, in brine, dried or smoked, boneless</w:t>
            </w:r>
          </w:p>
          <w:p>
            <w:pPr>
              <w:pStyle w:val="NoSpacing"/>
              <w:spacing w:line="276" w:lineRule="auto"/>
              <w:rPr>
                <w:rFonts w:eastAsia="Times New Roman"/>
                <w:noProof/>
                <w:szCs w:val="24"/>
              </w:rPr>
            </w:pPr>
            <w:r>
              <w:rPr>
                <w:rFonts w:eastAsia="Times New Roman"/>
                <w:noProof/>
                <w:szCs w:val="24"/>
              </w:rPr>
              <w:t>Edible meat offal of sheep or goats, salted, in brine, dried or smoked</w:t>
            </w:r>
          </w:p>
          <w:p>
            <w:pPr>
              <w:pStyle w:val="NoSpacing"/>
              <w:spacing w:line="276" w:lineRule="auto"/>
              <w:rPr>
                <w:rFonts w:eastAsia="Times New Roman"/>
                <w:noProof/>
                <w:szCs w:val="24"/>
              </w:rPr>
            </w:pPr>
            <w:r>
              <w:rPr>
                <w:rFonts w:eastAsia="Times New Roman"/>
                <w:noProof/>
                <w:szCs w:val="24"/>
              </w:rPr>
              <w:t>Sausages and similar products, of meat, meat offal or blood; food preparations based on these products:</w:t>
            </w:r>
          </w:p>
          <w:p>
            <w:pPr>
              <w:pStyle w:val="NoSpacing"/>
              <w:spacing w:line="276" w:lineRule="auto"/>
              <w:rPr>
                <w:rFonts w:eastAsia="Times New Roman"/>
                <w:noProof/>
                <w:szCs w:val="24"/>
              </w:rPr>
            </w:pPr>
            <w:r>
              <w:rPr>
                <w:rFonts w:eastAsia="Times New Roman"/>
                <w:noProof/>
                <w:szCs w:val="24"/>
              </w:rPr>
              <w:t>— Of sheep and goats</w:t>
            </w:r>
          </w:p>
          <w:p>
            <w:pPr>
              <w:pStyle w:val="NoSpacing"/>
              <w:spacing w:line="276" w:lineRule="auto"/>
              <w:rPr>
                <w:rFonts w:eastAsia="Times New Roman"/>
                <w:noProof/>
                <w:szCs w:val="24"/>
              </w:rPr>
            </w:pPr>
          </w:p>
          <w:p>
            <w:pPr>
              <w:pStyle w:val="NoSpacing"/>
              <w:spacing w:line="276" w:lineRule="auto"/>
              <w:rPr>
                <w:rFonts w:eastAsia="Times New Roman"/>
                <w:noProof/>
                <w:szCs w:val="24"/>
              </w:rPr>
            </w:pPr>
            <w:r>
              <w:rPr>
                <w:rFonts w:eastAsia="Times New Roman"/>
                <w:noProof/>
                <w:szCs w:val="24"/>
              </w:rPr>
              <w:t>Other prepared or preserved meat, meat offal or blood:</w:t>
            </w:r>
          </w:p>
          <w:p>
            <w:pPr>
              <w:pStyle w:val="NoSpacing"/>
              <w:spacing w:line="276" w:lineRule="auto"/>
              <w:rPr>
                <w:rFonts w:eastAsia="Times New Roman"/>
                <w:noProof/>
                <w:szCs w:val="24"/>
              </w:rPr>
            </w:pPr>
            <w:r>
              <w:rPr>
                <w:rFonts w:eastAsia="Times New Roman"/>
                <w:noProof/>
                <w:szCs w:val="24"/>
              </w:rPr>
              <w:t>— Of sheep and goats</w:t>
            </w:r>
          </w:p>
        </w:tc>
        <w:tc>
          <w:tcPr>
            <w:tcW w:w="1134" w:type="dxa"/>
          </w:tcPr>
          <w:p>
            <w:pPr>
              <w:pStyle w:val="NoSpacing"/>
              <w:spacing w:line="276" w:lineRule="auto"/>
              <w:jc w:val="center"/>
              <w:rPr>
                <w:rFonts w:eastAsia="Times New Roman"/>
                <w:noProof/>
                <w:szCs w:val="24"/>
              </w:rPr>
            </w:pPr>
            <w:r>
              <w:rPr>
                <w:rFonts w:eastAsia="Times New Roman"/>
                <w:noProof/>
                <w:szCs w:val="24"/>
              </w:rPr>
              <w:t>0</w:t>
            </w:r>
          </w:p>
          <w:p>
            <w:pPr>
              <w:pStyle w:val="NoSpacing"/>
              <w:spacing w:line="276" w:lineRule="auto"/>
              <w:jc w:val="center"/>
              <w:rPr>
                <w:rFonts w:eastAsia="Times New Roman"/>
                <w:noProof/>
                <w:szCs w:val="24"/>
              </w:rPr>
            </w:pPr>
          </w:p>
          <w:p>
            <w:pPr>
              <w:pStyle w:val="NoSpacing"/>
              <w:spacing w:line="276" w:lineRule="auto"/>
              <w:jc w:val="center"/>
              <w:rPr>
                <w:rFonts w:eastAsia="Times New Roman"/>
                <w:noProof/>
                <w:szCs w:val="24"/>
              </w:rPr>
            </w:pPr>
            <w:r>
              <w:rPr>
                <w:rFonts w:eastAsia="Times New Roman"/>
                <w:noProof/>
                <w:szCs w:val="24"/>
              </w:rPr>
              <w:t>0</w:t>
            </w:r>
          </w:p>
          <w:p>
            <w:pPr>
              <w:pStyle w:val="NoSpacing"/>
              <w:spacing w:line="276" w:lineRule="auto"/>
              <w:jc w:val="center"/>
              <w:rPr>
                <w:rFonts w:eastAsia="Times New Roman"/>
                <w:noProof/>
                <w:szCs w:val="24"/>
              </w:rPr>
            </w:pPr>
            <w:r>
              <w:rPr>
                <w:rFonts w:eastAsia="Times New Roman"/>
                <w:noProof/>
                <w:szCs w:val="24"/>
              </w:rPr>
              <w:t>0</w:t>
            </w:r>
          </w:p>
          <w:p>
            <w:pPr>
              <w:pStyle w:val="NoSpacing"/>
              <w:spacing w:line="276" w:lineRule="auto"/>
              <w:jc w:val="center"/>
              <w:rPr>
                <w:rFonts w:eastAsia="Times New Roman"/>
                <w:noProof/>
                <w:szCs w:val="24"/>
              </w:rPr>
            </w:pPr>
            <w:r>
              <w:rPr>
                <w:rFonts w:eastAsia="Times New Roman"/>
                <w:noProof/>
                <w:szCs w:val="24"/>
              </w:rPr>
              <w:t>0</w:t>
            </w:r>
          </w:p>
          <w:p>
            <w:pPr>
              <w:pStyle w:val="NoSpacing"/>
              <w:spacing w:line="276" w:lineRule="auto"/>
              <w:jc w:val="center"/>
              <w:rPr>
                <w:rFonts w:eastAsia="Times New Roman"/>
                <w:noProof/>
                <w:szCs w:val="24"/>
              </w:rPr>
            </w:pPr>
          </w:p>
          <w:p>
            <w:pPr>
              <w:pStyle w:val="NoSpacing"/>
              <w:spacing w:line="276" w:lineRule="auto"/>
              <w:jc w:val="center"/>
              <w:rPr>
                <w:rFonts w:eastAsia="Times New Roman"/>
                <w:noProof/>
                <w:szCs w:val="24"/>
              </w:rPr>
            </w:pPr>
            <w:r>
              <w:rPr>
                <w:rFonts w:eastAsia="Times New Roman"/>
                <w:noProof/>
                <w:szCs w:val="24"/>
              </w:rPr>
              <w:t>0</w:t>
            </w:r>
          </w:p>
          <w:p>
            <w:pPr>
              <w:pStyle w:val="NoSpacing"/>
              <w:spacing w:line="276" w:lineRule="auto"/>
              <w:jc w:val="center"/>
              <w:rPr>
                <w:rFonts w:eastAsia="Times New Roman"/>
                <w:noProof/>
                <w:szCs w:val="24"/>
              </w:rPr>
            </w:pPr>
          </w:p>
          <w:p>
            <w:pPr>
              <w:pStyle w:val="NoSpacing"/>
              <w:spacing w:line="276" w:lineRule="auto"/>
              <w:jc w:val="center"/>
              <w:rPr>
                <w:rFonts w:eastAsia="Times New Roman"/>
                <w:noProof/>
                <w:szCs w:val="24"/>
              </w:rPr>
            </w:pPr>
            <w:r>
              <w:rPr>
                <w:rFonts w:eastAsia="Times New Roman"/>
                <w:noProof/>
                <w:szCs w:val="24"/>
              </w:rPr>
              <w:t>0</w:t>
            </w:r>
          </w:p>
          <w:p>
            <w:pPr>
              <w:pStyle w:val="NoSpacing"/>
              <w:spacing w:line="276" w:lineRule="auto"/>
              <w:jc w:val="center"/>
              <w:rPr>
                <w:rFonts w:eastAsia="Times New Roman"/>
                <w:noProof/>
                <w:szCs w:val="24"/>
              </w:rPr>
            </w:pPr>
          </w:p>
          <w:p>
            <w:pPr>
              <w:pStyle w:val="NoSpacing"/>
              <w:spacing w:line="276" w:lineRule="auto"/>
              <w:jc w:val="center"/>
              <w:rPr>
                <w:rFonts w:eastAsia="Times New Roman"/>
                <w:noProof/>
                <w:szCs w:val="24"/>
              </w:rPr>
            </w:pPr>
          </w:p>
          <w:p>
            <w:pPr>
              <w:pStyle w:val="NoSpacing"/>
              <w:spacing w:line="276" w:lineRule="auto"/>
              <w:jc w:val="center"/>
              <w:rPr>
                <w:rFonts w:eastAsia="Times New Roman"/>
                <w:noProof/>
                <w:szCs w:val="24"/>
              </w:rPr>
            </w:pPr>
          </w:p>
          <w:p>
            <w:pPr>
              <w:pStyle w:val="NoSpacing"/>
              <w:spacing w:line="276" w:lineRule="auto"/>
              <w:jc w:val="center"/>
              <w:rPr>
                <w:rFonts w:eastAsia="Times New Roman"/>
                <w:noProof/>
                <w:szCs w:val="24"/>
              </w:rPr>
            </w:pPr>
            <w:r>
              <w:rPr>
                <w:rFonts w:eastAsia="Times New Roman"/>
                <w:noProof/>
                <w:szCs w:val="24"/>
              </w:rPr>
              <w:t>0</w:t>
            </w:r>
          </w:p>
        </w:tc>
        <w:tc>
          <w:tcPr>
            <w:tcW w:w="1524" w:type="dxa"/>
            <w:tcBorders>
              <w:right w:val="nil"/>
            </w:tcBorders>
          </w:tcPr>
          <w:p>
            <w:pPr>
              <w:pStyle w:val="NoSpacing"/>
              <w:spacing w:line="276" w:lineRule="auto"/>
              <w:rPr>
                <w:rFonts w:eastAsia="Times New Roman"/>
                <w:noProof/>
                <w:szCs w:val="24"/>
              </w:rPr>
            </w:pPr>
            <w:r>
              <w:rPr>
                <w:rFonts w:eastAsia="Times New Roman"/>
                <w:noProof/>
                <w:szCs w:val="24"/>
              </w:rPr>
              <w:t xml:space="preserve"> </w:t>
            </w:r>
          </w:p>
          <w:p>
            <w:pPr>
              <w:pStyle w:val="NoSpacing"/>
              <w:spacing w:line="276" w:lineRule="auto"/>
              <w:rPr>
                <w:rFonts w:eastAsia="Times New Roman"/>
                <w:noProof/>
                <w:szCs w:val="24"/>
              </w:rPr>
            </w:pPr>
          </w:p>
          <w:p>
            <w:pPr>
              <w:pStyle w:val="NoSpacing"/>
              <w:spacing w:line="276" w:lineRule="auto"/>
              <w:rPr>
                <w:rFonts w:eastAsia="Times New Roman"/>
                <w:noProof/>
                <w:szCs w:val="24"/>
              </w:rPr>
            </w:pPr>
          </w:p>
          <w:p>
            <w:pPr>
              <w:pStyle w:val="NoSpacing"/>
              <w:spacing w:line="276" w:lineRule="auto"/>
              <w:rPr>
                <w:rFonts w:eastAsia="Times New Roman"/>
                <w:noProof/>
                <w:szCs w:val="24"/>
              </w:rPr>
            </w:pPr>
          </w:p>
          <w:p>
            <w:pPr>
              <w:pStyle w:val="NoSpacing"/>
              <w:spacing w:line="276" w:lineRule="auto"/>
              <w:rPr>
                <w:rFonts w:eastAsia="Times New Roman"/>
                <w:noProof/>
                <w:szCs w:val="24"/>
              </w:rPr>
            </w:pPr>
          </w:p>
          <w:p>
            <w:pPr>
              <w:pStyle w:val="NoSpacing"/>
              <w:spacing w:line="276" w:lineRule="auto"/>
              <w:rPr>
                <w:rFonts w:eastAsia="Times New Roman"/>
                <w:noProof/>
                <w:szCs w:val="24"/>
              </w:rPr>
            </w:pPr>
          </w:p>
          <w:p>
            <w:pPr>
              <w:pStyle w:val="NoSpacing"/>
              <w:spacing w:line="276" w:lineRule="auto"/>
              <w:rPr>
                <w:rFonts w:eastAsia="Times New Roman"/>
                <w:noProof/>
                <w:szCs w:val="24"/>
              </w:rPr>
            </w:pPr>
          </w:p>
          <w:p>
            <w:pPr>
              <w:pStyle w:val="NoSpacing"/>
              <w:spacing w:line="276" w:lineRule="auto"/>
              <w:rPr>
                <w:rFonts w:eastAsia="Times New Roman"/>
                <w:noProof/>
                <w:szCs w:val="24"/>
              </w:rPr>
            </w:pPr>
          </w:p>
          <w:p>
            <w:pPr>
              <w:pStyle w:val="NoSpacing"/>
              <w:spacing w:line="276" w:lineRule="auto"/>
              <w:rPr>
                <w:rFonts w:eastAsia="Times New Roman"/>
                <w:noProof/>
                <w:szCs w:val="24"/>
              </w:rPr>
            </w:pPr>
            <w:r>
              <w:rPr>
                <w:rFonts w:eastAsia="Times New Roman"/>
                <w:noProof/>
                <w:szCs w:val="24"/>
              </w:rPr>
              <w:t xml:space="preserve">20 </w:t>
            </w:r>
          </w:p>
        </w:tc>
      </w:tr>
      <w:tr>
        <w:tc>
          <w:tcPr>
            <w:tcW w:w="1668" w:type="dxa"/>
            <w:tcBorders>
              <w:left w:val="nil"/>
            </w:tcBorders>
          </w:tcPr>
          <w:p>
            <w:pPr>
              <w:pStyle w:val="NoSpacing"/>
              <w:spacing w:line="276" w:lineRule="auto"/>
              <w:rPr>
                <w:noProof/>
              </w:rPr>
            </w:pPr>
            <w:r>
              <w:rPr>
                <w:noProof/>
              </w:rPr>
              <w:t xml:space="preserve">ex 2309 90 10 </w:t>
            </w:r>
          </w:p>
          <w:p>
            <w:pPr>
              <w:pStyle w:val="NoSpacing"/>
              <w:spacing w:line="276" w:lineRule="auto"/>
              <w:rPr>
                <w:noProof/>
              </w:rPr>
            </w:pPr>
            <w:r>
              <w:rPr>
                <w:noProof/>
              </w:rPr>
              <w:t>ex 2309 90 31</w:t>
            </w:r>
          </w:p>
          <w:p>
            <w:pPr>
              <w:pStyle w:val="NoSpacing"/>
              <w:spacing w:line="276" w:lineRule="auto"/>
              <w:rPr>
                <w:noProof/>
              </w:rPr>
            </w:pPr>
            <w:r>
              <w:rPr>
                <w:noProof/>
              </w:rPr>
              <w:t>ex 2309 90 41</w:t>
            </w:r>
          </w:p>
        </w:tc>
        <w:tc>
          <w:tcPr>
            <w:tcW w:w="4961" w:type="dxa"/>
          </w:tcPr>
          <w:p>
            <w:pPr>
              <w:pStyle w:val="NoSpacing"/>
              <w:spacing w:line="276" w:lineRule="auto"/>
              <w:rPr>
                <w:rFonts w:eastAsia="Times New Roman"/>
                <w:noProof/>
                <w:szCs w:val="24"/>
              </w:rPr>
            </w:pPr>
            <w:r>
              <w:rPr>
                <w:rFonts w:eastAsia="Times New Roman"/>
                <w:noProof/>
                <w:szCs w:val="24"/>
              </w:rPr>
              <w:t>Fish feed</w:t>
            </w:r>
          </w:p>
        </w:tc>
        <w:tc>
          <w:tcPr>
            <w:tcW w:w="1134" w:type="dxa"/>
          </w:tcPr>
          <w:p>
            <w:pPr>
              <w:pStyle w:val="NoSpacing"/>
              <w:spacing w:line="276" w:lineRule="auto"/>
              <w:jc w:val="center"/>
              <w:rPr>
                <w:rFonts w:eastAsia="Times New Roman"/>
                <w:noProof/>
                <w:szCs w:val="24"/>
              </w:rPr>
            </w:pPr>
            <w:r>
              <w:rPr>
                <w:rFonts w:eastAsia="Times New Roman"/>
                <w:noProof/>
                <w:szCs w:val="24"/>
              </w:rPr>
              <w:t>0</w:t>
            </w:r>
          </w:p>
        </w:tc>
        <w:tc>
          <w:tcPr>
            <w:tcW w:w="1524" w:type="dxa"/>
            <w:tcBorders>
              <w:right w:val="nil"/>
            </w:tcBorders>
          </w:tcPr>
          <w:p>
            <w:pPr>
              <w:pStyle w:val="NoSpacing"/>
              <w:spacing w:line="276" w:lineRule="auto"/>
              <w:rPr>
                <w:rFonts w:eastAsia="Times New Roman"/>
                <w:noProof/>
                <w:szCs w:val="24"/>
              </w:rPr>
            </w:pPr>
            <w:r>
              <w:rPr>
                <w:rFonts w:eastAsia="Times New Roman"/>
                <w:noProof/>
                <w:szCs w:val="24"/>
              </w:rPr>
              <w:t>20 000</w:t>
            </w:r>
          </w:p>
        </w:tc>
      </w:tr>
    </w:tbl>
    <w:p>
      <w:pPr>
        <w:spacing w:after="360"/>
        <w:rPr>
          <w:rFonts w:eastAsia="Times New Roman"/>
          <w:noProof/>
          <w:szCs w:val="24"/>
        </w:rPr>
      </w:pPr>
      <w:r>
        <w:rPr>
          <w:rFonts w:eastAsia="Times New Roman"/>
          <w:noProof/>
          <w:szCs w:val="24"/>
        </w:rPr>
        <w:t>’</w:t>
      </w:r>
    </w:p>
    <w:p>
      <w:pPr>
        <w:pStyle w:val="Point0number"/>
        <w:rPr>
          <w:rFonts w:eastAsia="Times New Roman"/>
          <w:noProof/>
          <w:szCs w:val="24"/>
        </w:rPr>
      </w:pPr>
      <w:r>
        <w:rPr>
          <w:rFonts w:eastAsia="Times New Roman"/>
          <w:noProof/>
          <w:szCs w:val="24"/>
        </w:rPr>
        <w:t xml:space="preserve">the following Article 3 is added: </w:t>
      </w:r>
    </w:p>
    <w:p>
      <w:pPr>
        <w:spacing w:after="360"/>
        <w:jc w:val="center"/>
        <w:rPr>
          <w:rFonts w:eastAsia="Times New Roman"/>
          <w:noProof/>
          <w:szCs w:val="24"/>
        </w:rPr>
      </w:pPr>
      <w:r>
        <w:rPr>
          <w:rFonts w:eastAsia="Times New Roman"/>
          <w:noProof/>
          <w:szCs w:val="24"/>
        </w:rPr>
        <w:t>‘Article 3</w:t>
      </w:r>
    </w:p>
    <w:p>
      <w:pPr>
        <w:spacing w:after="360"/>
        <w:rPr>
          <w:rFonts w:eastAsia="Times New Roman"/>
          <w:noProof/>
          <w:szCs w:val="24"/>
        </w:rPr>
      </w:pPr>
      <w:r>
        <w:rPr>
          <w:rFonts w:eastAsia="Times New Roman"/>
          <w:noProof/>
          <w:szCs w:val="24"/>
        </w:rPr>
        <w:t>The Faroes shall open the following tariff rate quotas for products originating in and coming from the European Union:</w:t>
      </w:r>
    </w:p>
    <w:tbl>
      <w:tblPr>
        <w:tblStyle w:val="TableGrid"/>
        <w:tblW w:w="0" w:type="auto"/>
        <w:tblLayout w:type="fixed"/>
        <w:tblLook w:val="04A0" w:firstRow="1" w:lastRow="0" w:firstColumn="1" w:lastColumn="0" w:noHBand="0" w:noVBand="1"/>
      </w:tblPr>
      <w:tblGrid>
        <w:gridCol w:w="1663"/>
        <w:gridCol w:w="5084"/>
        <w:gridCol w:w="990"/>
        <w:gridCol w:w="309"/>
        <w:gridCol w:w="1243"/>
      </w:tblGrid>
      <w:tr>
        <w:tc>
          <w:tcPr>
            <w:tcW w:w="1663" w:type="dxa"/>
            <w:tcBorders>
              <w:left w:val="nil"/>
            </w:tcBorders>
            <w:vAlign w:val="center"/>
          </w:tcPr>
          <w:p>
            <w:pPr>
              <w:pStyle w:val="NoSpacing"/>
              <w:jc w:val="center"/>
              <w:rPr>
                <w:noProof/>
              </w:rPr>
            </w:pPr>
            <w:r>
              <w:rPr>
                <w:noProof/>
              </w:rPr>
              <w:t>CN code</w:t>
            </w:r>
          </w:p>
        </w:tc>
        <w:tc>
          <w:tcPr>
            <w:tcW w:w="5084" w:type="dxa"/>
            <w:vAlign w:val="center"/>
          </w:tcPr>
          <w:p>
            <w:pPr>
              <w:pStyle w:val="NoSpacing"/>
              <w:jc w:val="center"/>
              <w:rPr>
                <w:rFonts w:eastAsia="Times New Roman"/>
                <w:noProof/>
                <w:szCs w:val="24"/>
              </w:rPr>
            </w:pPr>
            <w:r>
              <w:rPr>
                <w:rFonts w:eastAsia="Times New Roman"/>
                <w:noProof/>
                <w:szCs w:val="24"/>
              </w:rPr>
              <w:t>Description</w:t>
            </w:r>
          </w:p>
        </w:tc>
        <w:tc>
          <w:tcPr>
            <w:tcW w:w="990" w:type="dxa"/>
            <w:vAlign w:val="center"/>
          </w:tcPr>
          <w:p>
            <w:pPr>
              <w:pStyle w:val="NoSpacing"/>
              <w:jc w:val="center"/>
              <w:rPr>
                <w:rFonts w:eastAsia="Times New Roman"/>
                <w:noProof/>
                <w:szCs w:val="24"/>
              </w:rPr>
            </w:pPr>
            <w:r>
              <w:rPr>
                <w:rFonts w:eastAsia="Times New Roman"/>
                <w:noProof/>
                <w:szCs w:val="24"/>
              </w:rPr>
              <w:t>Rate of duty</w:t>
            </w:r>
          </w:p>
        </w:tc>
        <w:tc>
          <w:tcPr>
            <w:tcW w:w="1552" w:type="dxa"/>
            <w:gridSpan w:val="2"/>
            <w:tcBorders>
              <w:bottom w:val="single" w:sz="4" w:space="0" w:color="auto"/>
              <w:right w:val="nil"/>
            </w:tcBorders>
            <w:vAlign w:val="center"/>
          </w:tcPr>
          <w:p>
            <w:pPr>
              <w:pStyle w:val="NoSpacing"/>
              <w:jc w:val="center"/>
              <w:rPr>
                <w:rFonts w:eastAsia="Times New Roman"/>
                <w:noProof/>
                <w:szCs w:val="24"/>
                <w:lang w:val="de-DE"/>
              </w:rPr>
            </w:pPr>
            <w:r>
              <w:rPr>
                <w:rFonts w:eastAsia="Times New Roman"/>
                <w:noProof/>
                <w:szCs w:val="24"/>
                <w:lang w:val="de-DE"/>
              </w:rPr>
              <w:t>Tariff quota (TQ) in tonnes</w:t>
            </w:r>
          </w:p>
        </w:tc>
      </w:tr>
      <w:tr>
        <w:tc>
          <w:tcPr>
            <w:tcW w:w="1663" w:type="dxa"/>
            <w:tcBorders>
              <w:left w:val="nil"/>
            </w:tcBorders>
          </w:tcPr>
          <w:p>
            <w:pPr>
              <w:pStyle w:val="NoSpacing"/>
              <w:spacing w:after="240" w:line="276" w:lineRule="auto"/>
              <w:rPr>
                <w:noProof/>
              </w:rPr>
            </w:pPr>
            <w:r>
              <w:rPr>
                <w:noProof/>
              </w:rPr>
              <w:t>0204</w:t>
            </w:r>
          </w:p>
          <w:p>
            <w:pPr>
              <w:pStyle w:val="NoSpacing"/>
              <w:spacing w:after="240" w:line="276" w:lineRule="auto"/>
              <w:rPr>
                <w:noProof/>
              </w:rPr>
            </w:pPr>
            <w:r>
              <w:rPr>
                <w:noProof/>
              </w:rPr>
              <w:t>0206 80 99</w:t>
            </w:r>
          </w:p>
          <w:p>
            <w:pPr>
              <w:pStyle w:val="NoSpacing"/>
              <w:spacing w:after="240" w:line="276" w:lineRule="auto"/>
              <w:rPr>
                <w:noProof/>
              </w:rPr>
            </w:pPr>
            <w:r>
              <w:rPr>
                <w:noProof/>
              </w:rPr>
              <w:t>0206 90 99</w:t>
            </w:r>
          </w:p>
          <w:p>
            <w:pPr>
              <w:pStyle w:val="NoSpacing"/>
              <w:spacing w:after="240" w:line="276" w:lineRule="auto"/>
              <w:rPr>
                <w:noProof/>
              </w:rPr>
            </w:pPr>
            <w:r>
              <w:rPr>
                <w:noProof/>
              </w:rPr>
              <w:t>0210 90 11</w:t>
            </w:r>
          </w:p>
          <w:p>
            <w:pPr>
              <w:pStyle w:val="NoSpacing"/>
              <w:spacing w:line="276" w:lineRule="auto"/>
              <w:rPr>
                <w:noProof/>
              </w:rPr>
            </w:pPr>
          </w:p>
          <w:p>
            <w:pPr>
              <w:pStyle w:val="NoSpacing"/>
              <w:spacing w:after="240" w:line="276" w:lineRule="auto"/>
              <w:rPr>
                <w:noProof/>
              </w:rPr>
            </w:pPr>
            <w:r>
              <w:rPr>
                <w:noProof/>
              </w:rPr>
              <w:t>0210 90 60</w:t>
            </w:r>
          </w:p>
          <w:p>
            <w:pPr>
              <w:pStyle w:val="NoSpacing"/>
              <w:spacing w:line="276" w:lineRule="auto"/>
              <w:rPr>
                <w:noProof/>
              </w:rPr>
            </w:pPr>
          </w:p>
          <w:p>
            <w:pPr>
              <w:pStyle w:val="NoSpacing"/>
              <w:spacing w:after="240" w:line="276" w:lineRule="auto"/>
              <w:rPr>
                <w:rFonts w:eastAsia="Times New Roman"/>
                <w:noProof/>
                <w:szCs w:val="24"/>
              </w:rPr>
            </w:pPr>
            <w:r>
              <w:rPr>
                <w:noProof/>
              </w:rPr>
              <w:t>ex 0210 90 90</w:t>
            </w:r>
          </w:p>
        </w:tc>
        <w:tc>
          <w:tcPr>
            <w:tcW w:w="5084" w:type="dxa"/>
          </w:tcPr>
          <w:p>
            <w:pPr>
              <w:pStyle w:val="NoSpacing"/>
              <w:spacing w:after="240" w:line="276" w:lineRule="auto"/>
              <w:rPr>
                <w:rFonts w:eastAsia="Times New Roman"/>
                <w:noProof/>
                <w:szCs w:val="24"/>
              </w:rPr>
            </w:pPr>
            <w:r>
              <w:rPr>
                <w:rFonts w:eastAsia="Times New Roman"/>
                <w:noProof/>
                <w:szCs w:val="24"/>
              </w:rPr>
              <w:t>Meat of sheep or goats, fresh, chilled or frozen</w:t>
            </w:r>
          </w:p>
          <w:p>
            <w:pPr>
              <w:pStyle w:val="NoSpacing"/>
              <w:spacing w:after="240" w:line="276" w:lineRule="auto"/>
              <w:rPr>
                <w:rFonts w:eastAsia="Times New Roman"/>
                <w:noProof/>
                <w:szCs w:val="24"/>
              </w:rPr>
            </w:pPr>
            <w:r>
              <w:rPr>
                <w:rFonts w:eastAsia="Times New Roman"/>
                <w:noProof/>
                <w:szCs w:val="24"/>
              </w:rPr>
              <w:t>Edible offal of sheep and goats, fresh or chilled</w:t>
            </w:r>
          </w:p>
          <w:p>
            <w:pPr>
              <w:pStyle w:val="NoSpacing"/>
              <w:spacing w:after="240" w:line="276" w:lineRule="auto"/>
              <w:rPr>
                <w:rFonts w:eastAsia="Times New Roman"/>
                <w:noProof/>
                <w:szCs w:val="24"/>
              </w:rPr>
            </w:pPr>
            <w:r>
              <w:rPr>
                <w:rFonts w:eastAsia="Times New Roman"/>
                <w:noProof/>
                <w:szCs w:val="24"/>
              </w:rPr>
              <w:t>Edible offal of sheep and goats, frozen</w:t>
            </w:r>
          </w:p>
          <w:p>
            <w:pPr>
              <w:pStyle w:val="NoSpacing"/>
              <w:spacing w:after="240" w:line="276" w:lineRule="auto"/>
              <w:rPr>
                <w:rFonts w:eastAsia="Times New Roman"/>
                <w:noProof/>
                <w:szCs w:val="24"/>
              </w:rPr>
            </w:pPr>
            <w:r>
              <w:rPr>
                <w:rFonts w:eastAsia="Times New Roman"/>
                <w:noProof/>
                <w:szCs w:val="24"/>
              </w:rPr>
              <w:t>Meat of sheep or goats, salted, in brine, dried or smoked, with bone in</w:t>
            </w:r>
          </w:p>
          <w:p>
            <w:pPr>
              <w:pStyle w:val="NoSpacing"/>
              <w:spacing w:after="240" w:line="276" w:lineRule="auto"/>
              <w:rPr>
                <w:rFonts w:eastAsia="Times New Roman"/>
                <w:noProof/>
                <w:szCs w:val="24"/>
              </w:rPr>
            </w:pPr>
            <w:r>
              <w:rPr>
                <w:rFonts w:eastAsia="Times New Roman"/>
                <w:noProof/>
                <w:szCs w:val="24"/>
              </w:rPr>
              <w:t>Edible meat offal of sheep or goats, salted, in brine, dried or smoked</w:t>
            </w:r>
          </w:p>
          <w:p>
            <w:pPr>
              <w:pStyle w:val="NoSpacing"/>
              <w:spacing w:after="240" w:line="276" w:lineRule="auto"/>
              <w:rPr>
                <w:rFonts w:eastAsia="Times New Roman"/>
                <w:noProof/>
                <w:szCs w:val="24"/>
              </w:rPr>
            </w:pPr>
            <w:r>
              <w:rPr>
                <w:rFonts w:eastAsia="Times New Roman"/>
                <w:noProof/>
                <w:szCs w:val="24"/>
              </w:rPr>
              <w:t>Edible flours and meals of meat and meal offal, of sheep and goats</w:t>
            </w:r>
          </w:p>
        </w:tc>
        <w:tc>
          <w:tcPr>
            <w:tcW w:w="990" w:type="dxa"/>
          </w:tcPr>
          <w:p>
            <w:pPr>
              <w:pStyle w:val="NoSpacing"/>
              <w:spacing w:after="240" w:line="276" w:lineRule="auto"/>
              <w:rPr>
                <w:rFonts w:eastAsia="Times New Roman"/>
                <w:noProof/>
                <w:szCs w:val="24"/>
              </w:rPr>
            </w:pPr>
            <w:r>
              <w:rPr>
                <w:rFonts w:eastAsia="Times New Roman"/>
                <w:noProof/>
                <w:szCs w:val="24"/>
              </w:rPr>
              <w:t>0</w:t>
            </w:r>
          </w:p>
          <w:p>
            <w:pPr>
              <w:pStyle w:val="NoSpacing"/>
              <w:spacing w:after="240" w:line="276" w:lineRule="auto"/>
              <w:rPr>
                <w:rFonts w:eastAsia="Times New Roman"/>
                <w:noProof/>
                <w:szCs w:val="24"/>
              </w:rPr>
            </w:pPr>
            <w:r>
              <w:rPr>
                <w:rFonts w:eastAsia="Times New Roman"/>
                <w:noProof/>
                <w:szCs w:val="24"/>
              </w:rPr>
              <w:t>0</w:t>
            </w:r>
          </w:p>
          <w:p>
            <w:pPr>
              <w:pStyle w:val="NoSpacing"/>
              <w:spacing w:after="240" w:line="276" w:lineRule="auto"/>
              <w:rPr>
                <w:rFonts w:eastAsia="Times New Roman"/>
                <w:noProof/>
                <w:szCs w:val="24"/>
              </w:rPr>
            </w:pPr>
            <w:r>
              <w:rPr>
                <w:rFonts w:eastAsia="Times New Roman"/>
                <w:noProof/>
                <w:szCs w:val="24"/>
              </w:rPr>
              <w:t>0</w:t>
            </w:r>
          </w:p>
          <w:p>
            <w:pPr>
              <w:pStyle w:val="NoSpacing"/>
              <w:spacing w:after="240" w:line="276" w:lineRule="auto"/>
              <w:rPr>
                <w:rFonts w:eastAsia="Times New Roman"/>
                <w:noProof/>
                <w:szCs w:val="24"/>
              </w:rPr>
            </w:pPr>
            <w:r>
              <w:rPr>
                <w:rFonts w:eastAsia="Times New Roman"/>
                <w:noProof/>
                <w:szCs w:val="24"/>
              </w:rPr>
              <w:t>0</w:t>
            </w:r>
          </w:p>
          <w:p>
            <w:pPr>
              <w:pStyle w:val="NoSpacing"/>
              <w:spacing w:line="276" w:lineRule="auto"/>
              <w:rPr>
                <w:rFonts w:eastAsia="Times New Roman"/>
                <w:noProof/>
                <w:szCs w:val="24"/>
              </w:rPr>
            </w:pPr>
          </w:p>
          <w:p>
            <w:pPr>
              <w:pStyle w:val="NoSpacing"/>
              <w:spacing w:after="240" w:line="276" w:lineRule="auto"/>
              <w:rPr>
                <w:rFonts w:eastAsia="Times New Roman"/>
                <w:noProof/>
                <w:szCs w:val="24"/>
              </w:rPr>
            </w:pPr>
            <w:r>
              <w:rPr>
                <w:rFonts w:eastAsia="Times New Roman"/>
                <w:noProof/>
                <w:szCs w:val="24"/>
              </w:rPr>
              <w:t>0</w:t>
            </w:r>
          </w:p>
          <w:p>
            <w:pPr>
              <w:pStyle w:val="NoSpacing"/>
              <w:spacing w:line="276" w:lineRule="auto"/>
              <w:rPr>
                <w:rFonts w:eastAsia="Times New Roman"/>
                <w:noProof/>
                <w:szCs w:val="24"/>
              </w:rPr>
            </w:pPr>
          </w:p>
          <w:p>
            <w:pPr>
              <w:pStyle w:val="NoSpacing"/>
              <w:spacing w:after="240" w:line="276" w:lineRule="auto"/>
              <w:rPr>
                <w:rFonts w:eastAsia="Times New Roman"/>
                <w:noProof/>
                <w:szCs w:val="24"/>
              </w:rPr>
            </w:pPr>
            <w:r>
              <w:rPr>
                <w:rFonts w:eastAsia="Times New Roman"/>
                <w:noProof/>
                <w:szCs w:val="24"/>
              </w:rPr>
              <w:t>0</w:t>
            </w:r>
          </w:p>
        </w:tc>
        <w:tc>
          <w:tcPr>
            <w:tcW w:w="309" w:type="dxa"/>
            <w:tcBorders>
              <w:right w:val="nil"/>
            </w:tcBorders>
          </w:tcPr>
          <w:p>
            <w:pPr>
              <w:pStyle w:val="NoSpacing"/>
              <w:spacing w:after="240" w:line="276" w:lineRule="auto"/>
              <w:rPr>
                <w:rFonts w:eastAsia="Times New Roman"/>
                <w:noProof/>
                <w:szCs w:val="24"/>
              </w:rPr>
            </w:pPr>
            <w:r>
              <w:rPr>
                <w:rFonts w:eastAsia="Times New Roman"/>
                <w:noProof/>
                <w:szCs w:val="24"/>
              </w:rPr>
              <w:t xml:space="preserve"> </w:t>
            </w:r>
          </w:p>
        </w:tc>
        <w:tc>
          <w:tcPr>
            <w:tcW w:w="1243" w:type="dxa"/>
            <w:tcBorders>
              <w:left w:val="nil"/>
              <w:right w:val="nil"/>
            </w:tcBorders>
          </w:tcPr>
          <w:p>
            <w:pPr>
              <w:pStyle w:val="NoSpacing"/>
              <w:spacing w:after="240" w:line="276" w:lineRule="auto"/>
              <w:jc w:val="left"/>
              <w:rPr>
                <w:iCs/>
                <w:noProof/>
                <w:color w:val="000000"/>
                <w:lang w:val="en-US"/>
              </w:rPr>
            </w:pPr>
          </w:p>
          <w:p>
            <w:pPr>
              <w:pStyle w:val="NoSpacing"/>
              <w:spacing w:after="240" w:line="276" w:lineRule="auto"/>
              <w:jc w:val="left"/>
              <w:rPr>
                <w:iCs/>
                <w:noProof/>
                <w:color w:val="000000"/>
                <w:lang w:val="en-US"/>
              </w:rPr>
            </w:pPr>
            <w:r>
              <w:rPr>
                <w:iCs/>
                <w:noProof/>
                <w:color w:val="000000"/>
                <w:lang w:val="en-US"/>
              </w:rPr>
              <w:t>40 in 2020, 2021 and 2022;</w:t>
            </w:r>
          </w:p>
          <w:p>
            <w:pPr>
              <w:pStyle w:val="NoSpacing"/>
              <w:spacing w:after="240" w:line="276" w:lineRule="auto"/>
              <w:jc w:val="left"/>
              <w:rPr>
                <w:rFonts w:eastAsia="Times New Roman"/>
                <w:noProof/>
                <w:szCs w:val="24"/>
              </w:rPr>
            </w:pPr>
            <w:r>
              <w:rPr>
                <w:iCs/>
                <w:noProof/>
                <w:color w:val="000000"/>
                <w:lang w:val="en-US"/>
              </w:rPr>
              <w:t>80 as from the year 2023</w:t>
            </w:r>
          </w:p>
        </w:tc>
      </w:tr>
    </w:tbl>
    <w:p>
      <w:pPr>
        <w:spacing w:after="360"/>
        <w:rPr>
          <w:rFonts w:eastAsia="Times New Roman"/>
          <w:noProof/>
          <w:szCs w:val="24"/>
        </w:rPr>
      </w:pPr>
      <w:r>
        <w:rPr>
          <w:i/>
          <w:iCs/>
          <w:noProof/>
          <w:color w:val="000000"/>
          <w:lang w:val="en-US"/>
        </w:rPr>
        <w:t>’</w:t>
      </w:r>
    </w:p>
    <w:p>
      <w:pPr>
        <w:pStyle w:val="Point0number"/>
        <w:rPr>
          <w:rFonts w:eastAsia="Times New Roman"/>
          <w:noProof/>
          <w:szCs w:val="24"/>
        </w:rPr>
      </w:pPr>
      <w:r>
        <w:rPr>
          <w:rFonts w:eastAsia="Times New Roman"/>
          <w:noProof/>
          <w:szCs w:val="24"/>
        </w:rPr>
        <w:t>Annex I is deleted.</w:t>
      </w:r>
    </w:p>
    <w:p>
      <w:pPr>
        <w:pStyle w:val="Titrearticle"/>
        <w:rPr>
          <w:rFonts w:eastAsia="Times New Roman"/>
          <w:i w:val="0"/>
          <w:noProof/>
          <w:szCs w:val="24"/>
        </w:rPr>
      </w:pPr>
      <w:r>
        <w:rPr>
          <w:noProof/>
        </w:rPr>
        <w:t>Article</w:t>
      </w:r>
      <w:r>
        <w:rPr>
          <w:rFonts w:eastAsia="Times New Roman"/>
          <w:i w:val="0"/>
          <w:noProof/>
          <w:szCs w:val="24"/>
        </w:rPr>
        <w:t xml:space="preserve"> 3</w:t>
      </w:r>
    </w:p>
    <w:p>
      <w:pPr>
        <w:spacing w:after="360"/>
        <w:rPr>
          <w:rFonts w:eastAsia="Times New Roman"/>
          <w:noProof/>
          <w:szCs w:val="24"/>
        </w:rPr>
      </w:pPr>
      <w:r>
        <w:rPr>
          <w:rFonts w:eastAsia="Times New Roman"/>
          <w:noProof/>
          <w:szCs w:val="24"/>
        </w:rPr>
        <w:t>This Decision shall enter into force on the day of its adoption.</w:t>
      </w:r>
    </w:p>
    <w:p>
      <w:pPr>
        <w:rPr>
          <w:rFonts w:eastAsia="Times New Roman"/>
          <w:noProof/>
          <w:szCs w:val="24"/>
        </w:rPr>
      </w:pPr>
      <w:r>
        <w:rPr>
          <w:rFonts w:eastAsia="Times New Roman"/>
          <w:noProof/>
          <w:szCs w:val="24"/>
        </w:rPr>
        <w:t xml:space="preserve">Done at …,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7"/>
      </w:tblGrid>
      <w:tr>
        <w:tc>
          <w:tcPr>
            <w:tcW w:w="4606" w:type="dxa"/>
          </w:tcPr>
          <w:p>
            <w:pPr>
              <w:rPr>
                <w:rFonts w:eastAsia="Times New Roman"/>
                <w:noProof/>
                <w:szCs w:val="24"/>
              </w:rPr>
            </w:pPr>
          </w:p>
        </w:tc>
        <w:tc>
          <w:tcPr>
            <w:tcW w:w="4607" w:type="dxa"/>
          </w:tcPr>
          <w:p>
            <w:pPr>
              <w:rPr>
                <w:i/>
                <w:noProof/>
              </w:rPr>
            </w:pPr>
            <w:r>
              <w:rPr>
                <w:i/>
                <w:noProof/>
              </w:rPr>
              <w:t>For the Joint Committee</w:t>
            </w:r>
          </w:p>
          <w:p>
            <w:pPr>
              <w:rPr>
                <w:rFonts w:eastAsia="Times New Roman"/>
                <w:noProof/>
                <w:szCs w:val="24"/>
              </w:rPr>
            </w:pPr>
            <w:r>
              <w:rPr>
                <w:i/>
                <w:noProof/>
              </w:rPr>
              <w:t>The Chair</w:t>
            </w:r>
          </w:p>
        </w:tc>
      </w:tr>
    </w:tbl>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s-ES_tradnl"/>
        </w:rPr>
      </w:pPr>
      <w:r>
        <w:rPr>
          <w:rStyle w:val="FootnoteReference"/>
        </w:rPr>
        <w:footnoteRef/>
      </w:r>
      <w:r>
        <w:rPr>
          <w:lang w:val="es-ES_tradnl"/>
        </w:rPr>
        <w:tab/>
        <w:t>OJ L 53, 22.2.1997, p. 2.</w:t>
      </w:r>
    </w:p>
  </w:footnote>
  <w:footnote w:id="2">
    <w:p>
      <w:pPr>
        <w:pStyle w:val="FootnoteText"/>
        <w:rPr>
          <w:lang w:val="es-ES_tradnl"/>
        </w:rPr>
      </w:pPr>
      <w:r>
        <w:rPr>
          <w:rStyle w:val="FootnoteReference"/>
        </w:rPr>
        <w:footnoteRef/>
      </w:r>
      <w:r>
        <w:rPr>
          <w:lang w:val="es-ES_tradnl"/>
        </w:rPr>
        <w:tab/>
        <w:t>OJ L 263, 26.9.1998, p. 37.</w:t>
      </w:r>
    </w:p>
  </w:footnote>
  <w:footnote w:id="3">
    <w:p>
      <w:pPr>
        <w:pStyle w:val="FootnoteText"/>
        <w:rPr>
          <w:lang w:val="es-ES_tradnl"/>
        </w:rPr>
      </w:pPr>
      <w:r>
        <w:rPr>
          <w:rStyle w:val="FootnoteReference"/>
        </w:rPr>
        <w:footnoteRef/>
      </w:r>
      <w:r>
        <w:rPr>
          <w:lang w:val="es-ES_tradnl"/>
        </w:rPr>
        <w:tab/>
        <w:t>OJ L 275, 19.10.2007, p. 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1CED63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D12BA12"/>
    <w:lvl w:ilvl="0">
      <w:start w:val="1"/>
      <w:numFmt w:val="decimal"/>
      <w:pStyle w:val="ListNumber3"/>
      <w:lvlText w:val="%1."/>
      <w:lvlJc w:val="left"/>
      <w:pPr>
        <w:tabs>
          <w:tab w:val="num" w:pos="926"/>
        </w:tabs>
        <w:ind w:left="926" w:hanging="360"/>
      </w:pPr>
    </w:lvl>
  </w:abstractNum>
  <w:abstractNum w:abstractNumId="2">
    <w:nsid w:val="FFFFFF7F"/>
    <w:multiLevelType w:val="singleLevel"/>
    <w:tmpl w:val="2E0CD3DC"/>
    <w:lvl w:ilvl="0">
      <w:start w:val="1"/>
      <w:numFmt w:val="decimal"/>
      <w:pStyle w:val="ListNumber2"/>
      <w:lvlText w:val="%1."/>
      <w:lvlJc w:val="left"/>
      <w:pPr>
        <w:tabs>
          <w:tab w:val="num" w:pos="643"/>
        </w:tabs>
        <w:ind w:left="643" w:hanging="360"/>
      </w:pPr>
    </w:lvl>
  </w:abstractNum>
  <w:abstractNum w:abstractNumId="3">
    <w:nsid w:val="FFFFFF81"/>
    <w:multiLevelType w:val="singleLevel"/>
    <w:tmpl w:val="D2B86EC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A0671A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0C67A5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160D6C8"/>
    <w:lvl w:ilvl="0">
      <w:start w:val="1"/>
      <w:numFmt w:val="decimal"/>
      <w:pStyle w:val="ListNumber"/>
      <w:lvlText w:val="%1."/>
      <w:lvlJc w:val="left"/>
      <w:pPr>
        <w:tabs>
          <w:tab w:val="num" w:pos="360"/>
        </w:tabs>
        <w:ind w:left="360" w:hanging="360"/>
      </w:pPr>
    </w:lvl>
  </w:abstractNum>
  <w:abstractNum w:abstractNumId="7">
    <w:nsid w:val="FFFFFF89"/>
    <w:multiLevelType w:val="singleLevel"/>
    <w:tmpl w:val="EFECB1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0"/>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19 11:29:5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0A5223A9-D85A-401D-ABF2-8F5139D769FB"/>
    <w:docVar w:name="LW_COVERPAGE_TYPE" w:val="1"/>
    <w:docVar w:name="LW_CROSSREFERENCE" w:val="&lt;UNUSED&gt;"/>
    <w:docVar w:name="LW_DocType" w:val="ANNEX"/>
    <w:docVar w:name="LW_EMISSION" w:val="26.6.2020"/>
    <w:docVar w:name="LW_EMISSION_ISODATE" w:val="2020-06-26"/>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taken on behalf of the European Union in the Joint Committee established by the Agreement between the European Community, of the one part, and the Government of Denmark and the Home Government of the Faroe Islands, of the other part, as regards the adoption of the amendments to Protocols 1 and 4 to the Agreement_x000d__x000d__x000d_"/>
    <w:docVar w:name="LW_OBJETACTEPRINCIPAL.CP" w:val="on the position to be taken on behalf of the European Union in the Joint Committee established by the Agreement between the European Community, of the one part, and the Government of Denmark and the Home Government of the Faroe Islands, of the other part, as regards the adoption of the amendments to Protocols 1 and 4 to the Agreement_x000d__x000d__x000d_"/>
    <w:docVar w:name="LW_PART_NBR" w:val="1"/>
    <w:docVar w:name="LW_PART_NBR_TOTAL" w:val="1"/>
    <w:docVar w:name="LW_REF.INST.NEW" w:val="COM"/>
    <w:docVar w:name="LW_REF.INST.NEW_ADOPTED" w:val="final"/>
    <w:docVar w:name="LW_REF.INST.NEW_TEXT" w:val="(2020) 26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4">
    <w:name w:val="List Number 4"/>
    <w:basedOn w:val="Normal"/>
    <w:uiPriority w:val="99"/>
    <w:semiHidden/>
    <w:unhideWhenUsed/>
    <w:pPr>
      <w:numPr>
        <w:numId w:val="2"/>
      </w:numPr>
      <w:contextualSpacing/>
    </w:pPr>
  </w:style>
  <w:style w:type="paragraph" w:styleId="NoSpacing">
    <w:name w:val="No Spacing"/>
    <w:uiPriority w:val="1"/>
    <w:qFormat/>
    <w:pPr>
      <w:spacing w:after="0" w:line="240" w:lineRule="auto"/>
      <w:jc w:val="both"/>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4">
    <w:name w:val="List Number 4"/>
    <w:basedOn w:val="Normal"/>
    <w:uiPriority w:val="99"/>
    <w:semiHidden/>
    <w:unhideWhenUsed/>
    <w:pPr>
      <w:numPr>
        <w:numId w:val="2"/>
      </w:numPr>
      <w:contextualSpacing/>
    </w:pPr>
  </w:style>
  <w:style w:type="paragraph" w:styleId="NoSpacing">
    <w:name w:val="No Spacing"/>
    <w:uiPriority w:val="1"/>
    <w:qFormat/>
    <w:pPr>
      <w:spacing w:after="0" w:line="240" w:lineRule="auto"/>
      <w:jc w:val="both"/>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5</Pages>
  <Words>993</Words>
  <Characters>4509</Characters>
  <Application>Microsoft Office Word</Application>
  <DocSecurity>0</DocSecurity>
  <Lines>196</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MOLLER Birgit (TRADE)</dc:creator>
  <cp:keywords/>
  <dc:description/>
  <cp:lastModifiedBy>WES PDFC Administrator</cp:lastModifiedBy>
  <cp:revision>9</cp:revision>
  <dcterms:created xsi:type="dcterms:W3CDTF">2020-05-29T13:30:00Z</dcterms:created>
  <dcterms:modified xsi:type="dcterms:W3CDTF">2020-06-19T09:29:00Z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