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6993301-4117-49F3-8E21-1BEE03FB6C43" style="width:450pt;height:4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ПРИЛОЖЕНИЕ I</w:t>
      </w:r>
    </w:p>
    <w:p>
      <w:pPr>
        <w:jc w:val="center"/>
        <w:rPr>
          <w:rFonts w:ascii="Times New Roman" w:hAnsi="Times New Roman" w:cs="Times New Roman"/>
          <w:noProof/>
          <w:sz w:val="24"/>
          <w:szCs w:val="24"/>
        </w:rPr>
      </w:pPr>
      <w:r>
        <w:rPr>
          <w:rFonts w:ascii="Times New Roman" w:hAnsi="Times New Roman"/>
          <w:b/>
          <w:noProof/>
          <w:sz w:val="24"/>
          <w:szCs w:val="24"/>
        </w:rPr>
        <w:t>Прогнозирано спазване, докладвано от държавите членки през 2019 година съгласно съществуващите политики и мерки (сценарий „при взети мерки“) спрямо задълженията за намаляване на емисиите за периода 2020—2029 година и от 2030 година нататък</w:t>
      </w:r>
    </w:p>
    <w:tbl>
      <w:tblPr>
        <w:tblW w:w="7873" w:type="dxa"/>
        <w:tblLook w:val="04A0" w:firstRow="1" w:lastRow="0" w:firstColumn="1" w:lastColumn="0" w:noHBand="0" w:noVBand="1"/>
      </w:tblPr>
      <w:tblGrid>
        <w:gridCol w:w="1773"/>
        <w:gridCol w:w="653"/>
        <w:gridCol w:w="653"/>
        <w:gridCol w:w="653"/>
        <w:gridCol w:w="653"/>
        <w:gridCol w:w="652"/>
        <w:gridCol w:w="652"/>
        <w:gridCol w:w="652"/>
        <w:gridCol w:w="652"/>
        <w:gridCol w:w="652"/>
        <w:gridCol w:w="652"/>
      </w:tblGrid>
      <w:tr>
        <w:trPr>
          <w:trHeight w:val="345"/>
        </w:trPr>
        <w:tc>
          <w:tcPr>
            <w:tcW w:w="2113" w:type="dxa"/>
            <w:tcBorders>
              <w:top w:val="nil"/>
              <w:left w:val="single" w:sz="4" w:space="0" w:color="7BA0CD"/>
              <w:bottom w:val="single" w:sz="4" w:space="0" w:color="7BA0CD"/>
              <w:right w:val="nil"/>
            </w:tcBorders>
            <w:shd w:val="clear" w:color="000000" w:fill="4F8EBD"/>
            <w:noWrap/>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Държава членка</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NO</w:t>
            </w:r>
            <w:r>
              <w:rPr>
                <w:rFonts w:ascii="Times New Roman" w:hAnsi="Times New Roman"/>
                <w:b/>
                <w:bCs/>
                <w:noProof/>
                <w:color w:val="FFFFFF"/>
                <w:sz w:val="20"/>
                <w:szCs w:val="20"/>
                <w:vertAlign w:val="subscript"/>
              </w:rPr>
              <w:t>x</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НМЛОС</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SO</w:t>
            </w:r>
            <w:r>
              <w:rPr>
                <w:rFonts w:ascii="Times New Roman" w:hAnsi="Times New Roman"/>
                <w:b/>
                <w:bCs/>
                <w:noProof/>
                <w:color w:val="FFFFFF"/>
                <w:sz w:val="20"/>
                <w:szCs w:val="20"/>
                <w:vertAlign w:val="subscript"/>
              </w:rPr>
              <w:t>2</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NH</w:t>
            </w:r>
            <w:r>
              <w:rPr>
                <w:rFonts w:ascii="Times New Roman" w:hAnsi="Times New Roman"/>
                <w:b/>
                <w:bCs/>
                <w:noProof/>
                <w:color w:val="FFFFFF"/>
                <w:sz w:val="20"/>
                <w:szCs w:val="20"/>
                <w:vertAlign w:val="subscript"/>
              </w:rPr>
              <w:t>3</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PM</w:t>
            </w:r>
            <w:r>
              <w:rPr>
                <w:rFonts w:ascii="Times New Roman" w:hAnsi="Times New Roman"/>
                <w:b/>
                <w:bCs/>
                <w:noProof/>
                <w:color w:val="FFFFFF"/>
                <w:sz w:val="20"/>
                <w:szCs w:val="20"/>
                <w:vertAlign w:val="subscript"/>
              </w:rPr>
              <w:t>2,5</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single" w:sz="4" w:space="0" w:color="7BA0CD"/>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Австрия</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Белгия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България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Хърватия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Кипър</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Чехия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Дания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Естония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Финландия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Франция</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Германия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Гърция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Унгария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Ирландия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Италия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Латвия</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Литва</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Люксембург</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Малта</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Нидерландия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Полша</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Португалия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Румъния</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Словакия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Словения</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Испания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Швеция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noProof/>
                <w:color w:val="000000"/>
              </w:rPr>
            </w:pPr>
            <w:r>
              <w:rPr>
                <w:rFonts w:ascii="Wingdings" w:hAnsi="Wingdings"/>
                <w:noProof/>
                <w:color w:val="000000"/>
              </w:rPr>
              <w:t></w:t>
            </w:r>
          </w:p>
        </w:tc>
      </w:tr>
      <w:tr>
        <w:trPr>
          <w:trHeight w:val="345"/>
        </w:trPr>
        <w:tc>
          <w:tcPr>
            <w:tcW w:w="2113"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Обединено кралство</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right"/>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rPr>
                <w:rFonts w:ascii="Wingdings" w:eastAsia="Times New Roman" w:hAnsi="Wingdings" w:cs="Calibri"/>
                <w:noProof/>
                <w:color w:val="C00000"/>
              </w:rPr>
            </w:pPr>
            <w:r>
              <w:rPr>
                <w:rFonts w:ascii="Wingdings" w:hAnsi="Wingdings"/>
                <w:noProof/>
                <w:color w:val="C00000"/>
              </w:rPr>
              <w:t></w:t>
            </w:r>
          </w:p>
        </w:tc>
      </w:tr>
      <w:tr>
        <w:trPr>
          <w:trHeight w:val="345"/>
        </w:trPr>
        <w:tc>
          <w:tcPr>
            <w:tcW w:w="2113" w:type="dxa"/>
            <w:tcBorders>
              <w:top w:val="single" w:sz="4" w:space="0" w:color="7BA0CD"/>
              <w:left w:val="single" w:sz="4" w:space="0" w:color="7BA0CD"/>
              <w:bottom w:val="single" w:sz="4" w:space="0" w:color="7BA0CD"/>
              <w:right w:val="single" w:sz="4" w:space="0" w:color="7BA0CD"/>
            </w:tcBorders>
            <w:shd w:val="clear" w:color="000000" w:fill="FFFFFF"/>
            <w:noWrap/>
            <w:vAlign w:val="center"/>
            <w:hideMark/>
          </w:tcPr>
          <w:p>
            <w:pPr>
              <w:spacing w:after="0" w:line="240" w:lineRule="auto"/>
              <w:rPr>
                <w:rFonts w:ascii="Wingdings" w:eastAsia="Times New Roman" w:hAnsi="Wingdings" w:cs="Calibri"/>
                <w:b/>
                <w:bCs/>
                <w:noProof/>
                <w:color w:val="000000"/>
              </w:rPr>
            </w:pPr>
            <w:r>
              <w:rPr>
                <w:rFonts w:ascii="Wingdings" w:hAnsi="Wingdings"/>
                <w:b/>
                <w:bC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22</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10</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21</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27</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18</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16</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9</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13</w:t>
            </w:r>
          </w:p>
        </w:tc>
      </w:tr>
      <w:tr>
        <w:trPr>
          <w:trHeight w:val="345"/>
        </w:trPr>
        <w:tc>
          <w:tcPr>
            <w:tcW w:w="2113"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Wingdings" w:eastAsia="Times New Roman" w:hAnsi="Wingdings" w:cs="Calibri"/>
                <w:b/>
                <w:bCs/>
                <w:noProof/>
                <w:color w:val="000000"/>
              </w:rPr>
            </w:pPr>
            <w:r>
              <w:rPr>
                <w:rFonts w:ascii="Wingdings" w:hAnsi="Wingdings"/>
                <w:b/>
                <w:bCs/>
                <w:noProof/>
                <w:color w:val="000000"/>
              </w:rPr>
              <w:t></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6</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18</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7</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10</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12</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19</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15</w:t>
            </w:r>
          </w:p>
        </w:tc>
      </w:tr>
    </w:tbl>
    <w:p>
      <w:pPr>
        <w:ind w:left="-142" w:right="-991"/>
        <w:jc w:val="both"/>
        <w:rPr>
          <w:rFonts w:ascii="Times New Roman" w:hAnsi="Times New Roman" w:cs="Times New Roman"/>
          <w:b/>
          <w:noProof/>
          <w:sz w:val="24"/>
          <w:szCs w:val="24"/>
        </w:rPr>
      </w:pPr>
      <w:r>
        <w:rPr>
          <w:rFonts w:ascii="Times New Roman" w:hAnsi="Times New Roman"/>
          <w:noProof/>
          <w:sz w:val="18"/>
          <w:szCs w:val="18"/>
        </w:rPr>
        <w:t xml:space="preserve">Източник: </w:t>
      </w:r>
      <w:hyperlink r:id="rId16" w:history="1">
        <w:r>
          <w:rPr>
            <w:rStyle w:val="Hyperlink"/>
            <w:rFonts w:ascii="Times New Roman" w:hAnsi="Times New Roman"/>
            <w:noProof/>
            <w:sz w:val="18"/>
            <w:szCs w:val="18"/>
          </w:rPr>
          <w:t>https://www.eea.europa.eu/themes/air/air-pollution-sources-1/national-emission-ceilings/nec-directive-reporting-status-2019</w:t>
        </w:r>
      </w:hyperlink>
      <w:r>
        <w:rPr>
          <w:rStyle w:val="Hyperlink"/>
          <w:rFonts w:ascii="Times New Roman" w:hAnsi="Times New Roman"/>
          <w:noProof/>
          <w:sz w:val="18"/>
          <w:szCs w:val="18"/>
        </w:rPr>
        <w:t xml:space="preserve"> </w:t>
      </w:r>
      <w:r>
        <w:rPr>
          <w:rFonts w:ascii="Times New Roman" w:hAnsi="Times New Roman"/>
          <w:noProof/>
          <w:sz w:val="18"/>
          <w:szCs w:val="18"/>
        </w:rPr>
        <w:t>със съответните актуализации от прегледа на прогнозите. Тук се взема предвид късното или повторното представяне на доклади по съответните задължения за докладване от държавите членки и прогнозите са сравнени със съответните версии за инвентаризации на емисиите.</w:t>
      </w:r>
      <w:r>
        <w:rPr>
          <w:rFonts w:ascii="Times New Roman" w:hAnsi="Times New Roman"/>
          <w:noProof/>
        </w:rPr>
        <w:br w:type="page"/>
      </w:r>
    </w:p>
    <w:p>
      <w:pPr>
        <w:jc w:val="center"/>
        <w:rPr>
          <w:rFonts w:ascii="Times New Roman" w:hAnsi="Times New Roman" w:cs="Times New Roman"/>
          <w:b/>
          <w:noProof/>
          <w:sz w:val="24"/>
          <w:szCs w:val="24"/>
          <w:u w:val="single"/>
        </w:rPr>
      </w:pPr>
      <w:r>
        <w:rPr>
          <w:rFonts w:ascii="Times New Roman" w:hAnsi="Times New Roman"/>
          <w:b/>
          <w:noProof/>
          <w:sz w:val="24"/>
          <w:szCs w:val="24"/>
          <w:u w:val="single"/>
        </w:rPr>
        <w:t>ПРИЛОЖЕНИЕ 2</w:t>
      </w:r>
    </w:p>
    <w:p>
      <w:pPr>
        <w:jc w:val="center"/>
        <w:rPr>
          <w:rFonts w:ascii="Times New Roman" w:hAnsi="Times New Roman" w:cs="Times New Roman"/>
          <w:b/>
          <w:noProof/>
          <w:sz w:val="24"/>
          <w:szCs w:val="24"/>
        </w:rPr>
      </w:pPr>
      <w:r>
        <w:rPr>
          <w:rFonts w:ascii="Times New Roman" w:hAnsi="Times New Roman"/>
          <w:b/>
          <w:noProof/>
          <w:sz w:val="24"/>
          <w:szCs w:val="24"/>
        </w:rPr>
        <w:t>Прогнозирано спазване, докладвано от държавите членки през 2019 година съгласно допълнителните политики и мерки (сценарий „при взети допълнителни мерки“) спрямо задълженията за намаляване на емисиите за периода 2020—2029 година и от 2030 година нататък</w:t>
      </w:r>
    </w:p>
    <w:tbl>
      <w:tblPr>
        <w:tblW w:w="7921" w:type="dxa"/>
        <w:tblLook w:val="04A0" w:firstRow="1" w:lastRow="0" w:firstColumn="1" w:lastColumn="0" w:noHBand="0" w:noVBand="1"/>
      </w:tblPr>
      <w:tblGrid>
        <w:gridCol w:w="1800"/>
        <w:gridCol w:w="649"/>
        <w:gridCol w:w="649"/>
        <w:gridCol w:w="649"/>
        <w:gridCol w:w="650"/>
        <w:gridCol w:w="650"/>
        <w:gridCol w:w="650"/>
        <w:gridCol w:w="650"/>
        <w:gridCol w:w="650"/>
        <w:gridCol w:w="650"/>
        <w:gridCol w:w="650"/>
      </w:tblGrid>
      <w:tr>
        <w:trPr>
          <w:trHeight w:val="345"/>
        </w:trPr>
        <w:tc>
          <w:tcPr>
            <w:tcW w:w="2161" w:type="dxa"/>
            <w:tcBorders>
              <w:top w:val="nil"/>
              <w:left w:val="single" w:sz="4" w:space="0" w:color="7BA0CD"/>
              <w:bottom w:val="single" w:sz="4" w:space="0" w:color="7BA0CD"/>
              <w:right w:val="nil"/>
            </w:tcBorders>
            <w:shd w:val="clear" w:color="000000" w:fill="4F8EBD"/>
            <w:noWrap/>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Държава членка</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NO</w:t>
            </w:r>
            <w:r>
              <w:rPr>
                <w:rFonts w:ascii="Times New Roman" w:hAnsi="Times New Roman"/>
                <w:b/>
                <w:bCs/>
                <w:noProof/>
                <w:color w:val="FFFFFF"/>
                <w:sz w:val="20"/>
                <w:szCs w:val="20"/>
                <w:vertAlign w:val="subscript"/>
              </w:rPr>
              <w:t>x</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НМЛОС</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SO</w:t>
            </w:r>
            <w:r>
              <w:rPr>
                <w:rFonts w:ascii="Times New Roman" w:hAnsi="Times New Roman"/>
                <w:b/>
                <w:bCs/>
                <w:noProof/>
                <w:color w:val="FFFFFF"/>
                <w:sz w:val="20"/>
                <w:szCs w:val="20"/>
                <w:vertAlign w:val="subscript"/>
              </w:rPr>
              <w:t>2</w:t>
            </w:r>
          </w:p>
        </w:tc>
        <w:tc>
          <w:tcPr>
            <w:tcW w:w="1152" w:type="dxa"/>
            <w:gridSpan w:val="2"/>
            <w:tcBorders>
              <w:top w:val="single" w:sz="4" w:space="0" w:color="7BA0CD"/>
              <w:left w:val="nil"/>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NH</w:t>
            </w:r>
            <w:r>
              <w:rPr>
                <w:rFonts w:ascii="Times New Roman" w:hAnsi="Times New Roman"/>
                <w:b/>
                <w:bCs/>
                <w:noProof/>
                <w:color w:val="FFFFFF"/>
                <w:sz w:val="20"/>
                <w:szCs w:val="20"/>
                <w:vertAlign w:val="subscript"/>
              </w:rPr>
              <w:t>3</w:t>
            </w:r>
          </w:p>
        </w:tc>
        <w:tc>
          <w:tcPr>
            <w:tcW w:w="1152" w:type="dxa"/>
            <w:gridSpan w:val="2"/>
            <w:tcBorders>
              <w:top w:val="single" w:sz="4" w:space="0" w:color="7BA0CD"/>
              <w:left w:val="single" w:sz="4" w:space="0" w:color="7BA0CD"/>
              <w:bottom w:val="single" w:sz="4" w:space="0" w:color="7BA0CD"/>
              <w:right w:val="single" w:sz="4" w:space="0" w:color="7BA0CD"/>
            </w:tcBorders>
            <w:shd w:val="clear" w:color="000000" w:fill="4F8EBD"/>
            <w:noWrap/>
            <w:vAlign w:val="center"/>
            <w:hideMark/>
          </w:tcPr>
          <w:p>
            <w:pPr>
              <w:spacing w:after="0" w:line="240" w:lineRule="auto"/>
              <w:jc w:val="center"/>
              <w:rPr>
                <w:rFonts w:ascii="Times New Roman" w:eastAsia="Times New Roman" w:hAnsi="Times New Roman" w:cs="Times New Roman"/>
                <w:b/>
                <w:bCs/>
                <w:noProof/>
                <w:color w:val="FFFFFF"/>
                <w:sz w:val="20"/>
                <w:szCs w:val="20"/>
              </w:rPr>
            </w:pPr>
            <w:r>
              <w:rPr>
                <w:rFonts w:ascii="Times New Roman" w:hAnsi="Times New Roman"/>
                <w:b/>
                <w:bCs/>
                <w:noProof/>
                <w:color w:val="FFFFFF"/>
                <w:sz w:val="20"/>
                <w:szCs w:val="20"/>
              </w:rPr>
              <w:t>PM</w:t>
            </w:r>
            <w:r>
              <w:rPr>
                <w:rFonts w:ascii="Times New Roman" w:hAnsi="Times New Roman"/>
                <w:b/>
                <w:bCs/>
                <w:noProof/>
                <w:color w:val="FFFFFF"/>
                <w:sz w:val="20"/>
                <w:szCs w:val="20"/>
                <w:vertAlign w:val="subscript"/>
              </w:rPr>
              <w:t>2,5</w:t>
            </w:r>
          </w:p>
        </w:tc>
      </w:tr>
      <w:tr>
        <w:trPr>
          <w:trHeight w:val="345"/>
        </w:trPr>
        <w:tc>
          <w:tcPr>
            <w:tcW w:w="2161" w:type="dxa"/>
            <w:tcBorders>
              <w:top w:val="nil"/>
              <w:left w:val="single" w:sz="4" w:space="0" w:color="7BA0CD"/>
              <w:bottom w:val="nil"/>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xml:space="preserve"> </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c>
          <w:tcPr>
            <w:tcW w:w="576" w:type="dxa"/>
            <w:tcBorders>
              <w:top w:val="nil"/>
              <w:left w:val="single" w:sz="4" w:space="0" w:color="7BA0CD"/>
              <w:bottom w:val="nil"/>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2020 г.</w:t>
            </w:r>
          </w:p>
        </w:tc>
        <w:tc>
          <w:tcPr>
            <w:tcW w:w="576" w:type="dxa"/>
            <w:tcBorders>
              <w:top w:val="nil"/>
              <w:left w:val="nil"/>
              <w:bottom w:val="nil"/>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2030 г.</w:t>
            </w:r>
          </w:p>
        </w:tc>
      </w:tr>
      <w:tr>
        <w:trPr>
          <w:trHeight w:val="345"/>
        </w:trPr>
        <w:tc>
          <w:tcPr>
            <w:tcW w:w="2161"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Австрия</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Белгия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България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Хърватия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Кипър</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Чехия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Дания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Естония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Финландия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Франция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Германия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Гърция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Унгария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Ирландия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Италия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Латвия</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Литва</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Люксембург</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Малта</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Нидерландия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Полша</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Португалия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Румъния</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single" w:sz="4" w:space="0" w:color="7BA0CD"/>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Словакия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Словения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45"/>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Испания</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single" w:sz="4" w:space="0" w:color="7BA0CD"/>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C00000"/>
              </w:rPr>
            </w:pPr>
            <w:r>
              <w:rPr>
                <w:rFonts w:ascii="Wingdings" w:hAnsi="Wingdings"/>
                <w:noProof/>
                <w:color w:val="C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Wingdings" w:eastAsia="Times New Roman" w:hAnsi="Wingdings" w:cs="Calibri"/>
                <w:noProof/>
                <w:color w:val="000000"/>
              </w:rPr>
            </w:pPr>
            <w:r>
              <w:rPr>
                <w:rFonts w:ascii="Wingdings" w:hAnsi="Wingdings"/>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Швеция</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Обединено кралство</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color w:val="000000"/>
              </w:rPr>
              <w:t>-</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Wingdings" w:eastAsia="Times New Roman" w:hAnsi="Wingdings" w:cs="Calibri"/>
                <w:b/>
                <w:bCs/>
                <w:noProof/>
                <w:color w:val="000000"/>
                <w:sz w:val="20"/>
                <w:szCs w:val="20"/>
              </w:rPr>
            </w:pPr>
            <w:r>
              <w:rPr>
                <w:rFonts w:ascii="Wingdings" w:hAnsi="Wingdings"/>
                <w:b/>
                <w:bCs/>
                <w:noProof/>
                <w:color w:val="000000"/>
                <w:sz w:val="20"/>
                <w:szCs w:val="20"/>
              </w:rPr>
              <w:t></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13</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13</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17</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15</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12</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12</w:t>
            </w:r>
          </w:p>
        </w:tc>
        <w:tc>
          <w:tcPr>
            <w:tcW w:w="576" w:type="dxa"/>
            <w:tcBorders>
              <w:top w:val="nil"/>
              <w:left w:val="nil"/>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15</w:t>
            </w:r>
          </w:p>
        </w:tc>
        <w:tc>
          <w:tcPr>
            <w:tcW w:w="576" w:type="dxa"/>
            <w:tcBorders>
              <w:top w:val="nil"/>
              <w:left w:val="nil"/>
              <w:bottom w:val="single" w:sz="4" w:space="0" w:color="7BA0CD"/>
              <w:right w:val="single" w:sz="4" w:space="0" w:color="7BA0CD"/>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14</w:t>
            </w:r>
          </w:p>
        </w:tc>
      </w:tr>
      <w:tr>
        <w:trPr>
          <w:trHeight w:val="300"/>
        </w:trPr>
        <w:tc>
          <w:tcPr>
            <w:tcW w:w="2161"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rPr>
                <w:rFonts w:ascii="Wingdings" w:eastAsia="Times New Roman" w:hAnsi="Wingdings" w:cs="Calibri"/>
                <w:b/>
                <w:bCs/>
                <w:noProof/>
                <w:color w:val="000000"/>
                <w:sz w:val="20"/>
                <w:szCs w:val="20"/>
              </w:rPr>
            </w:pPr>
            <w:r>
              <w:rPr>
                <w:rFonts w:ascii="Wingdings" w:hAnsi="Wingdings"/>
                <w:b/>
                <w:bCs/>
                <w:noProof/>
                <w:color w:val="000000"/>
                <w:sz w:val="20"/>
                <w:szCs w:val="20"/>
              </w:rPr>
              <w:t></w:t>
            </w:r>
          </w:p>
        </w:tc>
        <w:tc>
          <w:tcPr>
            <w:tcW w:w="576" w:type="dxa"/>
            <w:tcBorders>
              <w:top w:val="nil"/>
              <w:left w:val="single" w:sz="4" w:space="0" w:color="7BA0CD"/>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4</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4</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w:t>
            </w:r>
          </w:p>
        </w:tc>
        <w:tc>
          <w:tcPr>
            <w:tcW w:w="576" w:type="dxa"/>
            <w:tcBorders>
              <w:top w:val="nil"/>
              <w:left w:val="nil"/>
              <w:bottom w:val="single" w:sz="4" w:space="0" w:color="7BA0CD"/>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w:t>
            </w:r>
          </w:p>
        </w:tc>
        <w:tc>
          <w:tcPr>
            <w:tcW w:w="576" w:type="dxa"/>
            <w:tcBorders>
              <w:top w:val="nil"/>
              <w:left w:val="nil"/>
              <w:bottom w:val="single" w:sz="4" w:space="0" w:color="7BA0CD"/>
              <w:right w:val="single" w:sz="4" w:space="0" w:color="7BA0CD"/>
            </w:tcBorders>
            <w:shd w:val="clear" w:color="000000" w:fill="FFFFFF"/>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w:t>
            </w:r>
          </w:p>
        </w:tc>
      </w:tr>
      <w:tr>
        <w:trPr>
          <w:trHeight w:val="300"/>
        </w:trPr>
        <w:tc>
          <w:tcPr>
            <w:tcW w:w="2161"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Не е докладван сценарий „при взети допълнителни мерки“</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c>
          <w:tcPr>
            <w:tcW w:w="576" w:type="dxa"/>
            <w:tcBorders>
              <w:top w:val="nil"/>
              <w:left w:val="single" w:sz="4" w:space="0" w:color="7BA0CD"/>
              <w:bottom w:val="single" w:sz="4" w:space="0" w:color="7BA0CD"/>
              <w:right w:val="nil"/>
            </w:tcBorders>
            <w:shd w:val="clear" w:color="000000" w:fill="D3DFEE"/>
            <w:noWrap/>
            <w:vAlign w:val="center"/>
            <w:hideMark/>
          </w:tcPr>
          <w:p>
            <w:pPr>
              <w:spacing w:after="0" w:line="240" w:lineRule="auto"/>
              <w:jc w:val="cente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11</w:t>
            </w:r>
          </w:p>
        </w:tc>
      </w:tr>
    </w:tbl>
    <w:p>
      <w:pPr>
        <w:spacing w:after="0" w:line="240" w:lineRule="auto"/>
        <w:jc w:val="both"/>
        <w:rPr>
          <w:rFonts w:ascii="Times New Roman" w:hAnsi="Times New Roman" w:cs="Times New Roman"/>
          <w:noProof/>
          <w:sz w:val="20"/>
          <w:szCs w:val="20"/>
        </w:rPr>
      </w:pPr>
      <w:r>
        <w:rPr>
          <w:rFonts w:ascii="Times New Roman" w:hAnsi="Times New Roman"/>
          <w:noProof/>
          <w:sz w:val="20"/>
          <w:szCs w:val="20"/>
        </w:rPr>
        <w:t xml:space="preserve">Източник: Обобщение на ЕАОС въз основа на представянето на информация от държавите членки през 2019 г. съгласно член 10, параграф 2 от Директива (ЕС) 2016/2284 и последващия преглед на предоставените данни. Държавите членки, за които в таблицата не е посочена информация, не са докладвали сценарий „при взети допълнителни мерки“. </w:t>
      </w:r>
    </w:p>
    <w:p>
      <w:pPr>
        <w:rPr>
          <w:rFonts w:ascii="Times New Roman" w:hAnsi="Times New Roman" w:cs="Times New Roman"/>
          <w:b/>
          <w:noProof/>
          <w:sz w:val="24"/>
          <w:szCs w:val="24"/>
        </w:rPr>
      </w:pPr>
      <w:r>
        <w:rPr>
          <w:noProof/>
        </w:rPr>
        <w:br w:type="page"/>
      </w:r>
    </w:p>
    <w:p>
      <w:pPr>
        <w:spacing w:after="0" w:line="240" w:lineRule="auto"/>
        <w:ind w:right="-424"/>
        <w:jc w:val="center"/>
        <w:rPr>
          <w:rFonts w:ascii="Times New Roman" w:hAnsi="Times New Roman" w:cs="Times New Roman"/>
          <w:b/>
          <w:noProof/>
          <w:sz w:val="24"/>
          <w:szCs w:val="24"/>
          <w:u w:val="single"/>
        </w:rPr>
      </w:pPr>
      <w:r>
        <w:rPr>
          <w:rFonts w:ascii="Times New Roman" w:hAnsi="Times New Roman"/>
          <w:b/>
          <w:noProof/>
          <w:sz w:val="24"/>
          <w:szCs w:val="24"/>
          <w:u w:val="single"/>
        </w:rPr>
        <w:t>ПРИЛОЖЕНИЕ 3</w:t>
      </w:r>
    </w:p>
    <w:p>
      <w:pPr>
        <w:spacing w:after="0" w:line="240" w:lineRule="auto"/>
        <w:ind w:right="-424"/>
        <w:jc w:val="center"/>
        <w:rPr>
          <w:rFonts w:ascii="Times New Roman" w:hAnsi="Times New Roman" w:cs="Times New Roman"/>
          <w:b/>
          <w:noProof/>
          <w:sz w:val="24"/>
          <w:szCs w:val="24"/>
          <w:u w:val="single"/>
          <w:lang w:val="ru-RU"/>
        </w:rPr>
      </w:pPr>
    </w:p>
    <w:p>
      <w:pPr>
        <w:spacing w:after="0" w:line="240" w:lineRule="auto"/>
        <w:ind w:right="-424"/>
        <w:jc w:val="center"/>
        <w:rPr>
          <w:rFonts w:ascii="Times New Roman" w:hAnsi="Times New Roman" w:cs="Times New Roman"/>
          <w:b/>
          <w:noProof/>
          <w:sz w:val="24"/>
          <w:szCs w:val="24"/>
        </w:rPr>
      </w:pPr>
      <w:r>
        <w:rPr>
          <w:rFonts w:ascii="Times New Roman" w:hAnsi="Times New Roman"/>
          <w:b/>
          <w:noProof/>
          <w:sz w:val="24"/>
          <w:szCs w:val="24"/>
        </w:rPr>
        <w:t>Оценка на риска от неспазване на задълженията за намаляване на емисиите</w:t>
      </w:r>
    </w:p>
    <w:p>
      <w:pPr>
        <w:spacing w:after="0" w:line="240" w:lineRule="auto"/>
        <w:rPr>
          <w:rFonts w:ascii="Times New Roman" w:hAnsi="Times New Roman" w:cs="Times New Roman"/>
          <w:noProof/>
          <w:sz w:val="24"/>
          <w:szCs w:val="24"/>
          <w:lang w:val="ru-RU"/>
        </w:rPr>
      </w:pP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43"/>
        <w:gridCol w:w="709"/>
        <w:gridCol w:w="567"/>
        <w:gridCol w:w="851"/>
        <w:gridCol w:w="663"/>
        <w:gridCol w:w="709"/>
        <w:gridCol w:w="567"/>
        <w:gridCol w:w="567"/>
        <w:gridCol w:w="851"/>
        <w:gridCol w:w="663"/>
        <w:gridCol w:w="708"/>
      </w:tblGrid>
      <w:tr>
        <w:trPr>
          <w:trHeight w:hRule="exact" w:val="284"/>
        </w:trPr>
        <w:tc>
          <w:tcPr>
            <w:tcW w:w="1843" w:type="dxa"/>
            <w:tcBorders>
              <w:top w:val="nil"/>
              <w:left w:val="nil"/>
              <w:bottom w:val="nil"/>
              <w:right w:val="double" w:sz="18" w:space="0" w:color="auto"/>
            </w:tcBorders>
            <w:shd w:val="clear" w:color="auto" w:fill="auto"/>
            <w:vAlign w:val="center"/>
            <w:hideMark/>
          </w:tcPr>
          <w:p>
            <w:pPr>
              <w:spacing w:after="0"/>
              <w:jc w:val="center"/>
              <w:rPr>
                <w:noProof/>
                <w:sz w:val="18"/>
                <w:szCs w:val="18"/>
                <w:lang w:val="ru-RU" w:eastAsia="en-GB"/>
              </w:rPr>
            </w:pPr>
          </w:p>
        </w:tc>
        <w:tc>
          <w:tcPr>
            <w:tcW w:w="3499" w:type="dxa"/>
            <w:gridSpan w:val="5"/>
            <w:tcBorders>
              <w:left w:val="double" w:sz="18" w:space="0" w:color="auto"/>
              <w:right w:val="double" w:sz="18" w:space="0" w:color="auto"/>
            </w:tcBorders>
            <w:shd w:val="clear" w:color="auto" w:fill="auto"/>
            <w:vAlign w:val="center"/>
            <w:hideMark/>
          </w:tcPr>
          <w:p>
            <w:pPr>
              <w:jc w:val="center"/>
              <w:rPr>
                <w:rFonts w:cs="Arial"/>
                <w:b/>
                <w:noProof/>
                <w:color w:val="000000"/>
                <w:sz w:val="18"/>
                <w:szCs w:val="18"/>
              </w:rPr>
            </w:pPr>
            <w:r>
              <w:rPr>
                <w:b/>
                <w:noProof/>
                <w:color w:val="000000"/>
                <w:sz w:val="18"/>
                <w:szCs w:val="18"/>
              </w:rPr>
              <w:t>2020—2029 г.</w:t>
            </w:r>
          </w:p>
        </w:tc>
        <w:tc>
          <w:tcPr>
            <w:tcW w:w="3356" w:type="dxa"/>
            <w:gridSpan w:val="5"/>
            <w:tcBorders>
              <w:left w:val="double" w:sz="18" w:space="0" w:color="auto"/>
            </w:tcBorders>
            <w:shd w:val="clear" w:color="auto" w:fill="auto"/>
            <w:noWrap/>
            <w:vAlign w:val="center"/>
            <w:hideMark/>
          </w:tcPr>
          <w:p>
            <w:pPr>
              <w:jc w:val="center"/>
              <w:rPr>
                <w:rFonts w:cs="Arial"/>
                <w:b/>
                <w:noProof/>
                <w:color w:val="000000"/>
                <w:sz w:val="18"/>
                <w:szCs w:val="18"/>
              </w:rPr>
            </w:pPr>
            <w:r>
              <w:rPr>
                <w:b/>
                <w:noProof/>
                <w:color w:val="000000"/>
                <w:sz w:val="18"/>
                <w:szCs w:val="18"/>
              </w:rPr>
              <w:t>2030 г. и нататък</w:t>
            </w:r>
          </w:p>
        </w:tc>
      </w:tr>
      <w:tr>
        <w:trPr>
          <w:trHeight w:hRule="exact" w:val="319"/>
        </w:trPr>
        <w:tc>
          <w:tcPr>
            <w:tcW w:w="1843" w:type="dxa"/>
            <w:tcBorders>
              <w:top w:val="nil"/>
              <w:left w:val="nil"/>
              <w:bottom w:val="double" w:sz="18" w:space="0" w:color="auto"/>
              <w:right w:val="double" w:sz="18" w:space="0" w:color="auto"/>
            </w:tcBorders>
            <w:shd w:val="clear" w:color="auto" w:fill="auto"/>
            <w:noWrap/>
            <w:vAlign w:val="center"/>
            <w:hideMark/>
          </w:tcPr>
          <w:p>
            <w:pPr>
              <w:jc w:val="center"/>
              <w:rPr>
                <w:rFonts w:cs="Arial"/>
                <w:noProof/>
                <w:color w:val="000000"/>
                <w:sz w:val="18"/>
                <w:szCs w:val="18"/>
              </w:rPr>
            </w:pPr>
          </w:p>
        </w:tc>
        <w:tc>
          <w:tcPr>
            <w:tcW w:w="709" w:type="dxa"/>
            <w:tcBorders>
              <w:left w:val="double" w:sz="18" w:space="0" w:color="auto"/>
              <w:bottom w:val="double" w:sz="18" w:space="0" w:color="auto"/>
            </w:tcBorders>
            <w:shd w:val="clear" w:color="000000" w:fill="FFFFFF"/>
            <w:vAlign w:val="center"/>
            <w:hideMark/>
          </w:tcPr>
          <w:p>
            <w:pPr>
              <w:jc w:val="center"/>
              <w:rPr>
                <w:rFonts w:cs="Arial"/>
                <w:b/>
                <w:noProof/>
                <w:sz w:val="16"/>
                <w:szCs w:val="16"/>
              </w:rPr>
            </w:pPr>
            <w:r>
              <w:rPr>
                <w:b/>
                <w:noProof/>
                <w:sz w:val="16"/>
                <w:szCs w:val="16"/>
              </w:rPr>
              <w:t>SO</w:t>
            </w:r>
            <w:r>
              <w:rPr>
                <w:b/>
                <w:noProof/>
                <w:sz w:val="16"/>
                <w:szCs w:val="16"/>
                <w:vertAlign w:val="subscript"/>
              </w:rPr>
              <w:t>2</w:t>
            </w:r>
          </w:p>
        </w:tc>
        <w:tc>
          <w:tcPr>
            <w:tcW w:w="567"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NOx</w:t>
            </w:r>
          </w:p>
        </w:tc>
        <w:tc>
          <w:tcPr>
            <w:tcW w:w="851"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НМЛОС</w:t>
            </w:r>
          </w:p>
        </w:tc>
        <w:tc>
          <w:tcPr>
            <w:tcW w:w="663"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NH</w:t>
            </w:r>
            <w:r>
              <w:rPr>
                <w:b/>
                <w:noProof/>
                <w:sz w:val="16"/>
                <w:szCs w:val="16"/>
                <w:vertAlign w:val="subscript"/>
              </w:rPr>
              <w:t>3</w:t>
            </w:r>
          </w:p>
        </w:tc>
        <w:tc>
          <w:tcPr>
            <w:tcW w:w="709" w:type="dxa"/>
            <w:tcBorders>
              <w:bottom w:val="double" w:sz="18" w:space="0" w:color="auto"/>
              <w:right w:val="double" w:sz="18" w:space="0" w:color="auto"/>
            </w:tcBorders>
            <w:shd w:val="clear" w:color="000000" w:fill="FFFFFF"/>
            <w:vAlign w:val="center"/>
            <w:hideMark/>
          </w:tcPr>
          <w:p>
            <w:pPr>
              <w:jc w:val="center"/>
              <w:rPr>
                <w:rFonts w:cs="Arial"/>
                <w:b/>
                <w:noProof/>
                <w:sz w:val="16"/>
                <w:szCs w:val="16"/>
              </w:rPr>
            </w:pPr>
            <w:r>
              <w:rPr>
                <w:b/>
                <w:noProof/>
                <w:sz w:val="16"/>
                <w:szCs w:val="16"/>
              </w:rPr>
              <w:t>PM</w:t>
            </w:r>
            <w:r>
              <w:rPr>
                <w:b/>
                <w:noProof/>
                <w:sz w:val="16"/>
                <w:szCs w:val="16"/>
                <w:vertAlign w:val="subscript"/>
              </w:rPr>
              <w:t>2,5</w:t>
            </w:r>
          </w:p>
        </w:tc>
        <w:tc>
          <w:tcPr>
            <w:tcW w:w="567" w:type="dxa"/>
            <w:tcBorders>
              <w:left w:val="double" w:sz="18" w:space="0" w:color="auto"/>
              <w:bottom w:val="double" w:sz="18" w:space="0" w:color="auto"/>
            </w:tcBorders>
            <w:shd w:val="clear" w:color="000000" w:fill="FFFFFF"/>
            <w:vAlign w:val="center"/>
            <w:hideMark/>
          </w:tcPr>
          <w:p>
            <w:pPr>
              <w:jc w:val="center"/>
              <w:rPr>
                <w:rFonts w:cs="Arial"/>
                <w:b/>
                <w:noProof/>
                <w:sz w:val="16"/>
                <w:szCs w:val="16"/>
              </w:rPr>
            </w:pPr>
            <w:r>
              <w:rPr>
                <w:b/>
                <w:noProof/>
                <w:sz w:val="16"/>
                <w:szCs w:val="16"/>
              </w:rPr>
              <w:t>SO</w:t>
            </w:r>
            <w:r>
              <w:rPr>
                <w:b/>
                <w:noProof/>
                <w:sz w:val="16"/>
                <w:szCs w:val="16"/>
                <w:vertAlign w:val="subscript"/>
              </w:rPr>
              <w:t>2</w:t>
            </w:r>
          </w:p>
        </w:tc>
        <w:tc>
          <w:tcPr>
            <w:tcW w:w="567"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NOx</w:t>
            </w:r>
          </w:p>
        </w:tc>
        <w:tc>
          <w:tcPr>
            <w:tcW w:w="851"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НМЛОС</w:t>
            </w:r>
          </w:p>
        </w:tc>
        <w:tc>
          <w:tcPr>
            <w:tcW w:w="663"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NH</w:t>
            </w:r>
            <w:r>
              <w:rPr>
                <w:b/>
                <w:noProof/>
                <w:sz w:val="16"/>
                <w:szCs w:val="16"/>
                <w:vertAlign w:val="subscript"/>
              </w:rPr>
              <w:t>3</w:t>
            </w:r>
          </w:p>
        </w:tc>
        <w:tc>
          <w:tcPr>
            <w:tcW w:w="708" w:type="dxa"/>
            <w:tcBorders>
              <w:bottom w:val="double" w:sz="18" w:space="0" w:color="auto"/>
            </w:tcBorders>
            <w:shd w:val="clear" w:color="000000" w:fill="FFFFFF"/>
            <w:vAlign w:val="center"/>
            <w:hideMark/>
          </w:tcPr>
          <w:p>
            <w:pPr>
              <w:jc w:val="center"/>
              <w:rPr>
                <w:rFonts w:cs="Arial"/>
                <w:b/>
                <w:noProof/>
                <w:sz w:val="16"/>
                <w:szCs w:val="16"/>
              </w:rPr>
            </w:pPr>
            <w:r>
              <w:rPr>
                <w:b/>
                <w:noProof/>
                <w:sz w:val="16"/>
                <w:szCs w:val="16"/>
              </w:rPr>
              <w:t>PM</w:t>
            </w:r>
            <w:r>
              <w:rPr>
                <w:b/>
                <w:noProof/>
                <w:sz w:val="16"/>
                <w:szCs w:val="16"/>
                <w:vertAlign w:val="subscript"/>
              </w:rPr>
              <w:t>2,5</w:t>
            </w:r>
          </w:p>
        </w:tc>
      </w:tr>
      <w:tr>
        <w:trPr>
          <w:trHeight w:hRule="exact" w:val="397"/>
        </w:trPr>
        <w:tc>
          <w:tcPr>
            <w:tcW w:w="1843" w:type="dxa"/>
            <w:tcBorders>
              <w:top w:val="double" w:sz="18" w:space="0" w:color="auto"/>
              <w:right w:val="double" w:sz="18" w:space="0" w:color="auto"/>
            </w:tcBorders>
            <w:shd w:val="clear" w:color="auto" w:fill="auto"/>
            <w:vAlign w:val="center"/>
          </w:tcPr>
          <w:p>
            <w:pPr>
              <w:rPr>
                <w:rFonts w:cs="Arial"/>
                <w:noProof/>
                <w:color w:val="000000"/>
                <w:sz w:val="18"/>
                <w:szCs w:val="18"/>
              </w:rPr>
            </w:pPr>
            <w:r>
              <w:rPr>
                <w:noProof/>
                <w:color w:val="000000"/>
                <w:szCs w:val="20"/>
              </w:rPr>
              <w:t>Австрия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Белгия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auto" w:fill="FFEB9C"/>
            <w:vAlign w:val="bottom"/>
          </w:tcPr>
          <w:p>
            <w:pPr>
              <w:jc w:val="center"/>
              <w:rPr>
                <w:rFonts w:cs="Arial"/>
                <w:noProof/>
                <w:sz w:val="18"/>
                <w:szCs w:val="18"/>
              </w:rPr>
            </w:pPr>
            <w:r>
              <w:rPr>
                <w:noProof/>
                <w:color w:val="9C5700"/>
                <w:szCs w:val="20"/>
              </w:rPr>
              <w:t>С</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България</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color w:val="000000"/>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color w:val="000000"/>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color w:val="000000"/>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color w:val="000000"/>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color w:val="000000"/>
                <w:sz w:val="18"/>
                <w:szCs w:val="18"/>
              </w:rPr>
            </w:pPr>
            <w:r>
              <w:rPr>
                <w:noProof/>
                <w:color w:val="006100"/>
                <w:szCs w:val="20"/>
              </w:rPr>
              <w:t>Н</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Кипър</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auto" w:fill="FFEB9C"/>
            <w:noWrap/>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noProof/>
                <w:color w:val="006100"/>
                <w:szCs w:val="20"/>
              </w:rPr>
              <w:t>Н</w:t>
            </w:r>
          </w:p>
        </w:tc>
        <w:tc>
          <w:tcPr>
            <w:tcW w:w="709" w:type="dxa"/>
            <w:tcBorders>
              <w:top w:val="single" w:sz="4" w:space="0" w:color="auto"/>
              <w:left w:val="single" w:sz="4" w:space="0" w:color="auto"/>
              <w:bottom w:val="single" w:sz="4" w:space="0" w:color="auto"/>
              <w:right w:val="double" w:sz="18" w:space="0" w:color="auto"/>
            </w:tcBorders>
            <w:shd w:val="clear" w:color="auto" w:fill="FFEB9C"/>
            <w:noWrap/>
            <w:vAlign w:val="bottom"/>
          </w:tcPr>
          <w:p>
            <w:pPr>
              <w:jc w:val="center"/>
              <w:rPr>
                <w:rFonts w:cs="Arial"/>
                <w:noProof/>
                <w:sz w:val="18"/>
                <w:szCs w:val="18"/>
              </w:rPr>
            </w:pPr>
            <w:r>
              <w:rPr>
                <w:noProof/>
                <w:color w:val="9C0006"/>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FFEB9C"/>
            <w:noWrap/>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C6EFCE"/>
            <w:noWrap/>
            <w:vAlign w:val="bottom"/>
          </w:tcPr>
          <w:p>
            <w:pPr>
              <w:jc w:val="center"/>
              <w:rPr>
                <w:rFonts w:cs="Arial"/>
                <w:noProof/>
                <w:sz w:val="18"/>
                <w:szCs w:val="18"/>
              </w:rPr>
            </w:pPr>
            <w:r>
              <w:rPr>
                <w:noProof/>
                <w:color w:val="006100"/>
                <w:szCs w:val="20"/>
              </w:rPr>
              <w:t>Н</w:t>
            </w:r>
          </w:p>
        </w:tc>
        <w:tc>
          <w:tcPr>
            <w:tcW w:w="708" w:type="dxa"/>
            <w:tcBorders>
              <w:top w:val="single" w:sz="4" w:space="0" w:color="auto"/>
              <w:left w:val="single" w:sz="4" w:space="0" w:color="auto"/>
              <w:bottom w:val="single" w:sz="4" w:space="0" w:color="auto"/>
              <w:right w:val="single" w:sz="4" w:space="0" w:color="auto"/>
            </w:tcBorders>
            <w:shd w:val="clear" w:color="000000" w:fill="FFC7CE"/>
            <w:noWrap/>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Чехия</w:t>
            </w:r>
          </w:p>
        </w:tc>
        <w:tc>
          <w:tcPr>
            <w:tcW w:w="709" w:type="dxa"/>
            <w:tcBorders>
              <w:top w:val="nil"/>
              <w:left w:val="single" w:sz="4" w:space="0" w:color="auto"/>
              <w:bottom w:val="single" w:sz="4" w:space="0" w:color="auto"/>
              <w:right w:val="single" w:sz="4" w:space="0" w:color="auto"/>
            </w:tcBorders>
            <w:shd w:val="clear" w:color="auto" w:fill="C6EFCE"/>
            <w:vAlign w:val="bottom"/>
          </w:tcPr>
          <w:p>
            <w:pPr>
              <w:jc w:val="center"/>
              <w:rPr>
                <w:rFonts w:cs="Arial"/>
                <w:noProof/>
                <w:color w:val="000000"/>
              </w:rPr>
            </w:pPr>
            <w:r>
              <w:rPr>
                <w:noProof/>
                <w:color w:val="000000"/>
              </w:rPr>
              <w:t>Н</w:t>
            </w:r>
          </w:p>
        </w:tc>
        <w:tc>
          <w:tcPr>
            <w:tcW w:w="567"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851"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709" w:type="dxa"/>
            <w:tcBorders>
              <w:top w:val="nil"/>
              <w:left w:val="nil"/>
              <w:bottom w:val="single" w:sz="4" w:space="0" w:color="auto"/>
              <w:right w:val="double" w:sz="18" w:space="0" w:color="auto"/>
            </w:tcBorders>
            <w:shd w:val="clear" w:color="auto" w:fill="C6EFCE"/>
            <w:vAlign w:val="bottom"/>
          </w:tcPr>
          <w:p>
            <w:pPr>
              <w:jc w:val="center"/>
              <w:rPr>
                <w:rFonts w:cs="Arial"/>
                <w:noProof/>
                <w:color w:val="000000"/>
              </w:rPr>
            </w:pPr>
            <w:r>
              <w:rPr>
                <w:noProof/>
                <w:color w:val="000000"/>
              </w:rPr>
              <w:t>Н</w:t>
            </w:r>
          </w:p>
        </w:tc>
        <w:tc>
          <w:tcPr>
            <w:tcW w:w="567" w:type="dxa"/>
            <w:tcBorders>
              <w:top w:val="nil"/>
              <w:left w:val="double" w:sz="18" w:space="0" w:color="auto"/>
              <w:bottom w:val="single" w:sz="4" w:space="0" w:color="auto"/>
              <w:right w:val="single" w:sz="4" w:space="0" w:color="auto"/>
            </w:tcBorders>
            <w:shd w:val="clear" w:color="auto" w:fill="C6EFCE"/>
            <w:vAlign w:val="bottom"/>
          </w:tcPr>
          <w:p>
            <w:pPr>
              <w:jc w:val="center"/>
              <w:rPr>
                <w:rFonts w:cs="Arial"/>
                <w:noProof/>
                <w:color w:val="000000"/>
              </w:rPr>
            </w:pPr>
            <w:r>
              <w:rPr>
                <w:noProof/>
                <w:color w:val="000000"/>
              </w:rPr>
              <w:t>Н</w:t>
            </w:r>
          </w:p>
        </w:tc>
        <w:tc>
          <w:tcPr>
            <w:tcW w:w="567"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851"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708" w:type="dxa"/>
            <w:tcBorders>
              <w:top w:val="nil"/>
              <w:left w:val="nil"/>
              <w:bottom w:val="single" w:sz="4" w:space="0" w:color="auto"/>
              <w:right w:val="single" w:sz="4" w:space="0" w:color="auto"/>
            </w:tcBorders>
            <w:shd w:val="clear" w:color="auto" w:fill="C6EFCE"/>
            <w:vAlign w:val="bottom"/>
          </w:tcPr>
          <w:p>
            <w:pPr>
              <w:jc w:val="center"/>
              <w:rPr>
                <w:rFonts w:cs="Arial"/>
                <w:noProof/>
                <w:color w:val="000000"/>
              </w:rPr>
            </w:pPr>
            <w:r>
              <w:rPr>
                <w:noProof/>
                <w:color w:val="000000"/>
              </w:rPr>
              <w:t>Н</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Германия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Дания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Естония</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Гърция</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Испания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Финландия</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Франция</w:t>
            </w:r>
          </w:p>
        </w:tc>
        <w:tc>
          <w:tcPr>
            <w:tcW w:w="709" w:type="dxa"/>
            <w:tcBorders>
              <w:top w:val="nil"/>
              <w:left w:val="single" w:sz="4" w:space="0" w:color="auto"/>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С</w:t>
            </w:r>
          </w:p>
        </w:tc>
        <w:tc>
          <w:tcPr>
            <w:tcW w:w="567"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С</w:t>
            </w:r>
          </w:p>
        </w:tc>
        <w:tc>
          <w:tcPr>
            <w:tcW w:w="851"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С</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709" w:type="dxa"/>
            <w:tcBorders>
              <w:top w:val="nil"/>
              <w:left w:val="nil"/>
              <w:bottom w:val="single" w:sz="4" w:space="0" w:color="auto"/>
              <w:right w:val="double" w:sz="18" w:space="0" w:color="auto"/>
            </w:tcBorders>
            <w:shd w:val="clear" w:color="auto" w:fill="FFEB9C"/>
            <w:vAlign w:val="bottom"/>
          </w:tcPr>
          <w:p>
            <w:pPr>
              <w:jc w:val="center"/>
              <w:rPr>
                <w:rFonts w:cs="Arial"/>
                <w:noProof/>
                <w:color w:val="000000"/>
              </w:rPr>
            </w:pPr>
            <w:r>
              <w:rPr>
                <w:noProof/>
                <w:color w:val="000000"/>
              </w:rPr>
              <w:t>С</w:t>
            </w:r>
          </w:p>
        </w:tc>
        <w:tc>
          <w:tcPr>
            <w:tcW w:w="567" w:type="dxa"/>
            <w:tcBorders>
              <w:top w:val="nil"/>
              <w:left w:val="double" w:sz="18" w:space="0" w:color="auto"/>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С</w:t>
            </w:r>
          </w:p>
        </w:tc>
        <w:tc>
          <w:tcPr>
            <w:tcW w:w="567"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С</w:t>
            </w:r>
          </w:p>
        </w:tc>
        <w:tc>
          <w:tcPr>
            <w:tcW w:w="851" w:type="dxa"/>
            <w:tcBorders>
              <w:top w:val="nil"/>
              <w:left w:val="nil"/>
              <w:bottom w:val="single" w:sz="4" w:space="0" w:color="auto"/>
              <w:right w:val="single" w:sz="4" w:space="0" w:color="auto"/>
            </w:tcBorders>
            <w:shd w:val="clear" w:color="auto" w:fill="FFEB9C"/>
            <w:vAlign w:val="bottom"/>
          </w:tcPr>
          <w:p>
            <w:pPr>
              <w:jc w:val="center"/>
              <w:rPr>
                <w:rFonts w:cs="Arial"/>
                <w:noProof/>
                <w:color w:val="000000"/>
              </w:rPr>
            </w:pPr>
            <w:r>
              <w:rPr>
                <w:noProof/>
                <w:color w:val="000000"/>
              </w:rPr>
              <w:t>С</w:t>
            </w:r>
          </w:p>
        </w:tc>
        <w:tc>
          <w:tcPr>
            <w:tcW w:w="663"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c>
          <w:tcPr>
            <w:tcW w:w="708" w:type="dxa"/>
            <w:tcBorders>
              <w:top w:val="nil"/>
              <w:left w:val="nil"/>
              <w:bottom w:val="single" w:sz="4" w:space="0" w:color="auto"/>
              <w:right w:val="single" w:sz="4" w:space="0" w:color="auto"/>
            </w:tcBorders>
            <w:shd w:val="clear" w:color="auto" w:fill="FFC7CE"/>
            <w:vAlign w:val="bottom"/>
          </w:tcPr>
          <w:p>
            <w:pPr>
              <w:jc w:val="center"/>
              <w:rPr>
                <w:rFonts w:cs="Arial"/>
                <w:noProof/>
                <w:color w:val="000000"/>
              </w:rPr>
            </w:pPr>
            <w:r>
              <w:rPr>
                <w:noProof/>
                <w:color w:val="00000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Хърватия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8"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Унгария</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Ирландия</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noProof/>
              </w:rPr>
              <w:t>Н</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noProof/>
              </w:rPr>
              <w:t>Н</w:t>
            </w:r>
          </w:p>
        </w:tc>
        <w:tc>
          <w:tcPr>
            <w:tcW w:w="851"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В</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В</w:t>
            </w:r>
          </w:p>
        </w:tc>
        <w:tc>
          <w:tcPr>
            <w:tcW w:w="709" w:type="dxa"/>
            <w:tcBorders>
              <w:top w:val="single" w:sz="4" w:space="0" w:color="auto"/>
              <w:left w:val="single" w:sz="4" w:space="0" w:color="auto"/>
              <w:bottom w:val="single" w:sz="4" w:space="0" w:color="auto"/>
              <w:right w:val="double" w:sz="18" w:space="0" w:color="auto"/>
            </w:tcBorders>
            <w:shd w:val="clear" w:color="auto" w:fill="C6EFCE"/>
            <w:vAlign w:val="bottom"/>
          </w:tcPr>
          <w:p>
            <w:pPr>
              <w:jc w:val="center"/>
              <w:rPr>
                <w:rFonts w:cs="Arial"/>
                <w:noProof/>
              </w:rPr>
            </w:pPr>
            <w:r>
              <w:rPr>
                <w:noProof/>
              </w:rPr>
              <w:t>Н</w:t>
            </w:r>
          </w:p>
        </w:tc>
        <w:tc>
          <w:tcPr>
            <w:tcW w:w="567" w:type="dxa"/>
            <w:tcBorders>
              <w:top w:val="single" w:sz="4" w:space="0" w:color="auto"/>
              <w:left w:val="double" w:sz="18" w:space="0" w:color="auto"/>
              <w:bottom w:val="single" w:sz="4" w:space="0" w:color="auto"/>
              <w:right w:val="single" w:sz="4" w:space="0" w:color="auto"/>
            </w:tcBorders>
            <w:shd w:val="clear" w:color="auto" w:fill="FFEB9C"/>
            <w:vAlign w:val="bottom"/>
          </w:tcPr>
          <w:p>
            <w:pPr>
              <w:jc w:val="center"/>
              <w:rPr>
                <w:rFonts w:cs="Arial"/>
                <w:noProof/>
              </w:rPr>
            </w:pPr>
            <w:r>
              <w:rPr>
                <w:noProof/>
              </w:rPr>
              <w:t>С</w:t>
            </w:r>
          </w:p>
        </w:tc>
        <w:tc>
          <w:tcPr>
            <w:tcW w:w="567"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В</w:t>
            </w:r>
          </w:p>
        </w:tc>
        <w:tc>
          <w:tcPr>
            <w:tcW w:w="851"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В</w:t>
            </w:r>
          </w:p>
        </w:tc>
        <w:tc>
          <w:tcPr>
            <w:tcW w:w="663" w:type="dxa"/>
            <w:tcBorders>
              <w:top w:val="single" w:sz="4" w:space="0" w:color="auto"/>
              <w:left w:val="single" w:sz="4" w:space="0" w:color="auto"/>
              <w:bottom w:val="single" w:sz="4" w:space="0" w:color="auto"/>
              <w:right w:val="single" w:sz="4" w:space="0" w:color="auto"/>
            </w:tcBorders>
            <w:shd w:val="clear" w:color="auto" w:fill="FFC7CE"/>
            <w:vAlign w:val="bottom"/>
          </w:tcPr>
          <w:p>
            <w:pPr>
              <w:jc w:val="center"/>
              <w:rPr>
                <w:rFonts w:cs="Arial"/>
                <w:noProof/>
              </w:rPr>
            </w:pPr>
            <w:r>
              <w:rPr>
                <w:noProof/>
              </w:rPr>
              <w:t>В</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bottom"/>
          </w:tcPr>
          <w:p>
            <w:pPr>
              <w:jc w:val="center"/>
              <w:rPr>
                <w:rFonts w:cs="Arial"/>
                <w:noProof/>
              </w:rPr>
            </w:pPr>
            <w:r>
              <w:rPr>
                <w:noProof/>
              </w:rPr>
              <w:t>Н</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Италия</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Литва</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Люксембург</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Латвия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709" w:type="dxa"/>
            <w:tcBorders>
              <w:top w:val="single" w:sz="4" w:space="0" w:color="auto"/>
              <w:left w:val="single" w:sz="4" w:space="0" w:color="auto"/>
              <w:bottom w:val="single" w:sz="4" w:space="0" w:color="auto"/>
              <w:right w:val="double" w:sz="18"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567" w:type="dxa"/>
            <w:tcBorders>
              <w:top w:val="single" w:sz="4" w:space="0" w:color="auto"/>
              <w:left w:val="double" w:sz="18"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jc w:val="center"/>
              <w:rPr>
                <w:rFonts w:cs="Arial"/>
                <w:noProof/>
                <w:sz w:val="18"/>
                <w:szCs w:val="18"/>
              </w:rPr>
            </w:pPr>
            <w:r>
              <w:rPr>
                <w:noProof/>
                <w:sz w:val="18"/>
                <w:szCs w:val="18"/>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Малта</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Нидерландия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Полша</w:t>
            </w:r>
          </w:p>
        </w:tc>
        <w:tc>
          <w:tcPr>
            <w:tcW w:w="709"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Португалия</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Румъния</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Швеция</w:t>
            </w:r>
          </w:p>
        </w:tc>
        <w:tc>
          <w:tcPr>
            <w:tcW w:w="709"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double" w:sz="18"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C6EFCE"/>
            <w:vAlign w:val="bottom"/>
          </w:tcPr>
          <w:p>
            <w:pPr>
              <w:jc w:val="center"/>
              <w:rPr>
                <w:rFonts w:cs="Arial"/>
                <w:noProof/>
                <w:sz w:val="18"/>
                <w:szCs w:val="18"/>
              </w:rPr>
            </w:pPr>
            <w:r>
              <w:rPr>
                <w:noProof/>
                <w:color w:val="006100"/>
                <w:szCs w:val="20"/>
              </w:rPr>
              <w:t>Н</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Словения</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709" w:type="dxa"/>
            <w:tcBorders>
              <w:top w:val="single" w:sz="4" w:space="0" w:color="auto"/>
              <w:left w:val="single" w:sz="4" w:space="0" w:color="auto"/>
              <w:bottom w:val="single" w:sz="4" w:space="0" w:color="auto"/>
              <w:right w:val="double" w:sz="18"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284"/>
        </w:trPr>
        <w:tc>
          <w:tcPr>
            <w:tcW w:w="1843" w:type="dxa"/>
            <w:tcBorders>
              <w:right w:val="double" w:sz="18" w:space="0" w:color="auto"/>
            </w:tcBorders>
            <w:shd w:val="clear" w:color="auto" w:fill="auto"/>
            <w:vAlign w:val="center"/>
          </w:tcPr>
          <w:p>
            <w:pPr>
              <w:rPr>
                <w:rFonts w:cs="Arial"/>
                <w:noProof/>
                <w:color w:val="000000"/>
                <w:sz w:val="18"/>
                <w:szCs w:val="18"/>
              </w:rPr>
            </w:pPr>
            <w:r>
              <w:rPr>
                <w:noProof/>
                <w:color w:val="000000"/>
                <w:szCs w:val="20"/>
              </w:rPr>
              <w:t>Словакия</w:t>
            </w:r>
          </w:p>
        </w:tc>
        <w:tc>
          <w:tcPr>
            <w:tcW w:w="709" w:type="dxa"/>
            <w:tcBorders>
              <w:top w:val="nil"/>
              <w:left w:val="single" w:sz="4"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9" w:type="dxa"/>
            <w:tcBorders>
              <w:top w:val="nil"/>
              <w:left w:val="nil"/>
              <w:bottom w:val="single" w:sz="4" w:space="0" w:color="auto"/>
              <w:right w:val="double" w:sz="18"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double" w:sz="18" w:space="0" w:color="auto"/>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567"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851"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663"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c>
          <w:tcPr>
            <w:tcW w:w="708" w:type="dxa"/>
            <w:tcBorders>
              <w:top w:val="nil"/>
              <w:left w:val="nil"/>
              <w:bottom w:val="single" w:sz="4" w:space="0" w:color="auto"/>
              <w:right w:val="single" w:sz="4" w:space="0" w:color="auto"/>
            </w:tcBorders>
            <w:shd w:val="clear" w:color="auto" w:fill="auto"/>
            <w:vAlign w:val="bottom"/>
          </w:tcPr>
          <w:p>
            <w:pPr>
              <w:jc w:val="center"/>
              <w:rPr>
                <w:rFonts w:cs="Arial"/>
                <w:noProof/>
                <w:color w:val="000000"/>
                <w:sz w:val="18"/>
                <w:szCs w:val="18"/>
              </w:rPr>
            </w:pPr>
            <w:r>
              <w:rPr>
                <w:noProof/>
                <w:color w:val="000000"/>
                <w:szCs w:val="20"/>
              </w:rPr>
              <w:t>-</w:t>
            </w:r>
          </w:p>
        </w:tc>
      </w:tr>
      <w:tr>
        <w:trPr>
          <w:trHeight w:hRule="exact" w:val="284"/>
        </w:trPr>
        <w:tc>
          <w:tcPr>
            <w:tcW w:w="1843" w:type="dxa"/>
            <w:tcBorders>
              <w:bottom w:val="double" w:sz="18" w:space="0" w:color="auto"/>
              <w:right w:val="double" w:sz="18" w:space="0" w:color="auto"/>
            </w:tcBorders>
            <w:shd w:val="clear" w:color="auto" w:fill="auto"/>
            <w:vAlign w:val="center"/>
          </w:tcPr>
          <w:p>
            <w:pPr>
              <w:rPr>
                <w:rFonts w:cs="Arial"/>
                <w:noProof/>
                <w:color w:val="000000"/>
                <w:sz w:val="18"/>
                <w:szCs w:val="18"/>
              </w:rPr>
            </w:pPr>
            <w:r>
              <w:rPr>
                <w:noProof/>
                <w:color w:val="000000"/>
                <w:szCs w:val="20"/>
              </w:rPr>
              <w:t>Обединено кралство</w:t>
            </w:r>
          </w:p>
        </w:tc>
        <w:tc>
          <w:tcPr>
            <w:tcW w:w="709"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567"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851" w:type="dxa"/>
            <w:tcBorders>
              <w:top w:val="single" w:sz="4" w:space="0" w:color="auto"/>
              <w:left w:val="single" w:sz="4" w:space="0" w:color="auto"/>
              <w:bottom w:val="single" w:sz="4" w:space="0" w:color="auto"/>
              <w:right w:val="single" w:sz="4" w:space="0" w:color="auto"/>
            </w:tcBorders>
            <w:shd w:val="clear" w:color="000000" w:fill="FFEB9C"/>
            <w:vAlign w:val="bottom"/>
          </w:tcPr>
          <w:p>
            <w:pPr>
              <w:jc w:val="center"/>
              <w:rPr>
                <w:rFonts w:cs="Arial"/>
                <w:noProof/>
                <w:sz w:val="18"/>
                <w:szCs w:val="18"/>
              </w:rPr>
            </w:pPr>
            <w:r>
              <w:rPr>
                <w:noProof/>
                <w:color w:val="9C5700"/>
                <w:szCs w:val="20"/>
              </w:rPr>
              <w:t>С</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9" w:type="dxa"/>
            <w:tcBorders>
              <w:top w:val="single" w:sz="4" w:space="0" w:color="auto"/>
              <w:left w:val="single" w:sz="4" w:space="0" w:color="auto"/>
              <w:bottom w:val="single" w:sz="4" w:space="0" w:color="auto"/>
              <w:right w:val="double" w:sz="18"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double" w:sz="18"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567"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851"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663"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c>
          <w:tcPr>
            <w:tcW w:w="708" w:type="dxa"/>
            <w:tcBorders>
              <w:top w:val="single" w:sz="4" w:space="0" w:color="auto"/>
              <w:left w:val="single" w:sz="4" w:space="0" w:color="auto"/>
              <w:bottom w:val="single" w:sz="4" w:space="0" w:color="auto"/>
              <w:right w:val="single" w:sz="4" w:space="0" w:color="auto"/>
            </w:tcBorders>
            <w:shd w:val="clear" w:color="000000" w:fill="FFC7CE"/>
            <w:vAlign w:val="bottom"/>
          </w:tcPr>
          <w:p>
            <w:pPr>
              <w:jc w:val="center"/>
              <w:rPr>
                <w:rFonts w:cs="Arial"/>
                <w:noProof/>
                <w:sz w:val="18"/>
                <w:szCs w:val="18"/>
              </w:rPr>
            </w:pPr>
            <w:r>
              <w:rPr>
                <w:noProof/>
                <w:color w:val="9C0006"/>
                <w:szCs w:val="20"/>
              </w:rPr>
              <w:t>В</w:t>
            </w:r>
          </w:p>
        </w:tc>
      </w:tr>
      <w:tr>
        <w:trPr>
          <w:trHeight w:hRule="exact" w:val="397"/>
        </w:trPr>
        <w:tc>
          <w:tcPr>
            <w:tcW w:w="1843" w:type="dxa"/>
            <w:tcBorders>
              <w:top w:val="double" w:sz="18" w:space="0" w:color="auto"/>
              <w:right w:val="double" w:sz="18" w:space="0" w:color="auto"/>
            </w:tcBorders>
            <w:shd w:val="clear" w:color="auto" w:fill="auto"/>
            <w:vAlign w:val="center"/>
            <w:hideMark/>
          </w:tcPr>
          <w:p>
            <w:pPr>
              <w:rPr>
                <w:rFonts w:cs="Arial"/>
                <w:b/>
                <w:noProof/>
                <w:color w:val="FFFFFF"/>
                <w:szCs w:val="20"/>
              </w:rPr>
            </w:pPr>
            <w:r>
              <w:rPr>
                <w:b/>
                <w:noProof/>
                <w:color w:val="000000"/>
                <w:szCs w:val="20"/>
              </w:rPr>
              <w:t>Висок риск</w:t>
            </w:r>
          </w:p>
        </w:tc>
        <w:tc>
          <w:tcPr>
            <w:tcW w:w="709" w:type="dxa"/>
            <w:tcBorders>
              <w:top w:val="double" w:sz="18" w:space="0" w:color="auto"/>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w:t>
            </w:r>
          </w:p>
        </w:tc>
        <w:tc>
          <w:tcPr>
            <w:tcW w:w="567"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7</w:t>
            </w:r>
          </w:p>
        </w:tc>
        <w:tc>
          <w:tcPr>
            <w:tcW w:w="851"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6</w:t>
            </w:r>
          </w:p>
        </w:tc>
        <w:tc>
          <w:tcPr>
            <w:tcW w:w="663"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14</w:t>
            </w:r>
          </w:p>
        </w:tc>
        <w:tc>
          <w:tcPr>
            <w:tcW w:w="709" w:type="dxa"/>
            <w:tcBorders>
              <w:top w:val="double" w:sz="18" w:space="0" w:color="auto"/>
              <w:righ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2</w:t>
            </w:r>
          </w:p>
        </w:tc>
        <w:tc>
          <w:tcPr>
            <w:tcW w:w="567" w:type="dxa"/>
            <w:tcBorders>
              <w:top w:val="double" w:sz="18" w:space="0" w:color="auto"/>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567"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851"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663"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14</w:t>
            </w:r>
          </w:p>
        </w:tc>
        <w:tc>
          <w:tcPr>
            <w:tcW w:w="708" w:type="dxa"/>
            <w:tcBorders>
              <w:top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b/>
                <w:noProof/>
                <w:color w:val="000000"/>
                <w:szCs w:val="20"/>
              </w:rPr>
              <w:t>Среден риск</w:t>
            </w:r>
          </w:p>
        </w:tc>
        <w:tc>
          <w:tcPr>
            <w:tcW w:w="709"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8</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709" w:type="dxa"/>
            <w:tcBorders>
              <w:righ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10</w:t>
            </w:r>
          </w:p>
        </w:tc>
        <w:tc>
          <w:tcPr>
            <w:tcW w:w="567"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6</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6</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708"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b/>
                <w:noProof/>
                <w:color w:val="000000"/>
                <w:szCs w:val="20"/>
              </w:rPr>
              <w:t>Нисък риск</w:t>
            </w:r>
          </w:p>
        </w:tc>
        <w:tc>
          <w:tcPr>
            <w:tcW w:w="709"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11</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8</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4</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1</w:t>
            </w:r>
          </w:p>
        </w:tc>
        <w:tc>
          <w:tcPr>
            <w:tcW w:w="709" w:type="dxa"/>
            <w:tcBorders>
              <w:righ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8</w:t>
            </w:r>
          </w:p>
        </w:tc>
        <w:tc>
          <w:tcPr>
            <w:tcW w:w="567" w:type="dxa"/>
            <w:tcBorders>
              <w:left w:val="double" w:sz="18" w:space="0" w:color="auto"/>
            </w:tcBorders>
            <w:shd w:val="clear" w:color="auto" w:fill="FFFFFF" w:themeFill="background1"/>
            <w:vAlign w:val="bottom"/>
            <w:hideMark/>
          </w:tcPr>
          <w:p>
            <w:pPr>
              <w:jc w:val="center"/>
              <w:rPr>
                <w:rFonts w:cs="Arial"/>
                <w:b/>
                <w:bCs/>
                <w:noProof/>
                <w:color w:val="000000"/>
                <w:szCs w:val="20"/>
              </w:rPr>
            </w:pPr>
            <w:r>
              <w:rPr>
                <w:b/>
                <w:bCs/>
                <w:noProof/>
                <w:color w:val="000000"/>
                <w:szCs w:val="20"/>
              </w:rPr>
              <w:t>9</w:t>
            </w:r>
          </w:p>
        </w:tc>
        <w:tc>
          <w:tcPr>
            <w:tcW w:w="567"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c>
          <w:tcPr>
            <w:tcW w:w="851" w:type="dxa"/>
            <w:shd w:val="clear" w:color="auto" w:fill="FFFFFF" w:themeFill="background1"/>
            <w:vAlign w:val="bottom"/>
            <w:hideMark/>
          </w:tcPr>
          <w:p>
            <w:pPr>
              <w:jc w:val="center"/>
              <w:rPr>
                <w:rFonts w:cs="Arial"/>
                <w:b/>
                <w:bCs/>
                <w:noProof/>
                <w:color w:val="000000"/>
                <w:szCs w:val="20"/>
              </w:rPr>
            </w:pPr>
            <w:r>
              <w:rPr>
                <w:b/>
                <w:bCs/>
                <w:noProof/>
                <w:color w:val="000000"/>
                <w:szCs w:val="20"/>
              </w:rPr>
              <w:t>4</w:t>
            </w:r>
          </w:p>
        </w:tc>
        <w:tc>
          <w:tcPr>
            <w:tcW w:w="663" w:type="dxa"/>
            <w:shd w:val="clear" w:color="auto" w:fill="FFFFFF" w:themeFill="background1"/>
            <w:vAlign w:val="bottom"/>
            <w:hideMark/>
          </w:tcPr>
          <w:p>
            <w:pPr>
              <w:jc w:val="center"/>
              <w:rPr>
                <w:rFonts w:cs="Arial"/>
                <w:b/>
                <w:bCs/>
                <w:noProof/>
                <w:color w:val="000000"/>
                <w:szCs w:val="20"/>
              </w:rPr>
            </w:pPr>
            <w:r>
              <w:rPr>
                <w:b/>
                <w:bCs/>
                <w:noProof/>
                <w:color w:val="000000"/>
                <w:szCs w:val="20"/>
              </w:rPr>
              <w:t>1</w:t>
            </w:r>
          </w:p>
        </w:tc>
        <w:tc>
          <w:tcPr>
            <w:tcW w:w="708" w:type="dxa"/>
            <w:shd w:val="clear" w:color="auto" w:fill="FFFFFF" w:themeFill="background1"/>
            <w:vAlign w:val="bottom"/>
            <w:hideMark/>
          </w:tcPr>
          <w:p>
            <w:pPr>
              <w:jc w:val="center"/>
              <w:rPr>
                <w:rFonts w:cs="Arial"/>
                <w:b/>
                <w:bCs/>
                <w:noProof/>
                <w:color w:val="000000"/>
                <w:szCs w:val="20"/>
              </w:rPr>
            </w:pPr>
            <w:r>
              <w:rPr>
                <w:b/>
                <w:bCs/>
                <w:noProof/>
                <w:color w:val="000000"/>
                <w:szCs w:val="20"/>
              </w:rPr>
              <w:t>5</w:t>
            </w:r>
          </w:p>
        </w:tc>
      </w:tr>
      <w:tr>
        <w:trPr>
          <w:trHeight w:hRule="exact" w:val="284"/>
        </w:trPr>
        <w:tc>
          <w:tcPr>
            <w:tcW w:w="1843" w:type="dxa"/>
            <w:tcBorders>
              <w:right w:val="double" w:sz="18" w:space="0" w:color="auto"/>
            </w:tcBorders>
            <w:shd w:val="clear" w:color="auto" w:fill="auto"/>
            <w:vAlign w:val="center"/>
            <w:hideMark/>
          </w:tcPr>
          <w:p>
            <w:pPr>
              <w:rPr>
                <w:rFonts w:cs="Arial"/>
                <w:b/>
                <w:noProof/>
                <w:color w:val="000000"/>
                <w:szCs w:val="20"/>
              </w:rPr>
            </w:pPr>
            <w:r>
              <w:rPr>
                <w:b/>
                <w:noProof/>
                <w:color w:val="000000"/>
                <w:szCs w:val="20"/>
              </w:rPr>
              <w:t>Неоценен</w:t>
            </w:r>
          </w:p>
        </w:tc>
        <w:tc>
          <w:tcPr>
            <w:tcW w:w="709" w:type="dxa"/>
            <w:tcBorders>
              <w:left w:val="double" w:sz="18" w:space="0" w:color="auto"/>
            </w:tcBorders>
            <w:shd w:val="clear" w:color="auto" w:fill="auto"/>
            <w:vAlign w:val="center"/>
          </w:tcPr>
          <w:p>
            <w:pPr>
              <w:jc w:val="center"/>
              <w:rPr>
                <w:rFonts w:cs="Arial"/>
                <w:b/>
                <w:bCs/>
                <w:noProof/>
                <w:color w:val="000000"/>
                <w:szCs w:val="20"/>
              </w:rPr>
            </w:pPr>
            <w:r>
              <w:rPr>
                <w:b/>
                <w:bCs/>
                <w:noProof/>
                <w:color w:val="000000"/>
                <w:szCs w:val="20"/>
              </w:rPr>
              <w:t>8</w:t>
            </w:r>
          </w:p>
        </w:tc>
        <w:tc>
          <w:tcPr>
            <w:tcW w:w="567" w:type="dxa"/>
            <w:shd w:val="clear" w:color="auto" w:fill="auto"/>
            <w:vAlign w:val="center"/>
          </w:tcPr>
          <w:p>
            <w:pPr>
              <w:jc w:val="center"/>
              <w:rPr>
                <w:rFonts w:cs="Arial"/>
                <w:b/>
                <w:bCs/>
                <w:noProof/>
                <w:color w:val="000000"/>
                <w:szCs w:val="20"/>
              </w:rPr>
            </w:pPr>
            <w:r>
              <w:rPr>
                <w:b/>
                <w:bCs/>
                <w:noProof/>
                <w:color w:val="000000"/>
                <w:szCs w:val="20"/>
              </w:rPr>
              <w:t>8</w:t>
            </w:r>
          </w:p>
        </w:tc>
        <w:tc>
          <w:tcPr>
            <w:tcW w:w="851" w:type="dxa"/>
            <w:shd w:val="clear" w:color="auto" w:fill="auto"/>
            <w:vAlign w:val="center"/>
          </w:tcPr>
          <w:p>
            <w:pPr>
              <w:jc w:val="center"/>
              <w:rPr>
                <w:rFonts w:cs="Arial"/>
                <w:b/>
                <w:bCs/>
                <w:noProof/>
                <w:color w:val="000000"/>
                <w:szCs w:val="20"/>
              </w:rPr>
            </w:pPr>
            <w:r>
              <w:rPr>
                <w:b/>
                <w:bCs/>
                <w:noProof/>
                <w:color w:val="000000"/>
                <w:szCs w:val="20"/>
              </w:rPr>
              <w:t>8</w:t>
            </w:r>
          </w:p>
        </w:tc>
        <w:tc>
          <w:tcPr>
            <w:tcW w:w="663" w:type="dxa"/>
            <w:shd w:val="clear" w:color="auto" w:fill="auto"/>
            <w:vAlign w:val="center"/>
          </w:tcPr>
          <w:p>
            <w:pPr>
              <w:jc w:val="center"/>
              <w:rPr>
                <w:rFonts w:cs="Arial"/>
                <w:b/>
                <w:bCs/>
                <w:noProof/>
                <w:color w:val="000000"/>
                <w:szCs w:val="20"/>
              </w:rPr>
            </w:pPr>
            <w:r>
              <w:rPr>
                <w:b/>
                <w:bCs/>
                <w:noProof/>
                <w:color w:val="000000"/>
                <w:szCs w:val="20"/>
              </w:rPr>
              <w:t>8</w:t>
            </w:r>
          </w:p>
        </w:tc>
        <w:tc>
          <w:tcPr>
            <w:tcW w:w="709" w:type="dxa"/>
            <w:tcBorders>
              <w:right w:val="double" w:sz="18" w:space="0" w:color="auto"/>
            </w:tcBorders>
            <w:shd w:val="clear" w:color="auto" w:fill="auto"/>
            <w:vAlign w:val="center"/>
          </w:tcPr>
          <w:p>
            <w:pPr>
              <w:jc w:val="center"/>
              <w:rPr>
                <w:rFonts w:cs="Arial"/>
                <w:b/>
                <w:bCs/>
                <w:noProof/>
                <w:color w:val="000000"/>
                <w:szCs w:val="20"/>
              </w:rPr>
            </w:pPr>
            <w:r>
              <w:rPr>
                <w:b/>
                <w:bCs/>
                <w:noProof/>
                <w:color w:val="000000"/>
                <w:szCs w:val="20"/>
              </w:rPr>
              <w:t>8</w:t>
            </w:r>
          </w:p>
        </w:tc>
        <w:tc>
          <w:tcPr>
            <w:tcW w:w="567" w:type="dxa"/>
            <w:tcBorders>
              <w:left w:val="double" w:sz="18" w:space="0" w:color="auto"/>
            </w:tcBorders>
            <w:shd w:val="clear" w:color="auto" w:fill="auto"/>
            <w:vAlign w:val="center"/>
          </w:tcPr>
          <w:p>
            <w:pPr>
              <w:jc w:val="center"/>
              <w:rPr>
                <w:rFonts w:cs="Arial"/>
                <w:b/>
                <w:bCs/>
                <w:noProof/>
                <w:color w:val="000000"/>
                <w:szCs w:val="20"/>
              </w:rPr>
            </w:pPr>
            <w:r>
              <w:rPr>
                <w:b/>
                <w:bCs/>
                <w:noProof/>
                <w:color w:val="000000"/>
                <w:szCs w:val="20"/>
              </w:rPr>
              <w:t>8</w:t>
            </w:r>
          </w:p>
        </w:tc>
        <w:tc>
          <w:tcPr>
            <w:tcW w:w="567" w:type="dxa"/>
            <w:shd w:val="clear" w:color="auto" w:fill="auto"/>
            <w:vAlign w:val="center"/>
          </w:tcPr>
          <w:p>
            <w:pPr>
              <w:jc w:val="center"/>
              <w:rPr>
                <w:rFonts w:cs="Arial"/>
                <w:b/>
                <w:bCs/>
                <w:noProof/>
                <w:color w:val="000000"/>
                <w:szCs w:val="20"/>
              </w:rPr>
            </w:pPr>
            <w:r>
              <w:rPr>
                <w:b/>
                <w:bCs/>
                <w:noProof/>
                <w:color w:val="000000"/>
                <w:szCs w:val="20"/>
              </w:rPr>
              <w:t>8</w:t>
            </w:r>
          </w:p>
        </w:tc>
        <w:tc>
          <w:tcPr>
            <w:tcW w:w="851" w:type="dxa"/>
            <w:shd w:val="clear" w:color="auto" w:fill="auto"/>
            <w:vAlign w:val="center"/>
          </w:tcPr>
          <w:p>
            <w:pPr>
              <w:jc w:val="center"/>
              <w:rPr>
                <w:rFonts w:cs="Arial"/>
                <w:b/>
                <w:bCs/>
                <w:noProof/>
                <w:color w:val="000000"/>
                <w:szCs w:val="20"/>
              </w:rPr>
            </w:pPr>
            <w:r>
              <w:rPr>
                <w:b/>
                <w:bCs/>
                <w:noProof/>
                <w:color w:val="000000"/>
                <w:szCs w:val="20"/>
              </w:rPr>
              <w:t>8</w:t>
            </w:r>
          </w:p>
        </w:tc>
        <w:tc>
          <w:tcPr>
            <w:tcW w:w="663" w:type="dxa"/>
            <w:shd w:val="clear" w:color="auto" w:fill="auto"/>
            <w:vAlign w:val="center"/>
          </w:tcPr>
          <w:p>
            <w:pPr>
              <w:jc w:val="center"/>
              <w:rPr>
                <w:rFonts w:cs="Arial"/>
                <w:b/>
                <w:bCs/>
                <w:noProof/>
                <w:color w:val="000000"/>
                <w:szCs w:val="20"/>
              </w:rPr>
            </w:pPr>
            <w:r>
              <w:rPr>
                <w:b/>
                <w:bCs/>
                <w:noProof/>
                <w:color w:val="000000"/>
                <w:szCs w:val="20"/>
              </w:rPr>
              <w:t>8</w:t>
            </w:r>
          </w:p>
        </w:tc>
        <w:tc>
          <w:tcPr>
            <w:tcW w:w="708" w:type="dxa"/>
            <w:shd w:val="clear" w:color="auto" w:fill="auto"/>
            <w:vAlign w:val="center"/>
          </w:tcPr>
          <w:p>
            <w:pPr>
              <w:jc w:val="center"/>
              <w:rPr>
                <w:rFonts w:cs="Arial"/>
                <w:b/>
                <w:bCs/>
                <w:noProof/>
                <w:color w:val="000000"/>
                <w:szCs w:val="20"/>
              </w:rPr>
            </w:pPr>
            <w:r>
              <w:rPr>
                <w:b/>
                <w:bCs/>
                <w:noProof/>
                <w:color w:val="000000"/>
                <w:szCs w:val="20"/>
              </w:rPr>
              <w:t>8</w:t>
            </w:r>
          </w:p>
        </w:tc>
      </w:tr>
    </w:tbl>
    <w:p>
      <w:pPr>
        <w:spacing w:after="0" w:line="240" w:lineRule="auto"/>
        <w:jc w:val="both"/>
        <w:rPr>
          <w:rFonts w:ascii="Times New Roman" w:hAnsi="Times New Roman" w:cs="Times New Roman"/>
          <w:noProof/>
          <w:sz w:val="20"/>
          <w:szCs w:val="20"/>
        </w:rPr>
      </w:pPr>
      <w:r>
        <w:rPr>
          <w:rFonts w:ascii="Times New Roman" w:hAnsi="Times New Roman"/>
          <w:noProof/>
          <w:sz w:val="20"/>
          <w:szCs w:val="20"/>
        </w:rPr>
        <w:t xml:space="preserve">Източник: Преглед на националните прогнози за замърсяване на въздуха и оценка на националните програми за контрол на замърсяването на въздуха: Хоризонтален доклад, Ricardo, 2020 г. (където е описана и методиката за оценка на риска) </w:t>
      </w:r>
      <w:hyperlink r:id="rId17" w:history="1">
        <w:r>
          <w:rPr>
            <w:rStyle w:val="Hyperlink"/>
            <w:rFonts w:ascii="Times New Roman" w:hAnsi="Times New Roman"/>
            <w:noProof/>
            <w:sz w:val="20"/>
            <w:szCs w:val="20"/>
          </w:rPr>
          <w:t>https://ec.europa.eu/environment/air/reduction/NAPCP.htm</w:t>
        </w:r>
      </w:hyperlink>
      <w:r>
        <w:rPr>
          <w:rFonts w:ascii="Times New Roman" w:hAnsi="Times New Roman"/>
          <w:noProof/>
          <w:sz w:val="20"/>
          <w:szCs w:val="20"/>
        </w:rPr>
        <w:t xml:space="preserve"> </w:t>
      </w:r>
    </w:p>
    <w:p>
      <w:pPr>
        <w:spacing w:after="0" w:line="240" w:lineRule="auto"/>
        <w:rPr>
          <w:rFonts w:ascii="Times New Roman" w:hAnsi="Times New Roman" w:cs="Times New Roman"/>
          <w:noProof/>
          <w:sz w:val="24"/>
          <w:szCs w:val="24"/>
          <w:lang w:val="ru-RU"/>
        </w:rPr>
      </w:pPr>
    </w:p>
    <w:p>
      <w:pPr>
        <w:spacing w:after="0" w:line="240" w:lineRule="auto"/>
        <w:rPr>
          <w:rFonts w:ascii="Times New Roman" w:hAnsi="Times New Roman" w:cs="Times New Roman"/>
          <w:noProof/>
          <w:sz w:val="24"/>
          <w:szCs w:val="24"/>
        </w:rPr>
      </w:pPr>
      <w:r>
        <w:rPr>
          <w:rFonts w:ascii="Times New Roman" w:hAnsi="Times New Roman"/>
          <w:noProof/>
          <w:sz w:val="24"/>
          <w:szCs w:val="24"/>
        </w:rPr>
        <w:t>Легенда:</w:t>
      </w:r>
    </w:p>
    <w:p>
      <w:pPr>
        <w:spacing w:after="0" w:line="240" w:lineRule="auto"/>
        <w:rPr>
          <w:rFonts w:ascii="Times New Roman" w:hAnsi="Times New Roman" w:cs="Times New Roman"/>
          <w:noProof/>
          <w:sz w:val="24"/>
          <w:szCs w:val="24"/>
        </w:rPr>
      </w:pPr>
      <w:r>
        <w:rPr>
          <w:rFonts w:ascii="Times New Roman" w:hAnsi="Times New Roman"/>
          <w:noProof/>
          <w:sz w:val="24"/>
          <w:szCs w:val="24"/>
        </w:rPr>
        <w:t>В — Висок риск</w:t>
      </w:r>
    </w:p>
    <w:p>
      <w:pPr>
        <w:spacing w:after="0" w:line="240" w:lineRule="auto"/>
        <w:rPr>
          <w:rFonts w:ascii="Times New Roman" w:hAnsi="Times New Roman" w:cs="Times New Roman"/>
          <w:noProof/>
          <w:sz w:val="24"/>
          <w:szCs w:val="24"/>
        </w:rPr>
      </w:pPr>
      <w:r>
        <w:rPr>
          <w:rFonts w:ascii="Times New Roman" w:hAnsi="Times New Roman"/>
          <w:noProof/>
          <w:sz w:val="24"/>
          <w:szCs w:val="24"/>
        </w:rPr>
        <w:t>С — Среден риск</w:t>
      </w:r>
    </w:p>
    <w:p>
      <w:pPr>
        <w:spacing w:after="0" w:line="240" w:lineRule="auto"/>
        <w:rPr>
          <w:rFonts w:ascii="Times New Roman" w:hAnsi="Times New Roman" w:cs="Times New Roman"/>
          <w:noProof/>
          <w:sz w:val="24"/>
          <w:szCs w:val="24"/>
        </w:rPr>
      </w:pPr>
      <w:r>
        <w:rPr>
          <w:rFonts w:ascii="Times New Roman" w:hAnsi="Times New Roman"/>
          <w:noProof/>
          <w:sz w:val="24"/>
          <w:szCs w:val="24"/>
        </w:rPr>
        <w:t>Н — Нисък риск</w:t>
      </w:r>
    </w:p>
    <w:p>
      <w:pPr>
        <w:pStyle w:val="ListParagraph"/>
        <w:numPr>
          <w:ilvl w:val="2"/>
          <w:numId w:val="1"/>
        </w:numPr>
        <w:spacing w:after="0" w:line="240" w:lineRule="auto"/>
        <w:ind w:left="142" w:hanging="142"/>
        <w:rPr>
          <w:rFonts w:ascii="Times New Roman" w:hAnsi="Times New Roman" w:cs="Times New Roman"/>
          <w:noProof/>
          <w:sz w:val="24"/>
          <w:szCs w:val="24"/>
        </w:rPr>
      </w:pPr>
      <w:r>
        <w:rPr>
          <w:rFonts w:ascii="Times New Roman" w:hAnsi="Times New Roman"/>
          <w:noProof/>
          <w:sz w:val="24"/>
          <w:szCs w:val="24"/>
        </w:rPr>
        <w:t xml:space="preserve">= неоценен поради забавено представяне на доклада или липса на доклад  </w:t>
      </w:r>
    </w:p>
    <w:p>
      <w:pPr>
        <w:rPr>
          <w:rFonts w:ascii="Times New Roman" w:hAnsi="Times New Roman" w:cs="Times New Roman"/>
          <w:noProof/>
          <w:sz w:val="24"/>
          <w:szCs w:val="24"/>
        </w:rPr>
      </w:pPr>
      <w:r>
        <w:rPr>
          <w:noProof/>
        </w:rPr>
        <w:br w:type="page"/>
      </w:r>
    </w:p>
    <w:p>
      <w:pPr>
        <w:spacing w:after="0" w:line="240" w:lineRule="auto"/>
        <w:jc w:val="center"/>
        <w:rPr>
          <w:rFonts w:ascii="Times New Roman" w:hAnsi="Times New Roman" w:cs="Times New Roman"/>
          <w:b/>
          <w:noProof/>
          <w:sz w:val="24"/>
          <w:szCs w:val="24"/>
          <w:u w:val="single"/>
        </w:rPr>
      </w:pPr>
      <w:r>
        <w:rPr>
          <w:rFonts w:ascii="Times New Roman" w:hAnsi="Times New Roman"/>
          <w:b/>
          <w:noProof/>
          <w:sz w:val="24"/>
          <w:szCs w:val="24"/>
          <w:u w:val="single"/>
        </w:rPr>
        <w:t>ПРИЛОЖЕНИЕ 4</w:t>
      </w:r>
    </w:p>
    <w:p>
      <w:pPr>
        <w:spacing w:after="0" w:line="240" w:lineRule="auto"/>
        <w:jc w:val="center"/>
        <w:rPr>
          <w:rFonts w:ascii="Times New Roman" w:hAnsi="Times New Roman" w:cs="Times New Roman"/>
          <w:b/>
          <w:noProof/>
          <w:sz w:val="24"/>
          <w:szCs w:val="24"/>
          <w:u w:val="single"/>
          <w:lang w:val="ru-RU"/>
        </w:rPr>
      </w:pPr>
    </w:p>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Методика за проследяване на разходите за чист въздух</w:t>
      </w:r>
    </w:p>
    <w:p>
      <w:pPr>
        <w:spacing w:after="0" w:line="240" w:lineRule="auto"/>
        <w:jc w:val="center"/>
        <w:rPr>
          <w:rFonts w:ascii="Times New Roman" w:hAnsi="Times New Roman" w:cs="Times New Roman"/>
          <w:b/>
          <w:noProof/>
          <w:sz w:val="24"/>
          <w:szCs w:val="24"/>
          <w:lang w:val="ru-RU"/>
        </w:rPr>
      </w:pPr>
    </w:p>
    <w:p>
      <w:pPr>
        <w:spacing w:after="0" w:line="240" w:lineRule="auto"/>
        <w:rPr>
          <w:rFonts w:ascii="Times New Roman" w:hAnsi="Times New Roman" w:cs="Times New Roman"/>
          <w:b/>
          <w:noProof/>
          <w:sz w:val="24"/>
          <w:szCs w:val="24"/>
          <w:lang w:val="ru-RU"/>
        </w:rPr>
      </w:pPr>
    </w:p>
    <w:p>
      <w:pPr>
        <w:keepNext/>
        <w:keepLines/>
        <w:numPr>
          <w:ilvl w:val="0"/>
          <w:numId w:val="9"/>
        </w:numPr>
        <w:spacing w:after="120" w:line="240" w:lineRule="auto"/>
        <w:jc w:val="both"/>
        <w:outlineLvl w:val="0"/>
        <w:rPr>
          <w:rFonts w:ascii="Times New Roman" w:eastAsia="Times New Roman" w:hAnsi="Times New Roman" w:cs="Times New Roman"/>
          <w:bCs/>
          <w:noProof/>
          <w:sz w:val="24"/>
          <w:szCs w:val="24"/>
        </w:rPr>
      </w:pPr>
      <w:bookmarkStart w:id="2" w:name="_Toc38542836"/>
      <w:r>
        <w:rPr>
          <w:rFonts w:ascii="Times New Roman" w:hAnsi="Times New Roman"/>
          <w:bCs/>
          <w:noProof/>
          <w:sz w:val="24"/>
          <w:szCs w:val="24"/>
        </w:rPr>
        <w:t xml:space="preserve">Общ подход за проследяване на разходите за чист въздух </w:t>
      </w:r>
      <w:bookmarkEnd w:id="2"/>
    </w:p>
    <w:p>
      <w:pPr>
        <w:keepNext/>
        <w:keepLines/>
        <w:numPr>
          <w:ilvl w:val="1"/>
          <w:numId w:val="9"/>
        </w:numPr>
        <w:spacing w:after="120" w:line="240" w:lineRule="auto"/>
        <w:jc w:val="both"/>
        <w:outlineLvl w:val="0"/>
        <w:rPr>
          <w:rFonts w:ascii="Times New Roman" w:eastAsia="Times New Roman" w:hAnsi="Times New Roman" w:cs="Times New Roman"/>
          <w:bCs/>
          <w:noProof/>
          <w:sz w:val="24"/>
          <w:szCs w:val="24"/>
        </w:rPr>
      </w:pPr>
      <w:r>
        <w:rPr>
          <w:rFonts w:ascii="Times New Roman" w:hAnsi="Times New Roman"/>
          <w:noProof/>
          <w:sz w:val="24"/>
          <w:szCs w:val="24"/>
        </w:rPr>
        <w:t>Принципи на ЕС за проследяване на чистия въздух</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За да се наблюдава напредъкът по усвояването на средствата от ЕС за целите на чистия въздух, Комисията ще „маркира“ разходите, като припише конкретен коефициент на финансовия принос на ЕС, което отразява степента, в която той допринася за постигане на целите за чист въздух. </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Такова проследяване на чистия въздух се основава на изводите от проследяването на климата и биологичното разнообразие, което вече се осъществява в Комисията. То също така се основава на предложените програмни регламенти, определящи екологичните маркери, които да бъдат определени за финансиране от ЕС при проследяване на приноса към околната среда, по-специално Кохезионния фонд (приложение 1 към Регламента за общоприложимите разпоредби) и други подходящи програми (например Общата селскостопанска политика и Механизмът за свързване на Европа). За разлика от проследяването на климата, проследяването на чистия въздух не е свързано с целеви разходи, а е предназначено да наблюдава финансирането от ЕС, допринасящо за чистия въздух с оглед на по-доброто прилагане в държавите членки на политиките за чист въздух.</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Основните качества на проследяването на чистия въздух са:</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Използване на маркери за 100 %, 40 % и 0 %;</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Внимание към административните усилия и простота;</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Съгласуваност на маркировката в програмите (сходни дейности, маркирани по сходен начин);</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Прозрачност при маркирането; </w:t>
      </w:r>
    </w:p>
    <w:p>
      <w:pPr>
        <w:numPr>
          <w:ilvl w:val="0"/>
          <w:numId w:val="4"/>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Независимост от останалите методики за проследяване (климат, биологично разнообразие), т.е. всяко изразходвано евро може да бъде проследено повече от веднъж. </w:t>
      </w:r>
    </w:p>
    <w:p>
      <w:pPr>
        <w:spacing w:after="0" w:line="240" w:lineRule="auto"/>
        <w:jc w:val="both"/>
        <w:rPr>
          <w:rFonts w:ascii="Times New Roman" w:eastAsia="Calibri" w:hAnsi="Times New Roman" w:cs="Times New Roman"/>
          <w:noProof/>
          <w:sz w:val="24"/>
          <w:highlight w:val="yellow"/>
          <w:lang w:val="ru-RU"/>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Ползи за чистия въздух, като всеобхватен въпрос, носят не само действията, насочени към чистия въздух, но и въздействията, генерирани от финансирани от ЕС проекти в други области на политиката, например тези, насочени към теми като устойчив транспорт, намаляване на промените в климата (напр. енергийна ефективност), ефективност на ресурсите и здраве.</w:t>
      </w:r>
    </w:p>
    <w:p>
      <w:pPr>
        <w:spacing w:after="0" w:line="240" w:lineRule="auto"/>
        <w:jc w:val="both"/>
        <w:rPr>
          <w:rFonts w:ascii="Times New Roman" w:eastAsia="Calibri" w:hAnsi="Times New Roman" w:cs="Times New Roman"/>
          <w:b/>
          <w:noProof/>
          <w:sz w:val="24"/>
          <w:szCs w:val="24"/>
          <w:lang w:val="ru-RU"/>
        </w:rPr>
      </w:pPr>
    </w:p>
    <w:p>
      <w:pPr>
        <w:pStyle w:val="ListParagraph"/>
        <w:numPr>
          <w:ilvl w:val="1"/>
          <w:numId w:val="9"/>
        </w:numPr>
        <w:spacing w:after="0" w:line="240" w:lineRule="auto"/>
        <w:jc w:val="both"/>
        <w:rPr>
          <w:rFonts w:ascii="Times New Roman" w:eastAsia="Calibri" w:hAnsi="Times New Roman" w:cs="Times New Roman"/>
          <w:noProof/>
          <w:sz w:val="24"/>
        </w:rPr>
      </w:pPr>
      <w:bookmarkStart w:id="3" w:name="_Toc38542837"/>
      <w:r>
        <w:rPr>
          <w:rFonts w:ascii="Times New Roman" w:hAnsi="Times New Roman"/>
          <w:noProof/>
          <w:sz w:val="24"/>
        </w:rPr>
        <w:t>Маркери на ЕС за чист въздух</w:t>
      </w:r>
      <w:bookmarkEnd w:id="3"/>
    </w:p>
    <w:p>
      <w:pPr>
        <w:spacing w:after="0" w:line="240" w:lineRule="auto"/>
        <w:jc w:val="both"/>
        <w:rPr>
          <w:rFonts w:ascii="Times New Roman" w:eastAsia="Calibri" w:hAnsi="Times New Roman" w:cs="Times New Roman"/>
          <w:noProof/>
          <w:sz w:val="24"/>
          <w:lang w:val="ru-RU"/>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Що се отнася до проследяването на климата, за целите на проследяването на чистия въздух „разходите“ се определят като бюджетни кредити за поети задължения. Това ще даде възможност на Комисията и заинтересованите страни да идентифицират разходите за чист въздух в началото на процеса. Комисията няма да наблюдава плащанията и/или бюджетните кредити за поети задължения, маркирани за чист въздух. </w:t>
      </w:r>
    </w:p>
    <w:p>
      <w:pPr>
        <w:autoSpaceDE w:val="0"/>
        <w:autoSpaceDN w:val="0"/>
        <w:adjustRightInd w:val="0"/>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Маркерите на ЕС за чист въздух са разработени въз основа на качествените маркери от Рио де Жанейро, които Комитетът на ОИСР за подпомагане на развитието използва за идентифициране на специфични екологични цели (опустиняване, смекчаване на последиците от изменението на климата, адаптация към изменението на климата и биологично разнообразие) за проекти за помощ за развитие и надграждане въз основа на опита, натрупан от ЕС при използването на маркерите от Рио де Жанейро в областта на климата.</w:t>
      </w:r>
    </w:p>
    <w:p>
      <w:pPr>
        <w:spacing w:after="0" w:line="240" w:lineRule="auto"/>
        <w:jc w:val="both"/>
        <w:rPr>
          <w:rFonts w:ascii="Times New Roman" w:eastAsia="Calibri" w:hAnsi="Times New Roman" w:cs="Times New Roman"/>
          <w:noProof/>
          <w:sz w:val="24"/>
          <w:szCs w:val="24"/>
          <w:highlight w:val="yellow"/>
          <w:lang w:val="ru-RU"/>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Маркерите на ЕС за чист въздух са предназначени да определят количествено разходите, допринасящи за постигане на целите за чист въздух. Като се има предвид обхватът от процедури за изпълнение (например централизирано управление, споделено управление, финансови инструменти, програмируеми/мерки „отдолу нагоре“), подходът за изпълнение варира в различните програми и методиката е адаптирана, така че да отразява конкретните обстоятелства. По този начин маркерите се определят на най-подходящото ниво в зависимост от конкретните особености на всяка бюджетна програма — проект, вид интервенция, компонент на програмата или цяла програма. </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Маркерите се определят с цялостния подход:</w:t>
      </w:r>
    </w:p>
    <w:p>
      <w:pPr>
        <w:numPr>
          <w:ilvl w:val="0"/>
          <w:numId w:val="3"/>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100 % за разходите, които се очаква да допринесат главно за целите за чист въздух [аналогия с маркер 2 на ОИСР от Рио де Жанейро]</w:t>
      </w:r>
    </w:p>
    <w:p>
      <w:pPr>
        <w:numPr>
          <w:ilvl w:val="0"/>
          <w:numId w:val="3"/>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40 % за разходите, които се очаква да допринесат значително за целите за чист въздух [аналогия с маркер 1 на ОИСР от Рио де Жанейро]</w:t>
      </w:r>
    </w:p>
    <w:p>
      <w:pPr>
        <w:numPr>
          <w:ilvl w:val="0"/>
          <w:numId w:val="3"/>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0 % за разходите, които не допринасят за постигане на целите за чист въздух</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szCs w:val="24"/>
        </w:rPr>
      </w:pPr>
      <w:r>
        <w:rPr>
          <w:rFonts w:ascii="Times New Roman" w:hAnsi="Times New Roman"/>
          <w:b/>
          <w:i/>
          <w:noProof/>
          <w:sz w:val="24"/>
          <w:szCs w:val="24"/>
        </w:rPr>
        <w:t xml:space="preserve">Този тристепенен подход задължително включва известни приблизителни стойности и е консервативен: </w:t>
      </w:r>
      <w:r>
        <w:rPr>
          <w:rFonts w:ascii="Times New Roman" w:hAnsi="Times New Roman"/>
          <w:b/>
          <w:bCs/>
          <w:i/>
          <w:iCs/>
          <w:noProof/>
          <w:sz w:val="24"/>
          <w:szCs w:val="24"/>
        </w:rPr>
        <w:t>В случай на съмнение и/или липса на точна информация се избира долният маркер.</w:t>
      </w:r>
      <w:r>
        <w:rPr>
          <w:rFonts w:ascii="Times New Roman" w:hAnsi="Times New Roman"/>
          <w:noProof/>
          <w:sz w:val="24"/>
          <w:szCs w:val="24"/>
        </w:rPr>
        <w:t xml:space="preserve">  </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Този цялостен подход намира израз в специфични процедури за проследяване, които могат да варират в различните програми, като отразяват разликите в режимите на проектиране и управление. </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b/>
          <w:noProof/>
          <w:sz w:val="24"/>
          <w:szCs w:val="24"/>
          <w:highlight w:val="yellow"/>
          <w:lang w:val="ru-RU"/>
        </w:rPr>
      </w:pPr>
    </w:p>
    <w:p>
      <w:pPr>
        <w:pStyle w:val="ListParagraph"/>
        <w:numPr>
          <w:ilvl w:val="1"/>
          <w:numId w:val="9"/>
        </w:numPr>
        <w:spacing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Годишно докладване на данните</w:t>
      </w:r>
    </w:p>
    <w:p>
      <w:pPr>
        <w:spacing w:after="0" w:line="240" w:lineRule="auto"/>
        <w:ind w:left="360"/>
        <w:jc w:val="both"/>
        <w:rPr>
          <w:rFonts w:ascii="Times New Roman" w:eastAsia="Calibri" w:hAnsi="Times New Roman" w:cs="Times New Roman"/>
          <w:b/>
          <w:bCs/>
          <w:noProof/>
          <w:sz w:val="24"/>
          <w:szCs w:val="24"/>
          <w:lang w:val="en-GB"/>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Комисията ежегодно ще консолидира очакваните данни по задълженията за чист въздух за всички програми. Всяка програма ще представя отчети за оперативните разходи, придружаващи годишния проектобюджет — очакваните разходи за чист въздух за всяка година.</w:t>
      </w: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Освен това на всеки четири години Комисията ще отчита в доклада за изпълнение на Директивата относно националните тавани за емисии (НТЕ) усвояването на средства от ЕС в подкрепа на целите на Директивата с първо предварително докладване в контекста на доклада за изпълнение за 2020 г.). </w:t>
      </w:r>
    </w:p>
    <w:p>
      <w:pPr>
        <w:spacing w:after="0" w:line="240" w:lineRule="auto"/>
        <w:jc w:val="both"/>
        <w:rPr>
          <w:rFonts w:ascii="Times New Roman" w:eastAsia="Calibri" w:hAnsi="Times New Roman" w:cs="Times New Roman"/>
          <w:noProof/>
          <w:sz w:val="24"/>
          <w:szCs w:val="24"/>
          <w:lang w:val="ru-RU"/>
        </w:rPr>
      </w:pPr>
    </w:p>
    <w:p>
      <w:pPr>
        <w:spacing w:line="240" w:lineRule="auto"/>
        <w:rPr>
          <w:rFonts w:ascii="Times New Roman" w:eastAsia="Calibri" w:hAnsi="Times New Roman" w:cs="Times New Roman"/>
          <w:noProof/>
          <w:sz w:val="24"/>
        </w:rPr>
      </w:pPr>
      <w:r>
        <w:rPr>
          <w:noProof/>
        </w:rPr>
        <w:br w:type="page"/>
      </w:r>
    </w:p>
    <w:p>
      <w:pPr>
        <w:keepNext/>
        <w:keepLines/>
        <w:numPr>
          <w:ilvl w:val="0"/>
          <w:numId w:val="9"/>
        </w:numPr>
        <w:spacing w:after="120" w:line="240" w:lineRule="auto"/>
        <w:jc w:val="both"/>
        <w:outlineLvl w:val="0"/>
        <w:rPr>
          <w:rFonts w:ascii="Times New Roman" w:eastAsia="Times New Roman" w:hAnsi="Times New Roman" w:cs="Times New Roman"/>
          <w:bCs/>
          <w:noProof/>
          <w:sz w:val="26"/>
          <w:szCs w:val="28"/>
        </w:rPr>
      </w:pPr>
      <w:bookmarkStart w:id="4" w:name="_Toc38542838"/>
      <w:r>
        <w:rPr>
          <w:rFonts w:ascii="Times New Roman" w:hAnsi="Times New Roman"/>
          <w:bCs/>
          <w:noProof/>
          <w:sz w:val="26"/>
          <w:szCs w:val="28"/>
        </w:rPr>
        <w:t>Прилагане на подхода за проследяване на чистия въздух на програмно ниво</w:t>
      </w:r>
      <w:bookmarkEnd w:id="4"/>
    </w:p>
    <w:p>
      <w:pPr>
        <w:pStyle w:val="ListParagraph"/>
        <w:numPr>
          <w:ilvl w:val="1"/>
          <w:numId w:val="9"/>
        </w:num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„Хоризонт 2020“</w:t>
      </w:r>
    </w:p>
    <w:p>
      <w:pPr>
        <w:keepNext/>
        <w:keepLines/>
        <w:spacing w:before="40" w:after="0" w:line="240" w:lineRule="auto"/>
        <w:jc w:val="both"/>
        <w:outlineLvl w:val="2"/>
        <w:rPr>
          <w:rFonts w:ascii="Cambria" w:eastAsia="Times New Roman" w:hAnsi="Cambria" w:cs="Times New Roman"/>
          <w:b/>
          <w:noProof/>
          <w:color w:val="243F60"/>
          <w:sz w:val="24"/>
          <w:szCs w:val="24"/>
          <w:lang w:val="en-GB"/>
        </w:rPr>
      </w:pPr>
    </w:p>
    <w:tbl>
      <w:tblPr>
        <w:tblStyle w:val="TableGrid"/>
        <w:tblW w:w="8755" w:type="dxa"/>
        <w:tblLook w:val="04A0" w:firstRow="1" w:lastRow="0" w:firstColumn="1" w:lastColumn="0" w:noHBand="0" w:noVBand="1"/>
      </w:tblPr>
      <w:tblGrid>
        <w:gridCol w:w="6969"/>
        <w:gridCol w:w="1786"/>
      </w:tblGrid>
      <w:tr>
        <w:tc>
          <w:tcPr>
            <w:tcW w:w="6969" w:type="dxa"/>
          </w:tcPr>
          <w:p>
            <w:pPr>
              <w:jc w:val="both"/>
              <w:rPr>
                <w:rFonts w:ascii="Times New Roman" w:eastAsia="Calibri" w:hAnsi="Times New Roman" w:cs="Times New Roman"/>
                <w:b/>
                <w:bCs/>
                <w:noProof/>
                <w:sz w:val="24"/>
              </w:rPr>
            </w:pPr>
            <w:r>
              <w:rPr>
                <w:rFonts w:ascii="Times New Roman" w:hAnsi="Times New Roman"/>
                <w:b/>
                <w:bCs/>
                <w:noProof/>
                <w:sz w:val="24"/>
              </w:rPr>
              <w:t>Действие</w:t>
            </w:r>
          </w:p>
        </w:tc>
        <w:tc>
          <w:tcPr>
            <w:tcW w:w="1786" w:type="dxa"/>
          </w:tcPr>
          <w:p>
            <w:pPr>
              <w:jc w:val="both"/>
              <w:rPr>
                <w:rFonts w:ascii="Times New Roman" w:eastAsia="Calibri" w:hAnsi="Times New Roman" w:cs="Times New Roman"/>
                <w:b/>
                <w:bCs/>
                <w:noProof/>
                <w:sz w:val="24"/>
              </w:rPr>
            </w:pPr>
            <w:r>
              <w:rPr>
                <w:rFonts w:ascii="Times New Roman" w:hAnsi="Times New Roman"/>
                <w:b/>
                <w:bCs/>
                <w:noProof/>
                <w:sz w:val="24"/>
              </w:rPr>
              <w:t>Маркер</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Европейски научноизследователски съвет (ЕНС)</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(1)</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Бъдещи и нововъзникващи технологии</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Действия „Мария Склодовска‑Кюри“ (ДМСК)</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(1)</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Научноизследователски инфраструктури</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(1)</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Базови и промишлени технологии</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Достъп до рисково финансиране</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МСП</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Здравеопазване</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Храни</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Енергетика</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Транспорт</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Ефикасна по отношение на ресурсите и устойчива на изменението на климата икономика</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Приобщаващи, иновативни и мислещи европейски общества</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Сигурни европейски общества</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Разпространяване на високи научни постижения и разширяване на участието</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Наука със и за обществото</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Неядрени преки действия на Съвместния изследователски център</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r>
        <w:tc>
          <w:tcPr>
            <w:tcW w:w="6969" w:type="dxa"/>
          </w:tcPr>
          <w:p>
            <w:pPr>
              <w:jc w:val="both"/>
              <w:rPr>
                <w:rFonts w:ascii="Times New Roman" w:eastAsia="Calibri" w:hAnsi="Times New Roman" w:cs="Times New Roman"/>
                <w:noProof/>
                <w:sz w:val="24"/>
              </w:rPr>
            </w:pPr>
            <w:r>
              <w:rPr>
                <w:rFonts w:ascii="Times New Roman" w:hAnsi="Times New Roman"/>
                <w:noProof/>
                <w:sz w:val="24"/>
              </w:rPr>
              <w:t>Конкретна цел — Европейския институт за иновации и технологии</w:t>
            </w:r>
          </w:p>
        </w:tc>
        <w:tc>
          <w:tcPr>
            <w:tcW w:w="1786" w:type="dxa"/>
          </w:tcPr>
          <w:p>
            <w:pPr>
              <w:jc w:val="both"/>
              <w:rPr>
                <w:rFonts w:ascii="Times New Roman" w:eastAsia="Calibri" w:hAnsi="Times New Roman" w:cs="Times New Roman"/>
                <w:noProof/>
                <w:sz w:val="24"/>
              </w:rPr>
            </w:pPr>
            <w:r>
              <w:rPr>
                <w:rFonts w:ascii="Times New Roman" w:hAnsi="Times New Roman"/>
                <w:noProof/>
                <w:sz w:val="24"/>
              </w:rPr>
              <w:t>0            (2)</w:t>
            </w:r>
          </w:p>
        </w:tc>
      </w:tr>
    </w:tbl>
    <w:p>
      <w:pPr>
        <w:spacing w:after="0" w:line="240" w:lineRule="auto"/>
        <w:jc w:val="both"/>
        <w:rPr>
          <w:rFonts w:ascii="Times New Roman" w:eastAsia="Calibri" w:hAnsi="Times New Roman" w:cs="Times New Roman"/>
          <w:noProof/>
          <w:sz w:val="24"/>
          <w:szCs w:val="24"/>
          <w:u w:val="single"/>
          <w:lang w:val="en-GB"/>
        </w:rPr>
      </w:pPr>
    </w:p>
    <w:p>
      <w:pPr>
        <w:spacing w:after="0" w:line="240" w:lineRule="auto"/>
        <w:ind w:hanging="11"/>
        <w:jc w:val="both"/>
        <w:rPr>
          <w:rFonts w:ascii="Times New Roman" w:eastAsia="Calibri" w:hAnsi="Times New Roman" w:cs="Times New Roman"/>
          <w:noProof/>
          <w:sz w:val="24"/>
        </w:rPr>
      </w:pPr>
      <w:r>
        <w:rPr>
          <w:rFonts w:ascii="Times New Roman" w:hAnsi="Times New Roman"/>
          <w:noProof/>
          <w:sz w:val="24"/>
          <w:szCs w:val="24"/>
        </w:rPr>
        <w:t xml:space="preserve">(1) За действия „отдолу нагоре“ като ЕНС и ДМСК, за тази първа инициатива не може да бъде зададена стойност. Това ще трябва да се коригира (нагоре) в бъдещите проследявания. По-точна оценка на приноса на тези дейности в действията за качество на въздуха ще бъде възможна в следващата многогодишна финансова рамка (МФР). Междувременно за тези дейности се прилага маркер 0. </w:t>
      </w:r>
    </w:p>
    <w:p>
      <w:pPr>
        <w:spacing w:after="0" w:line="240" w:lineRule="auto"/>
        <w:ind w:hanging="11"/>
        <w:jc w:val="both"/>
        <w:rPr>
          <w:rFonts w:ascii="Times New Roman" w:eastAsia="Calibri" w:hAnsi="Times New Roman" w:cs="Times New Roman"/>
          <w:noProof/>
          <w:sz w:val="24"/>
        </w:rPr>
      </w:pPr>
      <w:r>
        <w:rPr>
          <w:rFonts w:ascii="Times New Roman" w:hAnsi="Times New Roman"/>
          <w:noProof/>
          <w:sz w:val="24"/>
          <w:szCs w:val="24"/>
        </w:rPr>
        <w:t xml:space="preserve">(2) Въпреки че някои от тези проекти могат да допринесат за постигане на целите за чист въздух, поради липса на точна информация се прилага оценка „0“. </w:t>
      </w:r>
    </w:p>
    <w:p>
      <w:pPr>
        <w:spacing w:after="0" w:line="240" w:lineRule="auto"/>
        <w:jc w:val="both"/>
        <w:rPr>
          <w:rFonts w:ascii="Times New Roman" w:eastAsia="Calibri" w:hAnsi="Times New Roman" w:cs="Times New Roman"/>
          <w:noProof/>
          <w:sz w:val="24"/>
          <w:lang w:val="ru-RU"/>
        </w:rPr>
      </w:pPr>
    </w:p>
    <w:p>
      <w:pPr>
        <w:spacing w:after="0" w:line="240" w:lineRule="auto"/>
        <w:jc w:val="both"/>
        <w:rPr>
          <w:rFonts w:ascii="Times New Roman" w:eastAsia="Calibri" w:hAnsi="Times New Roman" w:cs="Times New Roman"/>
          <w:i/>
          <w:iCs/>
          <w:noProof/>
          <w:sz w:val="24"/>
          <w:szCs w:val="24"/>
          <w:lang w:val="ru-RU"/>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Докато тази таблица дава информация за приноса на „Хоризонт 2020“ за финансирането на дейности в полза на чистия въздух, с оглед осигуряването на по-точни данни, проследяването на свързаните с чистия въздух разходи ще бъде извършвано на ниво поръчка или проект чрез съответните формати за докладване в следващата програма „Хоризонт Европа“ (2021—2027 г.).</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lang w:val="ru-RU"/>
        </w:rPr>
      </w:pPr>
    </w:p>
    <w:p>
      <w:pPr>
        <w:rPr>
          <w:rFonts w:ascii="Times New Roman" w:eastAsia="Times New Roman" w:hAnsi="Times New Roman" w:cs="Times New Roman"/>
          <w:noProof/>
          <w:sz w:val="24"/>
          <w:szCs w:val="24"/>
        </w:rPr>
      </w:pPr>
      <w:bookmarkStart w:id="5" w:name="_Toc38542842"/>
      <w:r>
        <w:rPr>
          <w:noProof/>
        </w:rPr>
        <w:br w:type="page"/>
      </w:r>
    </w:p>
    <w:p>
      <w:pPr>
        <w:keepNext/>
        <w:keepLines/>
        <w:spacing w:before="40" w:after="0" w:line="240" w:lineRule="auto"/>
        <w:jc w:val="both"/>
        <w:outlineLvl w:val="2"/>
        <w:rPr>
          <w:rFonts w:ascii="Times New Roman" w:eastAsia="Times New Roman" w:hAnsi="Times New Roman" w:cs="Times New Roman"/>
          <w:noProof/>
          <w:sz w:val="24"/>
          <w:szCs w:val="24"/>
        </w:rPr>
      </w:pPr>
      <w:r>
        <w:rPr>
          <w:rFonts w:ascii="Times New Roman" w:hAnsi="Times New Roman"/>
          <w:noProof/>
          <w:sz w:val="24"/>
          <w:szCs w:val="24"/>
        </w:rPr>
        <w:t>б) Европейски стратегически инвестиции</w:t>
      </w:r>
      <w:bookmarkEnd w:id="5"/>
      <w:r>
        <w:rPr>
          <w:rFonts w:ascii="Times New Roman" w:hAnsi="Times New Roman"/>
          <w:noProof/>
          <w:sz w:val="24"/>
          <w:szCs w:val="24"/>
        </w:rPr>
        <w:t xml:space="preserve">: </w:t>
      </w:r>
      <w:r>
        <w:rPr>
          <w:rFonts w:ascii="Cambria" w:hAnsi="Cambria"/>
          <w:bCs/>
          <w:noProof/>
          <w:sz w:val="24"/>
          <w:szCs w:val="24"/>
        </w:rPr>
        <w:t>Европейски фонд за стратегически инвестиции (ЕФСИ)</w:t>
      </w:r>
    </w:p>
    <w:p>
      <w:pPr>
        <w:spacing w:after="0" w:line="240" w:lineRule="auto"/>
        <w:jc w:val="both"/>
        <w:rPr>
          <w:rFonts w:ascii="Times New Roman" w:eastAsia="Calibri" w:hAnsi="Times New Roman" w:cs="Times New Roman"/>
          <w:bCs/>
          <w:noProof/>
          <w:sz w:val="24"/>
          <w:szCs w:val="24"/>
          <w:lang w:val="ru-RU" w:eastAsia="en-GB"/>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ЕФСИ</w:t>
      </w:r>
      <w:r>
        <w:rPr>
          <w:rFonts w:ascii="Times New Roman" w:eastAsia="Calibri" w:hAnsi="Times New Roman" w:cs="Times New Roman"/>
          <w:noProof/>
          <w:sz w:val="24"/>
          <w:szCs w:val="24"/>
          <w:vertAlign w:val="superscript"/>
          <w:lang w:val="en-GB"/>
        </w:rPr>
        <w:footnoteReference w:id="2"/>
      </w:r>
      <w:r>
        <w:rPr>
          <w:rFonts w:ascii="Times New Roman" w:hAnsi="Times New Roman"/>
          <w:noProof/>
          <w:sz w:val="24"/>
          <w:szCs w:val="24"/>
        </w:rPr>
        <w:t xml:space="preserve"> е инициатива, стартирана в рамките на Инвестиционния план за Европа (план „Юнкер“) през 2015 г., за да спомогне за преодоляването на инвестиционните пропуски в целия Европейски съюз. Тя има следните основни характеристики: </w:t>
      </w:r>
    </w:p>
    <w:p>
      <w:pPr>
        <w:numPr>
          <w:ilvl w:val="0"/>
          <w:numId w:val="6"/>
        </w:numPr>
        <w:spacing w:after="0" w:line="240" w:lineRule="auto"/>
        <w:ind w:left="360"/>
        <w:contextualSpacing/>
        <w:jc w:val="both"/>
        <w:rPr>
          <w:rFonts w:ascii="Times New Roman" w:eastAsia="Calibri" w:hAnsi="Times New Roman" w:cs="Times New Roman"/>
          <w:noProof/>
          <w:sz w:val="24"/>
          <w:szCs w:val="24"/>
        </w:rPr>
      </w:pPr>
      <w:r>
        <w:rPr>
          <w:rFonts w:ascii="Times New Roman" w:hAnsi="Times New Roman"/>
          <w:noProof/>
          <w:sz w:val="24"/>
          <w:szCs w:val="24"/>
        </w:rPr>
        <w:t>Съгласно ЕФСИ Съюзът предоставя неотменима и безусловна гаранция</w:t>
      </w:r>
      <w:r>
        <w:rPr>
          <w:rFonts w:ascii="Times New Roman" w:eastAsia="Calibri" w:hAnsi="Times New Roman" w:cs="Times New Roman"/>
          <w:noProof/>
          <w:sz w:val="24"/>
          <w:szCs w:val="24"/>
          <w:vertAlign w:val="superscript"/>
          <w:lang w:val="en-GB" w:eastAsia="en-GB"/>
        </w:rPr>
        <w:footnoteReference w:id="3"/>
      </w:r>
      <w:r>
        <w:rPr>
          <w:rFonts w:ascii="Times New Roman" w:hAnsi="Times New Roman"/>
          <w:noProof/>
          <w:sz w:val="24"/>
          <w:szCs w:val="24"/>
        </w:rPr>
        <w:t xml:space="preserve"> на Европейската инвестиционна банка (ЕИБ) за предоставяне на отговарящо на условията финансиране и инвестиционни операции на крайни получатели. </w:t>
      </w:r>
    </w:p>
    <w:p>
      <w:pPr>
        <w:numPr>
          <w:ilvl w:val="0"/>
          <w:numId w:val="7"/>
        </w:numPr>
        <w:spacing w:after="0" w:line="240" w:lineRule="auto"/>
        <w:ind w:left="360"/>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ЕФСИ се състои от два компонента: </w:t>
      </w:r>
    </w:p>
    <w:p>
      <w:pPr>
        <w:numPr>
          <w:ilvl w:val="0"/>
          <w:numId w:val="8"/>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Подкрепените дейности по компонента за инфраструктура и иновации (КИИ) се отнасят до директни и междинни финансови операции за крайни получатели, които в зависимост от техния характер и обхват могат да допринесат за постигане на целите за чист въздух. Операциите по компонента за инфраструктура и иновации към 31 декември 2019 г. бяха прегледани и на всеки от тях беше приписан подходящ маркер на ОИСР от Рио де Жанейро: 100 % маркер е приписан на операции, които допринасят основно за целите за чист въздух, докато 40 % маркер е приписан на всички, които се очаква да допринесат значително за целите за чист въздух</w:t>
      </w:r>
      <w:r>
        <w:rPr>
          <w:rStyle w:val="FootnoteReference"/>
          <w:rFonts w:ascii="Times New Roman" w:eastAsia="Calibri" w:hAnsi="Times New Roman" w:cs="Times New Roman"/>
          <w:noProof/>
          <w:sz w:val="24"/>
          <w:szCs w:val="24"/>
          <w:lang w:val="en-GB" w:eastAsia="en-GB"/>
        </w:rPr>
        <w:footnoteReference w:id="4"/>
      </w:r>
      <w:r>
        <w:rPr>
          <w:rFonts w:ascii="Times New Roman" w:hAnsi="Times New Roman"/>
          <w:noProof/>
          <w:sz w:val="24"/>
          <w:szCs w:val="24"/>
        </w:rPr>
        <w:t xml:space="preserve"> — т.е. тези, които водят до намаляване на замърсяването на въздуха; </w:t>
      </w:r>
    </w:p>
    <w:p>
      <w:pPr>
        <w:numPr>
          <w:ilvl w:val="0"/>
          <w:numId w:val="8"/>
        </w:num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szCs w:val="24"/>
        </w:rPr>
        <w:t xml:space="preserve">Компонентът за МСП (КМСП) улеснява достъпа до финансиране на заеми и собствен капитал за малки и средни предприятия (МСП) и се прилага от Европейския инвестиционен фонд (ЕИФ). Някои от подкрепяните действия и крайните бенефициери потенциално биха могли да подкрепят целите за чист въздух. Поради разнообразието на поддържаните портфейли и малкия размер на отделната транзакция е невъзможно да се оцени приносът към целите за чист въздух.  </w:t>
      </w:r>
    </w:p>
    <w:p>
      <w:pPr>
        <w:numPr>
          <w:ilvl w:val="0"/>
          <w:numId w:val="6"/>
        </w:numPr>
        <w:spacing w:after="0" w:line="240" w:lineRule="auto"/>
        <w:ind w:left="360"/>
        <w:contextualSpacing/>
        <w:jc w:val="both"/>
        <w:rPr>
          <w:rFonts w:ascii="Times New Roman" w:eastAsia="Calibri" w:hAnsi="Times New Roman" w:cs="Times New Roman"/>
          <w:noProof/>
          <w:sz w:val="20"/>
          <w:szCs w:val="24"/>
        </w:rPr>
      </w:pPr>
      <w:r>
        <w:rPr>
          <w:rFonts w:ascii="Times New Roman" w:hAnsi="Times New Roman"/>
          <w:noProof/>
          <w:sz w:val="24"/>
          <w:szCs w:val="24"/>
        </w:rPr>
        <w:t>Подкрепата от ЕФСИ се предоставя чрез бюджетна гаранция в размер на 26 милиарда евро. Задълженията, произтичащи от потенциално неизпълнени операции</w:t>
      </w:r>
      <w:r>
        <w:rPr>
          <w:rFonts w:ascii="Times New Roman" w:eastAsia="Calibri" w:hAnsi="Times New Roman" w:cs="Times New Roman"/>
          <w:noProof/>
          <w:sz w:val="24"/>
          <w:szCs w:val="24"/>
          <w:vertAlign w:val="superscript"/>
          <w:lang w:val="en-GB" w:eastAsia="en-GB"/>
        </w:rPr>
        <w:footnoteReference w:id="5"/>
      </w:r>
      <w:r>
        <w:rPr>
          <w:rFonts w:ascii="Times New Roman" w:hAnsi="Times New Roman"/>
          <w:noProof/>
          <w:sz w:val="24"/>
          <w:szCs w:val="24"/>
        </w:rPr>
        <w:t>, обхванати от гаранцията на ЕС, се изплащат от гаранционен фонд, който представлява ликвиден резерв. Този ликвиден резерв в рамките на Гаранционния фонд на ЕС възлиза на 9,1 милиарда евро (прогнозирана сума). Общите вноски от общия бюджет на Съюза възлизат на 8,43 милиарда евро и се допълват с 0,675 милиарда евро от приходи и плащания.</w:t>
      </w:r>
    </w:p>
    <w:p>
      <w:pPr>
        <w:spacing w:after="0" w:line="240" w:lineRule="auto"/>
        <w:jc w:val="both"/>
        <w:rPr>
          <w:rFonts w:ascii="Times New Roman" w:eastAsia="Calibri" w:hAnsi="Times New Roman" w:cs="Times New Roman"/>
          <w:noProof/>
          <w:sz w:val="24"/>
          <w:szCs w:val="24"/>
          <w:lang w:val="ru-RU"/>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Като се вземат предвид тези характеристики, оценка на приноса на ЕФСИ за чист въздух е направена само за КИИ. Следователно размерът на подкрепата от ЕФСИ за целите за чист въздух се изчислява като сумата от приноса на всяка операция, определена от съответния маркер към 31 декември 2019 г. </w:t>
      </w:r>
    </w:p>
    <w:p>
      <w:pPr>
        <w:spacing w:after="0" w:line="240" w:lineRule="auto"/>
        <w:jc w:val="both"/>
        <w:rPr>
          <w:rFonts w:ascii="Times New Roman" w:eastAsia="Calibri" w:hAnsi="Times New Roman" w:cs="Times New Roman"/>
          <w:noProof/>
          <w:sz w:val="24"/>
          <w:szCs w:val="24"/>
          <w:lang w:val="ru-RU"/>
        </w:rPr>
      </w:pPr>
    </w:p>
    <w:p>
      <w:pPr>
        <w:keepNext/>
        <w:keepLines/>
        <w:spacing w:before="40" w:after="0" w:line="240" w:lineRule="auto"/>
        <w:jc w:val="both"/>
        <w:outlineLvl w:val="3"/>
        <w:rPr>
          <w:rFonts w:ascii="Times New Roman" w:eastAsia="Calibri" w:hAnsi="Times New Roman" w:cs="Times New Roman"/>
          <w:noProof/>
          <w:sz w:val="24"/>
          <w:lang w:val="ru-RU"/>
        </w:rPr>
      </w:pPr>
    </w:p>
    <w:p>
      <w:pPr>
        <w:rPr>
          <w:rFonts w:ascii="Times New Roman" w:eastAsia="Times New Roman" w:hAnsi="Times New Roman" w:cs="Times New Roman"/>
          <w:iCs/>
          <w:noProof/>
          <w:sz w:val="24"/>
        </w:rPr>
      </w:pPr>
      <w:r>
        <w:rPr>
          <w:noProof/>
        </w:rPr>
        <w:br w:type="page"/>
      </w:r>
    </w:p>
    <w:p>
      <w:pPr>
        <w:keepNext/>
        <w:keepLines/>
        <w:spacing w:before="40" w:after="0" w:line="240" w:lineRule="auto"/>
        <w:ind w:left="360"/>
        <w:jc w:val="both"/>
        <w:outlineLvl w:val="3"/>
        <w:rPr>
          <w:rFonts w:ascii="Times New Roman" w:eastAsia="Times New Roman" w:hAnsi="Times New Roman" w:cs="Times New Roman"/>
          <w:iCs/>
          <w:noProof/>
          <w:sz w:val="24"/>
        </w:rPr>
      </w:pPr>
      <w:r>
        <w:rPr>
          <w:rFonts w:ascii="Times New Roman" w:hAnsi="Times New Roman"/>
          <w:iCs/>
          <w:noProof/>
          <w:sz w:val="24"/>
        </w:rPr>
        <w:t xml:space="preserve">в) МСЕ — Механизъм за свързване на Европа </w:t>
      </w:r>
    </w:p>
    <w:p>
      <w:pPr>
        <w:pStyle w:val="ListParagraph"/>
        <w:spacing w:after="0" w:line="240" w:lineRule="auto"/>
        <w:jc w:val="both"/>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3278"/>
        <w:gridCol w:w="3725"/>
        <w:gridCol w:w="1294"/>
      </w:tblGrid>
      <w:tr>
        <w:tc>
          <w:tcPr>
            <w:tcW w:w="3278" w:type="dxa"/>
          </w:tcPr>
          <w:p>
            <w:pPr>
              <w:jc w:val="both"/>
              <w:rPr>
                <w:rFonts w:ascii="Times New Roman" w:eastAsia="Calibri" w:hAnsi="Times New Roman" w:cs="Times New Roman"/>
                <w:b/>
                <w:bCs/>
                <w:noProof/>
                <w:sz w:val="24"/>
              </w:rPr>
            </w:pPr>
            <w:r>
              <w:rPr>
                <w:rFonts w:ascii="Times New Roman" w:hAnsi="Times New Roman"/>
                <w:b/>
                <w:bCs/>
                <w:noProof/>
                <w:sz w:val="24"/>
              </w:rPr>
              <w:t>Действие/Направление (Регламент (ЕС) № 1316/2013</w:t>
            </w:r>
          </w:p>
        </w:tc>
        <w:tc>
          <w:tcPr>
            <w:tcW w:w="3725" w:type="dxa"/>
          </w:tcPr>
          <w:p>
            <w:pPr>
              <w:jc w:val="both"/>
              <w:rPr>
                <w:rFonts w:ascii="Times New Roman" w:eastAsia="Calibri" w:hAnsi="Times New Roman" w:cs="Times New Roman"/>
                <w:b/>
                <w:bCs/>
                <w:noProof/>
                <w:sz w:val="24"/>
              </w:rPr>
            </w:pPr>
            <w:r>
              <w:rPr>
                <w:rFonts w:ascii="Times New Roman" w:hAnsi="Times New Roman"/>
                <w:b/>
                <w:bCs/>
                <w:noProof/>
                <w:sz w:val="24"/>
              </w:rPr>
              <w:t>Действие/Направление (COM(2018)0438 — C8-0255/2018 — 2018/0228(COD) за 2021–2027 г.)</w:t>
            </w:r>
          </w:p>
        </w:tc>
        <w:tc>
          <w:tcPr>
            <w:tcW w:w="1294" w:type="dxa"/>
          </w:tcPr>
          <w:p>
            <w:pPr>
              <w:jc w:val="both"/>
              <w:rPr>
                <w:rFonts w:ascii="Times New Roman" w:eastAsia="Calibri" w:hAnsi="Times New Roman" w:cs="Times New Roman"/>
                <w:b/>
                <w:bCs/>
                <w:noProof/>
                <w:sz w:val="24"/>
              </w:rPr>
            </w:pPr>
            <w:r>
              <w:rPr>
                <w:rFonts w:ascii="Times New Roman" w:hAnsi="Times New Roman"/>
                <w:b/>
                <w:bCs/>
                <w:noProof/>
                <w:sz w:val="24"/>
              </w:rPr>
              <w:t>Маркер</w:t>
            </w:r>
          </w:p>
        </w:tc>
      </w:tr>
      <w:tr>
        <w:tc>
          <w:tcPr>
            <w:tcW w:w="7003" w:type="dxa"/>
            <w:gridSpan w:val="2"/>
          </w:tcPr>
          <w:p>
            <w:pPr>
              <w:jc w:val="center"/>
              <w:rPr>
                <w:rFonts w:ascii="Times New Roman" w:eastAsia="Calibri" w:hAnsi="Times New Roman" w:cs="Times New Roman"/>
                <w:noProof/>
                <w:sz w:val="24"/>
              </w:rPr>
            </w:pPr>
            <w:r>
              <w:rPr>
                <w:rFonts w:ascii="Times New Roman" w:hAnsi="Times New Roman"/>
                <w:b/>
                <w:bCs/>
                <w:noProof/>
                <w:sz w:val="24"/>
              </w:rPr>
              <w:t>МСЕ — Енергетика</w:t>
            </w:r>
            <w:r>
              <w:rPr>
                <w:rStyle w:val="FootnoteReference"/>
                <w:rFonts w:ascii="Times New Roman" w:eastAsia="Calibri" w:hAnsi="Times New Roman" w:cs="Times New Roman"/>
                <w:b/>
                <w:bCs/>
                <w:noProof/>
                <w:sz w:val="24"/>
                <w:lang w:val="en-GB"/>
              </w:rPr>
              <w:footnoteReference w:id="6"/>
            </w:r>
          </w:p>
        </w:tc>
        <w:tc>
          <w:tcPr>
            <w:tcW w:w="1294" w:type="dxa"/>
          </w:tcPr>
          <w:p>
            <w:pPr>
              <w:jc w:val="both"/>
              <w:rPr>
                <w:rFonts w:ascii="Times New Roman" w:eastAsia="Calibri" w:hAnsi="Times New Roman" w:cs="Times New Roman"/>
                <w:noProof/>
                <w:sz w:val="24"/>
                <w:lang w:val="en-GB"/>
              </w:rPr>
            </w:pP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Електроенергия</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 xml:space="preserve">Електроенергия </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Газ</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Газ</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Интелигентни електроенергийни мрежи</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Интелигентни електроенергийни мрежи</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rPr>
            </w:pPr>
            <w:r>
              <w:rPr>
                <w:rFonts w:ascii="Times New Roman" w:hAnsi="Times New Roman"/>
                <w:noProof/>
                <w:sz w:val="24"/>
              </w:rPr>
              <w:t>Мрежи за CO2</w:t>
            </w:r>
          </w:p>
        </w:tc>
        <w:tc>
          <w:tcPr>
            <w:tcW w:w="3725" w:type="dxa"/>
          </w:tcPr>
          <w:p>
            <w:pPr>
              <w:jc w:val="both"/>
              <w:rPr>
                <w:rFonts w:ascii="Times New Roman" w:eastAsia="Calibri" w:hAnsi="Times New Roman" w:cs="Times New Roman"/>
                <w:noProof/>
                <w:sz w:val="24"/>
              </w:rPr>
            </w:pPr>
            <w:r>
              <w:rPr>
                <w:rFonts w:ascii="Times New Roman" w:hAnsi="Times New Roman"/>
                <w:noProof/>
                <w:sz w:val="24"/>
              </w:rPr>
              <w:t>Мрежи за CO2</w:t>
            </w:r>
          </w:p>
        </w:tc>
        <w:tc>
          <w:tcPr>
            <w:tcW w:w="1294"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b/>
                <w:bCs/>
                <w:noProof/>
                <w:sz w:val="24"/>
                <w:szCs w:val="24"/>
              </w:rPr>
            </w:pPr>
            <w:r>
              <w:rPr>
                <w:rFonts w:ascii="Times New Roman" w:hAnsi="Times New Roman"/>
                <w:noProof/>
                <w:sz w:val="24"/>
              </w:rPr>
              <w:t>Трансгранични проекти в областта на енергията от възобновяеми източници</w:t>
            </w:r>
          </w:p>
        </w:tc>
        <w:tc>
          <w:tcPr>
            <w:tcW w:w="1294" w:type="dxa"/>
            <w:hideMark/>
          </w:tcPr>
          <w:p>
            <w:pPr>
              <w:jc w:val="both"/>
              <w:rPr>
                <w:rFonts w:ascii="Calibri" w:eastAsia="Calibri" w:hAnsi="Calibri" w:cs="Calibri"/>
                <w:b/>
                <w:bCs/>
                <w:noProof/>
              </w:rPr>
            </w:pPr>
            <w:r>
              <w:rPr>
                <w:rFonts w:ascii="Times New Roman" w:hAnsi="Times New Roman"/>
                <w:noProof/>
                <w:sz w:val="24"/>
              </w:rPr>
              <w:t>40</w:t>
            </w:r>
          </w:p>
        </w:tc>
      </w:tr>
      <w:tr>
        <w:tc>
          <w:tcPr>
            <w:tcW w:w="7003" w:type="dxa"/>
            <w:gridSpan w:val="2"/>
          </w:tcPr>
          <w:p>
            <w:pPr>
              <w:jc w:val="center"/>
              <w:rPr>
                <w:rFonts w:ascii="Times New Roman" w:eastAsia="Calibri" w:hAnsi="Times New Roman" w:cs="Times New Roman"/>
                <w:noProof/>
                <w:sz w:val="24"/>
              </w:rPr>
            </w:pPr>
            <w:r>
              <w:rPr>
                <w:rFonts w:ascii="Times New Roman" w:hAnsi="Times New Roman"/>
                <w:b/>
                <w:bCs/>
                <w:noProof/>
                <w:sz w:val="24"/>
              </w:rPr>
              <w:t>МСЕ — Транспорт</w:t>
            </w:r>
          </w:p>
        </w:tc>
        <w:tc>
          <w:tcPr>
            <w:tcW w:w="1294" w:type="dxa"/>
            <w:hideMark/>
          </w:tcPr>
          <w:p>
            <w:pPr>
              <w:jc w:val="both"/>
              <w:rPr>
                <w:rFonts w:ascii="Times New Roman" w:eastAsia="Calibri" w:hAnsi="Times New Roman" w:cs="Times New Roman"/>
                <w:strike/>
                <w:noProof/>
                <w:color w:val="FF0000"/>
                <w:sz w:val="24"/>
                <w:lang w:val="en-GB"/>
              </w:rPr>
            </w:pPr>
          </w:p>
        </w:tc>
      </w:tr>
      <w:tr>
        <w:tc>
          <w:tcPr>
            <w:tcW w:w="3278" w:type="dxa"/>
          </w:tcPr>
          <w:p>
            <w:pPr>
              <w:jc w:val="both"/>
              <w:rPr>
                <w:rFonts w:ascii="Times New Roman" w:eastAsia="Calibri" w:hAnsi="Times New Roman" w:cs="Times New Roman"/>
                <w:noProof/>
                <w:sz w:val="24"/>
                <w:lang w:val="en-GB" w:eastAsia="fr-BE"/>
              </w:rPr>
            </w:pPr>
          </w:p>
        </w:tc>
        <w:tc>
          <w:tcPr>
            <w:tcW w:w="3725" w:type="dxa"/>
            <w:hideMark/>
          </w:tcPr>
          <w:p>
            <w:pPr>
              <w:jc w:val="both"/>
              <w:rPr>
                <w:rFonts w:ascii="Times New Roman" w:eastAsia="Calibri" w:hAnsi="Times New Roman" w:cs="Times New Roman"/>
                <w:noProof/>
                <w:sz w:val="24"/>
              </w:rPr>
            </w:pPr>
            <w:r>
              <w:rPr>
                <w:rFonts w:ascii="Times New Roman" w:hAnsi="Times New Roman"/>
                <w:noProof/>
                <w:sz w:val="24"/>
              </w:rPr>
              <w:t>Вид транспорт — железопътен 40 % (включително Европейската система за управление на железопътното движение)</w:t>
            </w:r>
          </w:p>
        </w:tc>
        <w:tc>
          <w:tcPr>
            <w:tcW w:w="1294" w:type="dxa"/>
            <w:hideMark/>
          </w:tcPr>
          <w:p>
            <w:pPr>
              <w:jc w:val="both"/>
              <w:rPr>
                <w:rFonts w:ascii="Times New Roman" w:eastAsia="Calibri" w:hAnsi="Times New Roman" w:cs="Times New Roman"/>
                <w:noProof/>
                <w:sz w:val="24"/>
              </w:rPr>
            </w:pPr>
            <w:r>
              <w:rPr>
                <w:rFonts w:ascii="Times New Roman" w:hAnsi="Times New Roman"/>
                <w:noProof/>
                <w:sz w:val="24"/>
              </w:rPr>
              <w:t>40</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noProof/>
                <w:sz w:val="24"/>
              </w:rPr>
            </w:pPr>
            <w:r>
              <w:rPr>
                <w:rFonts w:ascii="Times New Roman" w:hAnsi="Times New Roman"/>
                <w:noProof/>
                <w:sz w:val="24"/>
              </w:rPr>
              <w:t xml:space="preserve">Вид транспорт — вътрешни водни пътища </w:t>
            </w:r>
          </w:p>
        </w:tc>
        <w:tc>
          <w:tcPr>
            <w:tcW w:w="1294" w:type="dxa"/>
            <w:hideMark/>
          </w:tcPr>
          <w:p>
            <w:pPr>
              <w:jc w:val="both"/>
              <w:rPr>
                <w:rFonts w:ascii="Times New Roman" w:eastAsia="Calibri" w:hAnsi="Times New Roman" w:cs="Times New Roman"/>
                <w:noProof/>
                <w:sz w:val="24"/>
              </w:rPr>
            </w:pPr>
            <w:r>
              <w:rPr>
                <w:rFonts w:ascii="Times New Roman" w:hAnsi="Times New Roman"/>
                <w:noProof/>
                <w:sz w:val="24"/>
              </w:rPr>
              <w:t xml:space="preserve">40 </w:t>
            </w:r>
          </w:p>
        </w:tc>
      </w:tr>
      <w:tr>
        <w:tc>
          <w:tcPr>
            <w:tcW w:w="3278" w:type="dxa"/>
          </w:tcPr>
          <w:p>
            <w:pPr>
              <w:jc w:val="both"/>
              <w:rPr>
                <w:rFonts w:ascii="Times New Roman" w:eastAsia="Calibri" w:hAnsi="Times New Roman" w:cs="Times New Roman"/>
                <w:noProof/>
                <w:sz w:val="24"/>
                <w:lang w:val="en-GB"/>
              </w:rPr>
            </w:pPr>
          </w:p>
        </w:tc>
        <w:tc>
          <w:tcPr>
            <w:tcW w:w="3725" w:type="dxa"/>
            <w:hideMark/>
          </w:tcPr>
          <w:p>
            <w:pPr>
              <w:jc w:val="both"/>
              <w:rPr>
                <w:rFonts w:ascii="Times New Roman" w:eastAsia="Calibri" w:hAnsi="Times New Roman" w:cs="Times New Roman"/>
                <w:noProof/>
                <w:sz w:val="24"/>
              </w:rPr>
            </w:pPr>
            <w:r>
              <w:rPr>
                <w:rFonts w:ascii="Times New Roman" w:hAnsi="Times New Roman"/>
                <w:noProof/>
                <w:sz w:val="24"/>
              </w:rPr>
              <w:t xml:space="preserve">Вид транспорт — морски </w:t>
            </w:r>
          </w:p>
        </w:tc>
        <w:tc>
          <w:tcPr>
            <w:tcW w:w="1294" w:type="dxa"/>
            <w:hideMark/>
          </w:tcPr>
          <w:p>
            <w:pPr>
              <w:jc w:val="both"/>
              <w:rPr>
                <w:rFonts w:ascii="Times New Roman" w:eastAsia="Calibri" w:hAnsi="Times New Roman" w:cs="Times New Roman"/>
                <w:noProof/>
                <w:sz w:val="24"/>
              </w:rPr>
            </w:pPr>
            <w:r>
              <w:rPr>
                <w:rFonts w:ascii="Times New Roman" w:hAnsi="Times New Roman"/>
                <w:noProof/>
                <w:sz w:val="24"/>
              </w:rPr>
              <w:t xml:space="preserve">40 </w:t>
            </w:r>
          </w:p>
        </w:tc>
      </w:tr>
      <w:tr>
        <w:tc>
          <w:tcPr>
            <w:tcW w:w="3278" w:type="dxa"/>
          </w:tcPr>
          <w:p>
            <w:pPr>
              <w:spacing w:line="252" w:lineRule="auto"/>
              <w:jc w:val="both"/>
              <w:rPr>
                <w:rFonts w:ascii="Times New Roman" w:eastAsia="Calibri" w:hAnsi="Times New Roman" w:cs="Times New Roman"/>
                <w:noProof/>
                <w:sz w:val="24"/>
                <w:lang w:val="en-GB"/>
              </w:rPr>
            </w:pPr>
          </w:p>
        </w:tc>
        <w:tc>
          <w:tcPr>
            <w:tcW w:w="3725" w:type="dxa"/>
            <w:hideMark/>
          </w:tcPr>
          <w:p>
            <w:pPr>
              <w:spacing w:line="252" w:lineRule="auto"/>
              <w:jc w:val="both"/>
              <w:rPr>
                <w:rFonts w:ascii="Times New Roman" w:eastAsia="Calibri" w:hAnsi="Times New Roman" w:cs="Times New Roman"/>
                <w:b/>
                <w:bCs/>
                <w:noProof/>
                <w:sz w:val="24"/>
                <w:szCs w:val="24"/>
              </w:rPr>
            </w:pPr>
            <w:r>
              <w:rPr>
                <w:rFonts w:ascii="Times New Roman" w:hAnsi="Times New Roman"/>
                <w:noProof/>
                <w:sz w:val="24"/>
              </w:rPr>
              <w:t>Инфраструктура за алтернативни горива (не в градски възли)</w:t>
            </w:r>
          </w:p>
        </w:tc>
        <w:tc>
          <w:tcPr>
            <w:tcW w:w="1294" w:type="dxa"/>
            <w:hideMark/>
          </w:tcPr>
          <w:p>
            <w:pPr>
              <w:spacing w:line="252" w:lineRule="auto"/>
              <w:jc w:val="both"/>
              <w:rPr>
                <w:rFonts w:ascii="Calibri" w:eastAsia="Calibri" w:hAnsi="Calibri" w:cs="Calibri"/>
                <w:b/>
                <w:bCs/>
                <w:noProof/>
              </w:rPr>
            </w:pPr>
            <w:r>
              <w:rPr>
                <w:rFonts w:ascii="Times New Roman" w:hAnsi="Times New Roman"/>
                <w:noProof/>
                <w:sz w:val="24"/>
              </w:rPr>
              <w:t>40</w:t>
            </w:r>
          </w:p>
        </w:tc>
      </w:tr>
      <w:tr>
        <w:tc>
          <w:tcPr>
            <w:tcW w:w="3278" w:type="dxa"/>
          </w:tcPr>
          <w:p>
            <w:pPr>
              <w:autoSpaceDE w:val="0"/>
              <w:autoSpaceDN w:val="0"/>
              <w:spacing w:before="40" w:after="40" w:line="252" w:lineRule="auto"/>
              <w:jc w:val="both"/>
              <w:rPr>
                <w:rFonts w:ascii="Times New Roman" w:eastAsia="Calibri" w:hAnsi="Times New Roman" w:cs="Times New Roman"/>
                <w:noProof/>
                <w:sz w:val="24"/>
                <w:lang w:val="en-GB"/>
              </w:rPr>
            </w:pPr>
          </w:p>
        </w:tc>
        <w:tc>
          <w:tcPr>
            <w:tcW w:w="3725" w:type="dxa"/>
            <w:hideMark/>
          </w:tcPr>
          <w:p>
            <w:pPr>
              <w:autoSpaceDE w:val="0"/>
              <w:autoSpaceDN w:val="0"/>
              <w:spacing w:before="40" w:after="40" w:line="252" w:lineRule="auto"/>
              <w:jc w:val="both"/>
              <w:rPr>
                <w:rFonts w:ascii="Times New Roman" w:eastAsia="Calibri" w:hAnsi="Times New Roman" w:cs="Times New Roman"/>
                <w:noProof/>
                <w:sz w:val="24"/>
              </w:rPr>
            </w:pPr>
            <w:r>
              <w:rPr>
                <w:rFonts w:ascii="Times New Roman" w:hAnsi="Times New Roman"/>
                <w:noProof/>
                <w:sz w:val="24"/>
              </w:rPr>
              <w:t>Градски възли (включително инфраструктури, цифровизация и алтернативни горива)</w:t>
            </w:r>
          </w:p>
        </w:tc>
        <w:tc>
          <w:tcPr>
            <w:tcW w:w="1294" w:type="dxa"/>
            <w:hideMark/>
          </w:tcPr>
          <w:p>
            <w:pPr>
              <w:spacing w:line="252" w:lineRule="auto"/>
              <w:jc w:val="both"/>
              <w:rPr>
                <w:rFonts w:ascii="Times New Roman" w:eastAsia="Calibri" w:hAnsi="Times New Roman" w:cs="Times New Roman"/>
                <w:noProof/>
                <w:sz w:val="24"/>
              </w:rPr>
            </w:pPr>
            <w:r>
              <w:rPr>
                <w:rFonts w:ascii="Times New Roman" w:hAnsi="Times New Roman"/>
                <w:noProof/>
                <w:sz w:val="24"/>
              </w:rPr>
              <w:t xml:space="preserve">100 </w:t>
            </w:r>
          </w:p>
        </w:tc>
      </w:tr>
      <w:tr>
        <w:tc>
          <w:tcPr>
            <w:tcW w:w="3278" w:type="dxa"/>
          </w:tcPr>
          <w:p>
            <w:pPr>
              <w:spacing w:line="252" w:lineRule="auto"/>
              <w:jc w:val="both"/>
              <w:rPr>
                <w:rFonts w:ascii="Times New Roman" w:eastAsia="Calibri" w:hAnsi="Times New Roman" w:cs="Times New Roman"/>
                <w:noProof/>
                <w:sz w:val="24"/>
                <w:lang w:val="en-GB"/>
              </w:rPr>
            </w:pPr>
          </w:p>
        </w:tc>
        <w:tc>
          <w:tcPr>
            <w:tcW w:w="3725" w:type="dxa"/>
            <w:hideMark/>
          </w:tcPr>
          <w:p>
            <w:pPr>
              <w:spacing w:line="252" w:lineRule="auto"/>
              <w:jc w:val="both"/>
              <w:rPr>
                <w:rFonts w:ascii="Times New Roman" w:eastAsia="Calibri" w:hAnsi="Times New Roman" w:cs="Times New Roman"/>
                <w:noProof/>
                <w:sz w:val="24"/>
              </w:rPr>
            </w:pPr>
            <w:r>
              <w:rPr>
                <w:rFonts w:ascii="Times New Roman" w:hAnsi="Times New Roman"/>
                <w:noProof/>
                <w:sz w:val="24"/>
              </w:rPr>
              <w:t>Управление на въздушното движение</w:t>
            </w:r>
          </w:p>
        </w:tc>
        <w:tc>
          <w:tcPr>
            <w:tcW w:w="1294" w:type="dxa"/>
            <w:hideMark/>
          </w:tcPr>
          <w:p>
            <w:pPr>
              <w:spacing w:line="252" w:lineRule="auto"/>
              <w:jc w:val="both"/>
              <w:rPr>
                <w:rFonts w:ascii="Times New Roman" w:eastAsia="Calibri" w:hAnsi="Times New Roman" w:cs="Times New Roman"/>
                <w:noProof/>
                <w:sz w:val="24"/>
              </w:rPr>
            </w:pPr>
            <w:r>
              <w:rPr>
                <w:rFonts w:ascii="Times New Roman" w:hAnsi="Times New Roman"/>
                <w:noProof/>
                <w:sz w:val="24"/>
              </w:rPr>
              <w:t>0</w:t>
            </w:r>
            <w:r>
              <w:rPr>
                <w:rFonts w:ascii="Times New Roman" w:eastAsia="Calibri" w:hAnsi="Times New Roman" w:cs="Times New Roman"/>
                <w:noProof/>
                <w:sz w:val="24"/>
                <w:vertAlign w:val="superscript"/>
                <w:lang w:val="en-GB"/>
              </w:rPr>
              <w:footnoteReference w:id="7"/>
            </w:r>
          </w:p>
        </w:tc>
      </w:tr>
    </w:tbl>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lang w:val="en-GB"/>
        </w:rPr>
      </w:pPr>
    </w:p>
    <w:p>
      <w:pPr>
        <w:keepNext/>
        <w:keepLines/>
        <w:spacing w:before="40" w:after="0" w:line="240" w:lineRule="auto"/>
        <w:jc w:val="both"/>
        <w:outlineLvl w:val="3"/>
        <w:rPr>
          <w:rFonts w:ascii="Cambria" w:eastAsia="Times New Roman" w:hAnsi="Cambria" w:cs="Times New Roman"/>
          <w:iCs/>
          <w:noProof/>
          <w:sz w:val="24"/>
        </w:rPr>
      </w:pPr>
      <w:r>
        <w:rPr>
          <w:rFonts w:ascii="Cambria" w:hAnsi="Cambria"/>
          <w:iCs/>
          <w:noProof/>
          <w:sz w:val="24"/>
        </w:rPr>
        <w:t>г) Европейски фонд за регионално развитие (ЕФРР) и Кохезионен фонд (КФ)</w:t>
      </w:r>
    </w:p>
    <w:p>
      <w:pPr>
        <w:spacing w:after="0" w:line="240" w:lineRule="auto"/>
        <w:jc w:val="both"/>
        <w:rPr>
          <w:rFonts w:ascii="Times New Roman" w:eastAsia="Calibri" w:hAnsi="Times New Roman" w:cs="Times New Roman"/>
          <w:noProof/>
          <w:sz w:val="24"/>
          <w:lang w:val="ru-RU"/>
        </w:rPr>
      </w:pPr>
    </w:p>
    <w:tbl>
      <w:tblPr>
        <w:tblStyle w:val="TableGrid"/>
        <w:tblW w:w="0" w:type="auto"/>
        <w:tblLook w:val="04A0" w:firstRow="1" w:lastRow="0" w:firstColumn="1" w:lastColumn="0" w:noHBand="0" w:noVBand="1"/>
      </w:tblPr>
      <w:tblGrid>
        <w:gridCol w:w="660"/>
        <w:gridCol w:w="2899"/>
        <w:gridCol w:w="661"/>
        <w:gridCol w:w="3002"/>
        <w:gridCol w:w="1075"/>
      </w:tblGrid>
      <w:tr>
        <w:tc>
          <w:tcPr>
            <w:tcW w:w="4044" w:type="dxa"/>
            <w:gridSpan w:val="2"/>
          </w:tcPr>
          <w:p>
            <w:pPr>
              <w:jc w:val="both"/>
              <w:rPr>
                <w:rFonts w:ascii="Times New Roman" w:eastAsia="Calibri" w:hAnsi="Times New Roman" w:cs="Times New Roman"/>
                <w:b/>
                <w:bCs/>
                <w:noProof/>
                <w:sz w:val="24"/>
              </w:rPr>
            </w:pPr>
            <w:r>
              <w:rPr>
                <w:rFonts w:ascii="Times New Roman" w:hAnsi="Times New Roman"/>
                <w:b/>
                <w:bCs/>
                <w:noProof/>
                <w:sz w:val="24"/>
              </w:rPr>
              <w:t>Кодове и области на интервенция при прилагане на Регламент 215/2014 за периода 2014—2020 г.</w:t>
            </w:r>
          </w:p>
        </w:tc>
        <w:tc>
          <w:tcPr>
            <w:tcW w:w="4200" w:type="dxa"/>
            <w:gridSpan w:val="2"/>
          </w:tcPr>
          <w:p>
            <w:pPr>
              <w:jc w:val="both"/>
              <w:rPr>
                <w:rFonts w:ascii="Times New Roman" w:eastAsia="Calibri" w:hAnsi="Times New Roman" w:cs="Times New Roman"/>
                <w:b/>
                <w:bCs/>
                <w:i/>
                <w:iCs/>
                <w:noProof/>
                <w:sz w:val="24"/>
              </w:rPr>
            </w:pPr>
            <w:r>
              <w:rPr>
                <w:rFonts w:ascii="Times New Roman" w:hAnsi="Times New Roman"/>
                <w:b/>
                <w:bCs/>
                <w:noProof/>
                <w:sz w:val="24"/>
              </w:rPr>
              <w:t xml:space="preserve">Кодове и области на интервенция, и коефициент за околна среда от </w:t>
            </w:r>
            <w:r>
              <w:rPr>
                <w:rFonts w:ascii="Times New Roman" w:hAnsi="Times New Roman"/>
                <w:b/>
                <w:bCs/>
                <w:i/>
                <w:iCs/>
                <w:noProof/>
                <w:sz w:val="24"/>
              </w:rPr>
              <w:t>Рио де Жанейро</w:t>
            </w:r>
            <w:r>
              <w:rPr>
                <w:rFonts w:ascii="Times New Roman" w:hAnsi="Times New Roman"/>
                <w:b/>
                <w:bCs/>
                <w:noProof/>
                <w:sz w:val="24"/>
              </w:rPr>
              <w:t xml:space="preserve"> в COM(2018) 375 final за периода 2021—2027 г.</w:t>
            </w:r>
          </w:p>
        </w:tc>
        <w:tc>
          <w:tcPr>
            <w:tcW w:w="1044" w:type="dxa"/>
          </w:tcPr>
          <w:p>
            <w:pPr>
              <w:jc w:val="both"/>
              <w:rPr>
                <w:rFonts w:ascii="Times New Roman" w:eastAsia="Calibri" w:hAnsi="Times New Roman" w:cs="Times New Roman"/>
                <w:b/>
                <w:bCs/>
                <w:noProof/>
                <w:color w:val="000000"/>
                <w:sz w:val="24"/>
              </w:rPr>
            </w:pPr>
            <w:r>
              <w:rPr>
                <w:rFonts w:ascii="Times New Roman" w:hAnsi="Times New Roman"/>
                <w:b/>
                <w:bCs/>
                <w:noProof/>
                <w:color w:val="000000"/>
                <w:sz w:val="24"/>
              </w:rPr>
              <w:t>Маркер за чист въздух</w:t>
            </w:r>
          </w:p>
          <w:p>
            <w:pPr>
              <w:jc w:val="both"/>
              <w:rPr>
                <w:rFonts w:ascii="Times New Roman" w:eastAsia="Calibri" w:hAnsi="Times New Roman" w:cs="Times New Roman"/>
                <w:b/>
                <w:noProof/>
                <w:color w:val="FF0000"/>
                <w:sz w:val="24"/>
                <w:lang w:val="en-GB"/>
              </w:rPr>
            </w:pP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Код</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Поле</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Код</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Поле</w:t>
            </w:r>
          </w:p>
        </w:tc>
        <w:tc>
          <w:tcPr>
            <w:tcW w:w="1044" w:type="dxa"/>
          </w:tcPr>
          <w:p>
            <w:pPr>
              <w:jc w:val="both"/>
              <w:rPr>
                <w:rFonts w:ascii="Times New Roman" w:eastAsia="Calibri" w:hAnsi="Times New Roman" w:cs="Times New Roman"/>
                <w:b/>
                <w:noProof/>
                <w:sz w:val="24"/>
                <w:lang w:val="en-GB"/>
              </w:rPr>
            </w:pP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65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Инфраструктура за научноизследователска и иновационна дейност, процеси, трансфер на технологии и сътрудничество в предприятия с акцент върху нисковъглеродната икономика и устойчивостта към изменението на климата</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Научноизследователски и иновационни процеси, трансфер на технологии и сътрудничество в предприятия с акцент върху нисковъглеродната икономика и устойчивостта към изменението на климата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23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Научноизследователски и иновационни процеси, трансфер на технологии и сътрудничество между предприятия с акцент върху кръговата икономика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068</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Енергийна ефективност и демонстрационни проекти в МСП и спомагателни мерки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Енергийна ефективност и демонстрационни проекти в МСП и спомагателни мерки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Обновяване на наличния жилищен фонд с цел повишаване на енергийната ефективност, демонстрационни проекти и подкрепящи мерки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25</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Обновяване на наличния жилищен фонд с цел повишаване на енергийната ефективност, демонстрационни проекти и подкрепящи мерки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Обновяване на обществената инфраструктура с цел повишаване на енергийната ефективност, демонстрационни проекти и подкрепящи мерки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26</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Обновяване на обществената инфраструктура с цел повишаване на енергийната ефективност, демонстрационни проекти и подкрепящи мерки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071</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Развитие и насърчаване на предприятия, специализирани в предоставянето на услуги, които допринасят за нисковъглеродна икономика и устойчивост към изменението на климата (включително подкрепа за такива услуги)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Подпомагане на предприятията, които предоставят услуги, допринасящи за нисковъглеродна икономика и устойчивост към изменението на климата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009</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Енергия от възобновяеми източници: вятърна</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Енергия от възобновяеми източници: вятърна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010</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Енергия от възобновяеми източници: слънчева</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29</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Енергия от възобновяеми източници: слънчева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31</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Енергия от възобновяеми източници: морска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012</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Други видове енергия от възобновяеми източници (включително водноелектрическа, геотермална и морска енергия) и интегриране на енергията от възобновяеми източници (включително съхранение, инфраструктура за технологията „електроенергия в газ“ и водород от възобновяеми източници)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32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Други видове енергия от възобновяеми източници (включително геотермална енергия)</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Интелигентни системи за разпределение на електроенергия със средно и ниско напрежение (включително интелигентни мрежи и ИКТ системи)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33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Интелигентни системи за разпределение на електроенергия със средно и ниско напрежение (включително интелигентни мрежи и ИКТ системи) и свързаното с тях съхранение</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016</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Високоефективно комбинирано производство на енергия и централно отопление</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34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Високоефективно комбинирано производство на енергия, районни отоплителни и охладителни системи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017</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Управление на битови отпадъци (включващо мерки за минимизиране, сортиране и рециклиране на отпадъците)</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42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Управление на битови отпадъци превантивни мерки, мерки за минимизиране, сортиране и рециклиране</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r>
              <w:rPr>
                <w:noProof/>
              </w:rPr>
              <w:t xml:space="preserve"> </w:t>
            </w:r>
            <w:r>
              <w:rPr>
                <w:noProof/>
              </w:rPr>
              <w:br/>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069</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Подпомагане за екологосъобразни производствени процеси и ефективно използване на ресурсите в МСП</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47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Подпомагане за екологосъобразни производствени процеси и ефективно използване на ресурсите в МСП</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083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Мерки, свързани с качеството на въздуха</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48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Мерки за намаляване на шума и за качеството на въздуха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085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Опазване и укрепване на биологичното разнообразие, опазване на природата и екологосъобразна инфраструктура</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50</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Опазване на природата и биологичното разнообразие, екологосъобразна инфраструктура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Цифровизация на транспорта: автомобилен транспорт</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железопътни линии (основна мрежа на TEN-T — трансевропейската транспортна мрежа)</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64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Новопостроени железопътни линии на TEN-T — основна мрежа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Железопътен транспорт (цялостна мрежа на TEN-T)</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65</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Новопостроени железопътни линии на TEN-T — всеобхватна мрежа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026</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Друг железопътен транспорт</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66</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Други новопостроени железопътни линии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Реконструирани или ремонтирани железопътни линии на TEN-T — основна мрежа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Реконструирани или ремонтирани железопътни линии на TEN-T — всеобхватна мрежа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69</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Други реконструирани или ремонтирани железопътни линии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70</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Цифровизация на транспорта: железници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71</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Европейска система за управление на железопътното движение (ERTMS)</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027</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Подвижен железопътен състав</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72</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Подвижен железопътен състав</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043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Инфраструктура за екологосъобразен градски транспорт и насърчаване (включително оборудване и подвижен състав)</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73</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Инфраструктура за чист градски транспорт</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Подвижен състав за чист градски транспорт</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090</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Велосипедни и пешеходни алеи</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75</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Велосипедна инфраструктура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76</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Цифровизация на градския транспорт</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r>
              <w:rPr>
                <w:noProof/>
              </w:rPr>
              <w:t xml:space="preserve"> </w:t>
            </w:r>
            <w:r>
              <w:rPr>
                <w:noProof/>
              </w:rPr>
              <w:br/>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77</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Инфраструктура за алтернативни горива</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035</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Мултимодален транспорт (TEN-T)</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78</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Мултимодален транспорт (TEN-T)</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036</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Мултимодален транспорт</w:t>
            </w:r>
          </w:p>
        </w:tc>
        <w:tc>
          <w:tcPr>
            <w:tcW w:w="723" w:type="dxa"/>
          </w:tcPr>
          <w:p>
            <w:pPr>
              <w:jc w:val="both"/>
              <w:rPr>
                <w:rFonts w:ascii="Times New Roman" w:eastAsia="Calibri" w:hAnsi="Times New Roman" w:cs="Times New Roman"/>
                <w:noProof/>
                <w:sz w:val="24"/>
              </w:rPr>
            </w:pPr>
            <w:r>
              <w:rPr>
                <w:rFonts w:ascii="Times New Roman" w:hAnsi="Times New Roman"/>
                <w:noProof/>
                <w:sz w:val="24"/>
              </w:rPr>
              <w:t>79</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Мултимодален транспорт (извънградски)</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lang w:val="en-GB"/>
              </w:rPr>
            </w:pPr>
          </w:p>
        </w:tc>
        <w:tc>
          <w:tcPr>
            <w:tcW w:w="3321" w:type="dxa"/>
          </w:tcPr>
          <w:p>
            <w:pPr>
              <w:jc w:val="both"/>
              <w:rPr>
                <w:rFonts w:ascii="Times New Roman" w:eastAsia="Calibri" w:hAnsi="Times New Roman" w:cs="Times New Roman"/>
                <w:noProof/>
                <w:sz w:val="24"/>
                <w:lang w:val="en-GB"/>
              </w:rPr>
            </w:pPr>
          </w:p>
        </w:tc>
        <w:tc>
          <w:tcPr>
            <w:tcW w:w="723" w:type="dxa"/>
          </w:tcPr>
          <w:p>
            <w:pPr>
              <w:jc w:val="both"/>
              <w:rPr>
                <w:rFonts w:ascii="Times New Roman" w:eastAsia="Calibri" w:hAnsi="Times New Roman" w:cs="Times New Roman"/>
                <w:noProof/>
                <w:sz w:val="24"/>
              </w:rPr>
            </w:pPr>
            <w:r>
              <w:rPr>
                <w:rFonts w:ascii="Times New Roman" w:hAnsi="Times New Roman"/>
                <w:noProof/>
                <w:sz w:val="24"/>
              </w:rPr>
              <w:t>84</w:t>
            </w:r>
          </w:p>
        </w:tc>
        <w:tc>
          <w:tcPr>
            <w:tcW w:w="3477" w:type="dxa"/>
          </w:tcPr>
          <w:p>
            <w:pPr>
              <w:jc w:val="both"/>
              <w:rPr>
                <w:rFonts w:ascii="Times New Roman" w:eastAsia="Calibri" w:hAnsi="Times New Roman" w:cs="Times New Roman"/>
                <w:noProof/>
                <w:sz w:val="24"/>
              </w:rPr>
            </w:pPr>
            <w:r>
              <w:rPr>
                <w:rFonts w:ascii="Times New Roman" w:hAnsi="Times New Roman"/>
                <w:noProof/>
                <w:sz w:val="24"/>
              </w:rPr>
              <w:t>Цифровизация на транспорта: други видове транспорт</w:t>
            </w: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007</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Природен газ</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008</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Природен газ (TEN-Е)</w:t>
            </w:r>
          </w:p>
        </w:tc>
        <w:tc>
          <w:tcPr>
            <w:tcW w:w="723" w:type="dxa"/>
          </w:tcPr>
          <w:p>
            <w:pPr>
              <w:jc w:val="both"/>
              <w:rPr>
                <w:rFonts w:ascii="Times New Roman" w:eastAsia="Calibri" w:hAnsi="Times New Roman" w:cs="Times New Roman"/>
                <w:noProof/>
                <w:sz w:val="24"/>
                <w:lang w:val="en-GB"/>
              </w:rPr>
            </w:pPr>
          </w:p>
        </w:tc>
        <w:tc>
          <w:tcPr>
            <w:tcW w:w="3477" w:type="dxa"/>
          </w:tcPr>
          <w:p>
            <w:pPr>
              <w:jc w:val="both"/>
              <w:rPr>
                <w:rFonts w:ascii="Times New Roman" w:eastAsia="Calibri" w:hAnsi="Times New Roman" w:cs="Times New Roman"/>
                <w:noProof/>
                <w:sz w:val="24"/>
                <w:lang w:val="en-GB"/>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023</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723" w:type="dxa"/>
          </w:tcPr>
          <w:p>
            <w:pPr>
              <w:jc w:val="both"/>
              <w:rPr>
                <w:rFonts w:ascii="Times New Roman" w:eastAsia="Calibri" w:hAnsi="Times New Roman" w:cs="Times New Roman"/>
                <w:noProof/>
                <w:sz w:val="24"/>
                <w:lang w:val="ru-RU"/>
              </w:rPr>
            </w:pPr>
          </w:p>
        </w:tc>
        <w:tc>
          <w:tcPr>
            <w:tcW w:w="3477" w:type="dxa"/>
          </w:tcPr>
          <w:p>
            <w:pPr>
              <w:jc w:val="both"/>
              <w:rPr>
                <w:rFonts w:ascii="Times New Roman" w:eastAsia="Calibri" w:hAnsi="Times New Roman" w:cs="Times New Roman"/>
                <w:noProof/>
                <w:sz w:val="24"/>
                <w:lang w:val="ru-RU"/>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044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Интелигентни транспортни системи (включително въвеждане на управление на търсенето, системи за събиране на такси, ИТ системи за наблюдение, контрол и информиране)</w:t>
            </w:r>
          </w:p>
        </w:tc>
        <w:tc>
          <w:tcPr>
            <w:tcW w:w="723" w:type="dxa"/>
          </w:tcPr>
          <w:p>
            <w:pPr>
              <w:jc w:val="both"/>
              <w:rPr>
                <w:rFonts w:ascii="Times New Roman" w:eastAsia="Calibri" w:hAnsi="Times New Roman" w:cs="Times New Roman"/>
                <w:noProof/>
                <w:sz w:val="24"/>
                <w:lang w:val="ru-RU"/>
              </w:rPr>
            </w:pPr>
          </w:p>
        </w:tc>
        <w:tc>
          <w:tcPr>
            <w:tcW w:w="3477" w:type="dxa"/>
          </w:tcPr>
          <w:p>
            <w:pPr>
              <w:jc w:val="both"/>
              <w:rPr>
                <w:rFonts w:ascii="Times New Roman" w:eastAsia="Calibri" w:hAnsi="Times New Roman" w:cs="Times New Roman"/>
                <w:noProof/>
                <w:sz w:val="24"/>
                <w:lang w:val="ru-RU"/>
              </w:rPr>
            </w:pPr>
          </w:p>
        </w:tc>
        <w:tc>
          <w:tcPr>
            <w:tcW w:w="1044"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070</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Повишаване на енергийната ефективност в големите предприятия</w:t>
            </w:r>
          </w:p>
        </w:tc>
        <w:tc>
          <w:tcPr>
            <w:tcW w:w="723" w:type="dxa"/>
          </w:tcPr>
          <w:p>
            <w:pPr>
              <w:jc w:val="both"/>
              <w:rPr>
                <w:rFonts w:ascii="Times New Roman" w:eastAsia="Calibri" w:hAnsi="Times New Roman" w:cs="Times New Roman"/>
                <w:noProof/>
                <w:sz w:val="24"/>
                <w:lang w:val="ru-RU"/>
              </w:rPr>
            </w:pPr>
          </w:p>
        </w:tc>
        <w:tc>
          <w:tcPr>
            <w:tcW w:w="3477" w:type="dxa"/>
          </w:tcPr>
          <w:p>
            <w:pPr>
              <w:jc w:val="both"/>
              <w:rPr>
                <w:rFonts w:ascii="Times New Roman" w:eastAsia="Calibri" w:hAnsi="Times New Roman" w:cs="Times New Roman"/>
                <w:noProof/>
                <w:sz w:val="24"/>
                <w:lang w:val="ru-RU"/>
              </w:rPr>
            </w:pPr>
          </w:p>
        </w:tc>
        <w:tc>
          <w:tcPr>
            <w:tcW w:w="1044" w:type="dxa"/>
          </w:tcPr>
          <w:p>
            <w:pPr>
              <w:jc w:val="both"/>
              <w:rPr>
                <w:rFonts w:ascii="Times New Roman" w:eastAsia="Calibri" w:hAnsi="Times New Roman" w:cs="Times New Roman"/>
                <w:noProof/>
                <w:sz w:val="24"/>
                <w:highlight w:val="yellow"/>
              </w:rPr>
            </w:pPr>
            <w:r>
              <w:rPr>
                <w:rFonts w:ascii="Times New Roman" w:hAnsi="Times New Roman"/>
                <w:noProof/>
                <w:sz w:val="24"/>
              </w:rPr>
              <w:t>40</w:t>
            </w:r>
          </w:p>
        </w:tc>
      </w:tr>
      <w:tr>
        <w:tc>
          <w:tcPr>
            <w:tcW w:w="723" w:type="dxa"/>
          </w:tcPr>
          <w:p>
            <w:pPr>
              <w:jc w:val="both"/>
              <w:rPr>
                <w:rFonts w:ascii="Times New Roman" w:eastAsia="Calibri" w:hAnsi="Times New Roman" w:cs="Times New Roman"/>
                <w:noProof/>
                <w:sz w:val="24"/>
              </w:rPr>
            </w:pPr>
            <w:r>
              <w:rPr>
                <w:rFonts w:ascii="Times New Roman" w:hAnsi="Times New Roman"/>
                <w:noProof/>
                <w:sz w:val="24"/>
              </w:rPr>
              <w:t>084</w:t>
            </w:r>
          </w:p>
        </w:tc>
        <w:tc>
          <w:tcPr>
            <w:tcW w:w="3321" w:type="dxa"/>
          </w:tcPr>
          <w:p>
            <w:pPr>
              <w:jc w:val="both"/>
              <w:rPr>
                <w:rFonts w:ascii="Times New Roman" w:eastAsia="Calibri" w:hAnsi="Times New Roman" w:cs="Times New Roman"/>
                <w:noProof/>
                <w:sz w:val="24"/>
              </w:rPr>
            </w:pPr>
            <w:r>
              <w:rPr>
                <w:rFonts w:ascii="Times New Roman" w:hAnsi="Times New Roman"/>
                <w:noProof/>
                <w:sz w:val="24"/>
              </w:rPr>
              <w:t>Комплексно предотвратяване и контрол на замърсяването (КПКЗ)</w:t>
            </w:r>
          </w:p>
        </w:tc>
        <w:tc>
          <w:tcPr>
            <w:tcW w:w="723" w:type="dxa"/>
          </w:tcPr>
          <w:p>
            <w:pPr>
              <w:jc w:val="both"/>
              <w:rPr>
                <w:rFonts w:ascii="Times New Roman" w:eastAsia="Calibri" w:hAnsi="Times New Roman" w:cs="Times New Roman"/>
                <w:noProof/>
                <w:sz w:val="24"/>
                <w:lang w:val="ru-RU"/>
              </w:rPr>
            </w:pPr>
          </w:p>
        </w:tc>
        <w:tc>
          <w:tcPr>
            <w:tcW w:w="3477" w:type="dxa"/>
          </w:tcPr>
          <w:p>
            <w:pPr>
              <w:jc w:val="both"/>
              <w:rPr>
                <w:rFonts w:ascii="Times New Roman" w:eastAsia="Calibri" w:hAnsi="Times New Roman" w:cs="Times New Roman"/>
                <w:noProof/>
                <w:sz w:val="24"/>
                <w:lang w:val="ru-RU"/>
              </w:rPr>
            </w:pPr>
          </w:p>
        </w:tc>
        <w:tc>
          <w:tcPr>
            <w:tcW w:w="1044" w:type="dxa"/>
          </w:tcPr>
          <w:p>
            <w:pPr>
              <w:jc w:val="both"/>
              <w:rPr>
                <w:rFonts w:ascii="Times New Roman" w:eastAsia="Calibri" w:hAnsi="Times New Roman" w:cs="Times New Roman"/>
                <w:noProof/>
                <w:sz w:val="24"/>
                <w:highlight w:val="yellow"/>
              </w:rPr>
            </w:pPr>
            <w:r>
              <w:rPr>
                <w:rFonts w:ascii="Times New Roman" w:hAnsi="Times New Roman"/>
                <w:noProof/>
                <w:sz w:val="24"/>
              </w:rPr>
              <w:t>40</w:t>
            </w:r>
          </w:p>
        </w:tc>
      </w:tr>
    </w:tbl>
    <w:p>
      <w:pPr>
        <w:spacing w:after="0" w:line="240" w:lineRule="auto"/>
        <w:jc w:val="both"/>
        <w:rPr>
          <w:rFonts w:ascii="Times New Roman" w:eastAsia="Calibri" w:hAnsi="Times New Roman" w:cs="Times New Roman"/>
          <w:noProof/>
          <w:sz w:val="24"/>
          <w:lang w:val="en-GB"/>
        </w:rPr>
      </w:pP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Всяко поле на интервенция, което не е показано в тази таблица, е маркирано с 0 за проследяването на чистия въздух.</w:t>
      </w:r>
    </w:p>
    <w:p>
      <w:pPr>
        <w:spacing w:line="240" w:lineRule="auto"/>
        <w:jc w:val="both"/>
        <w:rPr>
          <w:rFonts w:ascii="Times New Roman" w:eastAsia="Calibri" w:hAnsi="Times New Roman" w:cs="Times New Roman"/>
          <w:noProof/>
          <w:sz w:val="24"/>
          <w:szCs w:val="24"/>
          <w:lang w:val="ru-RU"/>
        </w:rPr>
      </w:pPr>
    </w:p>
    <w:p>
      <w:pPr>
        <w:keepNext/>
        <w:keepLines/>
        <w:spacing w:before="40" w:after="0" w:line="240" w:lineRule="auto"/>
        <w:jc w:val="both"/>
        <w:outlineLvl w:val="2"/>
        <w:rPr>
          <w:rFonts w:ascii="Cambria" w:eastAsia="Times New Roman" w:hAnsi="Cambria" w:cs="Times New Roman"/>
          <w:noProof/>
          <w:color w:val="243F60"/>
          <w:sz w:val="24"/>
          <w:szCs w:val="24"/>
        </w:rPr>
      </w:pPr>
      <w:bookmarkStart w:id="6" w:name="_Toc38542845"/>
      <w:r>
        <w:rPr>
          <w:rFonts w:ascii="Cambria" w:hAnsi="Cambria"/>
          <w:noProof/>
          <w:sz w:val="24"/>
          <w:szCs w:val="24"/>
        </w:rPr>
        <w:t xml:space="preserve">д) </w:t>
      </w:r>
      <w:bookmarkEnd w:id="6"/>
      <w:r>
        <w:rPr>
          <w:rFonts w:ascii="Cambria" w:hAnsi="Cambria"/>
          <w:noProof/>
          <w:sz w:val="24"/>
          <w:szCs w:val="24"/>
        </w:rPr>
        <w:t>Обща селскостопанска политика</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222"/>
        <w:gridCol w:w="1075"/>
      </w:tblGrid>
      <w:tr>
        <w:tc>
          <w:tcPr>
            <w:tcW w:w="8272" w:type="dxa"/>
          </w:tcPr>
          <w:p>
            <w:pPr>
              <w:jc w:val="both"/>
              <w:rPr>
                <w:rFonts w:ascii="Times New Roman" w:eastAsia="Calibri" w:hAnsi="Times New Roman" w:cs="Times New Roman"/>
                <w:b/>
                <w:noProof/>
                <w:sz w:val="24"/>
              </w:rPr>
            </w:pPr>
            <w:r>
              <w:rPr>
                <w:rFonts w:ascii="Times New Roman" w:hAnsi="Times New Roman"/>
                <w:b/>
                <w:noProof/>
                <w:sz w:val="24"/>
              </w:rPr>
              <w:t>Действие</w:t>
            </w:r>
          </w:p>
        </w:tc>
        <w:tc>
          <w:tcPr>
            <w:tcW w:w="1016" w:type="dxa"/>
          </w:tcPr>
          <w:p>
            <w:pPr>
              <w:jc w:val="both"/>
              <w:rPr>
                <w:rFonts w:ascii="Times New Roman" w:eastAsia="Calibri" w:hAnsi="Times New Roman" w:cs="Times New Roman"/>
                <w:b/>
                <w:noProof/>
                <w:sz w:val="24"/>
              </w:rPr>
            </w:pPr>
            <w:r>
              <w:rPr>
                <w:rFonts w:ascii="Times New Roman" w:hAnsi="Times New Roman"/>
                <w:b/>
                <w:noProof/>
                <w:sz w:val="24"/>
              </w:rPr>
              <w:t>Маркер</w:t>
            </w:r>
          </w:p>
        </w:tc>
      </w:tr>
      <w:tr>
        <w:tc>
          <w:tcPr>
            <w:tcW w:w="8272" w:type="dxa"/>
          </w:tcPr>
          <w:p>
            <w:pPr>
              <w:jc w:val="both"/>
              <w:rPr>
                <w:rFonts w:ascii="Times New Roman" w:eastAsia="Calibri" w:hAnsi="Times New Roman" w:cs="Times New Roman"/>
                <w:noProof/>
                <w:sz w:val="24"/>
                <w:szCs w:val="24"/>
              </w:rPr>
            </w:pPr>
            <w:r>
              <w:rPr>
                <w:rFonts w:ascii="Times New Roman" w:hAnsi="Times New Roman"/>
                <w:noProof/>
                <w:color w:val="000000"/>
                <w:sz w:val="24"/>
                <w:szCs w:val="24"/>
                <w:shd w:val="clear" w:color="auto" w:fill="FFFFFF"/>
              </w:rPr>
              <w:t>Европейски земеделски фонд за развитие на селските райони (ЕЗФРСР) </w:t>
            </w:r>
          </w:p>
        </w:tc>
        <w:tc>
          <w:tcPr>
            <w:tcW w:w="1016" w:type="dxa"/>
          </w:tcPr>
          <w:p>
            <w:pPr>
              <w:jc w:val="both"/>
              <w:rPr>
                <w:rFonts w:ascii="Times New Roman" w:eastAsia="Calibri" w:hAnsi="Times New Roman" w:cs="Times New Roman"/>
                <w:noProof/>
                <w:sz w:val="24"/>
                <w:lang w:val="ru-RU"/>
              </w:rPr>
            </w:pP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 xml:space="preserve"> Целева област 2А (модернизиране на земеделските стопанства)</w:t>
            </w:r>
            <w:r>
              <w:rPr>
                <w:rFonts w:ascii="Times New Roman" w:eastAsia="Calibri" w:hAnsi="Times New Roman" w:cs="Times New Roman"/>
                <w:noProof/>
                <w:sz w:val="24"/>
                <w:vertAlign w:val="superscript"/>
                <w:lang w:val="en-GB"/>
              </w:rPr>
              <w:footnoteReference w:id="8"/>
            </w:r>
          </w:p>
        </w:tc>
        <w:tc>
          <w:tcPr>
            <w:tcW w:w="1016" w:type="dxa"/>
          </w:tcPr>
          <w:p>
            <w:pPr>
              <w:jc w:val="both"/>
              <w:rPr>
                <w:rFonts w:ascii="Times New Roman" w:eastAsia="Calibri" w:hAnsi="Times New Roman" w:cs="Times New Roman"/>
                <w:noProof/>
                <w:sz w:val="24"/>
              </w:rPr>
            </w:pPr>
            <w:r>
              <w:rPr>
                <w:rFonts w:ascii="Times New Roman" w:hAnsi="Times New Roman"/>
                <w:noProof/>
                <w:sz w:val="24"/>
              </w:rPr>
              <w:t>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 xml:space="preserve"> Целева област 5Б (енергийна ефективност)</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8272" w:type="dxa"/>
          </w:tcPr>
          <w:p>
            <w:pPr>
              <w:ind w:left="426" w:hanging="426"/>
              <w:jc w:val="both"/>
              <w:rPr>
                <w:rFonts w:ascii="Times New Roman" w:eastAsia="Calibri" w:hAnsi="Times New Roman" w:cs="Times New Roman"/>
                <w:noProof/>
                <w:sz w:val="24"/>
              </w:rPr>
            </w:pPr>
            <w:r>
              <w:rPr>
                <w:rFonts w:ascii="Times New Roman" w:hAnsi="Times New Roman"/>
                <w:noProof/>
                <w:sz w:val="24"/>
              </w:rPr>
              <w:t xml:space="preserve"> Целева област 5Г (намаляване на парниковите газове и емисиите на амоняк от селското стопанство) </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Първи стълб на ОСП</w:t>
            </w:r>
            <w:r>
              <w:rPr>
                <w:rFonts w:ascii="Times New Roman" w:eastAsia="Calibri" w:hAnsi="Times New Roman" w:cs="Times New Roman"/>
                <w:noProof/>
                <w:sz w:val="24"/>
                <w:vertAlign w:val="superscript"/>
                <w:lang w:val="en-GB"/>
              </w:rPr>
              <w:footnoteReference w:id="9"/>
            </w:r>
          </w:p>
        </w:tc>
        <w:tc>
          <w:tcPr>
            <w:tcW w:w="1016" w:type="dxa"/>
          </w:tcPr>
          <w:p>
            <w:pPr>
              <w:jc w:val="both"/>
              <w:rPr>
                <w:rFonts w:ascii="Times New Roman" w:eastAsia="Calibri" w:hAnsi="Times New Roman" w:cs="Times New Roman"/>
                <w:noProof/>
                <w:sz w:val="24"/>
              </w:rPr>
            </w:pPr>
            <w:r>
              <w:rPr>
                <w:rFonts w:ascii="Times New Roman" w:hAnsi="Times New Roman"/>
                <w:noProof/>
                <w:sz w:val="24"/>
              </w:rPr>
              <w:t>0</w:t>
            </w:r>
          </w:p>
        </w:tc>
      </w:tr>
    </w:tbl>
    <w:p>
      <w:pPr>
        <w:rPr>
          <w:rFonts w:ascii="Times New Roman" w:eastAsia="Times New Roman" w:hAnsi="Times New Roman" w:cs="Times New Roman"/>
          <w:noProof/>
          <w:sz w:val="24"/>
          <w:szCs w:val="24"/>
        </w:rPr>
      </w:pPr>
      <w:bookmarkStart w:id="7" w:name="_Toc38542846"/>
      <w:r>
        <w:rPr>
          <w:rFonts w:ascii="Cambria" w:hAnsi="Cambria"/>
          <w:noProof/>
          <w:sz w:val="24"/>
          <w:szCs w:val="24"/>
        </w:rPr>
        <w:t xml:space="preserve">е) </w:t>
      </w:r>
      <w:bookmarkEnd w:id="7"/>
      <w:r>
        <w:rPr>
          <w:noProof/>
        </w:rPr>
        <w:t xml:space="preserve">програма </w:t>
      </w:r>
      <w:r>
        <w:rPr>
          <w:rFonts w:ascii="Times New Roman" w:hAnsi="Times New Roman"/>
          <w:noProof/>
          <w:sz w:val="24"/>
          <w:szCs w:val="24"/>
        </w:rPr>
        <w:t>LIFE</w:t>
      </w:r>
    </w:p>
    <w:p>
      <w:pPr>
        <w:spacing w:after="0" w:line="240" w:lineRule="auto"/>
        <w:jc w:val="both"/>
        <w:rPr>
          <w:rFonts w:ascii="Times New Roman" w:eastAsia="Calibri" w:hAnsi="Times New Roman" w:cs="Times New Roman"/>
          <w:noProof/>
          <w:sz w:val="24"/>
          <w:lang w:val="en-GB"/>
        </w:rPr>
      </w:pPr>
    </w:p>
    <w:tbl>
      <w:tblPr>
        <w:tblStyle w:val="TableGrid"/>
        <w:tblW w:w="0" w:type="auto"/>
        <w:tblLook w:val="04A0" w:firstRow="1" w:lastRow="0" w:firstColumn="1" w:lastColumn="0" w:noHBand="0" w:noVBand="1"/>
      </w:tblPr>
      <w:tblGrid>
        <w:gridCol w:w="7222"/>
        <w:gridCol w:w="1075"/>
      </w:tblGrid>
      <w:tr>
        <w:tc>
          <w:tcPr>
            <w:tcW w:w="8272" w:type="dxa"/>
          </w:tcPr>
          <w:p>
            <w:pPr>
              <w:jc w:val="both"/>
              <w:rPr>
                <w:rFonts w:ascii="Times New Roman" w:eastAsia="Calibri" w:hAnsi="Times New Roman" w:cs="Times New Roman"/>
                <w:b/>
                <w:noProof/>
                <w:sz w:val="24"/>
              </w:rPr>
            </w:pPr>
            <w:r>
              <w:rPr>
                <w:rFonts w:ascii="Times New Roman" w:hAnsi="Times New Roman"/>
                <w:b/>
                <w:noProof/>
                <w:sz w:val="24"/>
              </w:rPr>
              <w:t>Действие</w:t>
            </w:r>
          </w:p>
        </w:tc>
        <w:tc>
          <w:tcPr>
            <w:tcW w:w="1016" w:type="dxa"/>
          </w:tcPr>
          <w:p>
            <w:pPr>
              <w:jc w:val="both"/>
              <w:rPr>
                <w:rFonts w:ascii="Times New Roman" w:eastAsia="Calibri" w:hAnsi="Times New Roman" w:cs="Times New Roman"/>
                <w:b/>
                <w:noProof/>
                <w:sz w:val="24"/>
              </w:rPr>
            </w:pPr>
            <w:r>
              <w:rPr>
                <w:rFonts w:ascii="Times New Roman" w:hAnsi="Times New Roman"/>
                <w:b/>
                <w:noProof/>
                <w:sz w:val="24"/>
              </w:rPr>
              <w:t>Маркер</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Проекти с чист въздух като основна цел, например:</w:t>
            </w:r>
          </w:p>
          <w:p>
            <w:pPr>
              <w:numPr>
                <w:ilvl w:val="0"/>
                <w:numId w:val="5"/>
              </w:numPr>
              <w:contextualSpacing/>
              <w:jc w:val="both"/>
              <w:rPr>
                <w:rFonts w:ascii="Times New Roman" w:eastAsia="Calibri" w:hAnsi="Times New Roman" w:cs="Times New Roman"/>
                <w:noProof/>
              </w:rPr>
            </w:pPr>
            <w:r>
              <w:rPr>
                <w:rFonts w:ascii="Times New Roman" w:hAnsi="Times New Roman"/>
                <w:noProof/>
              </w:rPr>
              <w:t>Интегрирани проекти за чист въздух (включително проекти за техническа помощ, ако е приложимо)</w:t>
            </w:r>
          </w:p>
          <w:p>
            <w:pPr>
              <w:numPr>
                <w:ilvl w:val="0"/>
                <w:numId w:val="5"/>
              </w:numPr>
              <w:contextualSpacing/>
              <w:jc w:val="both"/>
              <w:rPr>
                <w:rFonts w:ascii="Times New Roman" w:eastAsia="Calibri" w:hAnsi="Times New Roman" w:cs="Times New Roman"/>
                <w:noProof/>
              </w:rPr>
            </w:pPr>
            <w:r>
              <w:rPr>
                <w:rFonts w:ascii="Times New Roman" w:hAnsi="Times New Roman"/>
                <w:noProof/>
              </w:rPr>
              <w:t>Традиционни проекти за околна среда и ефективност на ресурсите, допринасящи за чистия въздух като приоритетна тема</w:t>
            </w:r>
          </w:p>
          <w:p>
            <w:pPr>
              <w:numPr>
                <w:ilvl w:val="0"/>
                <w:numId w:val="5"/>
              </w:numPr>
              <w:contextualSpacing/>
              <w:jc w:val="both"/>
              <w:rPr>
                <w:rFonts w:ascii="Times New Roman" w:eastAsia="Calibri" w:hAnsi="Times New Roman" w:cs="Times New Roman"/>
                <w:noProof/>
              </w:rPr>
            </w:pPr>
            <w:r>
              <w:rPr>
                <w:rFonts w:ascii="Times New Roman" w:hAnsi="Times New Roman"/>
                <w:noProof/>
              </w:rPr>
              <w:t>Управление на околната среда и информация за традиционни проекти с акцент върху чистия въздух</w:t>
            </w:r>
          </w:p>
          <w:p>
            <w:pPr>
              <w:numPr>
                <w:ilvl w:val="0"/>
                <w:numId w:val="5"/>
              </w:numPr>
              <w:contextualSpacing/>
              <w:jc w:val="both"/>
              <w:rPr>
                <w:rFonts w:ascii="Times New Roman" w:eastAsia="Calibri" w:hAnsi="Times New Roman" w:cs="Times New Roman"/>
                <w:noProof/>
              </w:rPr>
            </w:pPr>
            <w:r>
              <w:rPr>
                <w:rFonts w:ascii="Times New Roman" w:hAnsi="Times New Roman"/>
                <w:noProof/>
              </w:rPr>
              <w:t>Подготвителни проекти с акцент върху чистия въздух</w:t>
            </w:r>
          </w:p>
          <w:p>
            <w:pPr>
              <w:numPr>
                <w:ilvl w:val="0"/>
                <w:numId w:val="5"/>
              </w:numPr>
              <w:contextualSpacing/>
              <w:jc w:val="both"/>
              <w:rPr>
                <w:rFonts w:ascii="Times New Roman" w:eastAsia="Calibri" w:hAnsi="Times New Roman" w:cs="Times New Roman"/>
                <w:noProof/>
              </w:rPr>
            </w:pPr>
            <w:r>
              <w:rPr>
                <w:rFonts w:ascii="Times New Roman" w:hAnsi="Times New Roman"/>
                <w:noProof/>
              </w:rPr>
              <w:t>Оперативни безвъзмездни средства за НПО с акцент върху чистия въздух</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100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 xml:space="preserve">Проекти, допринасящи за чистия въздух, като: </w:t>
            </w:r>
          </w:p>
          <w:p>
            <w:pPr>
              <w:numPr>
                <w:ilvl w:val="0"/>
                <w:numId w:val="5"/>
              </w:numPr>
              <w:contextualSpacing/>
              <w:jc w:val="both"/>
              <w:rPr>
                <w:rFonts w:ascii="Times New Roman" w:eastAsia="Calibri" w:hAnsi="Times New Roman" w:cs="Times New Roman"/>
                <w:noProof/>
              </w:rPr>
            </w:pPr>
            <w:r>
              <w:rPr>
                <w:rFonts w:ascii="Times New Roman" w:hAnsi="Times New Roman"/>
                <w:noProof/>
              </w:rPr>
              <w:t>Интегрирани проекти по подпрограмата за околна среда, които допринасят за чистия въздух (включително проекти за техническа помощ, ако е приложимо)</w:t>
            </w:r>
          </w:p>
          <w:p>
            <w:pPr>
              <w:numPr>
                <w:ilvl w:val="0"/>
                <w:numId w:val="5"/>
              </w:numPr>
              <w:contextualSpacing/>
              <w:jc w:val="both"/>
              <w:rPr>
                <w:rFonts w:ascii="Times New Roman" w:eastAsia="Calibri" w:hAnsi="Times New Roman" w:cs="Times New Roman"/>
                <w:noProof/>
              </w:rPr>
            </w:pPr>
            <w:r>
              <w:rPr>
                <w:rFonts w:ascii="Times New Roman" w:hAnsi="Times New Roman"/>
                <w:noProof/>
              </w:rPr>
              <w:t xml:space="preserve">Традиционни проекти за околна среда и ефективност на ресурсите, допринасящи за чистия въздух като второстепенно предимство </w:t>
            </w:r>
          </w:p>
          <w:p>
            <w:pPr>
              <w:numPr>
                <w:ilvl w:val="0"/>
                <w:numId w:val="5"/>
              </w:numPr>
              <w:contextualSpacing/>
              <w:jc w:val="both"/>
              <w:rPr>
                <w:rFonts w:ascii="Times New Roman" w:eastAsia="Calibri" w:hAnsi="Times New Roman" w:cs="Times New Roman"/>
                <w:noProof/>
              </w:rPr>
            </w:pPr>
            <w:r>
              <w:rPr>
                <w:rFonts w:ascii="Times New Roman" w:hAnsi="Times New Roman"/>
                <w:noProof/>
              </w:rPr>
              <w:t>Традиционни проекти за управление на околната среда и информация, допринасящи за чистия въздух като второстепенно предимство</w:t>
            </w:r>
          </w:p>
          <w:p>
            <w:pPr>
              <w:numPr>
                <w:ilvl w:val="0"/>
                <w:numId w:val="5"/>
              </w:numPr>
              <w:contextualSpacing/>
              <w:jc w:val="both"/>
              <w:rPr>
                <w:rFonts w:ascii="Times New Roman" w:eastAsia="Calibri" w:hAnsi="Times New Roman" w:cs="Times New Roman"/>
                <w:noProof/>
              </w:rPr>
            </w:pPr>
            <w:r>
              <w:rPr>
                <w:rFonts w:ascii="Times New Roman" w:hAnsi="Times New Roman"/>
                <w:noProof/>
              </w:rPr>
              <w:t>Подготвителни проекти, допринасящи за чистия въздух като второстепенно предимство</w:t>
            </w:r>
          </w:p>
          <w:p>
            <w:pPr>
              <w:numPr>
                <w:ilvl w:val="0"/>
                <w:numId w:val="5"/>
              </w:numPr>
              <w:contextualSpacing/>
              <w:jc w:val="both"/>
              <w:rPr>
                <w:rFonts w:ascii="Times New Roman" w:eastAsia="Calibri" w:hAnsi="Times New Roman" w:cs="Times New Roman"/>
                <w:noProof/>
              </w:rPr>
            </w:pPr>
            <w:r>
              <w:rPr>
                <w:rFonts w:ascii="Times New Roman" w:hAnsi="Times New Roman"/>
                <w:noProof/>
              </w:rPr>
              <w:t>Интегрирани проекти по подпрограмата за действия в областта на климата, които допринасят за чистия въздух (включително проекти за техническа помощ, ако е приложимо)</w:t>
            </w:r>
          </w:p>
          <w:p>
            <w:pPr>
              <w:numPr>
                <w:ilvl w:val="0"/>
                <w:numId w:val="5"/>
              </w:numPr>
              <w:contextualSpacing/>
              <w:jc w:val="both"/>
              <w:rPr>
                <w:rFonts w:ascii="Times New Roman" w:eastAsia="Calibri" w:hAnsi="Times New Roman" w:cs="Times New Roman"/>
                <w:noProof/>
              </w:rPr>
            </w:pPr>
            <w:r>
              <w:rPr>
                <w:rFonts w:ascii="Times New Roman" w:hAnsi="Times New Roman"/>
                <w:noProof/>
              </w:rPr>
              <w:t>Традиционни проекти за смекчаване на последиците от изменението на климата, допринасящи за чистия въздух като второстепенно предимство</w:t>
            </w:r>
          </w:p>
          <w:p>
            <w:pPr>
              <w:numPr>
                <w:ilvl w:val="0"/>
                <w:numId w:val="5"/>
              </w:numPr>
              <w:contextualSpacing/>
              <w:jc w:val="both"/>
              <w:rPr>
                <w:rFonts w:ascii="Times New Roman" w:eastAsia="Calibri" w:hAnsi="Times New Roman" w:cs="Times New Roman"/>
                <w:noProof/>
              </w:rPr>
            </w:pPr>
            <w:r>
              <w:rPr>
                <w:rFonts w:ascii="Times New Roman" w:hAnsi="Times New Roman"/>
                <w:noProof/>
              </w:rPr>
              <w:t>Традиционни проекти за управление на климата и информация, допринасящи за чистия въздух като второстепенно предимство</w:t>
            </w:r>
          </w:p>
          <w:p>
            <w:pPr>
              <w:numPr>
                <w:ilvl w:val="0"/>
                <w:numId w:val="5"/>
              </w:numPr>
              <w:contextualSpacing/>
              <w:jc w:val="both"/>
              <w:rPr>
                <w:rFonts w:ascii="Times New Roman" w:eastAsia="Calibri" w:hAnsi="Times New Roman" w:cs="Times New Roman"/>
                <w:noProof/>
              </w:rPr>
            </w:pPr>
            <w:r>
              <w:rPr>
                <w:rFonts w:ascii="Times New Roman" w:hAnsi="Times New Roman"/>
                <w:noProof/>
              </w:rPr>
              <w:t>Оперативни безвъзмездни средства за НПО, които допринасят за чистия въздух</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40</w:t>
            </w:r>
          </w:p>
        </w:tc>
      </w:tr>
      <w:tr>
        <w:tc>
          <w:tcPr>
            <w:tcW w:w="8272" w:type="dxa"/>
          </w:tcPr>
          <w:p>
            <w:pPr>
              <w:jc w:val="both"/>
              <w:rPr>
                <w:rFonts w:ascii="Times New Roman" w:eastAsia="Calibri" w:hAnsi="Times New Roman" w:cs="Times New Roman"/>
                <w:noProof/>
                <w:sz w:val="24"/>
              </w:rPr>
            </w:pPr>
            <w:r>
              <w:rPr>
                <w:rFonts w:ascii="Times New Roman" w:hAnsi="Times New Roman"/>
                <w:noProof/>
                <w:sz w:val="24"/>
              </w:rPr>
              <w:t>Проекти или дейности извън обхвата на гореспоменатите категории</w:t>
            </w:r>
          </w:p>
        </w:tc>
        <w:tc>
          <w:tcPr>
            <w:tcW w:w="1016" w:type="dxa"/>
          </w:tcPr>
          <w:p>
            <w:pPr>
              <w:jc w:val="both"/>
              <w:rPr>
                <w:rFonts w:ascii="Times New Roman" w:eastAsia="Calibri" w:hAnsi="Times New Roman" w:cs="Times New Roman"/>
                <w:noProof/>
                <w:sz w:val="24"/>
              </w:rPr>
            </w:pPr>
            <w:r>
              <w:rPr>
                <w:rFonts w:ascii="Times New Roman" w:hAnsi="Times New Roman"/>
                <w:noProof/>
                <w:sz w:val="24"/>
              </w:rPr>
              <w:t>0</w:t>
            </w:r>
          </w:p>
        </w:tc>
      </w:tr>
    </w:tbl>
    <w:p>
      <w:pPr>
        <w:spacing w:after="0" w:line="240" w:lineRule="auto"/>
        <w:jc w:val="both"/>
        <w:rPr>
          <w:rFonts w:ascii="Times New Roman" w:eastAsia="Calibri" w:hAnsi="Times New Roman" w:cs="Times New Roman"/>
          <w:noProof/>
          <w:sz w:val="24"/>
          <w:lang w:val="en-GB"/>
        </w:rPr>
      </w:pPr>
    </w:p>
    <w:p>
      <w:pPr>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В рамките на програмата LIFE чистият въздух се подкрепя от специализирани традиционни и интегрирани проекти, но като проблем, който засяга цялата програма, чистият въздух се влияе и от въздействията, генерирани от проекти по LIFE, съсредоточени предимно върху други теми като вода, шум и смекчаване на последиците от изменението на климата (напр. енергийна ефективност). </w:t>
      </w:r>
    </w:p>
    <w:p>
      <w:pPr>
        <w:spacing w:after="0" w:line="240" w:lineRule="auto"/>
        <w:jc w:val="both"/>
        <w:rPr>
          <w:rFonts w:ascii="Times New Roman" w:eastAsia="Calibri" w:hAnsi="Times New Roman" w:cs="Times New Roman"/>
          <w:noProof/>
          <w:sz w:val="24"/>
          <w:lang w:val="ru-RU"/>
        </w:rPr>
      </w:pPr>
    </w:p>
    <w:p>
      <w:pPr>
        <w:spacing w:after="0" w:line="240" w:lineRule="auto"/>
        <w:jc w:val="both"/>
        <w:rPr>
          <w:rFonts w:ascii="Times New Roman" w:eastAsia="Calibri" w:hAnsi="Times New Roman" w:cs="Times New Roman"/>
          <w:noProof/>
          <w:sz w:val="24"/>
          <w:lang w:val="ru-RU"/>
        </w:rPr>
      </w:pPr>
    </w:p>
    <w:p>
      <w:pPr>
        <w:spacing w:after="0" w:line="240" w:lineRule="auto"/>
        <w:jc w:val="both"/>
        <w:rPr>
          <w:rFonts w:ascii="Times New Roman" w:eastAsia="Calibri" w:hAnsi="Times New Roman" w:cs="Times New Roman"/>
          <w:noProof/>
          <w:sz w:val="24"/>
          <w:lang w:val="ru-RU"/>
        </w:rPr>
      </w:pPr>
    </w:p>
    <w:p>
      <w:pPr>
        <w:spacing w:after="0" w:line="240" w:lineRule="auto"/>
        <w:jc w:val="both"/>
        <w:rPr>
          <w:rFonts w:ascii="Times New Roman" w:eastAsia="Calibri" w:hAnsi="Times New Roman" w:cs="Times New Roman"/>
          <w:noProof/>
          <w:sz w:val="24"/>
          <w:lang w:val="ru-RU"/>
        </w:rPr>
      </w:pPr>
    </w:p>
    <w:p>
      <w:pPr>
        <w:rPr>
          <w:rFonts w:ascii="Times New Roman" w:eastAsia="Calibri" w:hAnsi="Times New Roman" w:cs="Times New Roman"/>
          <w:b/>
          <w:noProof/>
          <w:sz w:val="26"/>
          <w:szCs w:val="26"/>
        </w:rPr>
      </w:pPr>
      <w:r>
        <w:rPr>
          <w:noProof/>
        </w:rPr>
        <w:br w:type="page"/>
      </w:r>
    </w:p>
    <w:p>
      <w:pPr>
        <w:spacing w:after="0" w:line="240" w:lineRule="auto"/>
        <w:jc w:val="both"/>
        <w:rPr>
          <w:rFonts w:ascii="Times New Roman" w:eastAsia="Calibri" w:hAnsi="Times New Roman" w:cs="Times New Roman"/>
          <w:noProof/>
          <w:sz w:val="26"/>
          <w:szCs w:val="26"/>
        </w:rPr>
      </w:pPr>
      <w:r>
        <w:rPr>
          <w:rFonts w:ascii="Times New Roman" w:hAnsi="Times New Roman"/>
          <w:noProof/>
          <w:sz w:val="26"/>
          <w:szCs w:val="26"/>
        </w:rPr>
        <w:t>3) Суми от средства на ЕС, предназначени за целите на чистия въздух, съгласно горната методика</w:t>
      </w:r>
    </w:p>
    <w:p>
      <w:pPr>
        <w:spacing w:after="0" w:line="240" w:lineRule="auto"/>
        <w:jc w:val="both"/>
        <w:rPr>
          <w:rFonts w:ascii="Times New Roman" w:eastAsia="Calibri" w:hAnsi="Times New Roman" w:cs="Times New Roman"/>
          <w:b/>
          <w:noProof/>
          <w:sz w:val="26"/>
          <w:szCs w:val="26"/>
          <w:lang w:val="ru-RU"/>
        </w:rPr>
      </w:pPr>
    </w:p>
    <w:tbl>
      <w:tblPr>
        <w:tblW w:w="0" w:type="auto"/>
        <w:tblCellMar>
          <w:left w:w="0" w:type="dxa"/>
          <w:right w:w="0" w:type="dxa"/>
        </w:tblCellMar>
        <w:tblLook w:val="04A0" w:firstRow="1" w:lastRow="0" w:firstColumn="1" w:lastColumn="0" w:noHBand="0" w:noVBand="1"/>
      </w:tblPr>
      <w:tblGrid>
        <w:gridCol w:w="4140"/>
        <w:gridCol w:w="4157"/>
      </w:tblGrid>
      <w:tr>
        <w:tc>
          <w:tcPr>
            <w:tcW w:w="4140" w:type="dxa"/>
            <w:tcBorders>
              <w:top w:val="single" w:sz="8" w:space="0" w:color="999999"/>
              <w:left w:val="nil"/>
              <w:bottom w:val="single" w:sz="8" w:space="0" w:color="F68A42"/>
              <w:right w:val="single" w:sz="8" w:space="0" w:color="FFFFFF"/>
            </w:tcBorders>
            <w:shd w:val="clear" w:color="auto" w:fill="203F79"/>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Програма</w:t>
            </w:r>
          </w:p>
        </w:tc>
        <w:tc>
          <w:tcPr>
            <w:tcW w:w="4157" w:type="dxa"/>
            <w:tcBorders>
              <w:top w:val="single" w:sz="8" w:space="0" w:color="999999"/>
              <w:left w:val="nil"/>
              <w:bottom w:val="single" w:sz="8" w:space="0" w:color="F68A42"/>
              <w:right w:val="nil"/>
            </w:tcBorders>
            <w:shd w:val="clear" w:color="auto" w:fill="203F79"/>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Прогнозна вноска за чист въздух за периода 2014—2020 г. (в милиони евро)</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„Хоризонт 2020“</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Calibri" w:hAnsi="Calibri"/>
                <w:noProof/>
                <w:sz w:val="20"/>
                <w:szCs w:val="20"/>
              </w:rPr>
            </w:pPr>
            <w:r>
              <w:rPr>
                <w:rFonts w:ascii="EC Square Sans Pro" w:hAnsi="EC Square Sans Pro"/>
                <w:noProof/>
                <w:sz w:val="20"/>
                <w:szCs w:val="20"/>
              </w:rPr>
              <w:t>4</w:t>
            </w:r>
            <w:r>
              <w:rPr>
                <w:noProof/>
                <w:sz w:val="20"/>
                <w:szCs w:val="20"/>
              </w:rPr>
              <w:t> 219</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ЕФСИ</w:t>
            </w:r>
          </w:p>
        </w:tc>
        <w:tc>
          <w:tcPr>
            <w:tcW w:w="4157" w:type="dxa"/>
            <w:tcBorders>
              <w:top w:val="nil"/>
              <w:left w:val="nil"/>
              <w:bottom w:val="single" w:sz="8" w:space="0" w:color="F68A42"/>
              <w:right w:val="nil"/>
            </w:tcBorders>
            <w:tcMar>
              <w:top w:w="113" w:type="dxa"/>
              <w:left w:w="108" w:type="dxa"/>
              <w:bottom w:w="113" w:type="dxa"/>
              <w:right w:w="108" w:type="dxa"/>
            </w:tcMar>
            <w:vAlign w:val="center"/>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819</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МСЕ</w:t>
            </w:r>
          </w:p>
        </w:tc>
        <w:tc>
          <w:tcPr>
            <w:tcW w:w="4157" w:type="dxa"/>
            <w:tcBorders>
              <w:top w:val="nil"/>
              <w:left w:val="nil"/>
              <w:bottom w:val="single" w:sz="8" w:space="0" w:color="F68A42"/>
              <w:right w:val="nil"/>
            </w:tcBorders>
            <w:tcMar>
              <w:top w:w="113" w:type="dxa"/>
              <w:left w:w="108" w:type="dxa"/>
              <w:bottom w:w="113" w:type="dxa"/>
              <w:right w:w="108" w:type="dxa"/>
            </w:tcMar>
            <w:vAlign w:val="center"/>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8830</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ЕФРР</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20 458</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КФ</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 xml:space="preserve">10 874 </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ЕЗФРСР</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 xml:space="preserve">1138 </w:t>
            </w:r>
          </w:p>
        </w:tc>
      </w:tr>
      <w:tr>
        <w:tc>
          <w:tcPr>
            <w:tcW w:w="4140" w:type="dxa"/>
            <w:tcBorders>
              <w:top w:val="nil"/>
              <w:left w:val="nil"/>
              <w:bottom w:val="single" w:sz="8" w:space="0" w:color="F68A42"/>
              <w:right w:val="single" w:sz="8" w:space="0" w:color="F68A42"/>
            </w:tcBorders>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LIFE</w:t>
            </w:r>
          </w:p>
        </w:tc>
        <w:tc>
          <w:tcPr>
            <w:tcW w:w="4157" w:type="dxa"/>
            <w:tcBorders>
              <w:top w:val="nil"/>
              <w:left w:val="nil"/>
              <w:bottom w:val="single" w:sz="8" w:space="0" w:color="F68A42"/>
              <w:right w:val="nil"/>
            </w:tcBorders>
            <w:tcMar>
              <w:top w:w="113" w:type="dxa"/>
              <w:left w:w="108" w:type="dxa"/>
              <w:bottom w:w="113" w:type="dxa"/>
              <w:right w:w="108" w:type="dxa"/>
            </w:tcMar>
            <w:vAlign w:val="center"/>
            <w:hideMark/>
          </w:tcPr>
          <w:p>
            <w:pPr>
              <w:spacing w:after="0" w:line="240" w:lineRule="auto"/>
              <w:jc w:val="right"/>
              <w:rPr>
                <w:rFonts w:ascii="EC Square Sans Pro" w:hAnsi="EC Square Sans Pro"/>
                <w:noProof/>
                <w:sz w:val="20"/>
                <w:szCs w:val="20"/>
              </w:rPr>
            </w:pPr>
            <w:r>
              <w:rPr>
                <w:rFonts w:ascii="EC Square Sans Pro" w:hAnsi="EC Square Sans Pro"/>
                <w:noProof/>
                <w:sz w:val="20"/>
                <w:szCs w:val="20"/>
              </w:rPr>
              <w:t xml:space="preserve"> 105 </w:t>
            </w:r>
          </w:p>
        </w:tc>
      </w:tr>
      <w:tr>
        <w:tc>
          <w:tcPr>
            <w:tcW w:w="4140" w:type="dxa"/>
            <w:tcBorders>
              <w:top w:val="nil"/>
              <w:left w:val="nil"/>
              <w:bottom w:val="single" w:sz="8" w:space="0" w:color="999999"/>
              <w:right w:val="single" w:sz="8" w:space="0" w:color="F68A42"/>
            </w:tcBorders>
            <w:shd w:val="clear" w:color="auto" w:fill="C6D4F0"/>
            <w:tcMar>
              <w:top w:w="113" w:type="dxa"/>
              <w:left w:w="108" w:type="dxa"/>
              <w:bottom w:w="113" w:type="dxa"/>
              <w:right w:w="108" w:type="dxa"/>
            </w:tcMar>
            <w:vAlign w:val="center"/>
            <w:hideMark/>
          </w:tcPr>
          <w:p>
            <w:pPr>
              <w:spacing w:after="0" w:line="240" w:lineRule="auto"/>
              <w:rPr>
                <w:rFonts w:ascii="EC Square Sans Pro" w:hAnsi="EC Square Sans Pro"/>
                <w:b/>
                <w:bCs/>
                <w:noProof/>
                <w:sz w:val="20"/>
                <w:szCs w:val="20"/>
              </w:rPr>
            </w:pPr>
            <w:r>
              <w:rPr>
                <w:rFonts w:ascii="EC Square Sans Pro" w:hAnsi="EC Square Sans Pro"/>
                <w:b/>
                <w:bCs/>
                <w:noProof/>
                <w:sz w:val="20"/>
                <w:szCs w:val="20"/>
              </w:rPr>
              <w:t>ОБЩО</w:t>
            </w:r>
          </w:p>
        </w:tc>
        <w:tc>
          <w:tcPr>
            <w:tcW w:w="4157" w:type="dxa"/>
            <w:tcBorders>
              <w:top w:val="nil"/>
              <w:left w:val="nil"/>
              <w:bottom w:val="single" w:sz="8" w:space="0" w:color="999999"/>
              <w:right w:val="nil"/>
            </w:tcBorders>
            <w:shd w:val="clear" w:color="auto" w:fill="C6D4F0"/>
            <w:tcMar>
              <w:top w:w="113" w:type="dxa"/>
              <w:left w:w="108" w:type="dxa"/>
              <w:bottom w:w="113" w:type="dxa"/>
              <w:right w:w="108" w:type="dxa"/>
            </w:tcMar>
            <w:vAlign w:val="center"/>
          </w:tcPr>
          <w:p>
            <w:pPr>
              <w:spacing w:after="0" w:line="240" w:lineRule="auto"/>
              <w:jc w:val="right"/>
              <w:rPr>
                <w:rFonts w:ascii="EC Square Sans Pro" w:hAnsi="EC Square Sans Pro"/>
                <w:b/>
                <w:bCs/>
                <w:noProof/>
                <w:sz w:val="20"/>
                <w:szCs w:val="20"/>
              </w:rPr>
            </w:pPr>
            <w:r>
              <w:rPr>
                <w:rFonts w:ascii="EC Square Sans Pro" w:hAnsi="EC Square Sans Pro"/>
                <w:b/>
                <w:bCs/>
                <w:noProof/>
                <w:sz w:val="20"/>
                <w:szCs w:val="20"/>
              </w:rPr>
              <w:t>46 443</w:t>
            </w:r>
          </w:p>
        </w:tc>
      </w:tr>
    </w:tbl>
    <w:p>
      <w:pPr>
        <w:rPr>
          <w:rFonts w:ascii="Times New Roman" w:hAnsi="Times New Roman"/>
          <w:b/>
          <w:noProof/>
          <w:sz w:val="24"/>
          <w:lang w:val="en-GB"/>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2408"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72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Регламент (ЕС) 2015/1017 на Европейския парламент и на Съвета от 25 юни 2015 г., изменен с Регламент (ЕС) 2017/2396 на Европейския парламент и на Съвета от 13 декември 2017 г.</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Гаранцията на ЕС и свързаните с нея ресурси в Гаранционния фонд на ЕС обхващат портфейл от финансови и инвестиционни операции и не са ограничени за конкретни проекти.  </w:t>
      </w:r>
    </w:p>
  </w:footnote>
  <w:footnote w:id="4">
    <w:p>
      <w:pPr>
        <w:pStyle w:val="FootnoteText"/>
        <w:jc w:val="both"/>
      </w:pPr>
      <w:r>
        <w:rPr>
          <w:rStyle w:val="FootnoteReference"/>
        </w:rPr>
        <w:footnoteRef/>
      </w:r>
      <w:r>
        <w:t xml:space="preserve"> </w:t>
      </w:r>
      <w:r>
        <w:rPr>
          <w:rFonts w:ascii="Times New Roman" w:hAnsi="Times New Roman"/>
        </w:rPr>
        <w:t>Оценките се основават на консервативен подход, като се има предвид, че в Регламента за ЕФСИ и договорните документи не се предвижда отчитане и проследяване на подкрепените инвестиции, които допринасят за постигане на целите за чист въздух.</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случай на неизпълнение на задължения, проектите продължават да са гарантирани и подкрепяни. Няма обаче изтичане от бюджета на ЕС. </w:t>
      </w:r>
    </w:p>
  </w:footnote>
  <w:footnote w:id="6">
    <w:p>
      <w:pPr>
        <w:pStyle w:val="FootnoteText"/>
        <w:jc w:val="both"/>
      </w:pPr>
      <w:r>
        <w:rPr>
          <w:rStyle w:val="FootnoteReference"/>
        </w:rPr>
        <w:footnoteRef/>
      </w:r>
      <w:r>
        <w:t xml:space="preserve"> </w:t>
      </w:r>
      <w:r>
        <w:rPr>
          <w:rFonts w:ascii="Times New Roman" w:hAnsi="Times New Roman"/>
        </w:rPr>
        <w:t>Поради консервативния подход на методиката, приносът към чист въздух от действията по МСЕ – Енергетика за електроенергията, интелигентните мрежи и трансграничните проекти в областта на енергията от възобновяеми източници може да бъде подценен.</w:t>
      </w:r>
    </w:p>
  </w:footnote>
  <w:footnote w:id="7">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Методиката следва консервативен подход: Част от действията на МСЕ относно управлението на въздушното движение включват подкрепа при разгръщането на функциите за управление на въздушното движение на летищата, които чрез по-ефективното управление на движението, излитане, кацане и рулиране могат да допринесат за намаляване на емисиите на замърсителите на въздуха на летищата и техните околности.</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Модернизирането на земеделските стопанства може да има положителен ефект върху чистотата на въздуха. Разграничаването на инвестициите за модернизиране на земеделските стопанства, които оказват влияние върху намаляването на емисиите на амоняк, обаче е трудно и не се очаква те да представляват висок процент.</w:t>
      </w:r>
    </w:p>
  </w:footnote>
  <w:footnote w:id="9">
    <w:p>
      <w:pPr>
        <w:jc w:val="both"/>
        <w:rPr>
          <w:rFonts w:ascii="Times New Roman" w:eastAsia="Calibri"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Един от елементите на кръстосаното спазване, добро селскостопанско и екологично състояние № 6: „Забрана да се изгарят стърнища в полето, за да се поддържа органичната материя в почвата“, е допринесъл за намаляването на емисиите на PM10. Поради трудността да се определи количествено приносът и очакваната ниска стойност на този елемент в общата стойност на директните плащания, приносът е фиксиран на 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CB"/>
    <w:multiLevelType w:val="hybridMultilevel"/>
    <w:tmpl w:val="B87E3A36"/>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1CAD504E"/>
    <w:multiLevelType w:val="hybridMultilevel"/>
    <w:tmpl w:val="C4AA3E78"/>
    <w:lvl w:ilvl="0" w:tplc="B4964FF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BA42EC"/>
    <w:multiLevelType w:val="hybridMultilevel"/>
    <w:tmpl w:val="4F6E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5312B"/>
    <w:multiLevelType w:val="multilevel"/>
    <w:tmpl w:val="CBEA8204"/>
    <w:lvl w:ilvl="0">
      <w:start w:val="1"/>
      <w:numFmt w:val="decimal"/>
      <w:lvlText w:val="%1)"/>
      <w:lvlJc w:val="left"/>
      <w:pPr>
        <w:ind w:left="360" w:hanging="360"/>
      </w:pPr>
      <w:rPr>
        <w:rFonts w:hint="default"/>
      </w:rPr>
    </w:lvl>
    <w:lvl w:ilvl="1">
      <w:start w:val="1"/>
      <mc:AlternateContent>
        <mc:Choice Requires="w14">
          <w:numFmt w:val="custom" w:format="а, й, к, ..."/>
        </mc:Choice>
        <mc:Fallback>
          <w:numFmt w:val="decimal"/>
        </mc:Fallback>
      </mc:AlternateContent>
      <w:lvlText w:val="%2)"/>
      <w:lvlJc w:val="center"/>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E2208"/>
    <w:multiLevelType w:val="multilevel"/>
    <w:tmpl w:val="37704C18"/>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rPr>
    </w:lvl>
    <w:lvl w:ilvl="2">
      <w:start w:val="2"/>
      <w:numFmt w:val="bullet"/>
      <w:lvlText w:val="-"/>
      <w:lvlJc w:val="left"/>
      <w:pPr>
        <w:ind w:left="1224" w:hanging="504"/>
      </w:pPr>
      <w:rPr>
        <w:rFonts w:ascii="Calibri" w:eastAsiaTheme="minorHAnsi" w:hAnsi="Calibri" w:cs="Calibr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0F6A94"/>
    <w:multiLevelType w:val="hybridMultilevel"/>
    <w:tmpl w:val="00EC94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65AD693E"/>
    <w:multiLevelType w:val="hybridMultilevel"/>
    <w:tmpl w:val="EBD299BC"/>
    <w:lvl w:ilvl="0" w:tplc="8A288D0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75491A"/>
    <w:multiLevelType w:val="hybridMultilevel"/>
    <w:tmpl w:val="5EFE8D26"/>
    <w:lvl w:ilvl="0" w:tplc="5282A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EE467FE"/>
    <w:multiLevelType w:val="hybridMultilevel"/>
    <w:tmpl w:val="91F25A5C"/>
    <w:lvl w:ilvl="0" w:tplc="8A1CF3E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603ED6"/>
    <w:multiLevelType w:val="hybridMultilevel"/>
    <w:tmpl w:val="CD6C4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AF441C9"/>
    <w:multiLevelType w:val="hybridMultilevel"/>
    <w:tmpl w:val="0BA622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8"/>
  </w:num>
  <w:num w:numId="6">
    <w:abstractNumId w:val="5"/>
  </w:num>
  <w:num w:numId="7">
    <w:abstractNumId w:val="0"/>
  </w:num>
  <w:num w:numId="8">
    <w:abstractNumId w:val="7"/>
  </w:num>
  <w:num w:numId="9">
    <w:abstractNumId w:val="3"/>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4"/>
    <w:docVar w:name="LW_ANNEX_UNIQUE" w:val="0"/>
    <w:docVar w:name="LW_CORRIGENDUM" w:val="&lt;UNUSED&gt;"/>
    <w:docVar w:name="LW_COVERPAGE_EXISTS" w:val="True"/>
    <w:docVar w:name="LW_COVERPAGE_GUID" w:val="56993301-4117-49F3-8E21-1BEE03FB6C43"/>
    <w:docVar w:name="LW_COVERPAGE_TYPE" w:val="1"/>
    <w:docVar w:name="LW_CROSSREFERENCE" w:val="&lt;UNUSED&gt;"/>
    <w:docVar w:name="LW_DocType" w:val="NORMAL"/>
    <w:docVar w:name="LW_EMISSION" w:val="26.6.2020"/>
    <w:docVar w:name="LW_EMISSION_ISODATE" w:val="2020-06-26"/>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79?\u1072? \u1085?\u1072?\u1087?\u1088?\u1077?\u1076?\u1098?\u1082?\u1072? \u1087?\u1086? \u1087?\u1088?\u1080?\u1083?\u1072?\u1075?\u1072?\u1085?\u1077?\u1090?\u1086? \u1085?\u1072? \u1044?\u1080?\u1088?\u1077?\u1082?\u1090?\u1080?\u1074?\u1072? (\u1045?\u1057?) 2016/2284 \u1079?\u1072? \u1085?\u1072?\u1084?\u1072?\u1083?\u1103?\u1074?\u1072?\u1085?\u1077? \u1085?\u1072? \u1085?\u1072?\u1094?\u1080?\u1086?\u1085?\u1072?\u1083?\u1085?\u1080?\u1090?\u1077? \u1077?\u1084?\u1080?\u1089?\u1080?\u1080? \u1085?\u1072? \u1085?\u1103?\u1082?\u1086?\u1080? \u1072?\u1090?\u1084?\u1086?\u1089?\u1092?\u1077?\u1088?\u1085?\u1080? \u1079?\u1072?\u1084?\u1098?\u1088?\u1089?\u1080?\u1090?\u1077?\u1083?\u1080?&lt;/FMT&gt;_x000d__x000d__x000d__x000b__x000d__x000d__x000d__x000b_"/>
    <w:docVar w:name="LW_PART_NBR" w:val="&lt;UNUSED&gt;"/>
    <w:docVar w:name="LW_PART_NBR_TOTAL" w:val="&lt;UNUSED&gt;"/>
    <w:docVar w:name="LW_REF.INST.NEW" w:val="COM"/>
    <w:docVar w:name="LW_REF.INST.NEW_ADOPTED" w:val="final"/>
    <w:docVar w:name="LW_REF.INST.NEW_TEXT" w:val="(2020)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44?\u1086?\u1082?\u1083?\u1072?\u1076? \u1085?\u1072? \u1050?\u1086?\u1084?\u1080?\u1089?\u1080?\u1103?\u1090?\u1072? \u1076?\u1086? \u1045?\u1074?\u1088?\u1086?\u1087?\u1077?\u1081?\u1089?\u1082?\u1080?\u1103? \u1087?\u1072?\u1088?\u1083?\u1072?\u1084?\u1077?\u1085?\u1090? \u1080?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pPr>
      <w:spacing w:after="160" w:line="259" w:lineRule="auto"/>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number,stylish,EN Footnote Reference,SUPERS,BVI fnr,RSC_WP (footnote reference),Footnote reference number,Footnote symbol,note TESI,-E Fußnotenzeichen,Footnote,Times 10 Point,Exposant 3 Point,Footnote number,Footnote Reference Number"/>
    <w:basedOn w:val="DefaultParagraphFont"/>
    <w:link w:val="SUPERSCharCharCharCharCharCharCharChar"/>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FollowedHyperlink">
    <w:name w:val="FollowedHyperlink"/>
    <w:basedOn w:val="DefaultParagraphFont"/>
    <w:uiPriority w:val="99"/>
    <w:semiHidden/>
    <w:unhideWhenUsed/>
    <w:rPr>
      <w:color w:val="3EBBF0" w:themeColor="followedHyperlink"/>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vertAlign w:val="superscript"/>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18734198">
      <w:bodyDiv w:val="1"/>
      <w:marLeft w:val="0"/>
      <w:marRight w:val="0"/>
      <w:marTop w:val="0"/>
      <w:marBottom w:val="0"/>
      <w:divBdr>
        <w:top w:val="none" w:sz="0" w:space="0" w:color="auto"/>
        <w:left w:val="none" w:sz="0" w:space="0" w:color="auto"/>
        <w:bottom w:val="none" w:sz="0" w:space="0" w:color="auto"/>
        <w:right w:val="none" w:sz="0" w:space="0" w:color="auto"/>
      </w:divBdr>
    </w:div>
    <w:div w:id="1614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nvironment/air/reduction/NAPCP.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ea.europa.eu/themes/air/air-pollution-sources-1/national-emission-ceilings/nec-directive-reporting-status-201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0E7B70-FDE9-4B43-B2AF-DB66D86A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4100</Words>
  <Characters>19849</Characters>
  <Application>Microsoft Office Word</Application>
  <DocSecurity>0</DocSecurity>
  <Lines>1984</Lines>
  <Paragraphs>1710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GHINEA Marilena (ENV)</dc:creator>
  <cp:keywords/>
  <dc:description/>
  <cp:lastModifiedBy>WES PDFC Administrator</cp:lastModifiedBy>
  <cp:revision>11</cp:revision>
  <cp:lastPrinted>2020-01-07T13:57:00Z</cp:lastPrinted>
  <dcterms:created xsi:type="dcterms:W3CDTF">2020-06-02T15:16:00Z</dcterms:created>
  <dcterms:modified xsi:type="dcterms:W3CDTF">2020-06-25T13:20:00Z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&lt;UNUSED&gt;</vt:lpwstr>
  </property>
  <property fmtid="{D5CDD505-2E9C-101B-9397-08002B2CF9AE}" pid="4" name="Total parts">
    <vt:lpwstr>&lt;UNUSED&gt;</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4</vt:lpwstr>
  </property>
  <property fmtid="{D5CDD505-2E9C-101B-9397-08002B2CF9AE}" pid="11" name="Unique annex">
    <vt:lpwstr>0</vt:lpwstr>
  </property>
</Properties>
</file>