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DB22E3D-608B-4089-96EB-DC842333B54D" style="width:450.55pt;height:407.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u w:val="single"/>
          <w:lang w:val="en-GB"/>
        </w:rPr>
      </w:pPr>
      <w:bookmarkStart w:id="1" w:name="_GoBack"/>
      <w:bookmarkEnd w:id="1"/>
      <w:r>
        <w:rPr>
          <w:rFonts w:ascii="Times New Roman" w:hAnsi="Times New Roman" w:cs="Times New Roman"/>
          <w:b/>
          <w:noProof/>
          <w:sz w:val="24"/>
          <w:szCs w:val="24"/>
          <w:u w:val="single"/>
          <w:lang w:val="en-GB"/>
        </w:rPr>
        <w:lastRenderedPageBreak/>
        <w:t>ANNEX I</w:t>
      </w:r>
    </w:p>
    <w:p>
      <w:pPr>
        <w:jc w:val="center"/>
        <w:rPr>
          <w:rFonts w:ascii="Times New Roman" w:hAnsi="Times New Roman" w:cs="Times New Roman"/>
          <w:noProof/>
          <w:sz w:val="24"/>
          <w:szCs w:val="24"/>
          <w:lang w:val="en-GB"/>
        </w:rPr>
      </w:pPr>
      <w:r>
        <w:rPr>
          <w:rFonts w:ascii="Times New Roman" w:hAnsi="Times New Roman" w:cs="Times New Roman"/>
          <w:b/>
          <w:noProof/>
          <w:sz w:val="24"/>
          <w:szCs w:val="24"/>
          <w:lang w:val="en-GB"/>
        </w:rPr>
        <w:t>Projected compliance as reported by Member States in 2019 under existing policies and measures (“With Measures” scenario) against 2020-29 and 2030-onwards emission reduction commitments</w:t>
      </w:r>
    </w:p>
    <w:tbl>
      <w:tblPr>
        <w:tblW w:w="7873" w:type="dxa"/>
        <w:tblLook w:val="04A0" w:firstRow="1" w:lastRow="0" w:firstColumn="1" w:lastColumn="0" w:noHBand="0" w:noVBand="1"/>
      </w:tblPr>
      <w:tblGrid>
        <w:gridCol w:w="2113"/>
        <w:gridCol w:w="576"/>
        <w:gridCol w:w="576"/>
        <w:gridCol w:w="576"/>
        <w:gridCol w:w="576"/>
        <w:gridCol w:w="576"/>
        <w:gridCol w:w="576"/>
        <w:gridCol w:w="576"/>
        <w:gridCol w:w="576"/>
        <w:gridCol w:w="576"/>
        <w:gridCol w:w="576"/>
      </w:tblGrid>
      <w:tr>
        <w:trPr>
          <w:trHeight w:val="345"/>
        </w:trPr>
        <w:tc>
          <w:tcPr>
            <w:tcW w:w="2113" w:type="dxa"/>
            <w:tcBorders>
              <w:top w:val="nil"/>
              <w:left w:val="single" w:sz="4" w:space="0" w:color="7BA0CD"/>
              <w:bottom w:val="single" w:sz="4" w:space="0" w:color="7BA0CD"/>
              <w:right w:val="nil"/>
            </w:tcBorders>
            <w:shd w:val="clear" w:color="000000" w:fill="4F8EBD"/>
            <w:noWrap/>
            <w:vAlign w:val="center"/>
            <w:hideMark/>
          </w:tcPr>
          <w:p>
            <w:pPr>
              <w:spacing w:after="0" w:line="240" w:lineRule="auto"/>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Member State</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NO</w:t>
            </w:r>
            <w:r>
              <w:rPr>
                <w:rFonts w:ascii="Times New Roman" w:eastAsia="Times New Roman" w:hAnsi="Times New Roman" w:cs="Times New Roman"/>
                <w:b/>
                <w:bCs/>
                <w:noProof/>
                <w:color w:val="FFFFFF"/>
                <w:sz w:val="20"/>
                <w:szCs w:val="20"/>
                <w:vertAlign w:val="subscript"/>
                <w:lang w:val="en-GB" w:eastAsia="en-GB"/>
              </w:rPr>
              <w:t>x</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NMVOCs</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SO</w:t>
            </w:r>
            <w:r>
              <w:rPr>
                <w:rFonts w:ascii="Times New Roman" w:eastAsia="Times New Roman" w:hAnsi="Times New Roman" w:cs="Times New Roman"/>
                <w:b/>
                <w:bCs/>
                <w:noProof/>
                <w:color w:val="FFFFFF"/>
                <w:sz w:val="20"/>
                <w:szCs w:val="20"/>
                <w:vertAlign w:val="subscript"/>
                <w:lang w:val="en-GB" w:eastAsia="en-GB"/>
              </w:rPr>
              <w:t>2</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NH</w:t>
            </w:r>
            <w:r>
              <w:rPr>
                <w:rFonts w:ascii="Times New Roman" w:eastAsia="Times New Roman" w:hAnsi="Times New Roman" w:cs="Times New Roman"/>
                <w:b/>
                <w:bCs/>
                <w:noProof/>
                <w:color w:val="FFFFFF"/>
                <w:sz w:val="20"/>
                <w:szCs w:val="20"/>
                <w:vertAlign w:val="subscript"/>
                <w:lang w:val="en-GB" w:eastAsia="en-GB"/>
              </w:rPr>
              <w:t>3</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PM</w:t>
            </w:r>
            <w:r>
              <w:rPr>
                <w:rFonts w:ascii="Times New Roman" w:eastAsia="Times New Roman" w:hAnsi="Times New Roman" w:cs="Times New Roman"/>
                <w:b/>
                <w:bCs/>
                <w:noProof/>
                <w:color w:val="FFFFFF"/>
                <w:sz w:val="20"/>
                <w:szCs w:val="20"/>
                <w:vertAlign w:val="subscript"/>
                <w:lang w:val="en-GB" w:eastAsia="en-GB"/>
              </w:rPr>
              <w:t>2.5</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single" w:sz="4" w:space="0" w:color="7BA0CD"/>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Austria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Belgium</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Bulgaria</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Croatia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Cyprus</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Czechia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Denmark</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Estonia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Finland</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France</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Germany</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Greece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Hungary</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Ireland</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Italy</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Latvia</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Lithuania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Luxembourg</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Malta</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Netherlands</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Poland</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Portugal</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Romania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Slovakia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Slovenia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Spain</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Sweden</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United Kingdom</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13" w:type="dxa"/>
            <w:tcBorders>
              <w:top w:val="single" w:sz="4" w:space="0" w:color="7BA0CD"/>
              <w:left w:val="single" w:sz="4" w:space="0" w:color="7BA0CD"/>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b/>
                <w:bCs/>
                <w:noProof/>
                <w:color w:val="000000"/>
                <w:lang w:val="en-GB" w:eastAsia="en-GB"/>
              </w:rPr>
            </w:pPr>
            <w:r>
              <w:rPr>
                <w:rFonts w:ascii="Wingdings" w:eastAsia="Times New Roman" w:hAnsi="Wingdings" w:cs="Calibri"/>
                <w:b/>
                <w:bCs/>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22</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10</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21</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14</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27</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18</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16</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9</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23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13</w:t>
            </w:r>
          </w:p>
        </w:tc>
      </w:tr>
      <w:tr>
        <w:trPr>
          <w:trHeight w:val="345"/>
        </w:trPr>
        <w:tc>
          <w:tcPr>
            <w:tcW w:w="2113"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Wingdings" w:eastAsia="Times New Roman" w:hAnsi="Wingdings" w:cs="Calibri"/>
                <w:b/>
                <w:bCs/>
                <w:noProof/>
                <w:color w:val="000000"/>
                <w:lang w:val="en-GB" w:eastAsia="en-GB"/>
              </w:rPr>
            </w:pPr>
            <w:r>
              <w:rPr>
                <w:rFonts w:ascii="Wingdings" w:eastAsia="Times New Roman" w:hAnsi="Wingdings" w:cs="Calibri"/>
                <w:b/>
                <w:bCs/>
                <w:noProof/>
                <w:color w:val="000000"/>
                <w:lang w:val="en-GB" w:eastAsia="en-GB"/>
              </w:rPr>
              <w:t></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6</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18</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7</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14</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10</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12</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19</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5</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15</w:t>
            </w:r>
          </w:p>
        </w:tc>
      </w:tr>
    </w:tbl>
    <w:p>
      <w:pPr>
        <w:ind w:left="-142" w:right="-991"/>
        <w:jc w:val="both"/>
        <w:rPr>
          <w:rFonts w:ascii="Times New Roman" w:hAnsi="Times New Roman" w:cs="Times New Roman"/>
          <w:b/>
          <w:noProof/>
          <w:sz w:val="24"/>
          <w:szCs w:val="24"/>
          <w:lang w:val="en-GB"/>
        </w:rPr>
      </w:pPr>
      <w:r>
        <w:rPr>
          <w:rFonts w:ascii="Times New Roman" w:hAnsi="Times New Roman" w:cs="Times New Roman"/>
          <w:noProof/>
          <w:sz w:val="18"/>
          <w:szCs w:val="18"/>
          <w:lang w:val="en-GB"/>
        </w:rPr>
        <w:t xml:space="preserve">Source: </w:t>
      </w:r>
      <w:hyperlink r:id="rId16" w:history="1">
        <w:r>
          <w:rPr>
            <w:rStyle w:val="Hyperlink"/>
            <w:rFonts w:ascii="Times New Roman" w:hAnsi="Times New Roman" w:cs="Times New Roman"/>
            <w:noProof/>
            <w:sz w:val="18"/>
            <w:szCs w:val="18"/>
            <w:lang w:val="en-GB"/>
          </w:rPr>
          <w:t>https://www.eea.europa.eu/themes/air/air-pollution-sources-1/national-emission-ceilings/nec-directive-reporting-status-2019</w:t>
        </w:r>
      </w:hyperlink>
      <w:r>
        <w:rPr>
          <w:rStyle w:val="Hyperlink"/>
          <w:rFonts w:ascii="Times New Roman" w:hAnsi="Times New Roman" w:cs="Times New Roman"/>
          <w:noProof/>
          <w:sz w:val="18"/>
          <w:szCs w:val="18"/>
          <w:lang w:val="en-GB"/>
        </w:rPr>
        <w:t xml:space="preserve"> </w:t>
      </w:r>
      <w:r>
        <w:rPr>
          <w:rFonts w:ascii="Times New Roman" w:hAnsi="Times New Roman" w:cs="Times New Roman"/>
          <w:noProof/>
          <w:sz w:val="18"/>
          <w:szCs w:val="18"/>
          <w:lang w:val="en-GB"/>
        </w:rPr>
        <w:t>with relevant updates from the projections review. Here, late submission or resubmission of relevant reporting obligations by Member States are taken into account and projections are checked against the relevant emission inventory versions.</w:t>
      </w:r>
      <w:r>
        <w:rPr>
          <w:rFonts w:ascii="Times New Roman" w:hAnsi="Times New Roman" w:cs="Times New Roman"/>
          <w:b/>
          <w:noProof/>
          <w:sz w:val="24"/>
          <w:szCs w:val="24"/>
          <w:lang w:val="en-GB"/>
        </w:rPr>
        <w:br w:type="page"/>
      </w:r>
    </w:p>
    <w:p>
      <w:pPr>
        <w:jc w:val="center"/>
        <w:rPr>
          <w:rFonts w:ascii="Times New Roman" w:hAnsi="Times New Roman" w:cs="Times New Roman"/>
          <w:b/>
          <w:noProof/>
          <w:sz w:val="24"/>
          <w:szCs w:val="24"/>
          <w:u w:val="single"/>
          <w:lang w:val="en-GB"/>
        </w:rPr>
      </w:pPr>
      <w:r>
        <w:rPr>
          <w:rFonts w:ascii="Times New Roman" w:hAnsi="Times New Roman" w:cs="Times New Roman"/>
          <w:b/>
          <w:noProof/>
          <w:sz w:val="24"/>
          <w:szCs w:val="24"/>
          <w:u w:val="single"/>
          <w:lang w:val="en-GB"/>
        </w:rPr>
        <w:t>ANNEX 2</w:t>
      </w:r>
    </w:p>
    <w:p>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Projected compliance as reported by Member States in 2019 under additional policies and measures (“With Additional Measures” scenario) against 2020-29 and 2030-onwards emission reduction commitments</w:t>
      </w:r>
    </w:p>
    <w:tbl>
      <w:tblPr>
        <w:tblW w:w="7921" w:type="dxa"/>
        <w:tblLook w:val="04A0" w:firstRow="1" w:lastRow="0" w:firstColumn="1" w:lastColumn="0" w:noHBand="0" w:noVBand="1"/>
      </w:tblPr>
      <w:tblGrid>
        <w:gridCol w:w="2161"/>
        <w:gridCol w:w="576"/>
        <w:gridCol w:w="576"/>
        <w:gridCol w:w="576"/>
        <w:gridCol w:w="576"/>
        <w:gridCol w:w="576"/>
        <w:gridCol w:w="576"/>
        <w:gridCol w:w="576"/>
        <w:gridCol w:w="576"/>
        <w:gridCol w:w="576"/>
        <w:gridCol w:w="576"/>
      </w:tblGrid>
      <w:tr>
        <w:trPr>
          <w:trHeight w:val="345"/>
        </w:trPr>
        <w:tc>
          <w:tcPr>
            <w:tcW w:w="2161" w:type="dxa"/>
            <w:tcBorders>
              <w:top w:val="nil"/>
              <w:left w:val="single" w:sz="4" w:space="0" w:color="7BA0CD"/>
              <w:bottom w:val="single" w:sz="4" w:space="0" w:color="7BA0CD"/>
              <w:right w:val="nil"/>
            </w:tcBorders>
            <w:shd w:val="clear" w:color="000000" w:fill="4F8EBD"/>
            <w:noWrap/>
            <w:vAlign w:val="center"/>
            <w:hideMark/>
          </w:tcPr>
          <w:p>
            <w:pPr>
              <w:spacing w:after="0" w:line="240" w:lineRule="auto"/>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Member State</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NO</w:t>
            </w:r>
            <w:r>
              <w:rPr>
                <w:rFonts w:ascii="Times New Roman" w:eastAsia="Times New Roman" w:hAnsi="Times New Roman" w:cs="Times New Roman"/>
                <w:b/>
                <w:bCs/>
                <w:noProof/>
                <w:color w:val="FFFFFF"/>
                <w:sz w:val="20"/>
                <w:szCs w:val="20"/>
                <w:vertAlign w:val="subscript"/>
                <w:lang w:val="en-GB" w:eastAsia="en-GB"/>
              </w:rPr>
              <w:t>x</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NMVOCs</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SO</w:t>
            </w:r>
            <w:r>
              <w:rPr>
                <w:rFonts w:ascii="Times New Roman" w:eastAsia="Times New Roman" w:hAnsi="Times New Roman" w:cs="Times New Roman"/>
                <w:b/>
                <w:bCs/>
                <w:noProof/>
                <w:color w:val="FFFFFF"/>
                <w:sz w:val="20"/>
                <w:szCs w:val="20"/>
                <w:vertAlign w:val="subscript"/>
                <w:lang w:val="en-GB" w:eastAsia="en-GB"/>
              </w:rPr>
              <w:t>2</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NH</w:t>
            </w:r>
            <w:r>
              <w:rPr>
                <w:rFonts w:ascii="Times New Roman" w:eastAsia="Times New Roman" w:hAnsi="Times New Roman" w:cs="Times New Roman"/>
                <w:b/>
                <w:bCs/>
                <w:noProof/>
                <w:color w:val="FFFFFF"/>
                <w:sz w:val="20"/>
                <w:szCs w:val="20"/>
                <w:vertAlign w:val="subscript"/>
                <w:lang w:val="en-GB" w:eastAsia="en-GB"/>
              </w:rPr>
              <w:t>3</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lang w:val="en-GB" w:eastAsia="en-GB"/>
              </w:rPr>
            </w:pPr>
            <w:r>
              <w:rPr>
                <w:rFonts w:ascii="Times New Roman" w:eastAsia="Times New Roman" w:hAnsi="Times New Roman" w:cs="Times New Roman"/>
                <w:b/>
                <w:bCs/>
                <w:noProof/>
                <w:color w:val="FFFFFF"/>
                <w:sz w:val="20"/>
                <w:szCs w:val="20"/>
                <w:lang w:val="en-GB" w:eastAsia="en-GB"/>
              </w:rPr>
              <w:t>PM</w:t>
            </w:r>
            <w:r>
              <w:rPr>
                <w:rFonts w:ascii="Times New Roman" w:eastAsia="Times New Roman" w:hAnsi="Times New Roman" w:cs="Times New Roman"/>
                <w:b/>
                <w:bCs/>
                <w:noProof/>
                <w:color w:val="FFFFFF"/>
                <w:sz w:val="20"/>
                <w:szCs w:val="20"/>
                <w:vertAlign w:val="subscript"/>
                <w:lang w:val="en-GB" w:eastAsia="en-GB"/>
              </w:rPr>
              <w:t>2.5</w:t>
            </w:r>
          </w:p>
        </w:tc>
      </w:tr>
      <w:tr>
        <w:trPr>
          <w:trHeight w:val="345"/>
        </w:trPr>
        <w:tc>
          <w:tcPr>
            <w:tcW w:w="2161"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2020</w:t>
            </w:r>
          </w:p>
        </w:tc>
        <w:tc>
          <w:tcPr>
            <w:tcW w:w="576" w:type="dxa"/>
            <w:tcBorders>
              <w:top w:val="nil"/>
              <w:left w:val="nil"/>
              <w:bottom w:val="nil"/>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2030</w:t>
            </w:r>
          </w:p>
        </w:tc>
      </w:tr>
      <w:tr>
        <w:trPr>
          <w:trHeight w:val="345"/>
        </w:trPr>
        <w:tc>
          <w:tcPr>
            <w:tcW w:w="2161"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Austria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Belgium</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Bulgaria</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Croatia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Cyprus</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Czechia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Denmark</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Estonia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Finland</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France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Germany</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Greece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Hungary</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Ireland</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Italy</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Latvia</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Lithuania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Luxembourg</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Malta</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Netherlands</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Poland</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Portugal</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Romania</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Slovakia</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Slovenia</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Spain</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lang w:val="en-GB" w:eastAsia="en-GB"/>
              </w:rPr>
            </w:pPr>
            <w:r>
              <w:rPr>
                <w:rFonts w:ascii="Wingdings" w:eastAsia="Times New Roman" w:hAnsi="Wingdings" w:cs="Calibri"/>
                <w:noProof/>
                <w:color w:val="C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lang w:val="en-GB" w:eastAsia="en-GB"/>
              </w:rPr>
            </w:pPr>
            <w:r>
              <w:rPr>
                <w:rFonts w:ascii="Wingdings" w:eastAsia="Times New Roman" w:hAnsi="Wingdings" w:cs="Calibri"/>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Sweden</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United Kingdom</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lang w:val="en-GB" w:eastAsia="en-GB"/>
              </w:rPr>
            </w:pPr>
            <w:r>
              <w:rPr>
                <w:rFonts w:ascii="Times New Roman" w:eastAsia="Times New Roman" w:hAnsi="Times New Roman" w:cs="Times New Roman"/>
                <w:noProof/>
                <w:color w:val="000000"/>
                <w:lang w:val="en-GB" w:eastAsia="en-GB"/>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Wingdings" w:eastAsia="Times New Roman" w:hAnsi="Wingdings" w:cs="Calibri"/>
                <w:b/>
                <w:bCs/>
                <w:noProof/>
                <w:color w:val="000000"/>
                <w:sz w:val="20"/>
                <w:szCs w:val="20"/>
                <w:lang w:val="en-GB" w:eastAsia="en-GB"/>
              </w:rPr>
            </w:pPr>
            <w:r>
              <w:rPr>
                <w:rFonts w:ascii="Wingdings" w:eastAsia="Times New Roman" w:hAnsi="Wingdings" w:cs="Calibri"/>
                <w:b/>
                <w:bCs/>
                <w:noProof/>
                <w:color w:val="000000"/>
                <w:sz w:val="20"/>
                <w:szCs w:val="20"/>
                <w:lang w:val="en-GB" w:eastAsia="en-GB"/>
              </w:rPr>
              <w:t></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14</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13</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14</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13</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17</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15</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12</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12</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15</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14</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Wingdings" w:eastAsia="Times New Roman" w:hAnsi="Wingdings" w:cs="Calibri"/>
                <w:b/>
                <w:bCs/>
                <w:noProof/>
                <w:color w:val="000000"/>
                <w:sz w:val="20"/>
                <w:szCs w:val="20"/>
                <w:lang w:val="en-GB" w:eastAsia="en-GB"/>
              </w:rPr>
            </w:pPr>
            <w:r>
              <w:rPr>
                <w:rFonts w:ascii="Wingdings" w:eastAsia="Times New Roman" w:hAnsi="Wingdings" w:cs="Calibri"/>
                <w:b/>
                <w:bCs/>
                <w:noProof/>
                <w:color w:val="000000"/>
                <w:sz w:val="20"/>
                <w:szCs w:val="20"/>
                <w:lang w:val="en-GB" w:eastAsia="en-GB"/>
              </w:rPr>
              <w:t></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4</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4</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2</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5</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5</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2</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3</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WaM non reported</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11</w:t>
            </w:r>
          </w:p>
        </w:tc>
      </w:tr>
    </w:tbl>
    <w:p>
      <w:pPr>
        <w:spacing w:after="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Source: EEA compilation based on Member States </w:t>
      </w:r>
      <w:r>
        <w:rPr>
          <w:rFonts w:ascii="Times New Roman" w:hAnsi="Times New Roman"/>
          <w:noProof/>
          <w:sz w:val="20"/>
          <w:szCs w:val="20"/>
          <w:lang w:val="en-GB"/>
        </w:rPr>
        <w:t>2019 submission pursuant to Article 10(2) of Directive (EU) 2016/2284 and the subsequent review of the submitted data</w:t>
      </w:r>
      <w:r>
        <w:rPr>
          <w:rFonts w:ascii="Times New Roman" w:hAnsi="Times New Roman" w:cs="Times New Roman"/>
          <w:noProof/>
          <w:sz w:val="20"/>
          <w:szCs w:val="20"/>
          <w:lang w:val="en-GB"/>
        </w:rPr>
        <w:t xml:space="preserve">. Member States for which no information is displayed in the table did not report a WAM scenario. </w:t>
      </w:r>
    </w:p>
    <w:p>
      <w:pPr>
        <w:rPr>
          <w:rFonts w:ascii="Times New Roman" w:hAnsi="Times New Roman" w:cs="Times New Roman"/>
          <w:b/>
          <w:noProof/>
          <w:sz w:val="24"/>
          <w:szCs w:val="24"/>
          <w:lang w:val="en-GB"/>
        </w:rPr>
      </w:pPr>
      <w:r>
        <w:rPr>
          <w:rFonts w:ascii="Times New Roman" w:hAnsi="Times New Roman" w:cs="Times New Roman"/>
          <w:b/>
          <w:noProof/>
          <w:sz w:val="24"/>
          <w:szCs w:val="24"/>
          <w:lang w:val="en-GB"/>
        </w:rPr>
        <w:br w:type="page"/>
      </w:r>
    </w:p>
    <w:p>
      <w:pPr>
        <w:spacing w:after="0" w:line="240" w:lineRule="auto"/>
        <w:ind w:right="-424"/>
        <w:jc w:val="center"/>
        <w:rPr>
          <w:rFonts w:ascii="Times New Roman" w:hAnsi="Times New Roman" w:cs="Times New Roman"/>
          <w:b/>
          <w:noProof/>
          <w:sz w:val="24"/>
          <w:szCs w:val="24"/>
          <w:u w:val="single"/>
          <w:lang w:val="en-GB"/>
        </w:rPr>
      </w:pPr>
      <w:r>
        <w:rPr>
          <w:rFonts w:ascii="Times New Roman" w:hAnsi="Times New Roman" w:cs="Times New Roman"/>
          <w:b/>
          <w:noProof/>
          <w:sz w:val="24"/>
          <w:szCs w:val="24"/>
          <w:u w:val="single"/>
          <w:lang w:val="en-GB"/>
        </w:rPr>
        <w:t>ANNEX 3</w:t>
      </w:r>
    </w:p>
    <w:p>
      <w:pPr>
        <w:spacing w:after="0" w:line="240" w:lineRule="auto"/>
        <w:ind w:right="-424"/>
        <w:jc w:val="center"/>
        <w:rPr>
          <w:rFonts w:ascii="Times New Roman" w:hAnsi="Times New Roman" w:cs="Times New Roman"/>
          <w:b/>
          <w:noProof/>
          <w:sz w:val="24"/>
          <w:szCs w:val="24"/>
          <w:u w:val="single"/>
          <w:lang w:val="en-GB"/>
        </w:rPr>
      </w:pPr>
    </w:p>
    <w:p>
      <w:pPr>
        <w:spacing w:after="0" w:line="240" w:lineRule="auto"/>
        <w:ind w:right="-424"/>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Assessment of the risk of non-compliance with emission reduction commitments</w:t>
      </w:r>
    </w:p>
    <w:p>
      <w:pPr>
        <w:spacing w:after="0" w:line="240" w:lineRule="auto"/>
        <w:rPr>
          <w:rFonts w:ascii="Times New Roman" w:hAnsi="Times New Roman" w:cs="Times New Roman"/>
          <w:noProof/>
          <w:sz w:val="24"/>
          <w:szCs w:val="24"/>
          <w:lang w:val="en-GB"/>
        </w:rPr>
      </w:pP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43"/>
        <w:gridCol w:w="709"/>
        <w:gridCol w:w="567"/>
        <w:gridCol w:w="851"/>
        <w:gridCol w:w="663"/>
        <w:gridCol w:w="709"/>
        <w:gridCol w:w="567"/>
        <w:gridCol w:w="567"/>
        <w:gridCol w:w="851"/>
        <w:gridCol w:w="663"/>
        <w:gridCol w:w="708"/>
      </w:tblGrid>
      <w:tr>
        <w:trPr>
          <w:trHeight w:hRule="exact" w:val="284"/>
        </w:trPr>
        <w:tc>
          <w:tcPr>
            <w:tcW w:w="1843" w:type="dxa"/>
            <w:tcBorders>
              <w:top w:val="nil"/>
              <w:left w:val="nil"/>
              <w:bottom w:val="nil"/>
              <w:right w:val="double" w:sz="18" w:space="0" w:color="auto"/>
            </w:tcBorders>
            <w:shd w:val="clear" w:color="auto" w:fill="auto"/>
            <w:vAlign w:val="center"/>
            <w:hideMark/>
          </w:tcPr>
          <w:p>
            <w:pPr>
              <w:spacing w:after="0"/>
              <w:jc w:val="center"/>
              <w:rPr>
                <w:noProof/>
                <w:sz w:val="18"/>
                <w:szCs w:val="18"/>
                <w:lang w:val="en-GB" w:eastAsia="en-GB"/>
              </w:rPr>
            </w:pPr>
          </w:p>
        </w:tc>
        <w:tc>
          <w:tcPr>
            <w:tcW w:w="3499" w:type="dxa"/>
            <w:gridSpan w:val="5"/>
            <w:tcBorders>
              <w:left w:val="double" w:sz="18" w:space="0" w:color="auto"/>
              <w:right w:val="double" w:sz="18" w:space="0" w:color="auto"/>
            </w:tcBorders>
            <w:shd w:val="clear" w:color="auto" w:fill="auto"/>
            <w:vAlign w:val="center"/>
            <w:hideMark/>
          </w:tcPr>
          <w:p>
            <w:pPr>
              <w:jc w:val="center"/>
              <w:rPr>
                <w:rFonts w:cs="Arial"/>
                <w:b/>
                <w:noProof/>
                <w:color w:val="000000"/>
                <w:sz w:val="18"/>
                <w:szCs w:val="18"/>
              </w:rPr>
            </w:pPr>
            <w:r>
              <w:rPr>
                <w:rFonts w:cs="Arial"/>
                <w:b/>
                <w:noProof/>
                <w:color w:val="000000"/>
                <w:sz w:val="18"/>
                <w:szCs w:val="18"/>
              </w:rPr>
              <w:t>2020-2029</w:t>
            </w:r>
          </w:p>
        </w:tc>
        <w:tc>
          <w:tcPr>
            <w:tcW w:w="3356" w:type="dxa"/>
            <w:gridSpan w:val="5"/>
            <w:tcBorders>
              <w:left w:val="double" w:sz="18" w:space="0" w:color="auto"/>
            </w:tcBorders>
            <w:shd w:val="clear" w:color="auto" w:fill="auto"/>
            <w:noWrap/>
            <w:vAlign w:val="center"/>
            <w:hideMark/>
          </w:tcPr>
          <w:p>
            <w:pPr>
              <w:jc w:val="center"/>
              <w:rPr>
                <w:rFonts w:cs="Arial"/>
                <w:b/>
                <w:noProof/>
                <w:color w:val="000000"/>
                <w:sz w:val="18"/>
                <w:szCs w:val="18"/>
              </w:rPr>
            </w:pPr>
            <w:r>
              <w:rPr>
                <w:rFonts w:cs="Arial"/>
                <w:b/>
                <w:noProof/>
                <w:color w:val="000000"/>
                <w:sz w:val="18"/>
                <w:szCs w:val="18"/>
              </w:rPr>
              <w:t>2030 and beyond</w:t>
            </w:r>
          </w:p>
        </w:tc>
      </w:tr>
      <w:tr>
        <w:trPr>
          <w:trHeight w:hRule="exact" w:val="319"/>
        </w:trPr>
        <w:tc>
          <w:tcPr>
            <w:tcW w:w="1843" w:type="dxa"/>
            <w:tcBorders>
              <w:top w:val="nil"/>
              <w:left w:val="nil"/>
              <w:bottom w:val="double" w:sz="18" w:space="0" w:color="auto"/>
              <w:right w:val="double" w:sz="18" w:space="0" w:color="auto"/>
            </w:tcBorders>
            <w:shd w:val="clear" w:color="auto" w:fill="auto"/>
            <w:noWrap/>
            <w:vAlign w:val="center"/>
            <w:hideMark/>
          </w:tcPr>
          <w:p>
            <w:pPr>
              <w:jc w:val="center"/>
              <w:rPr>
                <w:rFonts w:cs="Arial"/>
                <w:noProof/>
                <w:color w:val="000000"/>
                <w:sz w:val="18"/>
                <w:szCs w:val="18"/>
              </w:rPr>
            </w:pPr>
          </w:p>
        </w:tc>
        <w:tc>
          <w:tcPr>
            <w:tcW w:w="709" w:type="dxa"/>
            <w:tcBorders>
              <w:left w:val="double" w:sz="18" w:space="0" w:color="auto"/>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SO</w:t>
            </w:r>
            <w:r>
              <w:rPr>
                <w:rFonts w:cs="Arial"/>
                <w:b/>
                <w:noProof/>
                <w:sz w:val="16"/>
                <w:szCs w:val="16"/>
                <w:vertAlign w:val="subscript"/>
              </w:rPr>
              <w:t>2</w:t>
            </w:r>
          </w:p>
        </w:tc>
        <w:tc>
          <w:tcPr>
            <w:tcW w:w="567"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NOx</w:t>
            </w:r>
          </w:p>
        </w:tc>
        <w:tc>
          <w:tcPr>
            <w:tcW w:w="851"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NMVOC</w:t>
            </w:r>
          </w:p>
        </w:tc>
        <w:tc>
          <w:tcPr>
            <w:tcW w:w="663"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NH</w:t>
            </w:r>
            <w:r>
              <w:rPr>
                <w:rFonts w:cs="Arial"/>
                <w:b/>
                <w:noProof/>
                <w:sz w:val="16"/>
                <w:szCs w:val="16"/>
                <w:vertAlign w:val="subscript"/>
              </w:rPr>
              <w:t>3</w:t>
            </w:r>
          </w:p>
        </w:tc>
        <w:tc>
          <w:tcPr>
            <w:tcW w:w="709" w:type="dxa"/>
            <w:tcBorders>
              <w:bottom w:val="double" w:sz="18" w:space="0" w:color="auto"/>
              <w:right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PM</w:t>
            </w:r>
            <w:r>
              <w:rPr>
                <w:rFonts w:cs="Arial"/>
                <w:b/>
                <w:noProof/>
                <w:sz w:val="16"/>
                <w:szCs w:val="16"/>
                <w:vertAlign w:val="subscript"/>
              </w:rPr>
              <w:t>2.5</w:t>
            </w:r>
          </w:p>
        </w:tc>
        <w:tc>
          <w:tcPr>
            <w:tcW w:w="567" w:type="dxa"/>
            <w:tcBorders>
              <w:left w:val="double" w:sz="18" w:space="0" w:color="auto"/>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SO</w:t>
            </w:r>
            <w:r>
              <w:rPr>
                <w:rFonts w:cs="Arial"/>
                <w:b/>
                <w:noProof/>
                <w:sz w:val="16"/>
                <w:szCs w:val="16"/>
                <w:vertAlign w:val="subscript"/>
              </w:rPr>
              <w:t>2</w:t>
            </w:r>
          </w:p>
        </w:tc>
        <w:tc>
          <w:tcPr>
            <w:tcW w:w="567"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NOx</w:t>
            </w:r>
          </w:p>
        </w:tc>
        <w:tc>
          <w:tcPr>
            <w:tcW w:w="851"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NMVOC</w:t>
            </w:r>
          </w:p>
        </w:tc>
        <w:tc>
          <w:tcPr>
            <w:tcW w:w="663"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NH</w:t>
            </w:r>
            <w:r>
              <w:rPr>
                <w:rFonts w:cs="Arial"/>
                <w:b/>
                <w:noProof/>
                <w:sz w:val="16"/>
                <w:szCs w:val="16"/>
                <w:vertAlign w:val="subscript"/>
              </w:rPr>
              <w:t>3</w:t>
            </w:r>
          </w:p>
        </w:tc>
        <w:tc>
          <w:tcPr>
            <w:tcW w:w="708" w:type="dxa"/>
            <w:tcBorders>
              <w:bottom w:val="double" w:sz="18" w:space="0" w:color="auto"/>
            </w:tcBorders>
            <w:shd w:val="clear" w:color="000000" w:fill="FFFFFF"/>
            <w:vAlign w:val="center"/>
            <w:hideMark/>
          </w:tcPr>
          <w:p>
            <w:pPr>
              <w:jc w:val="center"/>
              <w:rPr>
                <w:rFonts w:cs="Arial"/>
                <w:b/>
                <w:noProof/>
                <w:sz w:val="16"/>
                <w:szCs w:val="16"/>
              </w:rPr>
            </w:pPr>
            <w:r>
              <w:rPr>
                <w:rFonts w:cs="Arial"/>
                <w:b/>
                <w:noProof/>
                <w:sz w:val="16"/>
                <w:szCs w:val="16"/>
              </w:rPr>
              <w:t>PM</w:t>
            </w:r>
            <w:r>
              <w:rPr>
                <w:rFonts w:cs="Arial"/>
                <w:b/>
                <w:noProof/>
                <w:sz w:val="16"/>
                <w:szCs w:val="16"/>
                <w:vertAlign w:val="subscript"/>
              </w:rPr>
              <w:t>2.5</w:t>
            </w:r>
          </w:p>
        </w:tc>
      </w:tr>
      <w:tr>
        <w:trPr>
          <w:trHeight w:hRule="exact" w:val="397"/>
        </w:trPr>
        <w:tc>
          <w:tcPr>
            <w:tcW w:w="1843" w:type="dxa"/>
            <w:tcBorders>
              <w:top w:val="double" w:sz="18" w:space="0" w:color="auto"/>
              <w:right w:val="double" w:sz="18" w:space="0" w:color="auto"/>
            </w:tcBorders>
            <w:shd w:val="clear" w:color="auto" w:fill="auto"/>
            <w:vAlign w:val="center"/>
          </w:tcPr>
          <w:p>
            <w:pPr>
              <w:rPr>
                <w:rFonts w:cs="Arial"/>
                <w:noProof/>
                <w:color w:val="000000"/>
                <w:sz w:val="18"/>
                <w:szCs w:val="18"/>
              </w:rPr>
            </w:pPr>
            <w:r>
              <w:rPr>
                <w:rFonts w:cs="Arial"/>
                <w:noProof/>
                <w:color w:val="000000"/>
                <w:szCs w:val="20"/>
              </w:rPr>
              <w:t>Austria</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Belgium</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auto" w:fill="FFEB9C"/>
            <w:vAlign w:val="bottom"/>
          </w:tcPr>
          <w:p>
            <w:pPr>
              <w:jc w:val="center"/>
              <w:rPr>
                <w:rFonts w:cs="Arial"/>
                <w:noProof/>
                <w:sz w:val="18"/>
                <w:szCs w:val="18"/>
              </w:rPr>
            </w:pPr>
            <w:r>
              <w:rPr>
                <w:rFonts w:cs="Arial"/>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Bulgaria</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color w:val="000000"/>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color w:val="000000"/>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color w:val="000000"/>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color w:val="000000"/>
                <w:sz w:val="18"/>
                <w:szCs w:val="18"/>
              </w:rPr>
            </w:pPr>
            <w:r>
              <w:rPr>
                <w:rFonts w:cs="Arial"/>
                <w:noProof/>
                <w:color w:val="006100"/>
                <w:szCs w:val="20"/>
              </w:rPr>
              <w:t>L</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Cyprus</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auto" w:fill="FFEB9C"/>
            <w:noWrap/>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rFonts w:cs="Arial"/>
                <w:noProof/>
                <w:color w:val="006100"/>
                <w:szCs w:val="20"/>
              </w:rPr>
              <w:t>L</w:t>
            </w:r>
          </w:p>
        </w:tc>
        <w:tc>
          <w:tcPr>
            <w:tcW w:w="709" w:type="dxa"/>
            <w:tcBorders>
              <w:top w:val="single" w:sz="4" w:space="0" w:color="auto"/>
              <w:left w:val="single" w:sz="4" w:space="0" w:color="auto"/>
              <w:bottom w:val="single" w:sz="4" w:space="0" w:color="auto"/>
              <w:right w:val="double" w:sz="18" w:space="0" w:color="auto"/>
            </w:tcBorders>
            <w:shd w:val="clear" w:color="auto" w:fill="FFEB9C"/>
            <w:noWrap/>
            <w:vAlign w:val="bottom"/>
          </w:tcPr>
          <w:p>
            <w:pPr>
              <w:jc w:val="center"/>
              <w:rPr>
                <w:rFonts w:cs="Arial"/>
                <w:noProof/>
                <w:sz w:val="18"/>
                <w:szCs w:val="18"/>
              </w:rPr>
            </w:pPr>
            <w:r>
              <w:rPr>
                <w:rFonts w:cs="Arial"/>
                <w:noProof/>
                <w:color w:val="9C0006"/>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rFonts w:cs="Arial"/>
                <w:noProof/>
                <w:color w:val="006100"/>
                <w:szCs w:val="20"/>
              </w:rPr>
              <w:t>L</w:t>
            </w:r>
          </w:p>
        </w:tc>
        <w:tc>
          <w:tcPr>
            <w:tcW w:w="708" w:type="dxa"/>
            <w:tcBorders>
              <w:top w:val="single" w:sz="4" w:space="0" w:color="auto"/>
              <w:left w:val="single" w:sz="4" w:space="0" w:color="auto"/>
              <w:bottom w:val="single" w:sz="4" w:space="0" w:color="auto"/>
              <w:right w:val="single" w:sz="4" w:space="0" w:color="auto"/>
            </w:tcBorders>
            <w:shd w:val="clear" w:color="000000" w:fill="FFC7CE"/>
            <w:noWrap/>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Czechia</w:t>
            </w:r>
          </w:p>
        </w:tc>
        <w:tc>
          <w:tcPr>
            <w:tcW w:w="709" w:type="dxa"/>
            <w:tcBorders>
              <w:top w:val="nil"/>
              <w:left w:val="single" w:sz="4" w:space="0" w:color="auto"/>
              <w:bottom w:val="single" w:sz="4" w:space="0" w:color="auto"/>
              <w:right w:val="single" w:sz="4" w:space="0" w:color="auto"/>
            </w:tcBorders>
            <w:shd w:val="clear" w:color="auto" w:fill="C6EFCE"/>
            <w:vAlign w:val="bottom"/>
          </w:tcPr>
          <w:p>
            <w:pPr>
              <w:jc w:val="center"/>
              <w:rPr>
                <w:rFonts w:cs="Arial"/>
                <w:noProof/>
                <w:color w:val="000000"/>
              </w:rPr>
            </w:pPr>
            <w:r>
              <w:rPr>
                <w:rFonts w:cs="Arial"/>
                <w:noProof/>
                <w:color w:val="000000"/>
              </w:rPr>
              <w:t>L</w:t>
            </w:r>
          </w:p>
        </w:tc>
        <w:tc>
          <w:tcPr>
            <w:tcW w:w="567"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851"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709" w:type="dxa"/>
            <w:tcBorders>
              <w:top w:val="nil"/>
              <w:left w:val="nil"/>
              <w:bottom w:val="single" w:sz="4" w:space="0" w:color="auto"/>
              <w:right w:val="double" w:sz="18" w:space="0" w:color="auto"/>
            </w:tcBorders>
            <w:shd w:val="clear" w:color="auto" w:fill="C6EFCE"/>
            <w:vAlign w:val="bottom"/>
          </w:tcPr>
          <w:p>
            <w:pPr>
              <w:jc w:val="center"/>
              <w:rPr>
                <w:rFonts w:cs="Arial"/>
                <w:noProof/>
                <w:color w:val="000000"/>
              </w:rPr>
            </w:pPr>
            <w:r>
              <w:rPr>
                <w:rFonts w:cs="Arial"/>
                <w:noProof/>
                <w:color w:val="000000"/>
              </w:rPr>
              <w:t>L</w:t>
            </w:r>
          </w:p>
        </w:tc>
        <w:tc>
          <w:tcPr>
            <w:tcW w:w="567" w:type="dxa"/>
            <w:tcBorders>
              <w:top w:val="nil"/>
              <w:left w:val="double" w:sz="18" w:space="0" w:color="auto"/>
              <w:bottom w:val="single" w:sz="4" w:space="0" w:color="auto"/>
              <w:right w:val="single" w:sz="4" w:space="0" w:color="auto"/>
            </w:tcBorders>
            <w:shd w:val="clear" w:color="auto" w:fill="C6EFCE"/>
            <w:vAlign w:val="bottom"/>
          </w:tcPr>
          <w:p>
            <w:pPr>
              <w:jc w:val="center"/>
              <w:rPr>
                <w:rFonts w:cs="Arial"/>
                <w:noProof/>
                <w:color w:val="000000"/>
              </w:rPr>
            </w:pPr>
            <w:r>
              <w:rPr>
                <w:rFonts w:cs="Arial"/>
                <w:noProof/>
                <w:color w:val="000000"/>
              </w:rPr>
              <w:t>L</w:t>
            </w:r>
          </w:p>
        </w:tc>
        <w:tc>
          <w:tcPr>
            <w:tcW w:w="567"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851"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708" w:type="dxa"/>
            <w:tcBorders>
              <w:top w:val="nil"/>
              <w:left w:val="nil"/>
              <w:bottom w:val="single" w:sz="4" w:space="0" w:color="auto"/>
              <w:right w:val="single" w:sz="4" w:space="0" w:color="auto"/>
            </w:tcBorders>
            <w:shd w:val="clear" w:color="auto" w:fill="C6EFCE"/>
            <w:vAlign w:val="bottom"/>
          </w:tcPr>
          <w:p>
            <w:pPr>
              <w:jc w:val="center"/>
              <w:rPr>
                <w:rFonts w:cs="Arial"/>
                <w:noProof/>
                <w:color w:val="000000"/>
              </w:rPr>
            </w:pPr>
            <w:r>
              <w:rPr>
                <w:rFonts w:cs="Arial"/>
                <w:noProof/>
                <w:color w:val="000000"/>
              </w:rPr>
              <w:t>L</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Germany</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Denmark</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Estonia</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Greece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Spain</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Finland</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France</w:t>
            </w:r>
          </w:p>
        </w:tc>
        <w:tc>
          <w:tcPr>
            <w:tcW w:w="709" w:type="dxa"/>
            <w:tcBorders>
              <w:top w:val="nil"/>
              <w:left w:val="single" w:sz="4" w:space="0" w:color="auto"/>
              <w:bottom w:val="single" w:sz="4" w:space="0" w:color="auto"/>
              <w:right w:val="single" w:sz="4" w:space="0" w:color="auto"/>
            </w:tcBorders>
            <w:shd w:val="clear" w:color="auto" w:fill="FFEB9C"/>
            <w:vAlign w:val="bottom"/>
          </w:tcPr>
          <w:p>
            <w:pPr>
              <w:jc w:val="center"/>
              <w:rPr>
                <w:rFonts w:cs="Arial"/>
                <w:noProof/>
                <w:color w:val="000000"/>
              </w:rPr>
            </w:pPr>
            <w:r>
              <w:rPr>
                <w:rFonts w:cs="Arial"/>
                <w:noProof/>
                <w:color w:val="000000"/>
              </w:rPr>
              <w:t>M</w:t>
            </w:r>
          </w:p>
        </w:tc>
        <w:tc>
          <w:tcPr>
            <w:tcW w:w="567"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rFonts w:cs="Arial"/>
                <w:noProof/>
                <w:color w:val="000000"/>
              </w:rPr>
              <w:t>M</w:t>
            </w:r>
          </w:p>
        </w:tc>
        <w:tc>
          <w:tcPr>
            <w:tcW w:w="851"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rFonts w:cs="Arial"/>
                <w:noProof/>
                <w:color w:val="000000"/>
              </w:rPr>
              <w:t>M</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709" w:type="dxa"/>
            <w:tcBorders>
              <w:top w:val="nil"/>
              <w:left w:val="nil"/>
              <w:bottom w:val="single" w:sz="4" w:space="0" w:color="auto"/>
              <w:right w:val="double" w:sz="18" w:space="0" w:color="auto"/>
            </w:tcBorders>
            <w:shd w:val="clear" w:color="auto" w:fill="FFEB9C"/>
            <w:vAlign w:val="bottom"/>
          </w:tcPr>
          <w:p>
            <w:pPr>
              <w:jc w:val="center"/>
              <w:rPr>
                <w:rFonts w:cs="Arial"/>
                <w:noProof/>
                <w:color w:val="000000"/>
              </w:rPr>
            </w:pPr>
            <w:r>
              <w:rPr>
                <w:rFonts w:cs="Arial"/>
                <w:noProof/>
                <w:color w:val="000000"/>
              </w:rPr>
              <w:t>M</w:t>
            </w:r>
          </w:p>
        </w:tc>
        <w:tc>
          <w:tcPr>
            <w:tcW w:w="567" w:type="dxa"/>
            <w:tcBorders>
              <w:top w:val="nil"/>
              <w:left w:val="double" w:sz="18" w:space="0" w:color="auto"/>
              <w:bottom w:val="single" w:sz="4" w:space="0" w:color="auto"/>
              <w:right w:val="single" w:sz="4" w:space="0" w:color="auto"/>
            </w:tcBorders>
            <w:shd w:val="clear" w:color="auto" w:fill="FFEB9C"/>
            <w:vAlign w:val="bottom"/>
          </w:tcPr>
          <w:p>
            <w:pPr>
              <w:jc w:val="center"/>
              <w:rPr>
                <w:rFonts w:cs="Arial"/>
                <w:noProof/>
                <w:color w:val="000000"/>
              </w:rPr>
            </w:pPr>
            <w:r>
              <w:rPr>
                <w:rFonts w:cs="Arial"/>
                <w:noProof/>
                <w:color w:val="000000"/>
              </w:rPr>
              <w:t>M</w:t>
            </w:r>
          </w:p>
        </w:tc>
        <w:tc>
          <w:tcPr>
            <w:tcW w:w="567"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rFonts w:cs="Arial"/>
                <w:noProof/>
                <w:color w:val="000000"/>
              </w:rPr>
              <w:t>M</w:t>
            </w:r>
          </w:p>
        </w:tc>
        <w:tc>
          <w:tcPr>
            <w:tcW w:w="851"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rFonts w:cs="Arial"/>
                <w:noProof/>
                <w:color w:val="000000"/>
              </w:rPr>
              <w:t>M</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c>
          <w:tcPr>
            <w:tcW w:w="708"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rFonts w:cs="Arial"/>
                <w:noProof/>
                <w:color w:val="00000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Croatia</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Hungary</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Ireland</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rFonts w:cs="Arial"/>
                <w:noProof/>
              </w:rPr>
              <w:t>L</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rFonts w:cs="Arial"/>
                <w:noProof/>
              </w:rPr>
              <w:t>L</w:t>
            </w:r>
          </w:p>
        </w:tc>
        <w:tc>
          <w:tcPr>
            <w:tcW w:w="851"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rFonts w:cs="Arial"/>
                <w:noProof/>
              </w:rPr>
              <w:t>H</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rFonts w:cs="Arial"/>
                <w:noProof/>
              </w:rPr>
              <w:t>H</w:t>
            </w:r>
          </w:p>
        </w:tc>
        <w:tc>
          <w:tcPr>
            <w:tcW w:w="709" w:type="dxa"/>
            <w:tcBorders>
              <w:top w:val="single" w:sz="4" w:space="0" w:color="auto"/>
              <w:left w:val="single" w:sz="4" w:space="0" w:color="auto"/>
              <w:bottom w:val="single" w:sz="4" w:space="0" w:color="auto"/>
              <w:right w:val="double" w:sz="18" w:space="0" w:color="auto"/>
            </w:tcBorders>
            <w:shd w:val="clear" w:color="auto" w:fill="C6EFCE"/>
            <w:vAlign w:val="bottom"/>
          </w:tcPr>
          <w:p>
            <w:pPr>
              <w:jc w:val="center"/>
              <w:rPr>
                <w:rFonts w:cs="Arial"/>
                <w:noProof/>
              </w:rPr>
            </w:pPr>
            <w:r>
              <w:rPr>
                <w:rFonts w:cs="Arial"/>
                <w:noProof/>
              </w:rPr>
              <w:t>L</w:t>
            </w:r>
          </w:p>
        </w:tc>
        <w:tc>
          <w:tcPr>
            <w:tcW w:w="567" w:type="dxa"/>
            <w:tcBorders>
              <w:top w:val="single" w:sz="4" w:space="0" w:color="auto"/>
              <w:left w:val="double" w:sz="18" w:space="0" w:color="auto"/>
              <w:bottom w:val="single" w:sz="4" w:space="0" w:color="auto"/>
              <w:right w:val="single" w:sz="4" w:space="0" w:color="auto"/>
            </w:tcBorders>
            <w:shd w:val="clear" w:color="auto" w:fill="FFEB9C"/>
            <w:vAlign w:val="bottom"/>
          </w:tcPr>
          <w:p>
            <w:pPr>
              <w:jc w:val="center"/>
              <w:rPr>
                <w:rFonts w:cs="Arial"/>
                <w:noProof/>
              </w:rPr>
            </w:pPr>
            <w:r>
              <w:rPr>
                <w:rFonts w:cs="Arial"/>
                <w:noProof/>
              </w:rPr>
              <w:t>M</w:t>
            </w:r>
          </w:p>
        </w:tc>
        <w:tc>
          <w:tcPr>
            <w:tcW w:w="567"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rFonts w:cs="Arial"/>
                <w:noProof/>
              </w:rPr>
              <w:t>H</w:t>
            </w:r>
          </w:p>
        </w:tc>
        <w:tc>
          <w:tcPr>
            <w:tcW w:w="851"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rFonts w:cs="Arial"/>
                <w:noProof/>
              </w:rPr>
              <w:t>H</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rFonts w:cs="Arial"/>
                <w:noProof/>
              </w:rPr>
              <w:t>H</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rFonts w:cs="Arial"/>
                <w:noProof/>
              </w:rPr>
              <w:t>L</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Italy</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Lithuania</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Luxembourg</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Latvia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709" w:type="dxa"/>
            <w:tcBorders>
              <w:top w:val="single" w:sz="4" w:space="0" w:color="auto"/>
              <w:left w:val="single" w:sz="4" w:space="0" w:color="auto"/>
              <w:bottom w:val="single" w:sz="4" w:space="0" w:color="auto"/>
              <w:right w:val="double" w:sz="18"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567" w:type="dxa"/>
            <w:tcBorders>
              <w:top w:val="single" w:sz="4" w:space="0" w:color="auto"/>
              <w:left w:val="double" w:sz="18"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rFonts w:cs="Arial"/>
                <w:noProof/>
                <w:sz w:val="18"/>
                <w:szCs w:val="18"/>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Malta</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Netherlands</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Poland</w:t>
            </w:r>
          </w:p>
        </w:tc>
        <w:tc>
          <w:tcPr>
            <w:tcW w:w="709"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Portugal</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Romania</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Sweden</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rFonts w:cs="Arial"/>
                <w:noProof/>
                <w:color w:val="006100"/>
                <w:szCs w:val="20"/>
              </w:rPr>
              <w:t>L</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Slovenia</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rFonts w:cs="Arial"/>
                <w:noProof/>
                <w:color w:val="000000"/>
                <w:szCs w:val="20"/>
              </w:rPr>
              <w:t>Slovakia</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rFonts w:cs="Arial"/>
                <w:noProof/>
                <w:color w:val="000000"/>
                <w:szCs w:val="20"/>
              </w:rPr>
              <w:t>-</w:t>
            </w:r>
          </w:p>
        </w:tc>
      </w:tr>
      <w:tr>
        <w:trPr>
          <w:trHeight w:hRule="exact" w:val="284"/>
        </w:trPr>
        <w:tc>
          <w:tcPr>
            <w:tcW w:w="1843" w:type="dxa"/>
            <w:tcBorders>
              <w:bottom w:val="double" w:sz="18" w:space="0" w:color="auto"/>
              <w:right w:val="double" w:sz="18" w:space="0" w:color="auto"/>
            </w:tcBorders>
            <w:shd w:val="clear" w:color="auto" w:fill="auto"/>
            <w:vAlign w:val="center"/>
          </w:tcPr>
          <w:p>
            <w:pPr>
              <w:rPr>
                <w:rFonts w:cs="Arial"/>
                <w:noProof/>
                <w:color w:val="000000"/>
                <w:sz w:val="18"/>
                <w:szCs w:val="18"/>
              </w:rPr>
            </w:pPr>
            <w:r>
              <w:rPr>
                <w:rFonts w:cs="Arial"/>
                <w:noProof/>
                <w:color w:val="000000"/>
                <w:szCs w:val="20"/>
              </w:rPr>
              <w:t>United Kingdom</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rFonts w:cs="Arial"/>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9" w:type="dxa"/>
            <w:tcBorders>
              <w:top w:val="single" w:sz="4" w:space="0" w:color="auto"/>
              <w:left w:val="single" w:sz="4" w:space="0" w:color="auto"/>
              <w:bottom w:val="single" w:sz="4" w:space="0" w:color="auto"/>
              <w:right w:val="double" w:sz="18"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rFonts w:cs="Arial"/>
                <w:noProof/>
                <w:color w:val="9C0006"/>
                <w:szCs w:val="20"/>
              </w:rPr>
              <w:t>H</w:t>
            </w:r>
          </w:p>
        </w:tc>
      </w:tr>
      <w:tr>
        <w:trPr>
          <w:trHeight w:hRule="exact" w:val="397"/>
        </w:trPr>
        <w:tc>
          <w:tcPr>
            <w:tcW w:w="1843" w:type="dxa"/>
            <w:tcBorders>
              <w:top w:val="double" w:sz="18" w:space="0" w:color="auto"/>
              <w:right w:val="double" w:sz="18" w:space="0" w:color="auto"/>
            </w:tcBorders>
            <w:shd w:val="clear" w:color="auto" w:fill="auto"/>
            <w:vAlign w:val="center"/>
            <w:hideMark/>
          </w:tcPr>
          <w:p>
            <w:pPr>
              <w:rPr>
                <w:rFonts w:cs="Arial"/>
                <w:b/>
                <w:noProof/>
                <w:color w:val="FFFFFF"/>
                <w:szCs w:val="20"/>
              </w:rPr>
            </w:pPr>
            <w:r>
              <w:rPr>
                <w:rFonts w:cs="Arial"/>
                <w:b/>
                <w:noProof/>
                <w:color w:val="000000"/>
                <w:szCs w:val="20"/>
              </w:rPr>
              <w:t>High risk</w:t>
            </w:r>
          </w:p>
        </w:tc>
        <w:tc>
          <w:tcPr>
            <w:tcW w:w="709" w:type="dxa"/>
            <w:tcBorders>
              <w:top w:val="double" w:sz="18" w:space="0" w:color="auto"/>
              <w:lef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w:t>
            </w:r>
          </w:p>
        </w:tc>
        <w:tc>
          <w:tcPr>
            <w:tcW w:w="567"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7</w:t>
            </w:r>
          </w:p>
        </w:tc>
        <w:tc>
          <w:tcPr>
            <w:tcW w:w="851"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6</w:t>
            </w:r>
          </w:p>
        </w:tc>
        <w:tc>
          <w:tcPr>
            <w:tcW w:w="663"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14</w:t>
            </w:r>
          </w:p>
        </w:tc>
        <w:tc>
          <w:tcPr>
            <w:tcW w:w="709" w:type="dxa"/>
            <w:tcBorders>
              <w:top w:val="double" w:sz="18" w:space="0" w:color="auto"/>
              <w:righ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2</w:t>
            </w:r>
          </w:p>
        </w:tc>
        <w:tc>
          <w:tcPr>
            <w:tcW w:w="567" w:type="dxa"/>
            <w:tcBorders>
              <w:top w:val="double" w:sz="18" w:space="0" w:color="auto"/>
              <w:lef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c>
          <w:tcPr>
            <w:tcW w:w="567"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10</w:t>
            </w:r>
          </w:p>
        </w:tc>
        <w:tc>
          <w:tcPr>
            <w:tcW w:w="851"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10</w:t>
            </w:r>
          </w:p>
        </w:tc>
        <w:tc>
          <w:tcPr>
            <w:tcW w:w="663"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14</w:t>
            </w:r>
          </w:p>
        </w:tc>
        <w:tc>
          <w:tcPr>
            <w:tcW w:w="708"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10</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rFonts w:cs="Arial"/>
                <w:b/>
                <w:noProof/>
                <w:color w:val="000000"/>
                <w:szCs w:val="20"/>
              </w:rPr>
              <w:t>Medium risk</w:t>
            </w:r>
          </w:p>
        </w:tc>
        <w:tc>
          <w:tcPr>
            <w:tcW w:w="709"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8</w:t>
            </w:r>
          </w:p>
        </w:tc>
        <w:tc>
          <w:tcPr>
            <w:tcW w:w="567"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10</w:t>
            </w:r>
          </w:p>
        </w:tc>
        <w:tc>
          <w:tcPr>
            <w:tcW w:w="663"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c>
          <w:tcPr>
            <w:tcW w:w="709" w:type="dxa"/>
            <w:tcBorders>
              <w:righ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10</w:t>
            </w:r>
          </w:p>
        </w:tc>
        <w:tc>
          <w:tcPr>
            <w:tcW w:w="567"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6</w:t>
            </w:r>
          </w:p>
        </w:tc>
        <w:tc>
          <w:tcPr>
            <w:tcW w:w="567"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6</w:t>
            </w:r>
          </w:p>
        </w:tc>
        <w:tc>
          <w:tcPr>
            <w:tcW w:w="663"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c>
          <w:tcPr>
            <w:tcW w:w="708"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rFonts w:cs="Arial"/>
                <w:b/>
                <w:noProof/>
                <w:color w:val="000000"/>
                <w:szCs w:val="20"/>
              </w:rPr>
              <w:t>Low risk</w:t>
            </w:r>
          </w:p>
        </w:tc>
        <w:tc>
          <w:tcPr>
            <w:tcW w:w="709"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11</w:t>
            </w:r>
          </w:p>
        </w:tc>
        <w:tc>
          <w:tcPr>
            <w:tcW w:w="567"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8</w:t>
            </w:r>
          </w:p>
        </w:tc>
        <w:tc>
          <w:tcPr>
            <w:tcW w:w="851"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4</w:t>
            </w:r>
          </w:p>
        </w:tc>
        <w:tc>
          <w:tcPr>
            <w:tcW w:w="663"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w:t>
            </w:r>
          </w:p>
        </w:tc>
        <w:tc>
          <w:tcPr>
            <w:tcW w:w="709" w:type="dxa"/>
            <w:tcBorders>
              <w:righ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8</w:t>
            </w:r>
          </w:p>
        </w:tc>
        <w:tc>
          <w:tcPr>
            <w:tcW w:w="567"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rFonts w:cs="Arial"/>
                <w:b/>
                <w:bCs/>
                <w:noProof/>
                <w:color w:val="000000"/>
                <w:szCs w:val="20"/>
              </w:rPr>
              <w:t>9</w:t>
            </w:r>
          </w:p>
        </w:tc>
        <w:tc>
          <w:tcPr>
            <w:tcW w:w="567"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4</w:t>
            </w:r>
          </w:p>
        </w:tc>
        <w:tc>
          <w:tcPr>
            <w:tcW w:w="663"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1</w:t>
            </w:r>
          </w:p>
        </w:tc>
        <w:tc>
          <w:tcPr>
            <w:tcW w:w="708" w:type="dxa"/>
            <w:shd w:val="clear" w:color="auto" w:fill="FFFFFF" w:themeFill="background1"/>
            <w:vAlign w:val="bottom"/>
            <w:hideMark/>
          </w:tcPr>
          <w:p>
            <w:pPr>
              <w:jc w:val="center"/>
              <w:rPr>
                <w:rFonts w:cs="Arial"/>
                <w:b/>
                <w:bCs/>
                <w:noProof/>
                <w:color w:val="000000"/>
                <w:szCs w:val="20"/>
              </w:rPr>
            </w:pPr>
            <w:r>
              <w:rPr>
                <w:rFonts w:cs="Arial"/>
                <w:b/>
                <w:bCs/>
                <w:noProof/>
                <w:color w:val="000000"/>
                <w:szCs w:val="20"/>
              </w:rPr>
              <w:t>5</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rFonts w:cs="Arial"/>
                <w:b/>
                <w:noProof/>
                <w:color w:val="000000"/>
                <w:szCs w:val="20"/>
              </w:rPr>
              <w:t>Not assessed</w:t>
            </w:r>
          </w:p>
        </w:tc>
        <w:tc>
          <w:tcPr>
            <w:tcW w:w="709" w:type="dxa"/>
            <w:tcBorders>
              <w:left w:val="double" w:sz="18" w:space="0" w:color="auto"/>
            </w:tcBorders>
            <w:shd w:val="clear" w:color="auto" w:fill="auto"/>
            <w:vAlign w:val="center"/>
          </w:tcPr>
          <w:p>
            <w:pPr>
              <w:jc w:val="center"/>
              <w:rPr>
                <w:rFonts w:cs="Arial"/>
                <w:b/>
                <w:bCs/>
                <w:noProof/>
                <w:color w:val="000000"/>
                <w:szCs w:val="20"/>
              </w:rPr>
            </w:pPr>
            <w:r>
              <w:rPr>
                <w:rFonts w:cs="Arial"/>
                <w:b/>
                <w:bCs/>
                <w:noProof/>
                <w:color w:val="000000"/>
                <w:szCs w:val="20"/>
              </w:rPr>
              <w:t>8</w:t>
            </w:r>
          </w:p>
        </w:tc>
        <w:tc>
          <w:tcPr>
            <w:tcW w:w="567" w:type="dxa"/>
            <w:shd w:val="clear" w:color="auto" w:fill="auto"/>
            <w:vAlign w:val="center"/>
          </w:tcPr>
          <w:p>
            <w:pPr>
              <w:jc w:val="center"/>
              <w:rPr>
                <w:rFonts w:cs="Arial"/>
                <w:b/>
                <w:bCs/>
                <w:noProof/>
                <w:color w:val="000000"/>
                <w:szCs w:val="20"/>
              </w:rPr>
            </w:pPr>
            <w:r>
              <w:rPr>
                <w:rFonts w:cs="Arial"/>
                <w:b/>
                <w:bCs/>
                <w:noProof/>
                <w:color w:val="000000"/>
                <w:szCs w:val="20"/>
              </w:rPr>
              <w:t>8</w:t>
            </w:r>
          </w:p>
        </w:tc>
        <w:tc>
          <w:tcPr>
            <w:tcW w:w="851" w:type="dxa"/>
            <w:shd w:val="clear" w:color="auto" w:fill="auto"/>
            <w:vAlign w:val="center"/>
          </w:tcPr>
          <w:p>
            <w:pPr>
              <w:jc w:val="center"/>
              <w:rPr>
                <w:rFonts w:cs="Arial"/>
                <w:b/>
                <w:bCs/>
                <w:noProof/>
                <w:color w:val="000000"/>
                <w:szCs w:val="20"/>
              </w:rPr>
            </w:pPr>
            <w:r>
              <w:rPr>
                <w:rFonts w:cs="Arial"/>
                <w:b/>
                <w:bCs/>
                <w:noProof/>
                <w:color w:val="000000"/>
                <w:szCs w:val="20"/>
              </w:rPr>
              <w:t>8</w:t>
            </w:r>
          </w:p>
        </w:tc>
        <w:tc>
          <w:tcPr>
            <w:tcW w:w="663" w:type="dxa"/>
            <w:shd w:val="clear" w:color="auto" w:fill="auto"/>
            <w:vAlign w:val="center"/>
          </w:tcPr>
          <w:p>
            <w:pPr>
              <w:jc w:val="center"/>
              <w:rPr>
                <w:rFonts w:cs="Arial"/>
                <w:b/>
                <w:bCs/>
                <w:noProof/>
                <w:color w:val="000000"/>
                <w:szCs w:val="20"/>
              </w:rPr>
            </w:pPr>
            <w:r>
              <w:rPr>
                <w:rFonts w:cs="Arial"/>
                <w:b/>
                <w:bCs/>
                <w:noProof/>
                <w:color w:val="000000"/>
                <w:szCs w:val="20"/>
              </w:rPr>
              <w:t>8</w:t>
            </w:r>
          </w:p>
        </w:tc>
        <w:tc>
          <w:tcPr>
            <w:tcW w:w="709" w:type="dxa"/>
            <w:tcBorders>
              <w:right w:val="double" w:sz="18" w:space="0" w:color="auto"/>
            </w:tcBorders>
            <w:shd w:val="clear" w:color="auto" w:fill="auto"/>
            <w:vAlign w:val="center"/>
          </w:tcPr>
          <w:p>
            <w:pPr>
              <w:jc w:val="center"/>
              <w:rPr>
                <w:rFonts w:cs="Arial"/>
                <w:b/>
                <w:bCs/>
                <w:noProof/>
                <w:color w:val="000000"/>
                <w:szCs w:val="20"/>
              </w:rPr>
            </w:pPr>
            <w:r>
              <w:rPr>
                <w:rFonts w:cs="Arial"/>
                <w:b/>
                <w:bCs/>
                <w:noProof/>
                <w:color w:val="000000"/>
                <w:szCs w:val="20"/>
              </w:rPr>
              <w:t>8</w:t>
            </w:r>
          </w:p>
        </w:tc>
        <w:tc>
          <w:tcPr>
            <w:tcW w:w="567" w:type="dxa"/>
            <w:tcBorders>
              <w:left w:val="double" w:sz="18" w:space="0" w:color="auto"/>
            </w:tcBorders>
            <w:shd w:val="clear" w:color="auto" w:fill="auto"/>
            <w:vAlign w:val="center"/>
          </w:tcPr>
          <w:p>
            <w:pPr>
              <w:jc w:val="center"/>
              <w:rPr>
                <w:rFonts w:cs="Arial"/>
                <w:b/>
                <w:bCs/>
                <w:noProof/>
                <w:color w:val="000000"/>
                <w:szCs w:val="20"/>
              </w:rPr>
            </w:pPr>
            <w:r>
              <w:rPr>
                <w:rFonts w:cs="Arial"/>
                <w:b/>
                <w:bCs/>
                <w:noProof/>
                <w:color w:val="000000"/>
                <w:szCs w:val="20"/>
              </w:rPr>
              <w:t>8</w:t>
            </w:r>
          </w:p>
        </w:tc>
        <w:tc>
          <w:tcPr>
            <w:tcW w:w="567" w:type="dxa"/>
            <w:shd w:val="clear" w:color="auto" w:fill="auto"/>
            <w:vAlign w:val="center"/>
          </w:tcPr>
          <w:p>
            <w:pPr>
              <w:jc w:val="center"/>
              <w:rPr>
                <w:rFonts w:cs="Arial"/>
                <w:b/>
                <w:bCs/>
                <w:noProof/>
                <w:color w:val="000000"/>
                <w:szCs w:val="20"/>
              </w:rPr>
            </w:pPr>
            <w:r>
              <w:rPr>
                <w:rFonts w:cs="Arial"/>
                <w:b/>
                <w:bCs/>
                <w:noProof/>
                <w:color w:val="000000"/>
                <w:szCs w:val="20"/>
              </w:rPr>
              <w:t>8</w:t>
            </w:r>
          </w:p>
        </w:tc>
        <w:tc>
          <w:tcPr>
            <w:tcW w:w="851" w:type="dxa"/>
            <w:shd w:val="clear" w:color="auto" w:fill="auto"/>
            <w:vAlign w:val="center"/>
          </w:tcPr>
          <w:p>
            <w:pPr>
              <w:jc w:val="center"/>
              <w:rPr>
                <w:rFonts w:cs="Arial"/>
                <w:b/>
                <w:bCs/>
                <w:noProof/>
                <w:color w:val="000000"/>
                <w:szCs w:val="20"/>
              </w:rPr>
            </w:pPr>
            <w:r>
              <w:rPr>
                <w:rFonts w:cs="Arial"/>
                <w:b/>
                <w:bCs/>
                <w:noProof/>
                <w:color w:val="000000"/>
                <w:szCs w:val="20"/>
              </w:rPr>
              <w:t>8</w:t>
            </w:r>
          </w:p>
        </w:tc>
        <w:tc>
          <w:tcPr>
            <w:tcW w:w="663" w:type="dxa"/>
            <w:shd w:val="clear" w:color="auto" w:fill="auto"/>
            <w:vAlign w:val="center"/>
          </w:tcPr>
          <w:p>
            <w:pPr>
              <w:jc w:val="center"/>
              <w:rPr>
                <w:rFonts w:cs="Arial"/>
                <w:b/>
                <w:bCs/>
                <w:noProof/>
                <w:color w:val="000000"/>
                <w:szCs w:val="20"/>
              </w:rPr>
            </w:pPr>
            <w:r>
              <w:rPr>
                <w:rFonts w:cs="Arial"/>
                <w:b/>
                <w:bCs/>
                <w:noProof/>
                <w:color w:val="000000"/>
                <w:szCs w:val="20"/>
              </w:rPr>
              <w:t>8</w:t>
            </w:r>
          </w:p>
        </w:tc>
        <w:tc>
          <w:tcPr>
            <w:tcW w:w="708" w:type="dxa"/>
            <w:shd w:val="clear" w:color="auto" w:fill="auto"/>
            <w:vAlign w:val="center"/>
          </w:tcPr>
          <w:p>
            <w:pPr>
              <w:jc w:val="center"/>
              <w:rPr>
                <w:rFonts w:cs="Arial"/>
                <w:b/>
                <w:bCs/>
                <w:noProof/>
                <w:color w:val="000000"/>
                <w:szCs w:val="20"/>
              </w:rPr>
            </w:pPr>
            <w:r>
              <w:rPr>
                <w:rFonts w:cs="Arial"/>
                <w:b/>
                <w:bCs/>
                <w:noProof/>
                <w:color w:val="000000"/>
                <w:szCs w:val="20"/>
              </w:rPr>
              <w:t>8</w:t>
            </w:r>
          </w:p>
        </w:tc>
      </w:tr>
    </w:tbl>
    <w:p>
      <w:pPr>
        <w:spacing w:after="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Source: Review of national air pollutant projections and assessment of national air pollution control programmes: Horizontal report, Ricardo, 2020 (where methodology for the risk assessment is also described) </w:t>
      </w:r>
      <w:hyperlink r:id="rId17" w:history="1">
        <w:r>
          <w:rPr>
            <w:rStyle w:val="Hyperlink"/>
            <w:rFonts w:ascii="Times New Roman" w:hAnsi="Times New Roman" w:cs="Times New Roman"/>
            <w:noProof/>
            <w:sz w:val="20"/>
            <w:szCs w:val="20"/>
            <w:lang w:val="en-GB"/>
          </w:rPr>
          <w:t>https://ec.europa.eu/environment/air/reduction/NAPCP.htm</w:t>
        </w:r>
      </w:hyperlink>
      <w:r>
        <w:rPr>
          <w:rFonts w:ascii="Times New Roman" w:hAnsi="Times New Roman" w:cs="Times New Roman"/>
          <w:noProof/>
          <w:sz w:val="20"/>
          <w:szCs w:val="20"/>
          <w:lang w:val="en-GB"/>
        </w:rPr>
        <w:t xml:space="preserve"> </w:t>
      </w: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Legend:</w:t>
      </w: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H = high risk</w:t>
      </w: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M = medium risk</w:t>
      </w: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L = low risk</w:t>
      </w:r>
    </w:p>
    <w:p>
      <w:pPr>
        <w:pStyle w:val="ListParagraph"/>
        <w:numPr>
          <w:ilvl w:val="2"/>
          <w:numId w:val="1"/>
        </w:numPr>
        <w:spacing w:after="0" w:line="240" w:lineRule="auto"/>
        <w:ind w:left="142" w:hanging="142"/>
        <w:rPr>
          <w:rFonts w:ascii="Times New Roman" w:hAnsi="Times New Roman" w:cs="Times New Roman"/>
          <w:noProof/>
          <w:sz w:val="24"/>
          <w:szCs w:val="24"/>
        </w:rPr>
      </w:pPr>
      <w:r>
        <w:rPr>
          <w:rFonts w:ascii="Times New Roman" w:hAnsi="Times New Roman" w:cs="Times New Roman"/>
          <w:noProof/>
          <w:sz w:val="24"/>
          <w:szCs w:val="24"/>
        </w:rPr>
        <w:t xml:space="preserve">= not assessed due to late or non-submission  </w:t>
      </w:r>
    </w:p>
    <w:p>
      <w:pPr>
        <w:rPr>
          <w:rFonts w:ascii="Times New Roman" w:hAnsi="Times New Roman" w:cs="Times New Roman"/>
          <w:noProof/>
          <w:sz w:val="24"/>
          <w:szCs w:val="24"/>
          <w:lang w:val="en-GB"/>
        </w:rPr>
      </w:pPr>
      <w:r>
        <w:rPr>
          <w:rFonts w:ascii="Times New Roman" w:hAnsi="Times New Roman" w:cs="Times New Roman"/>
          <w:noProof/>
          <w:sz w:val="24"/>
          <w:szCs w:val="24"/>
          <w:lang w:val="en-US"/>
        </w:rPr>
        <w:br w:type="page"/>
      </w:r>
    </w:p>
    <w:p>
      <w:pPr>
        <w:spacing w:after="0" w:line="240" w:lineRule="auto"/>
        <w:jc w:val="center"/>
        <w:rPr>
          <w:rFonts w:ascii="Times New Roman" w:hAnsi="Times New Roman" w:cs="Times New Roman"/>
          <w:b/>
          <w:noProof/>
          <w:sz w:val="24"/>
          <w:szCs w:val="24"/>
          <w:u w:val="single"/>
          <w:lang w:val="en-GB"/>
        </w:rPr>
      </w:pPr>
      <w:r>
        <w:rPr>
          <w:rFonts w:ascii="Times New Roman" w:hAnsi="Times New Roman" w:cs="Times New Roman"/>
          <w:b/>
          <w:noProof/>
          <w:sz w:val="24"/>
          <w:szCs w:val="24"/>
          <w:u w:val="single"/>
          <w:lang w:val="en-GB"/>
        </w:rPr>
        <w:t>ANNEX 4</w:t>
      </w:r>
    </w:p>
    <w:p>
      <w:pPr>
        <w:spacing w:after="0" w:line="240" w:lineRule="auto"/>
        <w:jc w:val="center"/>
        <w:rPr>
          <w:rFonts w:ascii="Times New Roman" w:hAnsi="Times New Roman" w:cs="Times New Roman"/>
          <w:b/>
          <w:noProof/>
          <w:sz w:val="24"/>
          <w:szCs w:val="24"/>
          <w:u w:val="single"/>
          <w:lang w:val="en-GB"/>
        </w:rPr>
      </w:pPr>
    </w:p>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Clean Air expenditures tracking methodology</w:t>
      </w:r>
    </w:p>
    <w:p>
      <w:pPr>
        <w:spacing w:after="0" w:line="240" w:lineRule="auto"/>
        <w:jc w:val="center"/>
        <w:rPr>
          <w:rFonts w:ascii="Times New Roman" w:hAnsi="Times New Roman" w:cs="Times New Roman"/>
          <w:b/>
          <w:noProof/>
          <w:sz w:val="24"/>
          <w:szCs w:val="24"/>
          <w:lang w:val="en-GB"/>
        </w:rPr>
      </w:pPr>
    </w:p>
    <w:p>
      <w:pPr>
        <w:spacing w:after="0" w:line="240" w:lineRule="auto"/>
        <w:rPr>
          <w:rFonts w:ascii="Times New Roman" w:hAnsi="Times New Roman" w:cs="Times New Roman"/>
          <w:b/>
          <w:noProof/>
          <w:sz w:val="24"/>
          <w:szCs w:val="24"/>
          <w:lang w:val="en-GB"/>
        </w:rPr>
      </w:pPr>
    </w:p>
    <w:p>
      <w:pPr>
        <w:keepNext/>
        <w:keepLines/>
        <w:numPr>
          <w:ilvl w:val="0"/>
          <w:numId w:val="9"/>
        </w:numPr>
        <w:spacing w:after="120" w:line="240" w:lineRule="auto"/>
        <w:jc w:val="both"/>
        <w:outlineLvl w:val="0"/>
        <w:rPr>
          <w:rFonts w:ascii="Times New Roman" w:eastAsia="Times New Roman" w:hAnsi="Times New Roman" w:cs="Times New Roman"/>
          <w:bCs/>
          <w:noProof/>
          <w:sz w:val="24"/>
          <w:szCs w:val="24"/>
          <w:lang w:val="en-GB"/>
        </w:rPr>
      </w:pPr>
      <w:bookmarkStart w:id="2" w:name="_Toc38542836"/>
      <w:r>
        <w:rPr>
          <w:rFonts w:ascii="Times New Roman" w:eastAsia="Times New Roman" w:hAnsi="Times New Roman" w:cs="Times New Roman"/>
          <w:bCs/>
          <w:noProof/>
          <w:sz w:val="24"/>
          <w:szCs w:val="24"/>
          <w:lang w:val="en-GB"/>
        </w:rPr>
        <w:t xml:space="preserve">General approach to Clean Air expenditure tracking </w:t>
      </w:r>
      <w:bookmarkEnd w:id="2"/>
    </w:p>
    <w:p>
      <w:pPr>
        <w:keepNext/>
        <w:keepLines/>
        <w:numPr>
          <w:ilvl w:val="1"/>
          <w:numId w:val="9"/>
        </w:numPr>
        <w:spacing w:after="120" w:line="240" w:lineRule="auto"/>
        <w:jc w:val="both"/>
        <w:outlineLvl w:val="0"/>
        <w:rPr>
          <w:rFonts w:ascii="Times New Roman" w:eastAsia="Times New Roman" w:hAnsi="Times New Roman" w:cs="Times New Roman"/>
          <w:bCs/>
          <w:noProof/>
          <w:sz w:val="24"/>
          <w:szCs w:val="24"/>
          <w:lang w:val="en-GB"/>
        </w:rPr>
      </w:pPr>
      <w:r>
        <w:rPr>
          <w:rFonts w:ascii="Times New Roman" w:eastAsia="Calibri" w:hAnsi="Times New Roman" w:cs="Times New Roman"/>
          <w:noProof/>
          <w:sz w:val="24"/>
          <w:szCs w:val="24"/>
          <w:lang w:val="en-GB" w:eastAsia="en-GB"/>
        </w:rPr>
        <w:t>Principles of EU clean air tracking</w:t>
      </w: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To monitor progress in the Member States’ uptake of EU funds for clean air objectives, the Commission will "mark" expenditure by assigning a specific weighting to the EU financial contribution, which reflects the extent to which it contributes to clean air objectives. </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This clean air tracking builds on the lessons learnt from the climate and biodiversity tracking already in place in the Commission. It also builds on proposed programme regulations which identify the environmental markers to be assigned to EU funding when tracking the environmental contribution, notably Cohesion funds (Annex 1 of the Common Provisions Regulation), and other relevant programmes (eg Common Agricultural Policy, Connecting Europe Facility). Unlike climate tracking, clean air tracking does not relate to a spending target but is meant to monitor EU funding contributing to clean air in view of a better implementation of the clean air policies in Member States.</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The main attributes of clean air tracking are:</w:t>
      </w:r>
    </w:p>
    <w:p>
      <w:pPr>
        <w:numPr>
          <w:ilvl w:val="0"/>
          <w:numId w:val="4"/>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Use of 100%, 40% and 0% markers;</w:t>
      </w:r>
    </w:p>
    <w:p>
      <w:pPr>
        <w:numPr>
          <w:ilvl w:val="0"/>
          <w:numId w:val="4"/>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Attention to administrative effort and simplicity;</w:t>
      </w:r>
    </w:p>
    <w:p>
      <w:pPr>
        <w:numPr>
          <w:ilvl w:val="0"/>
          <w:numId w:val="4"/>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Consistency of the marking among programmes (similar activities marked similarly);</w:t>
      </w:r>
    </w:p>
    <w:p>
      <w:pPr>
        <w:numPr>
          <w:ilvl w:val="0"/>
          <w:numId w:val="4"/>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 xml:space="preserve">Transparency of marking </w:t>
      </w:r>
    </w:p>
    <w:p>
      <w:pPr>
        <w:numPr>
          <w:ilvl w:val="0"/>
          <w:numId w:val="4"/>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 xml:space="preserve">Independence from the other tracking methodologies (climate, biodiversity), ie each Euro spent can be tracked more than once. </w:t>
      </w:r>
    </w:p>
    <w:p>
      <w:pPr>
        <w:spacing w:after="0" w:line="240" w:lineRule="auto"/>
        <w:jc w:val="both"/>
        <w:rPr>
          <w:rFonts w:ascii="Times New Roman" w:eastAsia="Calibri" w:hAnsi="Times New Roman" w:cs="Times New Roman"/>
          <w:noProof/>
          <w:sz w:val="24"/>
          <w:highlight w:val="yellow"/>
          <w:lang w:val="en-GB"/>
        </w:rPr>
      </w:pP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Clean air, being a cross-cutting issue, not only benefits from actions targeted at clean air, but also from impacts generated by EU-funded projects in other policy areas, for example those targeting topics such as sustainable transport, climate change mitigation (e.g. energy efficiency), resource efficiency, health.</w:t>
      </w:r>
    </w:p>
    <w:p>
      <w:pPr>
        <w:spacing w:after="0" w:line="240" w:lineRule="auto"/>
        <w:jc w:val="both"/>
        <w:rPr>
          <w:rFonts w:ascii="Times New Roman" w:eastAsia="Calibri" w:hAnsi="Times New Roman" w:cs="Times New Roman"/>
          <w:b/>
          <w:noProof/>
          <w:sz w:val="24"/>
          <w:szCs w:val="24"/>
          <w:lang w:val="en-GB"/>
        </w:rPr>
      </w:pPr>
    </w:p>
    <w:p>
      <w:pPr>
        <w:pStyle w:val="ListParagraph"/>
        <w:numPr>
          <w:ilvl w:val="1"/>
          <w:numId w:val="9"/>
        </w:numPr>
        <w:spacing w:after="0" w:line="240" w:lineRule="auto"/>
        <w:jc w:val="both"/>
        <w:rPr>
          <w:rFonts w:ascii="Times New Roman" w:eastAsia="Calibri" w:hAnsi="Times New Roman" w:cs="Times New Roman"/>
          <w:noProof/>
          <w:sz w:val="24"/>
        </w:rPr>
      </w:pPr>
      <w:bookmarkStart w:id="3" w:name="_Toc38542837"/>
      <w:r>
        <w:rPr>
          <w:rFonts w:ascii="Times New Roman" w:eastAsia="Calibri" w:hAnsi="Times New Roman" w:cs="Times New Roman"/>
          <w:noProof/>
          <w:sz w:val="24"/>
        </w:rPr>
        <w:t>EU clean air markers</w:t>
      </w:r>
      <w:bookmarkEnd w:id="3"/>
    </w:p>
    <w:p>
      <w:pPr>
        <w:spacing w:after="0" w:line="240" w:lineRule="auto"/>
        <w:jc w:val="both"/>
        <w:rPr>
          <w:rFonts w:ascii="Times New Roman" w:eastAsia="Calibri" w:hAnsi="Times New Roman" w:cs="Times New Roman"/>
          <w:noProof/>
          <w:sz w:val="24"/>
          <w:lang w:val="en-GB"/>
        </w:rPr>
      </w:pPr>
    </w:p>
    <w:p>
      <w:pPr>
        <w:autoSpaceDE w:val="0"/>
        <w:autoSpaceDN w:val="0"/>
        <w:adjustRightInd w:val="0"/>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As for climate tracking, for the purposes of clean air tracking, “expenditure” is defined as the commitment appropriation. This will allow the Commission and stakeholders to identify clean air spending early in the process. The Commission will not monitor clean air-marked payment appropriations and/or payments. </w:t>
      </w:r>
    </w:p>
    <w:p>
      <w:pPr>
        <w:autoSpaceDE w:val="0"/>
        <w:autoSpaceDN w:val="0"/>
        <w:adjustRightInd w:val="0"/>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The EU clean air markers are developed based on the qualitative Rio markers that the OECD Development Assistance Committee uses for identifying specific environmental objectives (desertification, climate mitigation, climate adaptation and biodiversity) for development aid projects and build on the experience from the EU Climate Rio markers.</w:t>
      </w:r>
    </w:p>
    <w:p>
      <w:pPr>
        <w:spacing w:after="0" w:line="240" w:lineRule="auto"/>
        <w:jc w:val="both"/>
        <w:rPr>
          <w:rFonts w:ascii="Times New Roman" w:eastAsia="Calibri" w:hAnsi="Times New Roman" w:cs="Times New Roman"/>
          <w:noProof/>
          <w:sz w:val="24"/>
          <w:szCs w:val="24"/>
          <w:highlight w:val="yellow"/>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The EU clean air markers are designed to quantify expenditure contributing to clean air objectives. Given the range of implementing procedures (e.g. centrally managed, shared management, financial instruments, programmable/bottom-up), the approach to implementation varies across programmes and the methodology has been adapted to reflect the specific circumstances. Thus, the markers are assigned at the most appropriate level depending on the specific design of each budget programme – project, type of intervention, component of programme or whole programme. </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The markers are assigned with the overall approach:</w:t>
      </w:r>
    </w:p>
    <w:p>
      <w:pPr>
        <w:numPr>
          <w:ilvl w:val="0"/>
          <w:numId w:val="3"/>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100% for expenditure expected to</w:t>
      </w:r>
      <w:r>
        <w:rPr>
          <w:rFonts w:ascii="Times New Roman" w:eastAsia="Calibri" w:hAnsi="Times New Roman" w:cs="Times New Roman"/>
          <w:b/>
          <w:bCs/>
          <w:noProof/>
          <w:sz w:val="24"/>
          <w:szCs w:val="24"/>
          <w:lang w:val="en-GB" w:eastAsia="en-GB"/>
        </w:rPr>
        <w:t xml:space="preserve"> </w:t>
      </w:r>
      <w:r>
        <w:rPr>
          <w:rFonts w:ascii="Times New Roman" w:eastAsia="Calibri" w:hAnsi="Times New Roman" w:cs="Times New Roman"/>
          <w:noProof/>
          <w:sz w:val="24"/>
          <w:szCs w:val="24"/>
          <w:lang w:val="en-GB" w:eastAsia="en-GB"/>
        </w:rPr>
        <w:t>contribute principally to clean air objectives [parity with OECD Rio marker 2]</w:t>
      </w:r>
    </w:p>
    <w:p>
      <w:pPr>
        <w:numPr>
          <w:ilvl w:val="0"/>
          <w:numId w:val="3"/>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40% for expenditure expected to</w:t>
      </w:r>
      <w:r>
        <w:rPr>
          <w:rFonts w:ascii="Times New Roman" w:eastAsia="Calibri" w:hAnsi="Times New Roman" w:cs="Times New Roman"/>
          <w:b/>
          <w:bCs/>
          <w:noProof/>
          <w:sz w:val="24"/>
          <w:szCs w:val="24"/>
          <w:lang w:val="en-GB" w:eastAsia="en-GB"/>
        </w:rPr>
        <w:t xml:space="preserve"> </w:t>
      </w:r>
      <w:r>
        <w:rPr>
          <w:rFonts w:ascii="Times New Roman" w:eastAsia="Calibri" w:hAnsi="Times New Roman" w:cs="Times New Roman"/>
          <w:noProof/>
          <w:sz w:val="24"/>
          <w:szCs w:val="24"/>
          <w:lang w:val="en-GB" w:eastAsia="en-GB"/>
        </w:rPr>
        <w:t>contribute significantly to clean air objectives [parity with OECD Rio marker 1]</w:t>
      </w:r>
    </w:p>
    <w:p>
      <w:pPr>
        <w:numPr>
          <w:ilvl w:val="0"/>
          <w:numId w:val="3"/>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0% for expenditure not contributing to clean air objectives</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b/>
          <w:i/>
          <w:noProof/>
          <w:sz w:val="24"/>
          <w:szCs w:val="24"/>
          <w:lang w:val="en-GB"/>
        </w:rPr>
        <w:t>This 3-level approach necessarily makes some approximations, and it is a conservative one: In case of doubt and / or lack of precise information, the lower marker is chosen</w:t>
      </w:r>
      <w:r>
        <w:rPr>
          <w:rFonts w:ascii="Times New Roman" w:eastAsia="Calibri" w:hAnsi="Times New Roman" w:cs="Times New Roman"/>
          <w:noProof/>
          <w:sz w:val="24"/>
          <w:szCs w:val="24"/>
          <w:lang w:val="en-GB"/>
        </w:rPr>
        <w:t xml:space="preserve">.  </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This overall approach is translated into specific tracking procedures that can vary between programmes, reflecting the differences in their design and management modes. </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b/>
          <w:noProof/>
          <w:sz w:val="24"/>
          <w:szCs w:val="24"/>
          <w:highlight w:val="yellow"/>
          <w:lang w:val="en-GB"/>
        </w:rPr>
      </w:pPr>
    </w:p>
    <w:p>
      <w:pPr>
        <w:pStyle w:val="ListParagraph"/>
        <w:numPr>
          <w:ilvl w:val="1"/>
          <w:numId w:val="9"/>
        </w:numPr>
        <w:spacing w:after="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Annual reporting of the data</w:t>
      </w:r>
    </w:p>
    <w:p>
      <w:pPr>
        <w:spacing w:after="0" w:line="240" w:lineRule="auto"/>
        <w:ind w:left="360"/>
        <w:jc w:val="both"/>
        <w:rPr>
          <w:rFonts w:ascii="Times New Roman" w:eastAsia="Calibri" w:hAnsi="Times New Roman" w:cs="Times New Roman"/>
          <w:b/>
          <w:bCs/>
          <w:noProof/>
          <w:sz w:val="24"/>
          <w:szCs w:val="24"/>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The Commission will consolidate the expected clean air commitment data for all programmes annually. Each programme will present in the programme statements for operational expenditures accompanying the Annual Draft Budget the expected clean air spending for each year.</w:t>
      </w: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The Commission will also report every four years in the NEC Directive implementation report on the uptake of EU funds in support of the objectives of the Directive with a first preliminary reporting in the context of the 2020 implementation report). </w:t>
      </w:r>
    </w:p>
    <w:p>
      <w:pPr>
        <w:spacing w:after="0" w:line="240" w:lineRule="auto"/>
        <w:jc w:val="both"/>
        <w:rPr>
          <w:rFonts w:ascii="Times New Roman" w:eastAsia="Calibri" w:hAnsi="Times New Roman" w:cs="Times New Roman"/>
          <w:noProof/>
          <w:sz w:val="24"/>
          <w:szCs w:val="24"/>
          <w:lang w:val="en-GB"/>
        </w:rPr>
      </w:pPr>
    </w:p>
    <w:p>
      <w:pPr>
        <w:spacing w:line="240" w:lineRule="auto"/>
        <w:rPr>
          <w:rFonts w:ascii="Times New Roman" w:eastAsia="Calibri" w:hAnsi="Times New Roman" w:cs="Times New Roman"/>
          <w:noProof/>
          <w:sz w:val="24"/>
          <w:lang w:val="en-GB"/>
        </w:rPr>
      </w:pPr>
      <w:r>
        <w:rPr>
          <w:rFonts w:ascii="Times New Roman" w:eastAsia="Calibri" w:hAnsi="Times New Roman" w:cs="Times New Roman"/>
          <w:noProof/>
          <w:sz w:val="24"/>
          <w:lang w:val="en-GB"/>
        </w:rPr>
        <w:br w:type="page"/>
      </w:r>
    </w:p>
    <w:p>
      <w:pPr>
        <w:keepNext/>
        <w:keepLines/>
        <w:numPr>
          <w:ilvl w:val="0"/>
          <w:numId w:val="9"/>
        </w:numPr>
        <w:spacing w:after="120" w:line="240" w:lineRule="auto"/>
        <w:jc w:val="both"/>
        <w:outlineLvl w:val="0"/>
        <w:rPr>
          <w:rFonts w:ascii="Times New Roman" w:eastAsia="Times New Roman" w:hAnsi="Times New Roman" w:cs="Times New Roman"/>
          <w:bCs/>
          <w:noProof/>
          <w:sz w:val="26"/>
          <w:szCs w:val="28"/>
          <w:lang w:val="en-GB"/>
        </w:rPr>
      </w:pPr>
      <w:bookmarkStart w:id="4" w:name="_Toc38542838"/>
      <w:r>
        <w:rPr>
          <w:rFonts w:ascii="Times New Roman" w:eastAsia="Times New Roman" w:hAnsi="Times New Roman" w:cs="Times New Roman"/>
          <w:bCs/>
          <w:noProof/>
          <w:sz w:val="26"/>
          <w:szCs w:val="28"/>
          <w:lang w:val="en-GB"/>
        </w:rPr>
        <w:t>Implementation of the Clean Air Tracking approach at programme level</w:t>
      </w:r>
      <w:bookmarkEnd w:id="4"/>
    </w:p>
    <w:p>
      <w:pPr>
        <w:pStyle w:val="ListParagraph"/>
        <w:numPr>
          <w:ilvl w:val="1"/>
          <w:numId w:val="9"/>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Horizon 2020</w:t>
      </w:r>
    </w:p>
    <w:p>
      <w:pPr>
        <w:keepNext/>
        <w:keepLines/>
        <w:spacing w:before="40" w:after="0" w:line="240" w:lineRule="auto"/>
        <w:jc w:val="both"/>
        <w:outlineLvl w:val="2"/>
        <w:rPr>
          <w:rFonts w:ascii="Cambria" w:eastAsia="Times New Roman" w:hAnsi="Cambria" w:cs="Times New Roman"/>
          <w:b/>
          <w:noProof/>
          <w:color w:val="243F60"/>
          <w:sz w:val="24"/>
          <w:szCs w:val="24"/>
          <w:lang w:val="en-GB"/>
        </w:rPr>
      </w:pPr>
    </w:p>
    <w:tbl>
      <w:tblPr>
        <w:tblStyle w:val="TableGrid"/>
        <w:tblW w:w="8755" w:type="dxa"/>
        <w:tblLook w:val="04A0" w:firstRow="1" w:lastRow="0" w:firstColumn="1" w:lastColumn="0" w:noHBand="0" w:noVBand="1"/>
      </w:tblPr>
      <w:tblGrid>
        <w:gridCol w:w="6969"/>
        <w:gridCol w:w="1786"/>
      </w:tblGrid>
      <w:tr>
        <w:tc>
          <w:tcPr>
            <w:tcW w:w="6969" w:type="dxa"/>
          </w:tcPr>
          <w:p>
            <w:pPr>
              <w:jc w:val="both"/>
              <w:rPr>
                <w:rFonts w:ascii="Times New Roman" w:eastAsia="Calibri" w:hAnsi="Times New Roman" w:cs="Times New Roman"/>
                <w:b/>
                <w:bCs/>
                <w:noProof/>
                <w:sz w:val="24"/>
                <w:lang w:val="en-GB"/>
              </w:rPr>
            </w:pPr>
            <w:r>
              <w:rPr>
                <w:rFonts w:ascii="Times New Roman" w:eastAsia="Calibri" w:hAnsi="Times New Roman" w:cs="Times New Roman"/>
                <w:b/>
                <w:bCs/>
                <w:noProof/>
                <w:sz w:val="24"/>
                <w:lang w:val="en-GB"/>
              </w:rPr>
              <w:t>Action</w:t>
            </w:r>
          </w:p>
        </w:tc>
        <w:tc>
          <w:tcPr>
            <w:tcW w:w="1786" w:type="dxa"/>
          </w:tcPr>
          <w:p>
            <w:pPr>
              <w:jc w:val="both"/>
              <w:rPr>
                <w:rFonts w:ascii="Times New Roman" w:eastAsia="Calibri" w:hAnsi="Times New Roman" w:cs="Times New Roman"/>
                <w:b/>
                <w:bCs/>
                <w:noProof/>
                <w:sz w:val="24"/>
                <w:lang w:val="en-GB"/>
              </w:rPr>
            </w:pPr>
            <w:r>
              <w:rPr>
                <w:rFonts w:ascii="Times New Roman" w:eastAsia="Calibri" w:hAnsi="Times New Roman" w:cs="Times New Roman"/>
                <w:b/>
                <w:bCs/>
                <w:noProof/>
                <w:sz w:val="24"/>
                <w:lang w:val="en-GB"/>
              </w:rPr>
              <w:t>Marker</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European Research Council (ERC)</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(1)</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Future and Emerging Technologies</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(2)</w:t>
            </w:r>
          </w:p>
        </w:tc>
      </w:tr>
      <w:tr>
        <w:tc>
          <w:tcPr>
            <w:tcW w:w="6969" w:type="dxa"/>
          </w:tcPr>
          <w:p>
            <w:pPr>
              <w:jc w:val="both"/>
              <w:rPr>
                <w:rFonts w:ascii="Times New Roman" w:eastAsia="Calibri" w:hAnsi="Times New Roman" w:cs="Times New Roman"/>
                <w:noProof/>
                <w:sz w:val="24"/>
                <w:lang w:val="fr-BE"/>
              </w:rPr>
            </w:pPr>
            <w:r>
              <w:rPr>
                <w:rFonts w:ascii="Times New Roman" w:eastAsia="Calibri" w:hAnsi="Times New Roman" w:cs="Times New Roman"/>
                <w:noProof/>
                <w:sz w:val="24"/>
                <w:lang w:val="fr-BE"/>
              </w:rPr>
              <w:t>Specific Objective –Marie Sklodowska-Curie actions (MSCA)</w:t>
            </w:r>
          </w:p>
        </w:tc>
        <w:tc>
          <w:tcPr>
            <w:tcW w:w="1786" w:type="dxa"/>
          </w:tcPr>
          <w:p>
            <w:pPr>
              <w:jc w:val="both"/>
              <w:rPr>
                <w:rFonts w:ascii="Times New Roman" w:eastAsia="Calibri" w:hAnsi="Times New Roman" w:cs="Times New Roman"/>
                <w:noProof/>
                <w:sz w:val="24"/>
                <w:lang w:val="fr-BE"/>
              </w:rPr>
            </w:pPr>
            <w:r>
              <w:rPr>
                <w:rFonts w:ascii="Times New Roman" w:eastAsia="Calibri" w:hAnsi="Times New Roman" w:cs="Times New Roman"/>
                <w:noProof/>
                <w:sz w:val="24"/>
                <w:lang w:val="fr-BE"/>
              </w:rPr>
              <w:t>0            (1)</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Research infrastructures</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(1)</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Enabling and Industrial Technologies</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(2)</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Access to risk finance</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SMEs</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(2)</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Health</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Food</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(2)</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Energy</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Transport</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Resource efficient and climate change resilient economy</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Inclusive, innovative and reflective European societies</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Secure European societies</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Spreading excellence and widening participation</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Science with and for society</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Non-Nuclear Direct Actions of the Joint Research Centre</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(2)</w:t>
            </w:r>
          </w:p>
        </w:tc>
      </w:tr>
      <w:tr>
        <w:tc>
          <w:tcPr>
            <w:tcW w:w="6969"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Specific Objective - European Institute of Innovation and Technology</w:t>
            </w:r>
          </w:p>
        </w:tc>
        <w:tc>
          <w:tcPr>
            <w:tcW w:w="178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            (2)</w:t>
            </w:r>
          </w:p>
        </w:tc>
      </w:tr>
    </w:tbl>
    <w:p>
      <w:pPr>
        <w:spacing w:after="0" w:line="240" w:lineRule="auto"/>
        <w:jc w:val="both"/>
        <w:rPr>
          <w:rFonts w:ascii="Times New Roman" w:eastAsia="Calibri" w:hAnsi="Times New Roman" w:cs="Times New Roman"/>
          <w:noProof/>
          <w:sz w:val="24"/>
          <w:szCs w:val="24"/>
          <w:u w:val="single"/>
          <w:lang w:val="en-GB"/>
        </w:rPr>
      </w:pPr>
    </w:p>
    <w:p>
      <w:pPr>
        <w:spacing w:after="0" w:line="240" w:lineRule="auto"/>
        <w:ind w:hanging="11"/>
        <w:jc w:val="both"/>
        <w:rPr>
          <w:rFonts w:ascii="Times New Roman" w:eastAsia="Calibri" w:hAnsi="Times New Roman" w:cs="Times New Roman"/>
          <w:noProof/>
          <w:sz w:val="24"/>
          <w:lang w:val="en-GB"/>
        </w:rPr>
      </w:pPr>
      <w:r>
        <w:rPr>
          <w:rFonts w:ascii="Times New Roman" w:eastAsia="Times New Roman" w:hAnsi="Times New Roman" w:cs="Times New Roman"/>
          <w:noProof/>
          <w:sz w:val="24"/>
          <w:szCs w:val="24"/>
          <w:lang w:val="en-GB"/>
        </w:rPr>
        <w:t>(1)</w:t>
      </w:r>
      <w:r>
        <w:rPr>
          <w:rFonts w:ascii="Times New Roman" w:eastAsia="Times New Roman" w:hAnsi="Times New Roman" w:cs="Times New Roman"/>
          <w:noProof/>
          <w:sz w:val="14"/>
          <w:szCs w:val="14"/>
          <w:lang w:val="en-GB"/>
        </w:rPr>
        <w:t xml:space="preserve">             </w:t>
      </w:r>
      <w:r>
        <w:rPr>
          <w:rFonts w:ascii="Times New Roman" w:eastAsia="Times New Roman" w:hAnsi="Times New Roman" w:cs="Times New Roman"/>
          <w:noProof/>
          <w:sz w:val="24"/>
          <w:szCs w:val="24"/>
          <w:lang w:val="en-GB"/>
        </w:rPr>
        <w:t xml:space="preserve">For bottom-up activities such as ERC and MSCA no value can been set for this first exercise. This will need to be adjusted (upwards) in future tracking exercises. A more accurate estimate of the contribution of these activities to air quality action will be possible in the next MFF. In the meantime, a 0-marker is applied for these activities. </w:t>
      </w:r>
    </w:p>
    <w:p>
      <w:pPr>
        <w:spacing w:after="0" w:line="240" w:lineRule="auto"/>
        <w:ind w:hanging="11"/>
        <w:jc w:val="both"/>
        <w:rPr>
          <w:rFonts w:ascii="Times New Roman" w:eastAsia="Calibri" w:hAnsi="Times New Roman" w:cs="Times New Roman"/>
          <w:noProof/>
          <w:sz w:val="24"/>
          <w:lang w:val="en-GB"/>
        </w:rPr>
      </w:pPr>
      <w:r>
        <w:rPr>
          <w:rFonts w:ascii="Times New Roman" w:eastAsia="Times New Roman" w:hAnsi="Times New Roman" w:cs="Times New Roman"/>
          <w:noProof/>
          <w:sz w:val="24"/>
          <w:szCs w:val="24"/>
          <w:lang w:val="en-GB"/>
        </w:rPr>
        <w:t>(2)</w:t>
      </w:r>
      <w:r>
        <w:rPr>
          <w:rFonts w:ascii="Times New Roman" w:eastAsia="Times New Roman" w:hAnsi="Times New Roman" w:cs="Times New Roman"/>
          <w:noProof/>
          <w:sz w:val="14"/>
          <w:szCs w:val="14"/>
          <w:lang w:val="en-GB"/>
        </w:rPr>
        <w:t xml:space="preserve">             </w:t>
      </w:r>
      <w:r>
        <w:rPr>
          <w:rFonts w:ascii="Times New Roman" w:eastAsia="Times New Roman" w:hAnsi="Times New Roman" w:cs="Times New Roman"/>
          <w:noProof/>
          <w:sz w:val="24"/>
          <w:szCs w:val="24"/>
          <w:lang w:val="en-GB"/>
        </w:rPr>
        <w:t xml:space="preserve">Although some of these projects might contribute to clean air objectives, the scoring “0” is applied due to lack of precise information. </w:t>
      </w:r>
    </w:p>
    <w:p>
      <w:pPr>
        <w:spacing w:after="0" w:line="240" w:lineRule="auto"/>
        <w:jc w:val="both"/>
        <w:rPr>
          <w:rFonts w:ascii="Times New Roman" w:eastAsia="Calibri" w:hAnsi="Times New Roman" w:cs="Times New Roman"/>
          <w:noProof/>
          <w:sz w:val="24"/>
          <w:lang w:val="en-US"/>
        </w:rPr>
      </w:pPr>
    </w:p>
    <w:p>
      <w:pPr>
        <w:spacing w:after="0" w:line="240" w:lineRule="auto"/>
        <w:jc w:val="both"/>
        <w:rPr>
          <w:rFonts w:ascii="Times New Roman" w:eastAsia="Calibri" w:hAnsi="Times New Roman" w:cs="Times New Roman"/>
          <w:i/>
          <w:iCs/>
          <w:noProof/>
          <w:sz w:val="24"/>
          <w:szCs w:val="24"/>
          <w:lang w:val="en-US"/>
        </w:rPr>
      </w:pPr>
    </w:p>
    <w:p>
      <w:pPr>
        <w:spacing w:after="0" w:line="240" w:lineRule="auto"/>
        <w:jc w:val="both"/>
        <w:rPr>
          <w:rFonts w:ascii="Times New Roman" w:eastAsia="Calibri" w:hAnsi="Times New Roman" w:cs="Times New Roman"/>
          <w:noProof/>
          <w:sz w:val="24"/>
          <w:lang w:val="en-US"/>
        </w:rPr>
      </w:pPr>
      <w:r>
        <w:rPr>
          <w:rFonts w:ascii="Times New Roman" w:eastAsia="Calibri" w:hAnsi="Times New Roman" w:cs="Times New Roman"/>
          <w:noProof/>
          <w:sz w:val="24"/>
          <w:lang w:val="en-US"/>
        </w:rPr>
        <w:t>While this table gives an indication on the contribution of Horizon 2020 to financing activities benefitting clean air, in view of ensuring more accurate figures, the tracking of clean air related expenditure will be tracked at call or project level through corresponding reporting formats in the next programme Horizon Europe (2021-2027).</w:t>
      </w:r>
    </w:p>
    <w:p>
      <w:pPr>
        <w:spacing w:after="0" w:line="240" w:lineRule="auto"/>
        <w:jc w:val="both"/>
        <w:rPr>
          <w:rFonts w:ascii="Times New Roman" w:eastAsia="Calibri" w:hAnsi="Times New Roman" w:cs="Times New Roman"/>
          <w:noProof/>
          <w:sz w:val="24"/>
          <w:szCs w:val="24"/>
          <w:lang w:val="en-US"/>
        </w:rPr>
      </w:pPr>
    </w:p>
    <w:p>
      <w:pPr>
        <w:spacing w:after="0" w:line="240" w:lineRule="auto"/>
        <w:jc w:val="both"/>
        <w:rPr>
          <w:rFonts w:ascii="Times New Roman" w:eastAsia="Calibri" w:hAnsi="Times New Roman" w:cs="Times New Roman"/>
          <w:noProof/>
          <w:sz w:val="24"/>
          <w:lang w:val="en-GB"/>
        </w:rPr>
      </w:pPr>
    </w:p>
    <w:p>
      <w:pPr>
        <w:rPr>
          <w:rFonts w:ascii="Times New Roman" w:eastAsia="Times New Roman" w:hAnsi="Times New Roman" w:cs="Times New Roman"/>
          <w:noProof/>
          <w:sz w:val="24"/>
          <w:szCs w:val="24"/>
          <w:lang w:val="en-GB"/>
        </w:rPr>
      </w:pPr>
      <w:bookmarkStart w:id="5" w:name="_Toc38542842"/>
      <w:r>
        <w:rPr>
          <w:rFonts w:ascii="Times New Roman" w:eastAsia="Times New Roman" w:hAnsi="Times New Roman" w:cs="Times New Roman"/>
          <w:noProof/>
          <w:sz w:val="24"/>
          <w:szCs w:val="24"/>
          <w:lang w:val="en-GB"/>
        </w:rPr>
        <w:br w:type="page"/>
      </w:r>
    </w:p>
    <w:p>
      <w:pPr>
        <w:keepNext/>
        <w:keepLines/>
        <w:spacing w:before="40" w:after="0" w:line="240" w:lineRule="auto"/>
        <w:jc w:val="both"/>
        <w:outlineLvl w:val="2"/>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b) European Strategic Investments</w:t>
      </w:r>
      <w:bookmarkEnd w:id="5"/>
      <w:r>
        <w:rPr>
          <w:rFonts w:ascii="Times New Roman" w:eastAsia="Times New Roman" w:hAnsi="Times New Roman" w:cs="Times New Roman"/>
          <w:noProof/>
          <w:sz w:val="24"/>
          <w:szCs w:val="24"/>
          <w:lang w:val="en-GB"/>
        </w:rPr>
        <w:t xml:space="preserve">: </w:t>
      </w:r>
      <w:r>
        <w:rPr>
          <w:rFonts w:ascii="Cambria" w:eastAsia="Times New Roman" w:hAnsi="Cambria" w:cs="Times New Roman"/>
          <w:bCs/>
          <w:noProof/>
          <w:sz w:val="24"/>
          <w:szCs w:val="24"/>
          <w:lang w:val="en-GB"/>
        </w:rPr>
        <w:t>The European Fund for Strategic Investments (EFSI)</w:t>
      </w:r>
    </w:p>
    <w:p>
      <w:pPr>
        <w:spacing w:after="0" w:line="240" w:lineRule="auto"/>
        <w:jc w:val="both"/>
        <w:rPr>
          <w:rFonts w:ascii="Times New Roman" w:eastAsia="Calibri" w:hAnsi="Times New Roman" w:cs="Times New Roman"/>
          <w:bCs/>
          <w:noProof/>
          <w:sz w:val="24"/>
          <w:szCs w:val="24"/>
          <w:lang w:val="en-GB" w:eastAsia="en-GB"/>
        </w:rPr>
      </w:pP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EFSI</w:t>
      </w:r>
      <w:r>
        <w:rPr>
          <w:rFonts w:ascii="Times New Roman" w:eastAsia="Calibri" w:hAnsi="Times New Roman" w:cs="Times New Roman"/>
          <w:noProof/>
          <w:sz w:val="24"/>
          <w:szCs w:val="24"/>
          <w:vertAlign w:val="superscript"/>
          <w:lang w:val="en-GB"/>
        </w:rPr>
        <w:footnoteReference w:id="2"/>
      </w:r>
      <w:r>
        <w:rPr>
          <w:rFonts w:ascii="Times New Roman" w:eastAsia="Calibri" w:hAnsi="Times New Roman" w:cs="Times New Roman"/>
          <w:noProof/>
          <w:sz w:val="24"/>
          <w:szCs w:val="24"/>
          <w:lang w:val="en-GB"/>
        </w:rPr>
        <w:t xml:space="preserve"> is an initiative launched under the Investment Plan for Europe (Junker Plan) in 2015 to help address the investment gaps throughout the European Union. It has the following main features: </w:t>
      </w:r>
    </w:p>
    <w:p>
      <w:pPr>
        <w:numPr>
          <w:ilvl w:val="0"/>
          <w:numId w:val="6"/>
        </w:numPr>
        <w:spacing w:after="0" w:line="240" w:lineRule="auto"/>
        <w:ind w:left="360"/>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Under the EFSI, the Union provides an irrevocable and unconditional guarantee</w:t>
      </w:r>
      <w:r>
        <w:rPr>
          <w:rFonts w:ascii="Times New Roman" w:eastAsia="Calibri" w:hAnsi="Times New Roman" w:cs="Times New Roman"/>
          <w:noProof/>
          <w:sz w:val="24"/>
          <w:szCs w:val="24"/>
          <w:vertAlign w:val="superscript"/>
          <w:lang w:val="en-GB" w:eastAsia="en-GB"/>
        </w:rPr>
        <w:footnoteReference w:id="3"/>
      </w:r>
      <w:r>
        <w:rPr>
          <w:rFonts w:ascii="Times New Roman" w:eastAsia="Calibri" w:hAnsi="Times New Roman" w:cs="Times New Roman"/>
          <w:noProof/>
          <w:sz w:val="24"/>
          <w:szCs w:val="24"/>
          <w:lang w:val="en-GB" w:eastAsia="en-GB"/>
        </w:rPr>
        <w:t xml:space="preserve"> to the EIB for providing eligible financing and investment operations to final recipients. </w:t>
      </w:r>
    </w:p>
    <w:p>
      <w:pPr>
        <w:numPr>
          <w:ilvl w:val="0"/>
          <w:numId w:val="7"/>
        </w:numPr>
        <w:spacing w:after="0" w:line="240" w:lineRule="auto"/>
        <w:ind w:left="360"/>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 xml:space="preserve">The EFSI is constituted of two windows: </w:t>
      </w:r>
    </w:p>
    <w:p>
      <w:pPr>
        <w:numPr>
          <w:ilvl w:val="0"/>
          <w:numId w:val="8"/>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The Infrastructure and Innovation Window (IIW) supported actions concern direct and intermediated financing operations to final recipients which, depending on their nature and scope, could contribute to the objectives of clean air. Operations under the Infrastructure and Innovations Window as of 31 December 2019 were screened and the appropriate OECD Rio Marker was attributed to each of them: A 100% marker was attributed to operations that contribute principally to clean air objectives while a 40% marker was attributed for all expected to contribute significantly to clean air objectives</w:t>
      </w:r>
      <w:r>
        <w:rPr>
          <w:rStyle w:val="FootnoteReference"/>
          <w:rFonts w:ascii="Times New Roman" w:eastAsia="Calibri" w:hAnsi="Times New Roman" w:cs="Times New Roman"/>
          <w:noProof/>
          <w:sz w:val="24"/>
          <w:szCs w:val="24"/>
          <w:lang w:val="en-GB" w:eastAsia="en-GB"/>
        </w:rPr>
        <w:footnoteReference w:id="4"/>
      </w:r>
      <w:r>
        <w:rPr>
          <w:rFonts w:ascii="Times New Roman" w:eastAsia="Calibri" w:hAnsi="Times New Roman" w:cs="Times New Roman"/>
          <w:noProof/>
          <w:sz w:val="24"/>
          <w:szCs w:val="24"/>
          <w:lang w:val="en-GB" w:eastAsia="en-GB"/>
        </w:rPr>
        <w:t xml:space="preserve"> – i.e. those that generate mitigations of air pollution; </w:t>
      </w:r>
    </w:p>
    <w:p>
      <w:pPr>
        <w:numPr>
          <w:ilvl w:val="0"/>
          <w:numId w:val="8"/>
        </w:numPr>
        <w:spacing w:after="0" w:line="240" w:lineRule="auto"/>
        <w:contextualSpacing/>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 xml:space="preserve">The SME Window (SMEW) facilitates access to loan and equity financing for small and medium sized enterprises (SMEs) and is implemented by the EIF. Some of the supported actions and final beneficiaries could potentially support the clean air objectives. However, due to the diversity of supported portfolios and small size of individual transaction it is impossible to estimate the contribution to the clean air objectives.  </w:t>
      </w:r>
    </w:p>
    <w:p>
      <w:pPr>
        <w:numPr>
          <w:ilvl w:val="0"/>
          <w:numId w:val="6"/>
        </w:numPr>
        <w:spacing w:after="0" w:line="240" w:lineRule="auto"/>
        <w:ind w:left="360"/>
        <w:contextualSpacing/>
        <w:jc w:val="both"/>
        <w:rPr>
          <w:rFonts w:ascii="Times New Roman" w:eastAsia="Calibri" w:hAnsi="Times New Roman" w:cs="Times New Roman"/>
          <w:noProof/>
          <w:sz w:val="20"/>
          <w:szCs w:val="24"/>
          <w:lang w:val="en-GB" w:eastAsia="en-GB"/>
        </w:rPr>
      </w:pPr>
      <w:r>
        <w:rPr>
          <w:rFonts w:ascii="Times New Roman" w:eastAsia="Calibri" w:hAnsi="Times New Roman" w:cs="Times New Roman"/>
          <w:noProof/>
          <w:sz w:val="24"/>
          <w:szCs w:val="24"/>
          <w:lang w:val="en-GB" w:eastAsia="en-GB"/>
        </w:rPr>
        <w:t>The EFSI support is provided through a budgetary guarantee amounting to €26 billion. Liabilities arising from potential defaults</w:t>
      </w:r>
      <w:r>
        <w:rPr>
          <w:rFonts w:ascii="Times New Roman" w:eastAsia="Calibri" w:hAnsi="Times New Roman" w:cs="Times New Roman"/>
          <w:noProof/>
          <w:sz w:val="24"/>
          <w:szCs w:val="24"/>
          <w:vertAlign w:val="superscript"/>
          <w:lang w:val="en-GB" w:eastAsia="en-GB"/>
        </w:rPr>
        <w:footnoteReference w:id="5"/>
      </w:r>
      <w:r>
        <w:rPr>
          <w:rFonts w:ascii="Times New Roman" w:eastAsia="Calibri" w:hAnsi="Times New Roman" w:cs="Times New Roman"/>
          <w:noProof/>
          <w:sz w:val="24"/>
          <w:szCs w:val="24"/>
          <w:lang w:val="en-GB" w:eastAsia="en-GB"/>
        </w:rPr>
        <w:t xml:space="preserve"> of operations covered by the EU Guarantee are paid from a guarantee fund that constitutes a liquidity cushion. This liquidity cushion under the EU Guarantee Fund amounts to €9.1 billion (provisioned amount). Total contributions from the general budget of the Union amount to €8.43 billion and are complemented by €0.675 billion from revenues and repayments.</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Taking into account these characteristics, an estimate of the EFSI contribution to clean air was done for the IIW only. The amount of EFSI support to the clean air objective was therefore calculated as the sum of each operation’s contribution as determined by the relevant marker as of 31 December 2019. </w:t>
      </w:r>
    </w:p>
    <w:p>
      <w:pPr>
        <w:spacing w:after="0" w:line="240" w:lineRule="auto"/>
        <w:jc w:val="both"/>
        <w:rPr>
          <w:rFonts w:ascii="Times New Roman" w:eastAsia="Calibri" w:hAnsi="Times New Roman" w:cs="Times New Roman"/>
          <w:noProof/>
          <w:sz w:val="24"/>
          <w:szCs w:val="24"/>
          <w:lang w:val="en-GB"/>
        </w:rPr>
      </w:pPr>
    </w:p>
    <w:p>
      <w:pPr>
        <w:keepNext/>
        <w:keepLines/>
        <w:spacing w:before="40" w:after="0" w:line="240" w:lineRule="auto"/>
        <w:jc w:val="both"/>
        <w:outlineLvl w:val="3"/>
        <w:rPr>
          <w:rFonts w:ascii="Times New Roman" w:eastAsia="Calibri" w:hAnsi="Times New Roman" w:cs="Times New Roman"/>
          <w:noProof/>
          <w:sz w:val="24"/>
          <w:lang w:val="en-GB"/>
        </w:rPr>
      </w:pPr>
    </w:p>
    <w:p>
      <w:pPr>
        <w:rPr>
          <w:rFonts w:ascii="Times New Roman" w:eastAsia="Times New Roman" w:hAnsi="Times New Roman" w:cs="Times New Roman"/>
          <w:iCs/>
          <w:noProof/>
          <w:sz w:val="24"/>
          <w:lang w:val="en-GB"/>
        </w:rPr>
      </w:pPr>
      <w:r>
        <w:rPr>
          <w:rFonts w:ascii="Times New Roman" w:eastAsia="Times New Roman" w:hAnsi="Times New Roman" w:cs="Times New Roman"/>
          <w:iCs/>
          <w:noProof/>
          <w:sz w:val="24"/>
          <w:lang w:val="en-US"/>
        </w:rPr>
        <w:br w:type="page"/>
      </w:r>
    </w:p>
    <w:p>
      <w:pPr>
        <w:pStyle w:val="ListParagraph"/>
        <w:keepNext/>
        <w:keepLines/>
        <w:numPr>
          <w:ilvl w:val="0"/>
          <w:numId w:val="10"/>
        </w:numPr>
        <w:spacing w:before="40" w:after="0" w:line="240" w:lineRule="auto"/>
        <w:jc w:val="both"/>
        <w:outlineLvl w:val="3"/>
        <w:rPr>
          <w:rFonts w:ascii="Times New Roman" w:eastAsia="Times New Roman" w:hAnsi="Times New Roman" w:cs="Times New Roman"/>
          <w:iCs/>
          <w:noProof/>
          <w:sz w:val="24"/>
        </w:rPr>
      </w:pPr>
      <w:r>
        <w:rPr>
          <w:rFonts w:ascii="Times New Roman" w:eastAsia="Times New Roman" w:hAnsi="Times New Roman" w:cs="Times New Roman"/>
          <w:iCs/>
          <w:noProof/>
          <w:sz w:val="24"/>
        </w:rPr>
        <w:t xml:space="preserve">CEF - Connecting Europe Facility </w:t>
      </w:r>
    </w:p>
    <w:p>
      <w:pPr>
        <w:pStyle w:val="ListParagraph"/>
        <w:spacing w:after="0" w:line="240" w:lineRule="auto"/>
        <w:jc w:val="both"/>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3278"/>
        <w:gridCol w:w="3725"/>
        <w:gridCol w:w="1294"/>
      </w:tblGrid>
      <w:tr>
        <w:tc>
          <w:tcPr>
            <w:tcW w:w="3278" w:type="dxa"/>
          </w:tcPr>
          <w:p>
            <w:pPr>
              <w:jc w:val="both"/>
              <w:rPr>
                <w:rFonts w:ascii="Times New Roman" w:eastAsia="Calibri" w:hAnsi="Times New Roman" w:cs="Times New Roman"/>
                <w:b/>
                <w:bCs/>
                <w:noProof/>
                <w:sz w:val="24"/>
                <w:lang w:val="en-GB"/>
              </w:rPr>
            </w:pPr>
            <w:r>
              <w:rPr>
                <w:rFonts w:ascii="Times New Roman" w:eastAsia="Calibri" w:hAnsi="Times New Roman" w:cs="Times New Roman"/>
                <w:b/>
                <w:bCs/>
                <w:noProof/>
                <w:sz w:val="24"/>
                <w:lang w:val="en-GB"/>
              </w:rPr>
              <w:t>Action/Strand (Regulation (EU) No 1316/2013</w:t>
            </w:r>
          </w:p>
        </w:tc>
        <w:tc>
          <w:tcPr>
            <w:tcW w:w="3725" w:type="dxa"/>
          </w:tcPr>
          <w:p>
            <w:pPr>
              <w:jc w:val="both"/>
              <w:rPr>
                <w:rFonts w:ascii="Times New Roman" w:eastAsia="Calibri" w:hAnsi="Times New Roman" w:cs="Times New Roman"/>
                <w:b/>
                <w:bCs/>
                <w:noProof/>
                <w:sz w:val="24"/>
                <w:lang w:val="en-GB"/>
              </w:rPr>
            </w:pPr>
            <w:r>
              <w:rPr>
                <w:rFonts w:ascii="Times New Roman" w:eastAsia="Calibri" w:hAnsi="Times New Roman" w:cs="Times New Roman"/>
                <w:b/>
                <w:bCs/>
                <w:noProof/>
                <w:sz w:val="24"/>
                <w:lang w:val="en-GB"/>
              </w:rPr>
              <w:t>Action/Strand (COM(2018)0438 – C8-0255/2018 – 2018/0228(COD) for 2021-2027)</w:t>
            </w:r>
          </w:p>
        </w:tc>
        <w:tc>
          <w:tcPr>
            <w:tcW w:w="1294" w:type="dxa"/>
          </w:tcPr>
          <w:p>
            <w:pPr>
              <w:jc w:val="both"/>
              <w:rPr>
                <w:rFonts w:ascii="Times New Roman" w:eastAsia="Calibri" w:hAnsi="Times New Roman" w:cs="Times New Roman"/>
                <w:b/>
                <w:bCs/>
                <w:noProof/>
                <w:sz w:val="24"/>
                <w:lang w:val="en-GB"/>
              </w:rPr>
            </w:pPr>
            <w:r>
              <w:rPr>
                <w:rFonts w:ascii="Times New Roman" w:eastAsia="Calibri" w:hAnsi="Times New Roman" w:cs="Times New Roman"/>
                <w:b/>
                <w:bCs/>
                <w:noProof/>
                <w:sz w:val="24"/>
                <w:lang w:val="en-GB"/>
              </w:rPr>
              <w:t>Marker</w:t>
            </w:r>
          </w:p>
        </w:tc>
      </w:tr>
      <w:tr>
        <w:tc>
          <w:tcPr>
            <w:tcW w:w="7003" w:type="dxa"/>
            <w:gridSpan w:val="2"/>
          </w:tcPr>
          <w:p>
            <w:pPr>
              <w:jc w:val="center"/>
              <w:rPr>
                <w:rFonts w:ascii="Times New Roman" w:eastAsia="Calibri" w:hAnsi="Times New Roman" w:cs="Times New Roman"/>
                <w:noProof/>
                <w:sz w:val="24"/>
                <w:lang w:val="en-GB"/>
              </w:rPr>
            </w:pPr>
            <w:r>
              <w:rPr>
                <w:rFonts w:ascii="Times New Roman" w:eastAsia="Calibri" w:hAnsi="Times New Roman" w:cs="Times New Roman"/>
                <w:b/>
                <w:bCs/>
                <w:noProof/>
                <w:sz w:val="24"/>
                <w:lang w:val="en-GB"/>
              </w:rPr>
              <w:t>CEF energy</w:t>
            </w:r>
            <w:r>
              <w:rPr>
                <w:rStyle w:val="FootnoteReference"/>
                <w:rFonts w:ascii="Times New Roman" w:eastAsia="Calibri" w:hAnsi="Times New Roman" w:cs="Times New Roman"/>
                <w:b/>
                <w:bCs/>
                <w:noProof/>
                <w:sz w:val="24"/>
                <w:lang w:val="en-GB"/>
              </w:rPr>
              <w:footnoteReference w:id="6"/>
            </w:r>
          </w:p>
        </w:tc>
        <w:tc>
          <w:tcPr>
            <w:tcW w:w="1294" w:type="dxa"/>
          </w:tcPr>
          <w:p>
            <w:pPr>
              <w:jc w:val="both"/>
              <w:rPr>
                <w:rFonts w:ascii="Times New Roman" w:eastAsia="Calibri" w:hAnsi="Times New Roman" w:cs="Times New Roman"/>
                <w:noProof/>
                <w:sz w:val="24"/>
                <w:lang w:val="en-GB"/>
              </w:rPr>
            </w:pPr>
          </w:p>
        </w:tc>
      </w:tr>
      <w:tr>
        <w:tc>
          <w:tcPr>
            <w:tcW w:w="3278"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Electricity</w:t>
            </w:r>
          </w:p>
        </w:tc>
        <w:tc>
          <w:tcPr>
            <w:tcW w:w="3725"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Electricity </w:t>
            </w:r>
          </w:p>
        </w:tc>
        <w:tc>
          <w:tcPr>
            <w:tcW w:w="129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3278"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Gas</w:t>
            </w:r>
          </w:p>
        </w:tc>
        <w:tc>
          <w:tcPr>
            <w:tcW w:w="3725"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Gas</w:t>
            </w:r>
          </w:p>
        </w:tc>
        <w:tc>
          <w:tcPr>
            <w:tcW w:w="129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3278"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Smart grids</w:t>
            </w:r>
          </w:p>
        </w:tc>
        <w:tc>
          <w:tcPr>
            <w:tcW w:w="3725"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Smart grids</w:t>
            </w:r>
          </w:p>
        </w:tc>
        <w:tc>
          <w:tcPr>
            <w:tcW w:w="129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3278"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CO2 networks</w:t>
            </w:r>
          </w:p>
        </w:tc>
        <w:tc>
          <w:tcPr>
            <w:tcW w:w="3725"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CO2 networks</w:t>
            </w:r>
          </w:p>
        </w:tc>
        <w:tc>
          <w:tcPr>
            <w:tcW w:w="129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b/>
                <w:bCs/>
                <w:noProof/>
                <w:sz w:val="24"/>
                <w:szCs w:val="24"/>
                <w:lang w:val="en-GB"/>
              </w:rPr>
            </w:pPr>
            <w:r>
              <w:rPr>
                <w:rFonts w:ascii="Times New Roman" w:eastAsia="Calibri" w:hAnsi="Times New Roman" w:cs="Times New Roman"/>
                <w:noProof/>
                <w:sz w:val="24"/>
                <w:lang w:val="en-GB"/>
              </w:rPr>
              <w:t>Cross-border projects in the field of renewable energy</w:t>
            </w:r>
          </w:p>
        </w:tc>
        <w:tc>
          <w:tcPr>
            <w:tcW w:w="1294" w:type="dxa"/>
            <w:hideMark/>
          </w:tcPr>
          <w:p>
            <w:pPr>
              <w:jc w:val="both"/>
              <w:rPr>
                <w:rFonts w:ascii="Calibri" w:eastAsia="Calibri" w:hAnsi="Calibri" w:cs="Calibri"/>
                <w:b/>
                <w:bCs/>
                <w:noProof/>
                <w:lang w:val="en-GB"/>
              </w:rPr>
            </w:pPr>
            <w:r>
              <w:rPr>
                <w:rFonts w:ascii="Times New Roman" w:eastAsia="Calibri" w:hAnsi="Times New Roman" w:cs="Times New Roman"/>
                <w:noProof/>
                <w:sz w:val="24"/>
                <w:lang w:val="en-GB"/>
              </w:rPr>
              <w:t>40</w:t>
            </w:r>
          </w:p>
        </w:tc>
      </w:tr>
      <w:tr>
        <w:tc>
          <w:tcPr>
            <w:tcW w:w="7003" w:type="dxa"/>
            <w:gridSpan w:val="2"/>
          </w:tcPr>
          <w:p>
            <w:pPr>
              <w:jc w:val="center"/>
              <w:rPr>
                <w:rFonts w:ascii="Times New Roman" w:eastAsia="Calibri" w:hAnsi="Times New Roman" w:cs="Times New Roman"/>
                <w:noProof/>
                <w:sz w:val="24"/>
                <w:lang w:val="en-GB"/>
              </w:rPr>
            </w:pPr>
            <w:r>
              <w:rPr>
                <w:rFonts w:ascii="Times New Roman" w:eastAsia="Calibri" w:hAnsi="Times New Roman" w:cs="Times New Roman"/>
                <w:b/>
                <w:bCs/>
                <w:noProof/>
                <w:sz w:val="24"/>
                <w:lang w:val="en-GB"/>
              </w:rPr>
              <w:t>CEF transport</w:t>
            </w:r>
          </w:p>
        </w:tc>
        <w:tc>
          <w:tcPr>
            <w:tcW w:w="1294" w:type="dxa"/>
            <w:hideMark/>
          </w:tcPr>
          <w:p>
            <w:pPr>
              <w:jc w:val="both"/>
              <w:rPr>
                <w:rFonts w:ascii="Times New Roman" w:eastAsia="Calibri" w:hAnsi="Times New Roman" w:cs="Times New Roman"/>
                <w:strike/>
                <w:noProof/>
                <w:color w:val="FF0000"/>
                <w:sz w:val="24"/>
                <w:lang w:val="en-GB"/>
              </w:rPr>
            </w:pPr>
          </w:p>
        </w:tc>
      </w:tr>
      <w:tr>
        <w:tc>
          <w:tcPr>
            <w:tcW w:w="3278" w:type="dxa"/>
          </w:tcPr>
          <w:p>
            <w:pPr>
              <w:jc w:val="both"/>
              <w:rPr>
                <w:rFonts w:ascii="Times New Roman" w:eastAsia="Calibri" w:hAnsi="Times New Roman" w:cs="Times New Roman"/>
                <w:noProof/>
                <w:sz w:val="24"/>
                <w:lang w:val="en-GB" w:eastAsia="fr-BE"/>
              </w:rPr>
            </w:pPr>
          </w:p>
        </w:tc>
        <w:tc>
          <w:tcPr>
            <w:tcW w:w="3725" w:type="dxa"/>
            <w:hideMark/>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eastAsia="fr-BE"/>
              </w:rPr>
              <w:t>Transport Mode Rail: 40% (including ERTMS)</w:t>
            </w:r>
          </w:p>
        </w:tc>
        <w:tc>
          <w:tcPr>
            <w:tcW w:w="1294" w:type="dxa"/>
            <w:hideMark/>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Transport mode Inland Waterways </w:t>
            </w:r>
          </w:p>
        </w:tc>
        <w:tc>
          <w:tcPr>
            <w:tcW w:w="1294" w:type="dxa"/>
            <w:hideMark/>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40 </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Transport mode Maritime </w:t>
            </w:r>
          </w:p>
        </w:tc>
        <w:tc>
          <w:tcPr>
            <w:tcW w:w="1294" w:type="dxa"/>
            <w:hideMark/>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40 </w:t>
            </w:r>
          </w:p>
        </w:tc>
      </w:tr>
      <w:tr>
        <w:tc>
          <w:tcPr>
            <w:tcW w:w="3278" w:type="dxa"/>
          </w:tcPr>
          <w:p>
            <w:pPr>
              <w:spacing w:line="252" w:lineRule="auto"/>
              <w:jc w:val="both"/>
              <w:rPr>
                <w:rFonts w:ascii="Times New Roman" w:eastAsia="Calibri" w:hAnsi="Times New Roman" w:cs="Times New Roman"/>
                <w:noProof/>
                <w:sz w:val="24"/>
                <w:lang w:val="en-GB"/>
              </w:rPr>
            </w:pPr>
          </w:p>
        </w:tc>
        <w:tc>
          <w:tcPr>
            <w:tcW w:w="3725" w:type="dxa"/>
            <w:hideMark/>
          </w:tcPr>
          <w:p>
            <w:pPr>
              <w:spacing w:line="252" w:lineRule="auto"/>
              <w:jc w:val="both"/>
              <w:rPr>
                <w:rFonts w:ascii="Times New Roman" w:eastAsia="Calibri" w:hAnsi="Times New Roman" w:cs="Times New Roman"/>
                <w:b/>
                <w:bCs/>
                <w:noProof/>
                <w:sz w:val="24"/>
                <w:szCs w:val="24"/>
                <w:lang w:val="en-GB"/>
              </w:rPr>
            </w:pPr>
            <w:r>
              <w:rPr>
                <w:rFonts w:ascii="Times New Roman" w:eastAsia="Calibri" w:hAnsi="Times New Roman" w:cs="Times New Roman"/>
                <w:noProof/>
                <w:sz w:val="24"/>
                <w:lang w:val="en-GB"/>
              </w:rPr>
              <w:t>Alternative fuel infrastructure (not in urban nodes)</w:t>
            </w:r>
          </w:p>
        </w:tc>
        <w:tc>
          <w:tcPr>
            <w:tcW w:w="1294" w:type="dxa"/>
            <w:hideMark/>
          </w:tcPr>
          <w:p>
            <w:pPr>
              <w:spacing w:line="252" w:lineRule="auto"/>
              <w:jc w:val="both"/>
              <w:rPr>
                <w:rFonts w:ascii="Calibri" w:eastAsia="Calibri" w:hAnsi="Calibri" w:cs="Calibri"/>
                <w:b/>
                <w:bCs/>
                <w:noProof/>
                <w:lang w:val="en-GB"/>
              </w:rPr>
            </w:pPr>
            <w:r>
              <w:rPr>
                <w:rFonts w:ascii="Times New Roman" w:eastAsia="Calibri" w:hAnsi="Times New Roman" w:cs="Times New Roman"/>
                <w:noProof/>
                <w:sz w:val="24"/>
                <w:lang w:val="en-GB"/>
              </w:rPr>
              <w:t>40</w:t>
            </w:r>
          </w:p>
        </w:tc>
      </w:tr>
      <w:tr>
        <w:tc>
          <w:tcPr>
            <w:tcW w:w="3278" w:type="dxa"/>
          </w:tcPr>
          <w:p>
            <w:pPr>
              <w:autoSpaceDE w:val="0"/>
              <w:autoSpaceDN w:val="0"/>
              <w:spacing w:before="40" w:after="40" w:line="252" w:lineRule="auto"/>
              <w:jc w:val="both"/>
              <w:rPr>
                <w:rFonts w:ascii="Times New Roman" w:eastAsia="Calibri" w:hAnsi="Times New Roman" w:cs="Times New Roman"/>
                <w:noProof/>
                <w:sz w:val="24"/>
                <w:lang w:val="en-GB"/>
              </w:rPr>
            </w:pPr>
          </w:p>
        </w:tc>
        <w:tc>
          <w:tcPr>
            <w:tcW w:w="3725" w:type="dxa"/>
            <w:hideMark/>
          </w:tcPr>
          <w:p>
            <w:pPr>
              <w:autoSpaceDE w:val="0"/>
              <w:autoSpaceDN w:val="0"/>
              <w:spacing w:before="40" w:after="40" w:line="252" w:lineRule="auto"/>
              <w:jc w:val="both"/>
              <w:rPr>
                <w:rFonts w:ascii="Times New Roman" w:eastAsia="Calibri" w:hAnsi="Times New Roman" w:cs="Times New Roman"/>
                <w:noProof/>
                <w:sz w:val="24"/>
                <w:lang w:val="en-GB" w:eastAsia="fr-BE"/>
              </w:rPr>
            </w:pPr>
            <w:r>
              <w:rPr>
                <w:rFonts w:ascii="Times New Roman" w:eastAsia="Calibri" w:hAnsi="Times New Roman" w:cs="Times New Roman"/>
                <w:noProof/>
                <w:sz w:val="24"/>
                <w:lang w:val="en-GB"/>
              </w:rPr>
              <w:t>Urban Nodes (including infrastructures, digitalisation and alternative fuels)</w:t>
            </w:r>
          </w:p>
        </w:tc>
        <w:tc>
          <w:tcPr>
            <w:tcW w:w="1294" w:type="dxa"/>
            <w:hideMark/>
          </w:tcPr>
          <w:p>
            <w:pPr>
              <w:spacing w:line="252"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100 </w:t>
            </w:r>
          </w:p>
        </w:tc>
      </w:tr>
      <w:tr>
        <w:tc>
          <w:tcPr>
            <w:tcW w:w="3278" w:type="dxa"/>
          </w:tcPr>
          <w:p>
            <w:pPr>
              <w:spacing w:line="252" w:lineRule="auto"/>
              <w:jc w:val="both"/>
              <w:rPr>
                <w:rFonts w:ascii="Times New Roman" w:eastAsia="Calibri" w:hAnsi="Times New Roman" w:cs="Times New Roman"/>
                <w:noProof/>
                <w:sz w:val="24"/>
                <w:lang w:val="en-GB"/>
              </w:rPr>
            </w:pPr>
          </w:p>
        </w:tc>
        <w:tc>
          <w:tcPr>
            <w:tcW w:w="3725" w:type="dxa"/>
            <w:hideMark/>
          </w:tcPr>
          <w:p>
            <w:pPr>
              <w:spacing w:line="252"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Air traffic management</w:t>
            </w:r>
          </w:p>
        </w:tc>
        <w:tc>
          <w:tcPr>
            <w:tcW w:w="1294" w:type="dxa"/>
            <w:hideMark/>
          </w:tcPr>
          <w:p>
            <w:pPr>
              <w:spacing w:line="252"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r>
              <w:rPr>
                <w:rFonts w:ascii="Times New Roman" w:eastAsia="Calibri" w:hAnsi="Times New Roman" w:cs="Times New Roman"/>
                <w:noProof/>
                <w:sz w:val="24"/>
                <w:vertAlign w:val="superscript"/>
                <w:lang w:val="en-GB"/>
              </w:rPr>
              <w:footnoteReference w:id="7"/>
            </w:r>
          </w:p>
        </w:tc>
      </w:tr>
    </w:tbl>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keepNext/>
        <w:keepLines/>
        <w:spacing w:before="40" w:after="0" w:line="240" w:lineRule="auto"/>
        <w:jc w:val="both"/>
        <w:outlineLvl w:val="3"/>
        <w:rPr>
          <w:rFonts w:ascii="Cambria" w:eastAsia="Times New Roman" w:hAnsi="Cambria" w:cs="Times New Roman"/>
          <w:iCs/>
          <w:noProof/>
          <w:sz w:val="24"/>
          <w:lang w:val="en-GB"/>
        </w:rPr>
      </w:pPr>
      <w:r>
        <w:rPr>
          <w:rFonts w:ascii="Cambria" w:eastAsia="Times New Roman" w:hAnsi="Cambria" w:cs="Times New Roman"/>
          <w:iCs/>
          <w:noProof/>
          <w:sz w:val="24"/>
          <w:lang w:val="en-GB"/>
        </w:rPr>
        <w:t>d) European Regional and Development Fund (ERDF) and Cohesion Fund</w:t>
      </w:r>
      <w:r>
        <w:rPr>
          <w:rFonts w:ascii="Cambria" w:eastAsia="Times New Roman" w:hAnsi="Cambria" w:cs="Times New Roman"/>
          <w:i/>
          <w:iCs/>
          <w:noProof/>
          <w:sz w:val="24"/>
          <w:lang w:val="en-GB"/>
        </w:rPr>
        <w:t xml:space="preserve"> </w:t>
      </w:r>
      <w:r>
        <w:rPr>
          <w:rFonts w:ascii="Cambria" w:eastAsia="Times New Roman" w:hAnsi="Cambria" w:cs="Times New Roman"/>
          <w:iCs/>
          <w:noProof/>
          <w:sz w:val="24"/>
          <w:lang w:val="en-GB"/>
        </w:rPr>
        <w:t>(CF)</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23"/>
        <w:gridCol w:w="2855"/>
        <w:gridCol w:w="723"/>
        <w:gridCol w:w="2961"/>
        <w:gridCol w:w="1035"/>
      </w:tblGrid>
      <w:tr>
        <w:tc>
          <w:tcPr>
            <w:tcW w:w="4044" w:type="dxa"/>
            <w:gridSpan w:val="2"/>
          </w:tcPr>
          <w:p>
            <w:pPr>
              <w:jc w:val="both"/>
              <w:rPr>
                <w:rFonts w:ascii="Times New Roman" w:eastAsia="Calibri" w:hAnsi="Times New Roman" w:cs="Times New Roman"/>
                <w:b/>
                <w:bCs/>
                <w:noProof/>
                <w:sz w:val="24"/>
                <w:lang w:val="en-GB"/>
              </w:rPr>
            </w:pPr>
            <w:r>
              <w:rPr>
                <w:rFonts w:ascii="Times New Roman" w:eastAsia="Calibri" w:hAnsi="Times New Roman" w:cs="Times New Roman"/>
                <w:b/>
                <w:bCs/>
                <w:noProof/>
                <w:sz w:val="24"/>
                <w:lang w:val="en-GB"/>
              </w:rPr>
              <w:t>Intervention codes and fields in implementing Regulation 215/2014 for 2014-2020</w:t>
            </w:r>
          </w:p>
        </w:tc>
        <w:tc>
          <w:tcPr>
            <w:tcW w:w="4200" w:type="dxa"/>
            <w:gridSpan w:val="2"/>
          </w:tcPr>
          <w:p>
            <w:pPr>
              <w:jc w:val="both"/>
              <w:rPr>
                <w:rFonts w:ascii="Times New Roman" w:eastAsia="Calibri" w:hAnsi="Times New Roman" w:cs="Times New Roman"/>
                <w:b/>
                <w:bCs/>
                <w:i/>
                <w:iCs/>
                <w:noProof/>
                <w:sz w:val="24"/>
                <w:lang w:val="en-GB"/>
              </w:rPr>
            </w:pPr>
            <w:r>
              <w:rPr>
                <w:rFonts w:ascii="Times New Roman" w:eastAsia="Calibri" w:hAnsi="Times New Roman" w:cs="Times New Roman"/>
                <w:b/>
                <w:bCs/>
                <w:noProof/>
                <w:sz w:val="24"/>
                <w:lang w:val="en-GB"/>
              </w:rPr>
              <w:t xml:space="preserve">Intervention codes, fields and </w:t>
            </w:r>
            <w:r>
              <w:rPr>
                <w:rFonts w:ascii="Times New Roman" w:eastAsia="Calibri" w:hAnsi="Times New Roman" w:cs="Times New Roman"/>
                <w:b/>
                <w:bCs/>
                <w:i/>
                <w:iCs/>
                <w:noProof/>
                <w:sz w:val="24"/>
                <w:lang w:val="en-GB"/>
              </w:rPr>
              <w:t>Rio</w:t>
            </w:r>
            <w:r>
              <w:rPr>
                <w:rFonts w:ascii="Times New Roman" w:eastAsia="Calibri" w:hAnsi="Times New Roman" w:cs="Times New Roman"/>
                <w:b/>
                <w:bCs/>
                <w:noProof/>
                <w:sz w:val="24"/>
                <w:lang w:val="en-GB"/>
              </w:rPr>
              <w:t xml:space="preserve"> Coefficient for Environment in COM(2018) 375 final for 2021-2027</w:t>
            </w:r>
          </w:p>
        </w:tc>
        <w:tc>
          <w:tcPr>
            <w:tcW w:w="1044" w:type="dxa"/>
          </w:tcPr>
          <w:p>
            <w:pPr>
              <w:jc w:val="both"/>
              <w:rPr>
                <w:rFonts w:ascii="Times New Roman" w:eastAsia="Calibri" w:hAnsi="Times New Roman" w:cs="Times New Roman"/>
                <w:b/>
                <w:bCs/>
                <w:noProof/>
                <w:color w:val="000000"/>
                <w:sz w:val="24"/>
                <w:lang w:val="en-GB"/>
              </w:rPr>
            </w:pPr>
            <w:r>
              <w:rPr>
                <w:rFonts w:ascii="Times New Roman" w:eastAsia="Calibri" w:hAnsi="Times New Roman" w:cs="Times New Roman"/>
                <w:b/>
                <w:bCs/>
                <w:noProof/>
                <w:color w:val="000000"/>
                <w:sz w:val="24"/>
                <w:lang w:val="en-GB"/>
              </w:rPr>
              <w:t>Clean Air Marker</w:t>
            </w:r>
          </w:p>
          <w:p>
            <w:pPr>
              <w:jc w:val="both"/>
              <w:rPr>
                <w:rFonts w:ascii="Times New Roman" w:eastAsia="Calibri" w:hAnsi="Times New Roman" w:cs="Times New Roman"/>
                <w:b/>
                <w:noProof/>
                <w:color w:val="FF0000"/>
                <w:sz w:val="24"/>
                <w:lang w:val="en-GB"/>
              </w:rPr>
            </w:pP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Code</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Field</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Code</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Field</w:t>
            </w:r>
          </w:p>
        </w:tc>
        <w:tc>
          <w:tcPr>
            <w:tcW w:w="1044" w:type="dxa"/>
          </w:tcPr>
          <w:p>
            <w:pPr>
              <w:jc w:val="both"/>
              <w:rPr>
                <w:rFonts w:ascii="Times New Roman" w:eastAsia="Calibri" w:hAnsi="Times New Roman" w:cs="Times New Roman"/>
                <w:b/>
                <w:noProof/>
                <w:sz w:val="24"/>
                <w:lang w:val="en-GB"/>
              </w:rPr>
            </w:pP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65</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Research and innovation infrastructure, processes, technology transfer and cooperation in enterprises focusing on the low carbon economy and on resilience to climate change</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22</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Research and innovation processes, technology transfer and cooperation between enterprises focusing on the low carbon economy, resilience and adaptation to climate change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23</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Research and innovation processes, technology transfer and cooperation between enterprises focusing on circular economy</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068</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Energy efficiency and demonstration projects in SMEs and supporting measures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24</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Energy efficiency and demonstration projects in SMEs and supporting measures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014</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Energy efficiency renovation of existing housing stock, demonstration projects and supporting measures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25</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Energy efficiency renovation of existing housing stock, demonstration projects and supporting measures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013</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Energy efficiency renovation of public infrastructure, demonstration projects and supporting measures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26</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Energy efficiency renovation of public infrastructure, demonstration projects and supporting measures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071</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Development and promotion of enterprises specialised in providing services contributing to the low carbon economy and to resilience to climate change (including support to such services)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27</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Support to enterprises that provide services contributing to the low carbon economy and to resilience to climate change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009</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Renewable energy: wind</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28</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Renewable energy: wind</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010</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Renewable energy: solar</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29</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Renewable energy: solar</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31</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Renewable energy: marine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012</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Other renewable energy (including hydroelectric, geothermal and marine energy) and renewable energy integration (including storage, power to gas and renewable hydrogen infrastructure)</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32</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Other renewable energy (including geothermal energy)</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015</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Intelligent Energy Distribution Systems at medium and low voltage levels (including smart grids and ICT systems)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33</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Smart Energy Distribution Systems at medium and low voltage levels (including smart grids and ICT systems) and related storage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016</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High efficiency co-generation and district heating</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34</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High efficiency co-generation, district heating and cooling</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017</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Household waste management (including minimisation, sorting, recycling measures)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42</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Household waste management: prevention, minimisation, sorting, recycling measures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r>
              <w:rPr>
                <w:rFonts w:ascii="Times New Roman" w:eastAsia="Calibri" w:hAnsi="Times New Roman" w:cs="Times New Roman"/>
                <w:noProof/>
                <w:sz w:val="24"/>
                <w:lang w:val="en-GB"/>
              </w:rPr>
              <w:br/>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069</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Support to environmentally-friendly production processes and resource efficiency in SMEs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47</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Support to environmentally-friendly production processes and resource efficiency in SMEs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083</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Air quality measures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48</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Air quality and noise reduction measures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100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085</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Protection and enhancement of biodiversity, nature protection and green infrastructure</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50</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Nature and biodiversity protection, green infrastructure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63</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Digitalisation of transport: road</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024</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Railways (TEN-T Core)</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64</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Newly built railways - TEN-T core network</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025</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Railways (TEN-T comprehensive)</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65</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Newly built railways - TEN-T comprehensive network</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026</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Other Railways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66</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Other newly built railways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67</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Reconstructed or improved railways - TEN-T core network</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68</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Reconstructed or improved railways - TEN-T comprehensive network</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69</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Other reconstructed or improved railways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70</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Digitalisation of transport: rail</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71</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European Rail Traffic Management System (ERTMS)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027</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Mobile rail assets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72</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Mobile rail assets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043</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Clean urban transport infrastructure and promotion (including equipment and rolling stock)</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73</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Clean urban transport infrastructure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74</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Clean urban transport rolling stock</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100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090</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Cycle tracks and footpaths</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75</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Cycling infrastructure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100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76</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Digitalisation of urban transport</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r>
              <w:rPr>
                <w:rFonts w:ascii="Times New Roman" w:eastAsia="Calibri" w:hAnsi="Times New Roman" w:cs="Times New Roman"/>
                <w:noProof/>
                <w:sz w:val="24"/>
                <w:lang w:val="en-GB"/>
              </w:rPr>
              <w:br/>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77</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Alternative fuels infrastructure</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035</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Multimodal transport (TEN-T)</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78</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Multimodal transport (TEN-T)</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036</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Multimodal transport</w:t>
            </w: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79</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Multimodal transport (not urban)</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84</w:t>
            </w:r>
          </w:p>
        </w:tc>
        <w:tc>
          <w:tcPr>
            <w:tcW w:w="3477"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Digitising transport: other transport modes</w:t>
            </w: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007</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Natural gas</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008</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Natural gas (TEN-E)</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023</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Environmental measures aimed at reducing and / or avoiding greenhouse gas emissions (including treatment and storage of methane gas and composting)</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044</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Intelligent transport systems (including the introduction of demand management, tolling systems, IT monitoring control and information systems)</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070</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Promotion of energy efficiency in large enterprises</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highlight w:val="yellow"/>
                <w:lang w:val="en-GB"/>
              </w:rPr>
            </w:pPr>
            <w:r>
              <w:rPr>
                <w:rFonts w:ascii="Times New Roman" w:eastAsia="Calibri" w:hAnsi="Times New Roman" w:cs="Times New Roman"/>
                <w:noProof/>
                <w:sz w:val="24"/>
                <w:lang w:val="en-GB"/>
              </w:rPr>
              <w:t>40</w:t>
            </w:r>
          </w:p>
        </w:tc>
      </w:tr>
      <w:tr>
        <w:tc>
          <w:tcPr>
            <w:tcW w:w="723"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084</w:t>
            </w:r>
          </w:p>
        </w:tc>
        <w:tc>
          <w:tcPr>
            <w:tcW w:w="3321"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Integrated pollution prevention and control (IPPC)</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highlight w:val="yellow"/>
                <w:lang w:val="en-GB"/>
              </w:rPr>
            </w:pPr>
            <w:r>
              <w:rPr>
                <w:rFonts w:ascii="Times New Roman" w:eastAsia="Calibri" w:hAnsi="Times New Roman" w:cs="Times New Roman"/>
                <w:noProof/>
                <w:sz w:val="24"/>
                <w:lang w:val="en-GB"/>
              </w:rPr>
              <w:t>40</w:t>
            </w:r>
          </w:p>
        </w:tc>
      </w:tr>
    </w:tbl>
    <w:p>
      <w:pPr>
        <w:spacing w:after="0" w:line="240" w:lineRule="auto"/>
        <w:jc w:val="both"/>
        <w:rPr>
          <w:rFonts w:ascii="Times New Roman" w:eastAsia="Calibri" w:hAnsi="Times New Roman" w:cs="Times New Roman"/>
          <w:noProof/>
          <w:sz w:val="24"/>
          <w:lang w:val="en-GB"/>
        </w:rPr>
      </w:pPr>
    </w:p>
    <w:p>
      <w:p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Any intervention field not displayed in this table has been marked 0 for the clean air tracking.</w:t>
      </w:r>
    </w:p>
    <w:p>
      <w:pPr>
        <w:spacing w:line="240" w:lineRule="auto"/>
        <w:jc w:val="both"/>
        <w:rPr>
          <w:rFonts w:ascii="Times New Roman" w:eastAsia="Calibri" w:hAnsi="Times New Roman" w:cs="Times New Roman"/>
          <w:noProof/>
          <w:sz w:val="24"/>
          <w:szCs w:val="24"/>
          <w:lang w:val="en-GB"/>
        </w:rPr>
      </w:pPr>
    </w:p>
    <w:p>
      <w:pPr>
        <w:keepNext/>
        <w:keepLines/>
        <w:spacing w:before="40" w:after="0" w:line="240" w:lineRule="auto"/>
        <w:jc w:val="both"/>
        <w:outlineLvl w:val="2"/>
        <w:rPr>
          <w:rFonts w:ascii="Cambria" w:eastAsia="Times New Roman" w:hAnsi="Cambria" w:cs="Times New Roman"/>
          <w:noProof/>
          <w:color w:val="243F60"/>
          <w:sz w:val="24"/>
          <w:szCs w:val="24"/>
          <w:lang w:val="en-GB"/>
        </w:rPr>
      </w:pPr>
      <w:bookmarkStart w:id="6" w:name="_Toc38542845"/>
      <w:r>
        <w:rPr>
          <w:rFonts w:ascii="Cambria" w:eastAsia="Times New Roman" w:hAnsi="Cambria" w:cs="Times New Roman"/>
          <w:noProof/>
          <w:sz w:val="24"/>
          <w:szCs w:val="24"/>
          <w:lang w:val="en-GB"/>
        </w:rPr>
        <w:t xml:space="preserve">e) </w:t>
      </w:r>
      <w:bookmarkEnd w:id="6"/>
      <w:r>
        <w:rPr>
          <w:rFonts w:ascii="Cambria" w:eastAsia="Times New Roman" w:hAnsi="Cambria" w:cs="Times New Roman"/>
          <w:noProof/>
          <w:sz w:val="24"/>
          <w:szCs w:val="24"/>
          <w:lang w:val="en-GB"/>
        </w:rPr>
        <w:t>Common Agricultural Policy</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281"/>
        <w:gridCol w:w="1016"/>
      </w:tblGrid>
      <w:tr>
        <w:tc>
          <w:tcPr>
            <w:tcW w:w="8272" w:type="dxa"/>
          </w:tcPr>
          <w:p>
            <w:pPr>
              <w:jc w:val="both"/>
              <w:rPr>
                <w:rFonts w:ascii="Times New Roman" w:eastAsia="Calibri" w:hAnsi="Times New Roman" w:cs="Times New Roman"/>
                <w:b/>
                <w:noProof/>
                <w:sz w:val="24"/>
                <w:lang w:val="en-GB"/>
              </w:rPr>
            </w:pPr>
            <w:r>
              <w:rPr>
                <w:rFonts w:ascii="Times New Roman" w:eastAsia="Calibri" w:hAnsi="Times New Roman" w:cs="Times New Roman"/>
                <w:b/>
                <w:noProof/>
                <w:sz w:val="24"/>
                <w:lang w:val="en-GB"/>
              </w:rPr>
              <w:t>Action</w:t>
            </w:r>
          </w:p>
        </w:tc>
        <w:tc>
          <w:tcPr>
            <w:tcW w:w="1016" w:type="dxa"/>
          </w:tcPr>
          <w:p>
            <w:pPr>
              <w:jc w:val="both"/>
              <w:rPr>
                <w:rFonts w:ascii="Times New Roman" w:eastAsia="Calibri" w:hAnsi="Times New Roman" w:cs="Times New Roman"/>
                <w:b/>
                <w:noProof/>
                <w:sz w:val="24"/>
                <w:lang w:val="en-GB"/>
              </w:rPr>
            </w:pPr>
            <w:r>
              <w:rPr>
                <w:rFonts w:ascii="Times New Roman" w:eastAsia="Calibri" w:hAnsi="Times New Roman" w:cs="Times New Roman"/>
                <w:b/>
                <w:noProof/>
                <w:sz w:val="24"/>
                <w:lang w:val="en-GB"/>
              </w:rPr>
              <w:t>Marker</w:t>
            </w:r>
          </w:p>
        </w:tc>
      </w:tr>
      <w:tr>
        <w:tc>
          <w:tcPr>
            <w:tcW w:w="8272" w:type="dxa"/>
          </w:tcPr>
          <w:p>
            <w:pPr>
              <w:jc w:val="both"/>
              <w:rPr>
                <w:rFonts w:ascii="Times New Roman" w:eastAsia="Calibri" w:hAnsi="Times New Roman" w:cs="Times New Roman"/>
                <w:noProof/>
                <w:sz w:val="24"/>
                <w:szCs w:val="24"/>
                <w:lang w:val="en-GB"/>
              </w:rPr>
            </w:pPr>
            <w:r>
              <w:rPr>
                <w:rFonts w:ascii="Times New Roman" w:hAnsi="Times New Roman" w:cs="Times New Roman"/>
                <w:noProof/>
                <w:color w:val="000000"/>
                <w:sz w:val="24"/>
                <w:szCs w:val="24"/>
                <w:shd w:val="clear" w:color="auto" w:fill="FFFFFF"/>
                <w:lang w:val="en-GB"/>
              </w:rPr>
              <w:t>European Agricultural Fund for Rural Development (EAFRD) </w:t>
            </w:r>
          </w:p>
        </w:tc>
        <w:tc>
          <w:tcPr>
            <w:tcW w:w="1016" w:type="dxa"/>
          </w:tcPr>
          <w:p>
            <w:pPr>
              <w:jc w:val="both"/>
              <w:rPr>
                <w:rFonts w:ascii="Times New Roman" w:eastAsia="Calibri" w:hAnsi="Times New Roman" w:cs="Times New Roman"/>
                <w:noProof/>
                <w:sz w:val="24"/>
                <w:lang w:val="en-GB"/>
              </w:rPr>
            </w:pPr>
          </w:p>
        </w:tc>
      </w:tr>
      <w:tr>
        <w:tc>
          <w:tcPr>
            <w:tcW w:w="8272"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       Focus areas 2A (farm modernisation)</w:t>
            </w:r>
            <w:r>
              <w:rPr>
                <w:rFonts w:ascii="Times New Roman" w:eastAsia="Calibri" w:hAnsi="Times New Roman" w:cs="Times New Roman"/>
                <w:noProof/>
                <w:sz w:val="24"/>
                <w:vertAlign w:val="superscript"/>
                <w:lang w:val="en-GB"/>
              </w:rPr>
              <w:footnoteReference w:id="8"/>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r>
        <w:tc>
          <w:tcPr>
            <w:tcW w:w="8272"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       Focus Area 5B (energy efficiency)</w:t>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8272" w:type="dxa"/>
          </w:tcPr>
          <w:p>
            <w:pPr>
              <w:ind w:left="426" w:hanging="426"/>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       Focus Area 5D (reducing greenhouse gases and ammonia emissions         from agriculture </w:t>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8272"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First pillar of CAP</w:t>
            </w:r>
            <w:r>
              <w:rPr>
                <w:rFonts w:ascii="Times New Roman" w:eastAsia="Calibri" w:hAnsi="Times New Roman" w:cs="Times New Roman"/>
                <w:noProof/>
                <w:sz w:val="24"/>
                <w:vertAlign w:val="superscript"/>
                <w:lang w:val="en-GB"/>
              </w:rPr>
              <w:footnoteReference w:id="9"/>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bl>
    <w:p>
      <w:pPr>
        <w:rPr>
          <w:rFonts w:ascii="Times New Roman" w:eastAsia="Times New Roman" w:hAnsi="Times New Roman" w:cs="Times New Roman"/>
          <w:noProof/>
          <w:sz w:val="24"/>
          <w:szCs w:val="24"/>
          <w:lang w:val="en-GB"/>
        </w:rPr>
      </w:pPr>
      <w:bookmarkStart w:id="7" w:name="_Toc38542846"/>
      <w:r>
        <w:rPr>
          <w:rFonts w:ascii="Cambria" w:eastAsia="Times New Roman" w:hAnsi="Cambria" w:cs="Times New Roman"/>
          <w:noProof/>
          <w:sz w:val="24"/>
          <w:szCs w:val="24"/>
          <w:lang w:val="en-GB"/>
        </w:rPr>
        <w:t xml:space="preserve">f) </w:t>
      </w:r>
      <w:bookmarkEnd w:id="7"/>
      <w:r>
        <w:rPr>
          <w:rFonts w:ascii="Times New Roman" w:eastAsia="Times New Roman" w:hAnsi="Times New Roman" w:cs="Times New Roman"/>
          <w:noProof/>
          <w:sz w:val="24"/>
          <w:szCs w:val="24"/>
          <w:lang w:val="en-GB"/>
        </w:rPr>
        <w:t>LIFE programme</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281"/>
        <w:gridCol w:w="1016"/>
      </w:tblGrid>
      <w:tr>
        <w:tc>
          <w:tcPr>
            <w:tcW w:w="8272" w:type="dxa"/>
          </w:tcPr>
          <w:p>
            <w:pPr>
              <w:jc w:val="both"/>
              <w:rPr>
                <w:rFonts w:ascii="Times New Roman" w:eastAsia="Calibri" w:hAnsi="Times New Roman" w:cs="Times New Roman"/>
                <w:b/>
                <w:noProof/>
                <w:sz w:val="24"/>
                <w:lang w:val="en-GB"/>
              </w:rPr>
            </w:pPr>
            <w:r>
              <w:rPr>
                <w:rFonts w:ascii="Times New Roman" w:eastAsia="Calibri" w:hAnsi="Times New Roman" w:cs="Times New Roman"/>
                <w:b/>
                <w:noProof/>
                <w:sz w:val="24"/>
                <w:lang w:val="en-GB"/>
              </w:rPr>
              <w:t>Action</w:t>
            </w:r>
          </w:p>
        </w:tc>
        <w:tc>
          <w:tcPr>
            <w:tcW w:w="1016" w:type="dxa"/>
          </w:tcPr>
          <w:p>
            <w:pPr>
              <w:jc w:val="both"/>
              <w:rPr>
                <w:rFonts w:ascii="Times New Roman" w:eastAsia="Calibri" w:hAnsi="Times New Roman" w:cs="Times New Roman"/>
                <w:b/>
                <w:noProof/>
                <w:sz w:val="24"/>
                <w:lang w:val="en-GB"/>
              </w:rPr>
            </w:pPr>
            <w:r>
              <w:rPr>
                <w:rFonts w:ascii="Times New Roman" w:eastAsia="Calibri" w:hAnsi="Times New Roman" w:cs="Times New Roman"/>
                <w:b/>
                <w:noProof/>
                <w:sz w:val="24"/>
                <w:lang w:val="en-GB"/>
              </w:rPr>
              <w:t>Marker</w:t>
            </w:r>
          </w:p>
        </w:tc>
      </w:tr>
      <w:tr>
        <w:tc>
          <w:tcPr>
            <w:tcW w:w="8272"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Projects with clean air as main objective, such as:</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Integrated Projects for clean air (including Technical Assistance projects if applicable)</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Environment and resource efficiency traditional projects contributing to clean air as a priority topic</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Environmental governance and information traditional projects focusing on clean air</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Preparatory Projects focusing on clean air</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Operating grants for NGOs which focus on clean air</w:t>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100</w:t>
            </w:r>
          </w:p>
        </w:tc>
      </w:tr>
      <w:tr>
        <w:tc>
          <w:tcPr>
            <w:tcW w:w="8272"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Projects contributing to clean air, such as: </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Integrated Projects under the sub-programme for environment which contribute to  clean air (including Technical Assistance projects if applicable)</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 xml:space="preserve">Environment and resource efficiency traditional projects contributing to clean air as a secondary benefit </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Environmental governance and information traditional projects contributing to clean air as a secondary benefit</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Preparatory Projects contributing to clean air as a secondary benefit</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Integrated projects under the sub-programme for climate action which contribute to  clean air (including Technical Assistance projects if applicable)</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Climate change mitigation traditional projects contributing to clean air as a secondary benefit</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Climate governance and information traditional projects contributing to clean air as a secondary benefit</w:t>
            </w:r>
          </w:p>
          <w:p>
            <w:pPr>
              <w:numPr>
                <w:ilvl w:val="0"/>
                <w:numId w:val="5"/>
              </w:numPr>
              <w:contextualSpacing/>
              <w:jc w:val="both"/>
              <w:rPr>
                <w:rFonts w:ascii="Times New Roman" w:eastAsia="Calibri" w:hAnsi="Times New Roman" w:cs="Times New Roman"/>
                <w:noProof/>
                <w:lang w:val="en-GB" w:eastAsia="en-GB"/>
              </w:rPr>
            </w:pPr>
            <w:r>
              <w:rPr>
                <w:rFonts w:ascii="Times New Roman" w:eastAsia="Calibri" w:hAnsi="Times New Roman" w:cs="Times New Roman"/>
                <w:noProof/>
                <w:lang w:val="en-GB" w:eastAsia="en-GB"/>
              </w:rPr>
              <w:t>Operating grants for NGOs which contribute to clean air</w:t>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40</w:t>
            </w:r>
          </w:p>
        </w:tc>
      </w:tr>
      <w:tr>
        <w:tc>
          <w:tcPr>
            <w:tcW w:w="8272"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Projects or activities outside the scope of the categories mentioned above</w:t>
            </w:r>
          </w:p>
        </w:tc>
        <w:tc>
          <w:tcPr>
            <w:tcW w:w="1016" w:type="dxa"/>
          </w:tcPr>
          <w:p>
            <w:pPr>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0</w:t>
            </w:r>
          </w:p>
        </w:tc>
      </w:tr>
    </w:tbl>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r>
        <w:rPr>
          <w:rFonts w:ascii="Times New Roman" w:eastAsia="Calibri" w:hAnsi="Times New Roman" w:cs="Times New Roman"/>
          <w:noProof/>
          <w:sz w:val="24"/>
          <w:lang w:val="en-GB"/>
        </w:rPr>
        <w:t xml:space="preserve">Under LIFE, clean air is supported by dedicated traditional and integrated projects, but, being a crosscutting issue, clean air also benefits from impacts generated by LIFE projects primarily focusing on other topics such as water, noise and climate change mitigation (e.g. energy efficiency). </w:t>
      </w:r>
    </w:p>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rPr>
          <w:rFonts w:ascii="Times New Roman" w:eastAsia="Calibri" w:hAnsi="Times New Roman" w:cs="Times New Roman"/>
          <w:b/>
          <w:noProof/>
          <w:sz w:val="26"/>
          <w:szCs w:val="26"/>
          <w:lang w:val="en-GB"/>
        </w:rPr>
      </w:pPr>
      <w:r>
        <w:rPr>
          <w:rFonts w:ascii="Times New Roman" w:eastAsia="Calibri" w:hAnsi="Times New Roman" w:cs="Times New Roman"/>
          <w:b/>
          <w:noProof/>
          <w:sz w:val="26"/>
          <w:szCs w:val="26"/>
          <w:lang w:val="en-GB"/>
        </w:rPr>
        <w:br w:type="page"/>
      </w:r>
    </w:p>
    <w:p>
      <w:pPr>
        <w:spacing w:after="0" w:line="240" w:lineRule="auto"/>
        <w:jc w:val="both"/>
        <w:rPr>
          <w:rFonts w:ascii="Times New Roman" w:eastAsia="Calibri" w:hAnsi="Times New Roman" w:cs="Times New Roman"/>
          <w:noProof/>
          <w:sz w:val="26"/>
          <w:szCs w:val="26"/>
          <w:lang w:val="en-GB"/>
        </w:rPr>
      </w:pPr>
      <w:r>
        <w:rPr>
          <w:rFonts w:ascii="Times New Roman" w:eastAsia="Calibri" w:hAnsi="Times New Roman" w:cs="Times New Roman"/>
          <w:noProof/>
          <w:sz w:val="26"/>
          <w:szCs w:val="26"/>
          <w:lang w:val="en-GB"/>
        </w:rPr>
        <w:t>3) Amounts of EU funds dedicated to clean air objectives according to the above methodology</w:t>
      </w:r>
    </w:p>
    <w:p>
      <w:pPr>
        <w:spacing w:after="0" w:line="240" w:lineRule="auto"/>
        <w:jc w:val="both"/>
        <w:rPr>
          <w:rFonts w:ascii="Times New Roman" w:eastAsia="Calibri" w:hAnsi="Times New Roman" w:cs="Times New Roman"/>
          <w:b/>
          <w:noProof/>
          <w:sz w:val="26"/>
          <w:szCs w:val="26"/>
          <w:lang w:val="en-GB"/>
        </w:rPr>
      </w:pPr>
    </w:p>
    <w:tbl>
      <w:tblPr>
        <w:tblW w:w="0" w:type="auto"/>
        <w:tblCellMar>
          <w:left w:w="0" w:type="dxa"/>
          <w:right w:w="0" w:type="dxa"/>
        </w:tblCellMar>
        <w:tblLook w:val="04A0" w:firstRow="1" w:lastRow="0" w:firstColumn="1" w:lastColumn="0" w:noHBand="0" w:noVBand="1"/>
      </w:tblPr>
      <w:tblGrid>
        <w:gridCol w:w="4140"/>
        <w:gridCol w:w="4157"/>
      </w:tblGrid>
      <w:tr>
        <w:tc>
          <w:tcPr>
            <w:tcW w:w="4140" w:type="dxa"/>
            <w:tcBorders>
              <w:top w:val="single" w:sz="8" w:space="0" w:color="999999"/>
              <w:left w:val="nil"/>
              <w:bottom w:val="single" w:sz="8" w:space="0" w:color="F68A42"/>
              <w:right w:val="single" w:sz="8" w:space="0" w:color="FFFFFF"/>
            </w:tcBorders>
            <w:shd w:val="clear" w:color="auto" w:fill="203F79"/>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Programme</w:t>
            </w:r>
          </w:p>
        </w:tc>
        <w:tc>
          <w:tcPr>
            <w:tcW w:w="4157" w:type="dxa"/>
            <w:tcBorders>
              <w:top w:val="single" w:sz="8" w:space="0" w:color="999999"/>
              <w:left w:val="nil"/>
              <w:bottom w:val="single" w:sz="8" w:space="0" w:color="F68A42"/>
              <w:right w:val="nil"/>
            </w:tcBorders>
            <w:shd w:val="clear" w:color="auto" w:fill="203F79"/>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Estimated Clean Air Contribution 2014-2020 (in million EUR)</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Horizon 2020</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Calibri" w:hAnsi="Calibri"/>
                <w:noProof/>
                <w:sz w:val="20"/>
                <w:szCs w:val="20"/>
                <w:lang w:val="en-US"/>
              </w:rPr>
            </w:pPr>
            <w:r>
              <w:rPr>
                <w:rFonts w:ascii="EC Square Sans Pro" w:hAnsi="EC Square Sans Pro"/>
                <w:noProof/>
                <w:sz w:val="20"/>
                <w:szCs w:val="20"/>
                <w:lang w:val="en-US"/>
              </w:rPr>
              <w:t>4</w:t>
            </w:r>
            <w:r>
              <w:rPr>
                <w:noProof/>
                <w:sz w:val="20"/>
                <w:szCs w:val="20"/>
                <w:lang w:val="en-US"/>
              </w:rPr>
              <w:t> 219</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EFSI</w:t>
            </w:r>
          </w:p>
        </w:tc>
        <w:tc>
          <w:tcPr>
            <w:tcW w:w="4157" w:type="dxa"/>
            <w:tcBorders>
              <w:top w:val="nil"/>
              <w:left w:val="nil"/>
              <w:bottom w:val="single" w:sz="8" w:space="0" w:color="F68A42"/>
              <w:right w:val="nil"/>
            </w:tcBorders>
            <w:tcMar>
              <w:top w:w="113" w:type="dxa"/>
              <w:left w:w="108" w:type="dxa"/>
              <w:bottom w:w="113" w:type="dxa"/>
              <w:right w:w="108" w:type="dxa"/>
            </w:tcMar>
            <w:vAlign w:val="center"/>
          </w:tcPr>
          <w:p>
            <w:pPr>
              <w:spacing w:after="0" w:line="240" w:lineRule="auto"/>
              <w:jc w:val="right"/>
              <w:rPr>
                <w:rFonts w:ascii="EC Square Sans Pro" w:hAnsi="EC Square Sans Pro"/>
                <w:noProof/>
                <w:sz w:val="20"/>
                <w:szCs w:val="20"/>
                <w:lang w:val="en-US"/>
              </w:rPr>
            </w:pPr>
            <w:r>
              <w:rPr>
                <w:rFonts w:ascii="EC Square Sans Pro" w:hAnsi="EC Square Sans Pro"/>
                <w:noProof/>
                <w:sz w:val="20"/>
                <w:szCs w:val="20"/>
                <w:lang w:val="en-US"/>
              </w:rPr>
              <w:t>819</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CEF</w:t>
            </w:r>
          </w:p>
        </w:tc>
        <w:tc>
          <w:tcPr>
            <w:tcW w:w="4157" w:type="dxa"/>
            <w:tcBorders>
              <w:top w:val="nil"/>
              <w:left w:val="nil"/>
              <w:bottom w:val="single" w:sz="8" w:space="0" w:color="F68A42"/>
              <w:right w:val="nil"/>
            </w:tcBorders>
            <w:tcMar>
              <w:top w:w="113" w:type="dxa"/>
              <w:left w:w="108" w:type="dxa"/>
              <w:bottom w:w="113" w:type="dxa"/>
              <w:right w:w="108" w:type="dxa"/>
            </w:tcMar>
            <w:vAlign w:val="center"/>
          </w:tcPr>
          <w:p>
            <w:pPr>
              <w:spacing w:after="0" w:line="240" w:lineRule="auto"/>
              <w:jc w:val="right"/>
              <w:rPr>
                <w:rFonts w:ascii="EC Square Sans Pro" w:hAnsi="EC Square Sans Pro"/>
                <w:noProof/>
                <w:sz w:val="20"/>
                <w:szCs w:val="20"/>
                <w:lang w:val="en-US"/>
              </w:rPr>
            </w:pPr>
            <w:r>
              <w:rPr>
                <w:rFonts w:ascii="EC Square Sans Pro" w:hAnsi="EC Square Sans Pro"/>
                <w:noProof/>
                <w:sz w:val="20"/>
                <w:szCs w:val="20"/>
                <w:lang w:val="en-US"/>
              </w:rPr>
              <w:t>8 830</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ERDF</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lang w:val="en-US"/>
              </w:rPr>
            </w:pPr>
            <w:r>
              <w:rPr>
                <w:rFonts w:ascii="EC Square Sans Pro" w:hAnsi="EC Square Sans Pro"/>
                <w:noProof/>
                <w:sz w:val="20"/>
                <w:szCs w:val="20"/>
                <w:lang w:val="en-US"/>
              </w:rPr>
              <w:t>20 458</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CF</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lang w:val="en-US"/>
              </w:rPr>
            </w:pPr>
            <w:r>
              <w:rPr>
                <w:rFonts w:ascii="EC Square Sans Pro" w:hAnsi="EC Square Sans Pro"/>
                <w:noProof/>
                <w:sz w:val="20"/>
                <w:szCs w:val="20"/>
                <w:lang w:val="en-US"/>
              </w:rPr>
              <w:t xml:space="preserve">10 874 </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EAFRD</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lang w:val="en-US"/>
              </w:rPr>
            </w:pPr>
            <w:r>
              <w:rPr>
                <w:rFonts w:ascii="EC Square Sans Pro" w:hAnsi="EC Square Sans Pro"/>
                <w:noProof/>
                <w:sz w:val="20"/>
                <w:szCs w:val="20"/>
                <w:lang w:val="en-US"/>
              </w:rPr>
              <w:t>1</w:t>
            </w:r>
            <w:r>
              <w:rPr>
                <w:noProof/>
                <w:sz w:val="20"/>
                <w:szCs w:val="20"/>
                <w:lang w:val="en-US"/>
              </w:rPr>
              <w:t> </w:t>
            </w:r>
            <w:r>
              <w:rPr>
                <w:rFonts w:ascii="EC Square Sans Pro" w:hAnsi="EC Square Sans Pro"/>
                <w:noProof/>
                <w:sz w:val="20"/>
                <w:szCs w:val="20"/>
                <w:lang w:val="en-US"/>
              </w:rPr>
              <w:t xml:space="preserve">138 </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LIFE</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lang w:val="en-US"/>
              </w:rPr>
            </w:pPr>
            <w:r>
              <w:rPr>
                <w:rFonts w:ascii="EC Square Sans Pro" w:hAnsi="EC Square Sans Pro"/>
                <w:noProof/>
                <w:sz w:val="20"/>
                <w:szCs w:val="20"/>
                <w:lang w:val="en-US"/>
              </w:rPr>
              <w:t xml:space="preserve"> 105 </w:t>
            </w:r>
          </w:p>
        </w:tc>
      </w:tr>
      <w:tr>
        <w:tc>
          <w:tcPr>
            <w:tcW w:w="4140" w:type="dxa"/>
            <w:tcBorders>
              <w:top w:val="nil"/>
              <w:left w:val="nil"/>
              <w:bottom w:val="single" w:sz="8" w:space="0" w:color="999999"/>
              <w:right w:val="single" w:sz="8" w:space="0" w:color="F68A42"/>
            </w:tcBorders>
            <w:shd w:val="clear" w:color="auto" w:fill="C6D4F0"/>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lang w:val="en-US"/>
              </w:rPr>
            </w:pPr>
            <w:r>
              <w:rPr>
                <w:rFonts w:ascii="EC Square Sans Pro" w:hAnsi="EC Square Sans Pro"/>
                <w:b/>
                <w:bCs/>
                <w:noProof/>
                <w:sz w:val="20"/>
                <w:szCs w:val="20"/>
                <w:lang w:val="en-US"/>
              </w:rPr>
              <w:t>TOTAL</w:t>
            </w:r>
          </w:p>
        </w:tc>
        <w:tc>
          <w:tcPr>
            <w:tcW w:w="4157" w:type="dxa"/>
            <w:tcBorders>
              <w:top w:val="nil"/>
              <w:left w:val="nil"/>
              <w:bottom w:val="single" w:sz="8" w:space="0" w:color="999999"/>
              <w:right w:val="nil"/>
            </w:tcBorders>
            <w:shd w:val="clear" w:color="auto" w:fill="C6D4F0"/>
            <w:tcMar>
              <w:top w:w="113" w:type="dxa"/>
              <w:left w:w="108" w:type="dxa"/>
              <w:bottom w:w="113" w:type="dxa"/>
              <w:right w:w="108" w:type="dxa"/>
            </w:tcMar>
            <w:vAlign w:val="center"/>
          </w:tcPr>
          <w:p>
            <w:pPr>
              <w:spacing w:after="0" w:line="240" w:lineRule="auto"/>
              <w:jc w:val="right"/>
              <w:rPr>
                <w:rFonts w:ascii="EC Square Sans Pro" w:hAnsi="EC Square Sans Pro"/>
                <w:b/>
                <w:bCs/>
                <w:noProof/>
                <w:sz w:val="20"/>
                <w:szCs w:val="20"/>
                <w:lang w:val="en-US"/>
              </w:rPr>
            </w:pPr>
            <w:r>
              <w:rPr>
                <w:rFonts w:ascii="EC Square Sans Pro" w:hAnsi="EC Square Sans Pro"/>
                <w:b/>
                <w:bCs/>
                <w:noProof/>
                <w:sz w:val="20"/>
                <w:szCs w:val="20"/>
                <w:lang w:val="en-US"/>
              </w:rPr>
              <w:t>46 443</w:t>
            </w:r>
          </w:p>
        </w:tc>
      </w:tr>
    </w:tbl>
    <w:p>
      <w:pPr>
        <w:rPr>
          <w:rFonts w:ascii="Times New Roman" w:hAnsi="Times New Roman"/>
          <w:b/>
          <w:noProof/>
          <w:sz w:val="24"/>
          <w:lang w:val="en-GB"/>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2408"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72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Regulation (EU) No 2015/1017 of the European Parliament and of the Council of 25 June 2015 as amended by Regulation (EU) 2017/2396 of the European Parliament and Council of 13 December 2017.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Guarantee and the related resources in the EU Guarantee Fund cover a portfolio of financing and investment operations and are not ring-fenced for specific projects.  </w:t>
      </w:r>
    </w:p>
  </w:footnote>
  <w:footnote w:id="4">
    <w:p>
      <w:pPr>
        <w:pStyle w:val="FootnoteText"/>
        <w:jc w:val="both"/>
      </w:pPr>
      <w:r>
        <w:rPr>
          <w:rStyle w:val="FootnoteReference"/>
        </w:rPr>
        <w:footnoteRef/>
      </w:r>
      <w:r>
        <w:t xml:space="preserve"> </w:t>
      </w:r>
      <w:r>
        <w:rPr>
          <w:rFonts w:ascii="Times New Roman" w:hAnsi="Times New Roman" w:cs="Times New Roman"/>
        </w:rPr>
        <w:t>Estimates are based on a conservative approach taking into consideration that EFSI Regulation and contractual documents do not foresee reporting and tracking of supported investments that contribute to clean air objectives.</w:t>
      </w:r>
    </w:p>
  </w:footnote>
  <w:footnote w:id="5">
    <w:p>
      <w:pPr>
        <w:pStyle w:val="FootnoteText"/>
        <w:jc w:val="both"/>
        <w:rPr>
          <w:rFonts w:ascii="Times New Roman" w:hAnsi="Times New Roman" w:cs="Times New Roman"/>
          <w:lang w:val="sl-SI"/>
        </w:rPr>
      </w:pPr>
      <w:r>
        <w:rPr>
          <w:rStyle w:val="FootnoteReference"/>
          <w:rFonts w:ascii="Times New Roman" w:hAnsi="Times New Roman" w:cs="Times New Roman"/>
        </w:rPr>
        <w:footnoteRef/>
      </w:r>
      <w:r>
        <w:rPr>
          <w:rFonts w:ascii="Times New Roman" w:hAnsi="Times New Roman" w:cs="Times New Roman"/>
        </w:rPr>
        <w:t xml:space="preserve"> In case of no defaults, the projects are still guaranteed and supported. However, there is no outflow of EU Budget.</w:t>
      </w:r>
      <w:r>
        <w:rPr>
          <w:rFonts w:ascii="Times New Roman" w:hAnsi="Times New Roman" w:cs="Times New Roman"/>
          <w:lang w:val="sl-SI"/>
        </w:rPr>
        <w:t xml:space="preserve"> </w:t>
      </w:r>
    </w:p>
  </w:footnote>
  <w:footnote w:id="6">
    <w:p>
      <w:pPr>
        <w:pStyle w:val="FootnoteText"/>
        <w:jc w:val="both"/>
      </w:pPr>
      <w:r>
        <w:rPr>
          <w:rStyle w:val="FootnoteReference"/>
        </w:rPr>
        <w:footnoteRef/>
      </w:r>
      <w:r>
        <w:t xml:space="preserve">  </w:t>
      </w:r>
      <w:r>
        <w:rPr>
          <w:rFonts w:ascii="Times New Roman" w:hAnsi="Times New Roman" w:cs="Times New Roman"/>
        </w:rPr>
        <w:t>Due to the conservative approach of the methodology, the contribution of the CEF Energy actions on electricity, smart grids and cross-border projects in the field of renewable energy to clean air objectives may be underestimated.</w:t>
      </w:r>
    </w:p>
  </w:footnote>
  <w:footnote w:id="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methodology follows a conservative approach: Part of the CEF Actions on air traffic management includes support to the deployment of Air Traffic Management functionalities at airports, that can contribute, through a more efficient management of traffic, take-off, landing and taxing operations, to reduced emissions of air pollutants in airports and their surroundings.</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farm modernisation can have a positive effect on clean air. However, distinguishing investments for farm modernisation having an effect on ammonia emission reduction from other investments is difficult and they are not expected to represent a high percentage.</w:t>
      </w:r>
    </w:p>
  </w:footnote>
  <w:footnote w:id="9">
    <w:p>
      <w:pPr>
        <w:jc w:val="both"/>
        <w:rPr>
          <w:rFonts w:ascii="Times New Roman" w:eastAsia="Calibri" w:hAnsi="Times New Roman" w:cs="Times New Roman"/>
          <w:sz w:val="20"/>
          <w:szCs w:val="20"/>
          <w:lang w:val="en-GB"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eastAsia="Calibri" w:hAnsi="Times New Roman" w:cs="Times New Roman"/>
          <w:sz w:val="20"/>
          <w:szCs w:val="20"/>
          <w:lang w:val="en-GB" w:eastAsia="en-GB"/>
        </w:rPr>
        <w:t>One of the elements of cross-compliance, Good Agricultural and Environmental Condition number 6: “prohibition to burn stubble in the field to maintain organic matter in the soil”, contributed to the reduction of PM-10 emissions. However, due to the difficulty to quantify the contribution and the expected low value of this element in the overall value of direct payments, the contribution is fixed at 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CB"/>
    <w:multiLevelType w:val="hybridMultilevel"/>
    <w:tmpl w:val="B87E3A36"/>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CAD504E"/>
    <w:multiLevelType w:val="hybridMultilevel"/>
    <w:tmpl w:val="C4AA3E78"/>
    <w:lvl w:ilvl="0" w:tplc="B4964FF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BA42EC"/>
    <w:multiLevelType w:val="hybridMultilevel"/>
    <w:tmpl w:val="4F6E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5312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E2208"/>
    <w:multiLevelType w:val="multilevel"/>
    <w:tmpl w:val="37704C18"/>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rPr>
    </w:lvl>
    <w:lvl w:ilvl="2">
      <w:start w:val="2"/>
      <w:numFmt w:val="bullet"/>
      <w:lvlText w:val="-"/>
      <w:lvlJc w:val="left"/>
      <w:pPr>
        <w:ind w:left="1224" w:hanging="504"/>
      </w:pPr>
      <w:rPr>
        <w:rFonts w:ascii="Calibri" w:eastAsiaTheme="minorHAnsi" w:hAnsi="Calibri" w:cs="Calibr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0F6A94"/>
    <w:multiLevelType w:val="hybridMultilevel"/>
    <w:tmpl w:val="00EC94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65AD693E"/>
    <w:multiLevelType w:val="hybridMultilevel"/>
    <w:tmpl w:val="EBD299BC"/>
    <w:lvl w:ilvl="0" w:tplc="8A288D0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75491A"/>
    <w:multiLevelType w:val="hybridMultilevel"/>
    <w:tmpl w:val="5EFE8D26"/>
    <w:lvl w:ilvl="0" w:tplc="5282A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EE467FE"/>
    <w:multiLevelType w:val="hybridMultilevel"/>
    <w:tmpl w:val="91F25A5C"/>
    <w:lvl w:ilvl="0" w:tplc="8A1CF3E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603ED6"/>
    <w:multiLevelType w:val="hybridMultilevel"/>
    <w:tmpl w:val="CD6C4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AF441C9"/>
    <w:multiLevelType w:val="hybridMultilevel"/>
    <w:tmpl w:val="0BA622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8"/>
  </w:num>
  <w:num w:numId="6">
    <w:abstractNumId w:val="5"/>
  </w:num>
  <w:num w:numId="7">
    <w:abstractNumId w:val="0"/>
  </w:num>
  <w:num w:numId="8">
    <w:abstractNumId w:val="7"/>
  </w:num>
  <w:num w:numId="9">
    <w:abstractNumId w:val="3"/>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revisionView w:markup="0"/>
  <w:doNotTrackFormatting/>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3DB22E3D-608B-4089-96EB-DC842333B54D"/>
    <w:docVar w:name="LW_COVERPAGE_TYPE" w:val="1"/>
    <w:docVar w:name="LW_CROSSREFERENCE" w:val="&lt;UNUSED&gt;"/>
    <w:docVar w:name="LW_DocType" w:val="NORMAL"/>
    <w:docVar w:name="LW_EMISSION" w:val="26.6.2020"/>
    <w:docVar w:name="LW_EMISSION_ISODATE" w:val="2020-06-26"/>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progress made on the implementation of Directive (EU) 2016/2284 on the reduction of national emissions of certain atmospheric pollutants_x000d__x000b__x000d__x000b_"/>
    <w:docVar w:name="LW_PART_NBR" w:val="&lt;UNUSED&gt;"/>
    <w:docVar w:name="LW_PART_NBR_TOTAL" w:val="&lt;UNUSED&gt;"/>
    <w:docVar w:name="LW_REF.INST.NEW" w:val="COM"/>
    <w:docVar w:name="LW_REF.INST.NEW_ADOPTED" w:val="final"/>
    <w:docVar w:name="LW_REF.INST.NEW_TEXT" w:val="(2020)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lang w:val="fr-FR"/>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lang w:val="fr-FR"/>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18734198">
      <w:bodyDiv w:val="1"/>
      <w:marLeft w:val="0"/>
      <w:marRight w:val="0"/>
      <w:marTop w:val="0"/>
      <w:marBottom w:val="0"/>
      <w:divBdr>
        <w:top w:val="none" w:sz="0" w:space="0" w:color="auto"/>
        <w:left w:val="none" w:sz="0" w:space="0" w:color="auto"/>
        <w:bottom w:val="none" w:sz="0" w:space="0" w:color="auto"/>
        <w:right w:val="none" w:sz="0" w:space="0" w:color="auto"/>
      </w:divBdr>
    </w:div>
    <w:div w:id="1614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nvironment/air/reduction/NAPCP.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ea.europa.eu/themes/air/air-pollution-sources-1/national-emission-ceilings/nec-directive-reporting-status-201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342DA3-C1CB-4EF7-BD9C-5224CE80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3755</Words>
  <Characters>17425</Characters>
  <Application>Microsoft Office Word</Application>
  <DocSecurity>0</DocSecurity>
  <Lines>1936</Lines>
  <Paragraphs>1764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GHINEA Marilena (ENV)</dc:creator>
  <cp:keywords/>
  <dc:description/>
  <cp:lastModifiedBy>WES PDFC Administrator</cp:lastModifiedBy>
  <cp:revision>8</cp:revision>
  <cp:lastPrinted>2020-01-07T13:57:00Z</cp:lastPrinted>
  <dcterms:created xsi:type="dcterms:W3CDTF">2020-06-02T15:16:00Z</dcterms:created>
  <dcterms:modified xsi:type="dcterms:W3CDTF">2020-06-25T13:19:00Z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&lt;UNUSED&gt;</vt:lpwstr>
  </property>
  <property fmtid="{D5CDD505-2E9C-101B-9397-08002B2CF9AE}" pid="4" name="Total parts">
    <vt:lpwstr>&lt;UNUSED&gt;</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4</vt:lpwstr>
  </property>
  <property fmtid="{D5CDD505-2E9C-101B-9397-08002B2CF9AE}" pid="11" name="Unique annex">
    <vt:lpwstr>0</vt:lpwstr>
  </property>
</Properties>
</file>