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380F494-BD6D-45DD-96DB-C8B010CE9113"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2"/>
        </w:numPr>
        <w:spacing w:line="256" w:lineRule="auto"/>
        <w:jc w:val="both"/>
        <w:rPr>
          <w:rFonts w:ascii="Times New Roman" w:hAnsi="Times New Roman" w:cs="Times New Roman"/>
          <w:b/>
          <w:noProof/>
          <w:sz w:val="24"/>
          <w:szCs w:val="24"/>
          <w:lang w:val="bg-BG"/>
        </w:rPr>
      </w:pPr>
      <w:bookmarkStart w:id="1" w:name="_GoBack"/>
      <w:bookmarkEnd w:id="1"/>
      <w:r>
        <w:rPr>
          <w:rFonts w:ascii="Times New Roman" w:hAnsi="Times New Roman"/>
          <w:b/>
          <w:noProof/>
          <w:lang w:val="bg-BG"/>
        </w:rPr>
        <w:lastRenderedPageBreak/>
        <w:t xml:space="preserve">Въведение </w:t>
      </w:r>
    </w:p>
    <w:p>
      <w:pPr>
        <w:jc w:val="both"/>
        <w:rPr>
          <w:rFonts w:ascii="Times New Roman" w:hAnsi="Times New Roman" w:cs="Times New Roman"/>
          <w:noProof/>
          <w:sz w:val="24"/>
          <w:szCs w:val="24"/>
          <w:lang w:val="bg-BG"/>
        </w:rPr>
      </w:pPr>
      <w:r>
        <w:rPr>
          <w:rFonts w:ascii="Times New Roman" w:hAnsi="Times New Roman"/>
          <w:noProof/>
          <w:lang w:val="bg-BG"/>
        </w:rPr>
        <w:t>Директива (ЕС) 2016/2284 за намаляване на националните емисии на някои атмосферни замърсители е основният законодателен инструмент за постигането на целите за 2030 г. на Програмата за чист въздух.</w:t>
      </w:r>
      <w:r>
        <w:rPr>
          <w:rStyle w:val="FootnoteReference"/>
          <w:noProof/>
          <w:lang w:val="bg-BG"/>
        </w:rPr>
        <w:footnoteReference w:id="2"/>
      </w:r>
      <w:r>
        <w:rPr>
          <w:rFonts w:ascii="Times New Roman" w:hAnsi="Times New Roman"/>
          <w:noProof/>
          <w:lang w:val="bg-BG"/>
        </w:rPr>
        <w:t xml:space="preserve"> В тази директива — наричана още Директива за НТЕ — се определят национални задължения за намаляване на емисиите за всяка държава — членка на ЕС, за периода 2020—2029 г., както и по-амбициозни задължения, считано от 2030 г. нататък, насочени към пет замърсителя на въздуха със значителни отрицателни въздействия върху човешкото здраве и околната среда: серен диоксид (SO</w:t>
      </w:r>
      <w:r>
        <w:rPr>
          <w:rFonts w:ascii="Times New Roman" w:hAnsi="Times New Roman"/>
          <w:noProof/>
          <w:vertAlign w:val="subscript"/>
          <w:lang w:val="bg-BG"/>
        </w:rPr>
        <w:t>2</w:t>
      </w:r>
      <w:r>
        <w:rPr>
          <w:rFonts w:ascii="Times New Roman" w:hAnsi="Times New Roman"/>
          <w:noProof/>
          <w:lang w:val="bg-BG"/>
        </w:rPr>
        <w:t>), азотни оксиди (NO</w:t>
      </w:r>
      <w:r>
        <w:rPr>
          <w:rFonts w:ascii="Times New Roman" w:hAnsi="Times New Roman"/>
          <w:noProof/>
          <w:vertAlign w:val="subscript"/>
          <w:lang w:val="bg-BG"/>
        </w:rPr>
        <w:t>x</w:t>
      </w:r>
      <w:r>
        <w:rPr>
          <w:rFonts w:ascii="Times New Roman" w:hAnsi="Times New Roman"/>
          <w:noProof/>
          <w:lang w:val="bg-BG"/>
        </w:rPr>
        <w:t>), неметанови летливи органични съединения (НМЛОС), амоняк (NH</w:t>
      </w:r>
      <w:r>
        <w:rPr>
          <w:rFonts w:ascii="Times New Roman" w:hAnsi="Times New Roman"/>
          <w:noProof/>
          <w:vertAlign w:val="subscript"/>
          <w:lang w:val="bg-BG"/>
        </w:rPr>
        <w:t>3</w:t>
      </w:r>
      <w:r>
        <w:rPr>
          <w:rFonts w:ascii="Times New Roman" w:hAnsi="Times New Roman"/>
          <w:noProof/>
          <w:lang w:val="bg-BG"/>
        </w:rPr>
        <w:t>) и фини прахови частици (ПЧ</w:t>
      </w:r>
      <w:r>
        <w:rPr>
          <w:rFonts w:ascii="Times New Roman" w:hAnsi="Times New Roman"/>
          <w:noProof/>
          <w:vertAlign w:val="subscript"/>
          <w:lang w:val="bg-BG"/>
        </w:rPr>
        <w:t>2,5</w:t>
      </w:r>
      <w:r>
        <w:rPr>
          <w:rFonts w:ascii="Times New Roman" w:hAnsi="Times New Roman"/>
          <w:noProof/>
          <w:lang w:val="bg-BG"/>
        </w:rPr>
        <w:t xml:space="preserve">). Предвидената в Програмата за чист въздух цел е до 2030 г. да се намалят наполовина въздействията  от замърсяването на въздуха върху здравето, в сравнение с 2005 г. </w:t>
      </w:r>
    </w:p>
    <w:p>
      <w:pPr>
        <w:jc w:val="both"/>
        <w:rPr>
          <w:rFonts w:ascii="Times New Roman" w:hAnsi="Times New Roman" w:cs="Times New Roman"/>
          <w:noProof/>
          <w:sz w:val="24"/>
          <w:szCs w:val="24"/>
          <w:lang w:val="bg-BG"/>
        </w:rPr>
      </w:pPr>
      <w:r>
        <w:rPr>
          <w:rFonts w:ascii="Times New Roman" w:hAnsi="Times New Roman"/>
          <w:noProof/>
          <w:lang w:val="bg-BG"/>
        </w:rPr>
        <w:t>Директивата влезе в сила на 31 декември 2016 г., като отмени Директива 2001/81/ЕО</w:t>
      </w:r>
      <w:r>
        <w:rPr>
          <w:rStyle w:val="FootnoteReference"/>
          <w:noProof/>
          <w:lang w:val="bg-BG"/>
        </w:rPr>
        <w:footnoteReference w:id="3"/>
      </w:r>
      <w:r>
        <w:rPr>
          <w:rFonts w:ascii="Times New Roman" w:hAnsi="Times New Roman"/>
          <w:noProof/>
          <w:lang w:val="bg-BG"/>
        </w:rPr>
        <w:t xml:space="preserve"> относно националните тавани за емисии на някои атмосферни замърсители, считано от 1 юли 2018 г.  Съгласно Директива (ЕС) 2016/2284 към замърсителите се добавят ПЧ</w:t>
      </w:r>
      <w:r>
        <w:rPr>
          <w:rFonts w:ascii="Times New Roman" w:hAnsi="Times New Roman"/>
          <w:noProof/>
          <w:vertAlign w:val="subscript"/>
          <w:lang w:val="bg-BG"/>
        </w:rPr>
        <w:t>2,5</w:t>
      </w:r>
      <w:r>
        <w:rPr>
          <w:rFonts w:ascii="Times New Roman" w:hAnsi="Times New Roman"/>
          <w:noProof/>
          <w:lang w:val="bg-BG"/>
        </w:rPr>
        <w:t>, за които е определено задължително намаляване, и се разширява списъкът на замърсителите, чието докладване е задължително. С директивата се въвежда и преминаване от тавани за емисии, които предвиждат фиксирано максимално годишно количество емисии в килотонове на замърсител, към задължения за намаляване на емисиите, с които се определят задължения за намаляване, изразени като процент от емисиите на всеки замърсител през базисната 2005 година. За да се осигури приемственост в подобряването на качеството на въздуха, Директива (ЕС) 2016/2284 предвижда, че националните тавани за емисии, определени в Директива 2001/81/ЕО за периода от 2010 г. нататък продължават да се прилагат до 31 декември 2019 г. Преглед на степента, в която държавите членки спазват съответните тавани за емисии, можете да намерите на уебсайта на Европейската агенция за околна среда</w:t>
      </w:r>
      <w:r>
        <w:rPr>
          <w:rStyle w:val="FootnoteReference"/>
          <w:noProof/>
          <w:lang w:val="bg-BG"/>
        </w:rPr>
        <w:footnoteReference w:id="4"/>
      </w:r>
      <w:r>
        <w:rPr>
          <w:noProof/>
          <w:lang w:val="bg-BG"/>
        </w:rPr>
        <w:t>.</w:t>
      </w:r>
      <w:r>
        <w:rPr>
          <w:rFonts w:ascii="Times New Roman" w:hAnsi="Times New Roman"/>
          <w:noProof/>
          <w:lang w:val="bg-BG"/>
        </w:rPr>
        <w:t xml:space="preserve"> </w:t>
      </w:r>
    </w:p>
    <w:p>
      <w:pPr>
        <w:jc w:val="both"/>
        <w:rPr>
          <w:rFonts w:ascii="Times New Roman" w:hAnsi="Times New Roman" w:cs="Times New Roman"/>
          <w:noProof/>
          <w:sz w:val="24"/>
          <w:szCs w:val="24"/>
          <w:lang w:val="bg-BG"/>
        </w:rPr>
      </w:pPr>
      <w:r>
        <w:rPr>
          <w:rFonts w:ascii="Times New Roman" w:hAnsi="Times New Roman"/>
          <w:noProof/>
          <w:lang w:val="bg-BG"/>
        </w:rPr>
        <w:t>Задълженията за намаляване на емисиите за периода 2020—2029 г. съгласно Директива (ЕС) 2016/2284 съответстват на задълженията за намаляване на емисиите от 2020 г. нататък, поети от ЕС и неговите държави членки съгласно преразгледания Протокол от Гьотеборг</w:t>
      </w:r>
      <w:r>
        <w:rPr>
          <w:rStyle w:val="FootnoteReference"/>
          <w:noProof/>
          <w:lang w:val="bg-BG"/>
        </w:rPr>
        <w:footnoteReference w:id="5"/>
      </w:r>
      <w:r>
        <w:rPr>
          <w:rFonts w:ascii="Times New Roman" w:hAnsi="Times New Roman"/>
          <w:noProof/>
          <w:lang w:val="bg-BG"/>
        </w:rPr>
        <w:t xml:space="preserve"> към Конвенцията на ИКЕ на ООН за трансграничното замърсяване на въздуха на далечни разстояния</w:t>
      </w:r>
      <w:r>
        <w:rPr>
          <w:rStyle w:val="FootnoteReference"/>
          <w:noProof/>
          <w:lang w:val="bg-BG"/>
        </w:rPr>
        <w:footnoteReference w:id="6"/>
      </w:r>
      <w:r>
        <w:rPr>
          <w:rFonts w:ascii="Times New Roman" w:hAnsi="Times New Roman"/>
          <w:noProof/>
          <w:lang w:val="bg-BG"/>
        </w:rPr>
        <w:t xml:space="preserve">. Така директивата транспонира тези международни задължения. </w:t>
      </w:r>
    </w:p>
    <w:p>
      <w:pPr>
        <w:jc w:val="both"/>
        <w:rPr>
          <w:rFonts w:ascii="Times New Roman" w:hAnsi="Times New Roman" w:cs="Times New Roman"/>
          <w:noProof/>
          <w:sz w:val="24"/>
          <w:szCs w:val="24"/>
          <w:lang w:val="bg-BG"/>
        </w:rPr>
      </w:pPr>
      <w:r>
        <w:rPr>
          <w:rFonts w:ascii="Times New Roman" w:hAnsi="Times New Roman"/>
          <w:noProof/>
          <w:lang w:val="bg-BG"/>
        </w:rPr>
        <w:t>Директива (ЕС) 2016/2284, която се отнася до общите национални емисии, е част от правната рамка на ЕС за чист въздух, наред с директивите на ЕС за качеството на атмосферния въздух</w:t>
      </w:r>
      <w:r>
        <w:rPr>
          <w:rStyle w:val="FootnoteReference"/>
          <w:noProof/>
          <w:lang w:val="bg-BG"/>
        </w:rPr>
        <w:footnoteReference w:id="7"/>
      </w:r>
      <w:r>
        <w:rPr>
          <w:rFonts w:ascii="Times New Roman" w:hAnsi="Times New Roman"/>
          <w:noProof/>
          <w:lang w:val="bg-BG"/>
        </w:rPr>
        <w:t xml:space="preserve"> и законодателството на ЕС, регулиращо замърсяването на въздуха при източника</w:t>
      </w:r>
      <w:r>
        <w:rPr>
          <w:rStyle w:val="FootnoteReference"/>
          <w:noProof/>
          <w:lang w:val="bg-BG"/>
        </w:rPr>
        <w:footnoteReference w:id="8"/>
      </w:r>
      <w:r>
        <w:rPr>
          <w:rFonts w:ascii="Times New Roman" w:hAnsi="Times New Roman"/>
          <w:noProof/>
          <w:lang w:val="bg-BG"/>
        </w:rPr>
        <w:t>. Ефективното прилагане на законодателството за чист въздух представлява съществен принос за „амбицията за нулево замърсяване за постигане на нетоксична околна среда“, обявена от Комисията в Европейския зелен пакт на 11 декември 2019 г. и свързаните с нея инициативи като „плана за действие за нулево замърсяване на водата, въздуха и почвата“, планирани за 2021 г.</w:t>
      </w:r>
      <w:r>
        <w:rPr>
          <w:rStyle w:val="FootnoteReference"/>
          <w:noProof/>
          <w:lang w:val="bg-BG"/>
        </w:rPr>
        <w:footnoteReference w:id="9"/>
      </w:r>
      <w:r>
        <w:rPr>
          <w:noProof/>
          <w:lang w:val="bg-BG"/>
        </w:rPr>
        <w:t>.</w:t>
      </w:r>
    </w:p>
    <w:p>
      <w:pPr>
        <w:jc w:val="both"/>
        <w:rPr>
          <w:rFonts w:ascii="Times New Roman" w:hAnsi="Times New Roman" w:cs="Times New Roman"/>
          <w:noProof/>
          <w:sz w:val="24"/>
          <w:szCs w:val="24"/>
          <w:lang w:val="bg-BG"/>
        </w:rPr>
      </w:pPr>
      <w:r>
        <w:rPr>
          <w:rFonts w:ascii="Times New Roman" w:hAnsi="Times New Roman"/>
          <w:noProof/>
          <w:lang w:val="bg-BG"/>
        </w:rPr>
        <w:t>От държавите членки се изискваше изцяло да транспонират Директива (ЕС) 2016/2284 в националното си законодателство до 1 юли 2018 г. Забавеното съобщаване на транспонирането беше последвано от официални уведомителни писма от страна на Комисията съгласно член 258 от Договора за функционирането на Европейския съюз (ДФЕС) в пет случая. Междувременно всички държави членки съобщиха за транспониране и Комисията е в процес на проверка на съответствието на нотифицираните национални мерки, включително с цел започване на производство за установяване на неизпълнение на задължения, ако националното законодателство не съответства на изискванията на директивата.</w:t>
      </w:r>
    </w:p>
    <w:p>
      <w:pPr>
        <w:jc w:val="both"/>
        <w:rPr>
          <w:rFonts w:ascii="Times New Roman" w:hAnsi="Times New Roman" w:cs="Times New Roman"/>
          <w:noProof/>
          <w:sz w:val="24"/>
          <w:szCs w:val="24"/>
          <w:lang w:val="bg-BG"/>
        </w:rPr>
      </w:pPr>
      <w:r>
        <w:rPr>
          <w:rFonts w:ascii="Times New Roman" w:hAnsi="Times New Roman"/>
          <w:noProof/>
          <w:lang w:val="bg-BG"/>
        </w:rPr>
        <w:t>Съгласно член 11, параграф 1 от Директива (ЕС) 2016/2284 Европейската комисия има задължение да уведомява Европейския парламент и Съвета за постигнатия напредък по прилагането на директивата. Настоящият доклад представя постигнатия досега принос към изпълнението на националните задължения за намаляване на емисиите, подобряването на качеството на въздуха и въздействията върху човешкото здраве и околната среда</w:t>
      </w:r>
      <w:r>
        <w:rPr>
          <w:rStyle w:val="FootnoteReference"/>
          <w:noProof/>
          <w:lang w:val="bg-BG"/>
        </w:rPr>
        <w:footnoteReference w:id="10"/>
      </w:r>
      <w:r>
        <w:rPr>
          <w:rFonts w:ascii="Times New Roman" w:hAnsi="Times New Roman"/>
          <w:noProof/>
          <w:lang w:val="bg-BG"/>
        </w:rPr>
        <w:t xml:space="preserve">. </w:t>
      </w:r>
    </w:p>
    <w:p>
      <w:pPr>
        <w:jc w:val="both"/>
        <w:rPr>
          <w:rFonts w:ascii="Times New Roman" w:hAnsi="Times New Roman" w:cs="Times New Roman"/>
          <w:noProof/>
          <w:sz w:val="24"/>
          <w:szCs w:val="24"/>
          <w:lang w:val="bg-BG"/>
        </w:rPr>
      </w:pPr>
      <w:r>
        <w:rPr>
          <w:rFonts w:ascii="Times New Roman" w:hAnsi="Times New Roman"/>
          <w:noProof/>
          <w:lang w:val="bg-BG"/>
        </w:rPr>
        <w:t xml:space="preserve">Тъй като някои въздействия от прилагането на директивата ще станат ясни едва след продължителен период от време и оценката им ще изисква многогодишни набори от данни, степента, в която настоящият доклад се отнася до различните елементи, изброени в член 11, параграф 1 от директивата, варира. По-специално, по отношение на задълженията за намаляване на емисиите от 2020 г. нататък държавите членки ще докладват на Комисията данни за емисиите едва през 2022 г. Поради това настоящият доклад представя в тази връзка резултатите от анализа на прогнозни емисии. По същия начин на този етап капацитетът за докладване на въздействията от намаляването на емисиите върху здравето и екосистемите, предвиден в директивата, е ограничен. Докладът поставя акцент върху националните програми за контрол на замърсяването на въздуха (НПКЗВ), които държавите членки трябваше да представят до 1 април 2019 г. НПКЗВ представляват основен инструмент за управление при изпълнението на националните задължения за намаляване на емисиите и затова са особено полезни при предоставяне на първоначална оценка на степента, до която държавите членки спазват изискванията или на това дали е необходимо полагането на допълнителни усилия. </w:t>
      </w:r>
    </w:p>
    <w:p>
      <w:pPr>
        <w:jc w:val="both"/>
        <w:rPr>
          <w:rFonts w:ascii="Times New Roman" w:hAnsi="Times New Roman" w:cs="Times New Roman"/>
          <w:noProof/>
          <w:sz w:val="24"/>
          <w:szCs w:val="24"/>
          <w:lang w:val="bg-BG"/>
        </w:rPr>
      </w:pPr>
      <w:r>
        <w:rPr>
          <w:rFonts w:ascii="Times New Roman" w:hAnsi="Times New Roman"/>
          <w:noProof/>
          <w:lang w:val="bg-BG"/>
        </w:rPr>
        <w:t>Вторият обзор на мерките за чистота на въздуха, планиран за края на 2020 г. и представляващ продължение на първоначалния обзор на мерките за чистота на въздуха, публикуван през 2018 г.,</w:t>
      </w:r>
      <w:r>
        <w:rPr>
          <w:rStyle w:val="FootnoteReference"/>
          <w:noProof/>
          <w:lang w:val="bg-BG"/>
        </w:rPr>
        <w:footnoteReference w:id="11"/>
      </w:r>
      <w:r>
        <w:rPr>
          <w:rFonts w:ascii="Times New Roman" w:hAnsi="Times New Roman"/>
          <w:noProof/>
          <w:lang w:val="bg-BG"/>
        </w:rPr>
        <w:t xml:space="preserve">, ще допълни този доклад и анализа на Комисията по отношение на траекторията на спазването на изискванията. По-конкретно, обзорът на мерките за чистота на въздуха през 2020 г. ще предостави подробна аналитична оценка на степента, в която държавите — членки на ЕС като цяло са на път да изпълнят изискванията на директивата за намаляване на емисиите и да подобрят качеството на въздуха, здравето и околната среда, както и на разходите и ползите от необходимите мерки и очакваните въздействия. </w:t>
      </w:r>
    </w:p>
    <w:p>
      <w:pPr>
        <w:rPr>
          <w:rFonts w:ascii="Times New Roman" w:hAnsi="Times New Roman" w:cs="Times New Roman"/>
          <w:b/>
          <w:noProof/>
          <w:sz w:val="24"/>
          <w:szCs w:val="24"/>
          <w:lang w:val="bg-BG"/>
        </w:rPr>
      </w:pPr>
    </w:p>
    <w:p>
      <w:pPr>
        <w:pStyle w:val="ListParagraph"/>
        <w:numPr>
          <w:ilvl w:val="0"/>
          <w:numId w:val="12"/>
        </w:numPr>
        <w:spacing w:line="256" w:lineRule="auto"/>
        <w:jc w:val="both"/>
        <w:rPr>
          <w:rFonts w:ascii="Times New Roman" w:hAnsi="Times New Roman" w:cs="Times New Roman"/>
          <w:noProof/>
          <w:sz w:val="24"/>
          <w:szCs w:val="24"/>
          <w:lang w:val="bg-BG"/>
        </w:rPr>
      </w:pPr>
      <w:r>
        <w:rPr>
          <w:rFonts w:ascii="Times New Roman" w:hAnsi="Times New Roman"/>
          <w:b/>
          <w:noProof/>
          <w:lang w:val="bg-BG"/>
        </w:rPr>
        <w:t xml:space="preserve">Прогнозирано изпълнение на задълженията за намаляване на емисиите </w:t>
      </w:r>
    </w:p>
    <w:p>
      <w:pPr>
        <w:pStyle w:val="ListParagraph"/>
        <w:ind w:left="360"/>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Инвентаризации на емисиите и прогнози за тях като основа за проверка на съответствието</w:t>
      </w:r>
    </w:p>
    <w:p>
      <w:pPr>
        <w:jc w:val="both"/>
        <w:rPr>
          <w:rFonts w:ascii="Times New Roman" w:hAnsi="Times New Roman" w:cs="Times New Roman"/>
          <w:noProof/>
          <w:sz w:val="24"/>
          <w:szCs w:val="24"/>
          <w:lang w:val="bg-BG"/>
        </w:rPr>
      </w:pPr>
      <w:r>
        <w:rPr>
          <w:rFonts w:ascii="Times New Roman" w:hAnsi="Times New Roman"/>
          <w:noProof/>
          <w:lang w:val="bg-BG"/>
        </w:rPr>
        <w:t>Основното задължение за държавите членки, установено съгласно Директива (ЕС) 2016/2284, са задълженията за намаляване на емисиите на замърсителите на въздуха SO</w:t>
      </w:r>
      <w:r>
        <w:rPr>
          <w:rFonts w:ascii="Times New Roman" w:hAnsi="Times New Roman"/>
          <w:noProof/>
          <w:vertAlign w:val="subscript"/>
          <w:lang w:val="bg-BG"/>
        </w:rPr>
        <w:t>2</w:t>
      </w:r>
      <w:r>
        <w:rPr>
          <w:rFonts w:ascii="Times New Roman" w:hAnsi="Times New Roman"/>
          <w:noProof/>
          <w:lang w:val="bg-BG"/>
        </w:rPr>
        <w:t>, NO</w:t>
      </w:r>
      <w:r>
        <w:rPr>
          <w:rFonts w:ascii="Times New Roman" w:hAnsi="Times New Roman"/>
          <w:noProof/>
          <w:vertAlign w:val="subscript"/>
          <w:lang w:val="bg-BG"/>
        </w:rPr>
        <w:t>x</w:t>
      </w:r>
      <w:r>
        <w:rPr>
          <w:rFonts w:ascii="Times New Roman" w:hAnsi="Times New Roman"/>
          <w:noProof/>
          <w:lang w:val="bg-BG"/>
        </w:rPr>
        <w:t>, НМЛОС, NH</w:t>
      </w:r>
      <w:r>
        <w:rPr>
          <w:rFonts w:ascii="Times New Roman" w:hAnsi="Times New Roman"/>
          <w:noProof/>
          <w:vertAlign w:val="subscript"/>
          <w:lang w:val="bg-BG"/>
        </w:rPr>
        <w:t xml:space="preserve">3 </w:t>
      </w:r>
      <w:r>
        <w:rPr>
          <w:rFonts w:ascii="Times New Roman" w:hAnsi="Times New Roman"/>
          <w:noProof/>
          <w:lang w:val="bg-BG"/>
        </w:rPr>
        <w:t>и ПЧ</w:t>
      </w:r>
      <w:r>
        <w:rPr>
          <w:rFonts w:ascii="Times New Roman" w:hAnsi="Times New Roman"/>
          <w:noProof/>
          <w:vertAlign w:val="subscript"/>
          <w:lang w:val="bg-BG"/>
        </w:rPr>
        <w:t>2,5</w:t>
      </w:r>
      <w:r>
        <w:rPr>
          <w:rFonts w:ascii="Times New Roman" w:hAnsi="Times New Roman"/>
          <w:noProof/>
          <w:lang w:val="bg-BG"/>
        </w:rPr>
        <w:t xml:space="preserve"> за периода 2020—2029 г. и от 2030 г. нататък. Държавите членки докладват инвентаризации на емисиите всяка година през февруари съгласно член 10, параграф 2 от директивата. Тези инвентаризации се използват за проверка на спазването на задълженията за намаляване на емисиите. Налице е обаче двугодишно изоставане на действителните емисии спрямо докладваните инвентаризации. Последните инвентаризации, докладвани през февруари 2020 г. се отнасят до емисиите от 2018 г. Следователно все още не е възможно да се провери спазването на задълженията за намаляване на емисиите за 2020 г. Въпреки това, съгласно член 10, параграф 2 държавите членки имат задължението да докладват на всеки две години за прогнозните си емисии, като последното такова докладване е извършено през 2019 г. Прогнозираните нива на емисии се сравняват със задълженията за намаляване за периода 2020—2029 г. и от 2030 г. нататък за оценка на прогнозираното съответствие. </w:t>
      </w:r>
    </w:p>
    <w:p>
      <w:pPr>
        <w:jc w:val="both"/>
        <w:rPr>
          <w:rFonts w:ascii="Times New Roman" w:hAnsi="Times New Roman" w:cs="Times New Roman"/>
          <w:noProof/>
          <w:sz w:val="24"/>
          <w:szCs w:val="24"/>
          <w:lang w:val="bg-BG"/>
        </w:rPr>
      </w:pPr>
      <w:r>
        <w:rPr>
          <w:rFonts w:ascii="Times New Roman" w:hAnsi="Times New Roman"/>
          <w:noProof/>
          <w:lang w:val="bg-BG"/>
        </w:rPr>
        <w:t>Доброто качество на инвентаризациите и прогнозите е от първостепенно значение за надеждната оценка на съответствието. Комисията следи отблизо подобренията в качеството на инвентаризациите и прогнозите и подкрепя държавите членки в това начинание (вж. раздел 5.1 от настоящия доклад), включително чрез провеждане и публикуване на прегледи на инвентаризации</w:t>
      </w:r>
      <w:r>
        <w:rPr>
          <w:rStyle w:val="FootnoteReference"/>
          <w:noProof/>
          <w:lang w:val="bg-BG"/>
        </w:rPr>
        <w:footnoteReference w:id="12"/>
      </w:r>
      <w:r>
        <w:rPr>
          <w:rFonts w:ascii="Times New Roman" w:hAnsi="Times New Roman"/>
          <w:noProof/>
          <w:lang w:val="bg-BG"/>
        </w:rPr>
        <w:t xml:space="preserve"> и прогнози</w:t>
      </w:r>
      <w:r>
        <w:rPr>
          <w:rStyle w:val="FootnoteReference"/>
          <w:noProof/>
          <w:lang w:val="bg-BG"/>
        </w:rPr>
        <w:footnoteReference w:id="13"/>
      </w:r>
      <w:r>
        <w:rPr>
          <w:rFonts w:ascii="Times New Roman" w:hAnsi="Times New Roman"/>
          <w:noProof/>
          <w:lang w:val="bg-BG"/>
        </w:rPr>
        <w:t>, както и осигуряване на изграждане на капацитет.</w:t>
      </w:r>
    </w:p>
    <w:p>
      <w:pPr>
        <w:jc w:val="both"/>
        <w:rPr>
          <w:rFonts w:ascii="Times New Roman" w:hAnsi="Times New Roman" w:cs="Times New Roman"/>
          <w:noProof/>
          <w:sz w:val="24"/>
          <w:szCs w:val="24"/>
          <w:lang w:val="bg-BG"/>
        </w:rPr>
      </w:pPr>
      <w:r>
        <w:rPr>
          <w:rFonts w:ascii="Times New Roman" w:hAnsi="Times New Roman"/>
          <w:noProof/>
          <w:lang w:val="bg-BG"/>
        </w:rPr>
        <w:t>При прегледите на инвентаризациите се оценява не само качеството на данните, но и приемливостта на заявленията за коригиране на инвентаризациите, подадени от държавите членки в съответствие с член 5 от директивата. При определени условия, определени в директивата и в случай на неспазване, държавите членки могат да коригират инвентаризациите си като ги намалят. Съгласно член 5, параграф 1, от директивата, държавите членки могат да създадат коригирани инвентаризации, за да отчетат развитието на методите за инвентаризация, актуализирани в съответствие с научните познания след първоначалното установяване на задълженията за намаляване на емисиите. Член 21, параграф 2, от директивата дава възможност на държавите членки да прилагат член 5, параграф 1 по отношение на таваните, установени съгласно Директивата относно националните тавани за емисии (Директива 2001/81/ЕО). След като през 2017 г. около една трета от държавите членки подадоха заявления за корекции, през 2018, 2019 и 2020 г. за нови корекции подадоха заявления по-малък брой държави членки</w:t>
      </w:r>
      <w:r>
        <w:rPr>
          <w:rStyle w:val="FootnoteReference"/>
          <w:noProof/>
          <w:lang w:val="bg-BG"/>
        </w:rPr>
        <w:footnoteReference w:id="14"/>
      </w:r>
      <w:r>
        <w:rPr>
          <w:noProof/>
          <w:lang w:val="bg-BG"/>
        </w:rPr>
        <w:t>.</w:t>
      </w:r>
      <w:r>
        <w:rPr>
          <w:rFonts w:ascii="Times New Roman" w:hAnsi="Times New Roman"/>
          <w:noProof/>
          <w:lang w:val="bg-BG"/>
        </w:rPr>
        <w:t xml:space="preserve"> </w:t>
      </w:r>
    </w:p>
    <w:p>
      <w:pPr>
        <w:jc w:val="both"/>
        <w:rPr>
          <w:rFonts w:ascii="Times New Roman" w:hAnsi="Times New Roman" w:cs="Times New Roman"/>
          <w:noProof/>
          <w:sz w:val="24"/>
          <w:szCs w:val="24"/>
          <w:lang w:val="bg-BG"/>
        </w:rPr>
      </w:pPr>
      <w:r>
        <w:rPr>
          <w:rFonts w:ascii="Times New Roman" w:hAnsi="Times New Roman"/>
          <w:noProof/>
          <w:lang w:val="bg-BG"/>
        </w:rPr>
        <w:t>Прогнозите, докладвани през 2019 г. бяха оценени заедно с НПКЗВ</w:t>
      </w:r>
      <w:r>
        <w:rPr>
          <w:rStyle w:val="FootnoteReference"/>
          <w:noProof/>
          <w:lang w:val="bg-BG"/>
        </w:rPr>
        <w:footnoteReference w:id="15"/>
      </w:r>
      <w:r>
        <w:rPr>
          <w:rFonts w:ascii="Times New Roman" w:hAnsi="Times New Roman"/>
          <w:noProof/>
          <w:lang w:val="bg-BG"/>
        </w:rPr>
        <w:t>, тъй като прогнозите представляват основа за оценка на потенциалния риск от неспазване, и следователно на необходимостта от нови мерки. В част 2 на приложение IV към директивата са определени пет критерия за оценка на качеството: прозрачност, съгласуваност, сравнимост, пълнота и точност. При последната проверка липсата на прозрачност беше определена като основен недостатък, като повечето държави членки (18)</w:t>
      </w:r>
      <w:r>
        <w:rPr>
          <w:rStyle w:val="FootnoteReference"/>
          <w:noProof/>
          <w:lang w:val="bg-BG"/>
        </w:rPr>
        <w:footnoteReference w:id="16"/>
      </w:r>
      <w:r>
        <w:rPr>
          <w:rFonts w:ascii="Times New Roman" w:hAnsi="Times New Roman"/>
          <w:noProof/>
          <w:lang w:val="bg-BG"/>
        </w:rPr>
        <w:t xml:space="preserve"> не са успели да предоставят достатъчно подробности за методиките, наборите от данни и предположенията, използвани за изготвянето на техните прогнози. Сравнимостта и пълнотата на прогнозите като цяло са били добри, докато общата точност е била счетена за недостатъчна в десет държави членки</w:t>
      </w:r>
      <w:r>
        <w:rPr>
          <w:rStyle w:val="FootnoteReference"/>
          <w:noProof/>
          <w:lang w:val="bg-BG"/>
        </w:rPr>
        <w:footnoteReference w:id="17"/>
      </w:r>
      <w:r>
        <w:rPr>
          <w:rFonts w:ascii="Times New Roman" w:hAnsi="Times New Roman"/>
          <w:noProof/>
          <w:lang w:val="bg-BG"/>
        </w:rPr>
        <w:t xml:space="preserve">. В повечето случаи това се дължи на използването на твърде опростени методики и недостатъчни подробности във входните данни за ключови сектори, които са източници на емисии. </w:t>
      </w:r>
    </w:p>
    <w:p>
      <w:pPr>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Прогнозирано изпълнение на задълженията за намаляване на емисиите за периода 2020—2029 г. и след 2030 г.</w:t>
      </w:r>
    </w:p>
    <w:p>
      <w:pPr>
        <w:jc w:val="both"/>
        <w:rPr>
          <w:rFonts w:ascii="Times New Roman" w:hAnsi="Times New Roman" w:cs="Times New Roman"/>
          <w:noProof/>
          <w:sz w:val="24"/>
          <w:szCs w:val="24"/>
          <w:lang w:val="bg-BG"/>
        </w:rPr>
      </w:pPr>
      <w:r>
        <w:rPr>
          <w:rFonts w:ascii="Times New Roman" w:hAnsi="Times New Roman"/>
          <w:noProof/>
          <w:lang w:val="bg-BG"/>
        </w:rPr>
        <w:t>В член 10, параграф 2 от Директива (ЕС) 2016/2284 се изисква от държавите членки да докладват прогнози за емисиите на замърсители на въздуха за 2020, 2025 и 2030 г.</w:t>
      </w:r>
      <w:r>
        <w:rPr>
          <w:rStyle w:val="FootnoteReference"/>
          <w:noProof/>
          <w:lang w:val="bg-BG"/>
        </w:rPr>
        <w:footnoteReference w:id="18"/>
      </w:r>
      <w:r>
        <w:rPr>
          <w:rFonts w:ascii="Times New Roman" w:hAnsi="Times New Roman"/>
          <w:noProof/>
          <w:lang w:val="bg-BG"/>
        </w:rPr>
        <w:t>, за да се прецени степента, в която държавите членки са на път да изпълнят своите задължения за намаляване на емисиите за периода 2020—2029 г. и съответно от 2030 г. нататък. Тези прогнози са и в основата на оценката дали емисиите следват линейна траектория между 2020 и 2030 г. (ако не е така, това трябва да бъде обосновано). Прогнозите обхващат сценарий „при взети мерки“ (само съществуващи мерки) и където е уместно, сценарий „при взети допълнителни мерки“ (съществуващи мерки и планирани допълнителни мерки)</w:t>
      </w:r>
      <w:r>
        <w:rPr>
          <w:rStyle w:val="FootnoteReference"/>
          <w:noProof/>
          <w:lang w:val="bg-BG"/>
        </w:rPr>
        <w:footnoteReference w:id="19"/>
      </w:r>
      <w:r>
        <w:rPr>
          <w:rFonts w:ascii="Times New Roman" w:hAnsi="Times New Roman"/>
          <w:noProof/>
          <w:lang w:val="bg-BG"/>
        </w:rPr>
        <w:t xml:space="preserve">. Ако държава членка планира да изпълни всички свои задължения за намаляване на емисиите в рамките на съществуващите мерки, тогава сценарият „при взети мерки“ е достатъчен. </w:t>
      </w:r>
    </w:p>
    <w:p>
      <w:pPr>
        <w:jc w:val="both"/>
        <w:rPr>
          <w:rFonts w:ascii="Times New Roman" w:hAnsi="Times New Roman" w:cs="Times New Roman"/>
          <w:noProof/>
          <w:sz w:val="24"/>
          <w:szCs w:val="24"/>
          <w:lang w:val="bg-BG"/>
        </w:rPr>
      </w:pPr>
      <w:r>
        <w:rPr>
          <w:rFonts w:ascii="Times New Roman" w:hAnsi="Times New Roman"/>
          <w:noProof/>
          <w:lang w:val="bg-BG"/>
        </w:rPr>
        <w:t>При сценария „при взети мерки“ анализът показва, че десет държави членки</w:t>
      </w:r>
      <w:r>
        <w:rPr>
          <w:rStyle w:val="FootnoteReference"/>
          <w:noProof/>
          <w:lang w:val="bg-BG"/>
        </w:rPr>
        <w:footnoteReference w:id="20"/>
      </w:r>
      <w:r>
        <w:rPr>
          <w:rFonts w:ascii="Times New Roman" w:hAnsi="Times New Roman"/>
          <w:noProof/>
          <w:lang w:val="bg-BG"/>
        </w:rPr>
        <w:t xml:space="preserve"> планират да изпълнят</w:t>
      </w:r>
      <w:r>
        <w:rPr>
          <w:rFonts w:ascii="Times New Roman" w:hAnsi="Times New Roman"/>
          <w:i/>
          <w:noProof/>
          <w:lang w:val="bg-BG"/>
        </w:rPr>
        <w:t xml:space="preserve"> всички</w:t>
      </w:r>
      <w:r>
        <w:rPr>
          <w:rFonts w:ascii="Times New Roman" w:hAnsi="Times New Roman"/>
          <w:noProof/>
          <w:lang w:val="bg-BG"/>
        </w:rPr>
        <w:t xml:space="preserve"> задължения за намаляване на емисиите за 2020 г., докато броят им спада на четири</w:t>
      </w:r>
      <w:r>
        <w:rPr>
          <w:rStyle w:val="FootnoteReference"/>
          <w:noProof/>
          <w:lang w:val="bg-BG"/>
        </w:rPr>
        <w:footnoteReference w:id="21"/>
      </w:r>
      <w:r>
        <w:rPr>
          <w:rFonts w:ascii="Times New Roman" w:hAnsi="Times New Roman"/>
          <w:noProof/>
          <w:lang w:val="bg-BG"/>
        </w:rPr>
        <w:t>, когато става въпрос за поетите задължения за 2030 г. (вж. приложение 1 към настоящия доклад). Всички държави членки, които не изпълняват своите задължения за намаляване на емисиите със съществуващите мерки, трябва да въведат допълнителни мерки. Въпреки това девет държави членки, които прогнозират неспазване на едно или повече задължения за намаляване на емисиите в своя сценарий „при взети мерки“, не са докладвали сценарий „при взети допълнителни мерки“</w:t>
      </w:r>
      <w:r>
        <w:rPr>
          <w:rStyle w:val="FootnoteReference"/>
          <w:noProof/>
          <w:lang w:val="bg-BG"/>
        </w:rPr>
        <w:footnoteReference w:id="22"/>
      </w:r>
      <w:r>
        <w:rPr>
          <w:rFonts w:ascii="Times New Roman" w:hAnsi="Times New Roman"/>
          <w:noProof/>
          <w:lang w:val="bg-BG"/>
        </w:rPr>
        <w:t>. Успоредно с това, от седемнадесетте държави членки, които са докладвали сценарий „при взети допълнителни мерки“</w:t>
      </w:r>
      <w:r>
        <w:rPr>
          <w:rStyle w:val="FootnoteReference"/>
          <w:noProof/>
          <w:lang w:val="bg-BG"/>
        </w:rPr>
        <w:footnoteReference w:id="23"/>
      </w:r>
      <w:r>
        <w:rPr>
          <w:rFonts w:ascii="Times New Roman" w:hAnsi="Times New Roman"/>
          <w:noProof/>
          <w:lang w:val="bg-BG"/>
        </w:rPr>
        <w:t>, само седем</w:t>
      </w:r>
      <w:r>
        <w:rPr>
          <w:rStyle w:val="FootnoteReference"/>
          <w:noProof/>
          <w:lang w:val="bg-BG"/>
        </w:rPr>
        <w:footnoteReference w:id="24"/>
      </w:r>
      <w:r>
        <w:rPr>
          <w:rFonts w:ascii="Times New Roman" w:hAnsi="Times New Roman"/>
          <w:noProof/>
          <w:lang w:val="bg-BG"/>
        </w:rPr>
        <w:t xml:space="preserve"> прогнозират спазване на всички изисквания за намаляване на емисиите (всички години и всички замърсители). Останалите държави членки ще трябва да предприемат допълнителни мерки, за да изпълнят задълженията си за намаляване на емисиите.</w:t>
      </w:r>
    </w:p>
    <w:p>
      <w:pPr>
        <w:jc w:val="both"/>
        <w:rPr>
          <w:rFonts w:ascii="Times New Roman" w:hAnsi="Times New Roman" w:cs="Times New Roman"/>
          <w:noProof/>
          <w:sz w:val="24"/>
          <w:szCs w:val="24"/>
          <w:lang w:val="bg-BG"/>
        </w:rPr>
      </w:pPr>
      <w:r>
        <w:rPr>
          <w:rFonts w:ascii="Times New Roman" w:hAnsi="Times New Roman"/>
          <w:noProof/>
          <w:lang w:val="bg-BG"/>
        </w:rPr>
        <w:t>Както при сценария „при взети мерки“, така и при сценария „при взети допълнителни мерки“ неспазването се предвижда най-често за задълженията за намаляване на емисиите на NH</w:t>
      </w:r>
      <w:r>
        <w:rPr>
          <w:rFonts w:ascii="Times New Roman" w:hAnsi="Times New Roman"/>
          <w:noProof/>
          <w:vertAlign w:val="subscript"/>
          <w:lang w:val="bg-BG"/>
        </w:rPr>
        <w:t>3</w:t>
      </w:r>
      <w:r>
        <w:rPr>
          <w:rFonts w:ascii="Times New Roman" w:hAnsi="Times New Roman"/>
          <w:noProof/>
          <w:lang w:val="bg-BG"/>
        </w:rPr>
        <w:t xml:space="preserve"> (както за периода 2020—2029 г., така и за периода от 2030 г. нататък), последвани от НМЛОС, NO</w:t>
      </w:r>
      <w:r>
        <w:rPr>
          <w:rFonts w:ascii="Times New Roman" w:hAnsi="Times New Roman"/>
          <w:noProof/>
          <w:vertAlign w:val="subscript"/>
          <w:lang w:val="bg-BG"/>
        </w:rPr>
        <w:t>x</w:t>
      </w:r>
      <w:r>
        <w:rPr>
          <w:rFonts w:ascii="Times New Roman" w:hAnsi="Times New Roman"/>
          <w:noProof/>
          <w:lang w:val="bg-BG"/>
        </w:rPr>
        <w:t xml:space="preserve"> и ПЧ</w:t>
      </w:r>
      <w:r>
        <w:rPr>
          <w:rFonts w:ascii="Times New Roman" w:hAnsi="Times New Roman"/>
          <w:noProof/>
          <w:vertAlign w:val="subscript"/>
          <w:lang w:val="bg-BG"/>
        </w:rPr>
        <w:t>2,5</w:t>
      </w:r>
      <w:r>
        <w:rPr>
          <w:rFonts w:ascii="Times New Roman" w:hAnsi="Times New Roman"/>
          <w:noProof/>
          <w:lang w:val="bg-BG"/>
        </w:rPr>
        <w:t>. С изключение на няколко конкретни случая, изпълнението на задълженията за намаляване на емисиите на SO</w:t>
      </w:r>
      <w:r>
        <w:rPr>
          <w:rFonts w:ascii="Times New Roman" w:hAnsi="Times New Roman"/>
          <w:noProof/>
          <w:vertAlign w:val="subscript"/>
          <w:lang w:val="bg-BG"/>
        </w:rPr>
        <w:t>2</w:t>
      </w:r>
      <w:r>
        <w:rPr>
          <w:rFonts w:ascii="Times New Roman" w:hAnsi="Times New Roman"/>
          <w:noProof/>
          <w:lang w:val="bg-BG"/>
        </w:rPr>
        <w:t xml:space="preserve"> понастоящем не изглежда проблем в ЕС. </w:t>
      </w:r>
    </w:p>
    <w:p>
      <w:pPr>
        <w:jc w:val="both"/>
        <w:rPr>
          <w:rFonts w:ascii="Times New Roman" w:hAnsi="Times New Roman" w:cs="Times New Roman"/>
          <w:noProof/>
          <w:sz w:val="24"/>
          <w:szCs w:val="24"/>
          <w:lang w:val="bg-BG"/>
        </w:rPr>
      </w:pPr>
    </w:p>
    <w:p>
      <w:pPr>
        <w:pStyle w:val="ListParagraph"/>
        <w:numPr>
          <w:ilvl w:val="0"/>
          <w:numId w:val="12"/>
        </w:numPr>
        <w:spacing w:line="256" w:lineRule="auto"/>
        <w:jc w:val="both"/>
        <w:rPr>
          <w:rFonts w:ascii="Times New Roman" w:hAnsi="Times New Roman" w:cs="Times New Roman"/>
          <w:noProof/>
          <w:sz w:val="24"/>
          <w:szCs w:val="24"/>
          <w:lang w:val="bg-BG"/>
        </w:rPr>
      </w:pPr>
      <w:r>
        <w:rPr>
          <w:rFonts w:ascii="Times New Roman" w:hAnsi="Times New Roman"/>
          <w:b/>
          <w:noProof/>
          <w:lang w:val="bg-BG"/>
        </w:rPr>
        <w:t xml:space="preserve">Анализ на НПКЗВ </w:t>
      </w:r>
    </w:p>
    <w:p>
      <w:pPr>
        <w:pStyle w:val="ListParagraph"/>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Изпълнение на законови изисквания</w:t>
      </w:r>
    </w:p>
    <w:p>
      <w:pPr>
        <w:jc w:val="both"/>
        <w:rPr>
          <w:rFonts w:ascii="Times New Roman" w:hAnsi="Times New Roman" w:cs="Times New Roman"/>
          <w:noProof/>
          <w:sz w:val="24"/>
          <w:szCs w:val="24"/>
          <w:lang w:val="bg-BG"/>
        </w:rPr>
      </w:pPr>
      <w:r>
        <w:rPr>
          <w:rFonts w:ascii="Times New Roman" w:hAnsi="Times New Roman"/>
          <w:noProof/>
          <w:lang w:val="bg-BG"/>
        </w:rPr>
        <w:t xml:space="preserve">В член 6, параграф 1 от Директива (ЕС) 2016/2284 от държавите членки се изисква да приемат национална програма за контрол на замърсяването на въздуха (НПКЗВ), за да покажат как възнамеряват да ограничат годишните си антропогенни емисии с оглед на поетите от тях задължения за намаляване на емисиите. НПКЗВ представлява основен инструмент за управление, който дава възможност на държавите членки да координират и съгласуват своите политики и мерки, за да гарантират изпълнението на националните задължения за намаляване на емисиите. Изготвянето на такава програма изисква консултация и участие на компетентни органи на различни равнища и в няколко различни сектора, като околна среда, селско стопанство, енергетика, климат, транспорт, промишленост или финанси. Специален акцент е поставен върху съгласуваността с плановете и програмите във всички съответни области на политиката. Освен това НПКЗВ представлява инструмент за съобщаване на политиките на държавите членки за контрол на замърсяването и за включване на обществеността в процеса на разработване на политики. </w:t>
      </w:r>
    </w:p>
    <w:p>
      <w:pPr>
        <w:jc w:val="both"/>
        <w:rPr>
          <w:rFonts w:ascii="Times New Roman" w:hAnsi="Times New Roman" w:cs="Times New Roman"/>
          <w:noProof/>
          <w:sz w:val="24"/>
          <w:szCs w:val="24"/>
          <w:lang w:val="bg-BG"/>
        </w:rPr>
      </w:pPr>
      <w:r>
        <w:rPr>
          <w:rFonts w:ascii="Times New Roman" w:hAnsi="Times New Roman"/>
          <w:noProof/>
          <w:lang w:val="bg-BG"/>
        </w:rPr>
        <w:t>В съответствие с член 6, параграф 10 от директивата, Комисията е определила формата на НПКЗВ в Решение за изпълнение (ЕС) 2018/1522</w:t>
      </w:r>
      <w:r>
        <w:rPr>
          <w:rStyle w:val="FootnoteReference"/>
          <w:noProof/>
          <w:lang w:val="bg-BG"/>
        </w:rPr>
        <w:footnoteReference w:id="25"/>
      </w:r>
      <w:r>
        <w:rPr>
          <w:rFonts w:ascii="Times New Roman" w:hAnsi="Times New Roman"/>
          <w:noProof/>
          <w:lang w:val="bg-BG"/>
        </w:rPr>
        <w:t xml:space="preserve"> на Комисията, в което се определя задължителното и незадължителното съдържание въз основа на член 6 и част 1 от приложение III към директивата. Допълнителните политики и мерки, избрани за приемане от държавите членки за по-нататъшно намаляване на емисиите, представляват съществена част от това задължително съдържание. Тези допълнителни политики и мерки трябва да бъдат докладвани чрез Инструмента на ЕАОС за политики и мерки (инструмент „EEA-PaM“), представляващ уеб инструмент, разработен от Европейската агенция за околна среда (ЕАОС). Комисията също така е изготвила насоки за разработването на НПКЗВ</w:t>
      </w:r>
      <w:r>
        <w:rPr>
          <w:rStyle w:val="FootnoteReference"/>
          <w:noProof/>
          <w:lang w:val="bg-BG"/>
        </w:rPr>
        <w:footnoteReference w:id="26"/>
      </w:r>
      <w:r>
        <w:rPr>
          <w:rFonts w:ascii="Times New Roman" w:hAnsi="Times New Roman"/>
          <w:noProof/>
          <w:lang w:val="bg-BG"/>
        </w:rPr>
        <w:t xml:space="preserve"> в съответствие с член 6, параграф 9 от директивата. Насоките подпомагат държавите членки при изготвянето на НПКЗВ в съответствие с формата и изискванията на директивата. Първите НПКЗВ трябваше да бъдат представени до 1 април 2019 г. НПКЗВ трябва да се актуализират най-малко на всеки четири години и по-рано, ако нови данни налагат това.</w:t>
      </w:r>
    </w:p>
    <w:p>
      <w:pPr>
        <w:jc w:val="both"/>
        <w:rPr>
          <w:rFonts w:ascii="Times New Roman" w:hAnsi="Times New Roman" w:cs="Times New Roman"/>
          <w:noProof/>
          <w:sz w:val="24"/>
          <w:szCs w:val="24"/>
          <w:lang w:val="bg-BG"/>
        </w:rPr>
      </w:pPr>
      <w:r>
        <w:rPr>
          <w:rFonts w:ascii="Times New Roman" w:hAnsi="Times New Roman"/>
          <w:noProof/>
          <w:lang w:val="bg-BG"/>
        </w:rPr>
        <w:t>Осем държави членки</w:t>
      </w:r>
      <w:r>
        <w:rPr>
          <w:rStyle w:val="FootnoteReference"/>
          <w:noProof/>
          <w:lang w:val="bg-BG"/>
        </w:rPr>
        <w:footnoteReference w:id="27"/>
      </w:r>
      <w:r>
        <w:rPr>
          <w:rFonts w:ascii="Times New Roman" w:hAnsi="Times New Roman"/>
          <w:noProof/>
          <w:lang w:val="bg-BG"/>
        </w:rPr>
        <w:t xml:space="preserve"> представиха на Комисията окончателните НПКЗВ навреме. Други 16 държави членки</w:t>
      </w:r>
      <w:r>
        <w:rPr>
          <w:rStyle w:val="FootnoteReference"/>
          <w:noProof/>
          <w:lang w:val="bg-BG"/>
        </w:rPr>
        <w:footnoteReference w:id="28"/>
      </w:r>
      <w:r>
        <w:rPr>
          <w:rFonts w:ascii="Times New Roman" w:hAnsi="Times New Roman"/>
          <w:noProof/>
          <w:lang w:val="bg-BG"/>
        </w:rPr>
        <w:t xml:space="preserve"> представиха окончателните НПКЗВ до май 2020 г.</w:t>
      </w:r>
      <w:r>
        <w:rPr>
          <w:rStyle w:val="FootnoteReference"/>
          <w:noProof/>
          <w:lang w:val="bg-BG"/>
        </w:rPr>
        <w:footnoteReference w:id="29"/>
      </w:r>
      <w:r>
        <w:rPr>
          <w:rFonts w:ascii="Times New Roman" w:hAnsi="Times New Roman"/>
          <w:noProof/>
          <w:lang w:val="bg-BG"/>
        </w:rPr>
        <w:t>, а две държави членки</w:t>
      </w:r>
      <w:r>
        <w:rPr>
          <w:rStyle w:val="FootnoteReference"/>
          <w:noProof/>
          <w:lang w:val="bg-BG"/>
        </w:rPr>
        <w:footnoteReference w:id="30"/>
      </w:r>
      <w:r>
        <w:rPr>
          <w:rFonts w:ascii="Times New Roman" w:hAnsi="Times New Roman"/>
          <w:noProof/>
          <w:lang w:val="bg-BG"/>
        </w:rPr>
        <w:t xml:space="preserve"> дотогава представиха само проекти на НПКЗВ. Две държави членки</w:t>
      </w:r>
      <w:r>
        <w:rPr>
          <w:rStyle w:val="FootnoteReference"/>
          <w:noProof/>
          <w:lang w:val="bg-BG"/>
        </w:rPr>
        <w:footnoteReference w:id="31"/>
      </w:r>
      <w:r>
        <w:rPr>
          <w:rFonts w:ascii="Times New Roman" w:hAnsi="Times New Roman"/>
          <w:noProof/>
          <w:lang w:val="bg-BG"/>
        </w:rPr>
        <w:t xml:space="preserve"> все още не са представили нито проект, нито окончателна версия на НПКЗВ. През февруари тази година Комисията започна производство за установяване на неизпълнение на задължения срещу трите държави членки</w:t>
      </w:r>
      <w:r>
        <w:rPr>
          <w:rStyle w:val="FootnoteReference"/>
          <w:noProof/>
          <w:lang w:val="bg-BG"/>
        </w:rPr>
        <w:footnoteReference w:id="32"/>
      </w:r>
      <w:r>
        <w:rPr>
          <w:rFonts w:ascii="Times New Roman" w:hAnsi="Times New Roman"/>
          <w:noProof/>
          <w:lang w:val="bg-BG"/>
        </w:rPr>
        <w:t>, които все още не са представили НПКЗВ към момента, една от които впоследствие е представила НПКЗВ през март</w:t>
      </w:r>
      <w:r>
        <w:rPr>
          <w:rStyle w:val="FootnoteReference"/>
          <w:noProof/>
          <w:lang w:val="bg-BG"/>
        </w:rPr>
        <w:footnoteReference w:id="33"/>
      </w:r>
      <w:r>
        <w:rPr>
          <w:rFonts w:ascii="Times New Roman" w:hAnsi="Times New Roman"/>
          <w:noProof/>
          <w:lang w:val="bg-BG"/>
        </w:rPr>
        <w:t>. Държавите членки често отдават закъсненията при докладването на продължителните процедури за консултации и необходимостта от привеждане в съответствие на НПКЗВ с Националния план в областта на енергетиката и климата (НПЕК) с краен срок на представяне до 31 декември 2019 г. съгласно Регламент (ЕС) 2018/1999</w:t>
      </w:r>
      <w:r>
        <w:rPr>
          <w:rStyle w:val="FootnoteReference"/>
          <w:noProof/>
          <w:lang w:val="bg-BG"/>
        </w:rPr>
        <w:footnoteReference w:id="34"/>
      </w:r>
      <w:r>
        <w:rPr>
          <w:rFonts w:ascii="Times New Roman" w:hAnsi="Times New Roman"/>
          <w:noProof/>
          <w:lang w:val="bg-BG"/>
        </w:rPr>
        <w:t xml:space="preserve"> относно управлението на Енергийния съюз и на действията в областта на климата.</w:t>
      </w:r>
    </w:p>
    <w:p>
      <w:pPr>
        <w:jc w:val="both"/>
        <w:rPr>
          <w:rFonts w:ascii="Times New Roman" w:hAnsi="Times New Roman" w:cs="Times New Roman"/>
          <w:noProof/>
          <w:sz w:val="24"/>
          <w:szCs w:val="24"/>
          <w:lang w:val="bg-BG"/>
        </w:rPr>
      </w:pPr>
      <w:r>
        <w:rPr>
          <w:rFonts w:ascii="Times New Roman" w:hAnsi="Times New Roman"/>
          <w:noProof/>
          <w:lang w:val="bg-BG"/>
        </w:rPr>
        <w:t>Що се отнася до окончателните НПКЗВ, получени от Комисията до май 2020 г., общият формат на НПКЗВ е използван от 13 държави членки</w:t>
      </w:r>
      <w:r>
        <w:rPr>
          <w:rStyle w:val="FootnoteReference"/>
          <w:noProof/>
          <w:lang w:val="bg-BG"/>
        </w:rPr>
        <w:footnoteReference w:id="35"/>
      </w:r>
      <w:r>
        <w:rPr>
          <w:rFonts w:ascii="Times New Roman" w:hAnsi="Times New Roman"/>
          <w:noProof/>
          <w:lang w:val="bg-BG"/>
        </w:rPr>
        <w:t>, частично използван от девет държави членки</w:t>
      </w:r>
      <w:r>
        <w:rPr>
          <w:rStyle w:val="FootnoteReference"/>
          <w:noProof/>
          <w:lang w:val="bg-BG"/>
        </w:rPr>
        <w:footnoteReference w:id="36"/>
      </w:r>
      <w:r>
        <w:rPr>
          <w:rFonts w:ascii="Times New Roman" w:hAnsi="Times New Roman"/>
          <w:noProof/>
          <w:lang w:val="bg-BG"/>
        </w:rPr>
        <w:t xml:space="preserve"> и не е използван изобщо от две държави членки</w:t>
      </w:r>
      <w:r>
        <w:rPr>
          <w:rStyle w:val="FootnoteReference"/>
          <w:noProof/>
          <w:lang w:val="bg-BG"/>
        </w:rPr>
        <w:footnoteReference w:id="37"/>
      </w:r>
      <w:r>
        <w:rPr>
          <w:rFonts w:ascii="Times New Roman" w:hAnsi="Times New Roman"/>
          <w:noProof/>
          <w:lang w:val="bg-BG"/>
        </w:rPr>
        <w:t>.</w:t>
      </w:r>
    </w:p>
    <w:p>
      <w:pPr>
        <w:jc w:val="both"/>
        <w:rPr>
          <w:rFonts w:ascii="Times New Roman" w:hAnsi="Times New Roman" w:cs="Times New Roman"/>
          <w:noProof/>
          <w:sz w:val="24"/>
          <w:szCs w:val="24"/>
          <w:lang w:val="bg-BG"/>
        </w:rPr>
      </w:pPr>
      <w:r>
        <w:rPr>
          <w:rFonts w:ascii="Times New Roman" w:hAnsi="Times New Roman"/>
          <w:noProof/>
          <w:lang w:val="bg-BG"/>
        </w:rPr>
        <w:t>Съгласно член 6, параграф 5, от Директива (ЕС) 2016/2284 държавите членки е трябвало да се допитат до обществеността в съответствие с Директива 2003/35/ЕО</w:t>
      </w:r>
      <w:r>
        <w:rPr>
          <w:rStyle w:val="FootnoteReference"/>
          <w:noProof/>
          <w:lang w:val="bg-BG"/>
        </w:rPr>
        <w:footnoteReference w:id="38"/>
      </w:r>
      <w:r>
        <w:rPr>
          <w:rFonts w:ascii="Times New Roman" w:hAnsi="Times New Roman"/>
          <w:noProof/>
          <w:lang w:val="bg-BG"/>
        </w:rPr>
        <w:t xml:space="preserve"> във връзка с проекта на НПКЗВ. Деветнадесет държави членки</w:t>
      </w:r>
      <w:r>
        <w:rPr>
          <w:rStyle w:val="FootnoteReference"/>
          <w:noProof/>
          <w:lang w:val="bg-BG"/>
        </w:rPr>
        <w:footnoteReference w:id="39"/>
      </w:r>
      <w:r>
        <w:rPr>
          <w:rFonts w:ascii="Times New Roman" w:hAnsi="Times New Roman"/>
          <w:noProof/>
          <w:lang w:val="bg-BG"/>
        </w:rPr>
        <w:t xml:space="preserve"> предоставиха връзка към обществената консултация в окончателната НПКЗВ, докато пет държави членки</w:t>
      </w:r>
      <w:r>
        <w:rPr>
          <w:rStyle w:val="FootnoteReference"/>
          <w:noProof/>
          <w:lang w:val="bg-BG"/>
        </w:rPr>
        <w:footnoteReference w:id="40"/>
      </w:r>
      <w:r>
        <w:rPr>
          <w:rFonts w:ascii="Times New Roman" w:hAnsi="Times New Roman"/>
          <w:noProof/>
          <w:lang w:val="bg-BG"/>
        </w:rPr>
        <w:t xml:space="preserve"> не направиха това. </w:t>
      </w:r>
    </w:p>
    <w:p>
      <w:pPr>
        <w:jc w:val="both"/>
        <w:rPr>
          <w:rFonts w:ascii="Times New Roman" w:hAnsi="Times New Roman" w:cs="Times New Roman"/>
          <w:noProof/>
          <w:sz w:val="24"/>
          <w:szCs w:val="24"/>
          <w:lang w:val="bg-BG"/>
        </w:rPr>
      </w:pPr>
      <w:r>
        <w:rPr>
          <w:rFonts w:ascii="Times New Roman" w:hAnsi="Times New Roman"/>
          <w:noProof/>
          <w:lang w:val="bg-BG"/>
        </w:rPr>
        <w:t>Що се отнася до докладването на задължителното съдържание на НПКЗВ, по-голямата част от анализираните документи изцяло са предоставили задължителното съдържание или са го направили само със сравнително малки пропуски</w:t>
      </w:r>
      <w:r>
        <w:rPr>
          <w:rStyle w:val="FootnoteReference"/>
          <w:noProof/>
          <w:lang w:val="bg-BG"/>
        </w:rPr>
        <w:footnoteReference w:id="41"/>
      </w:r>
      <w:r>
        <w:rPr>
          <w:rFonts w:ascii="Times New Roman" w:hAnsi="Times New Roman"/>
          <w:noProof/>
          <w:lang w:val="bg-BG"/>
        </w:rPr>
        <w:t>, но е имало цялостна липса на подробности относно допълнителните политики и мерки, което прави задълбочения анализ по-труден. Пропуски и липса на подробности по-често са били открити там, където държавите членки не са използвали общия формат или не са докладвали чрез Инструмента на ЕАОС за политики и мерки, представен по-горе в настоящия доклад. Повечето държави членки са предоставили много малко информация относно незадължителното съдържание (вж. раздел 4 за повече подробности).</w:t>
      </w:r>
    </w:p>
    <w:p>
      <w:pPr>
        <w:pStyle w:val="ListParagraph"/>
        <w:ind w:left="1440"/>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 xml:space="preserve">Анализ на докладваните допълнителни политики и мерки </w:t>
      </w:r>
    </w:p>
    <w:p>
      <w:pPr>
        <w:jc w:val="both"/>
        <w:rPr>
          <w:rFonts w:ascii="Times New Roman" w:hAnsi="Times New Roman" w:cs="Times New Roman"/>
          <w:noProof/>
          <w:sz w:val="24"/>
          <w:szCs w:val="24"/>
          <w:lang w:val="bg-BG"/>
        </w:rPr>
      </w:pPr>
      <w:r>
        <w:rPr>
          <w:rFonts w:ascii="Times New Roman" w:hAnsi="Times New Roman"/>
          <w:noProof/>
          <w:lang w:val="bg-BG"/>
        </w:rPr>
        <w:t>Държавите членки, които не планират да изпълнят своите задължения за намаляване на емисиите с настоящите политики, трябва да докладват в НПКЗВ допълнителните политики и мерки, които са обмислили да приемат, както и тези, които действително са избрали, за да изпълнят своите задължения. Това докладване трябваше да се извърши чрез Инструмента на ЕАОС за политики и мерки.</w:t>
      </w:r>
    </w:p>
    <w:p>
      <w:pPr>
        <w:jc w:val="both"/>
        <w:rPr>
          <w:rFonts w:ascii="Times New Roman" w:hAnsi="Times New Roman" w:cs="Times New Roman"/>
          <w:noProof/>
          <w:sz w:val="24"/>
          <w:szCs w:val="24"/>
          <w:lang w:val="bg-BG"/>
        </w:rPr>
      </w:pPr>
      <w:r>
        <w:rPr>
          <w:rFonts w:ascii="Times New Roman" w:hAnsi="Times New Roman"/>
          <w:noProof/>
          <w:lang w:val="bg-BG"/>
        </w:rPr>
        <w:t>Степента на детайлност при докладването от държавите членки по този аспект варира в различните държави членки и за различните политики и мерки</w:t>
      </w:r>
      <w:r>
        <w:rPr>
          <w:rStyle w:val="FootnoteReference"/>
          <w:noProof/>
          <w:lang w:val="bg-BG"/>
        </w:rPr>
        <w:footnoteReference w:id="42"/>
      </w:r>
      <w:r>
        <w:rPr>
          <w:rFonts w:ascii="Times New Roman" w:hAnsi="Times New Roman"/>
          <w:noProof/>
          <w:lang w:val="bg-BG"/>
        </w:rPr>
        <w:t>. Въпреки това могат да бъдат установени следните общи тенденции</w:t>
      </w:r>
      <w:r>
        <w:rPr>
          <w:rStyle w:val="FootnoteReference"/>
          <w:noProof/>
          <w:lang w:val="bg-BG"/>
        </w:rPr>
        <w:footnoteReference w:id="43"/>
      </w:r>
      <w:r>
        <w:rPr>
          <w:rFonts w:ascii="Times New Roman" w:hAnsi="Times New Roman"/>
          <w:noProof/>
          <w:lang w:val="bg-BG"/>
        </w:rPr>
        <w:t xml:space="preserve">: </w:t>
      </w:r>
    </w:p>
    <w:p>
      <w:pPr>
        <w:pStyle w:val="ListParagraph"/>
        <w:numPr>
          <w:ilvl w:val="0"/>
          <w:numId w:val="13"/>
        </w:numPr>
        <w:spacing w:after="60" w:line="240" w:lineRule="auto"/>
        <w:jc w:val="both"/>
        <w:rPr>
          <w:rFonts w:ascii="Times New Roman" w:hAnsi="Times New Roman" w:cs="Times New Roman"/>
          <w:noProof/>
          <w:sz w:val="24"/>
          <w:szCs w:val="24"/>
          <w:lang w:val="bg-BG"/>
        </w:rPr>
      </w:pPr>
      <w:r>
        <w:rPr>
          <w:rFonts w:ascii="Times New Roman" w:hAnsi="Times New Roman"/>
          <w:noProof/>
          <w:lang w:val="bg-BG"/>
        </w:rPr>
        <w:t>Избраните за приемане политики и мерки, представени в НПКЗВ, са насочени към основните замърсители във всеки сектор, за който се отнасят. Докладвани са голям брой политики и мерки в селското стопанство (насочени към NH</w:t>
      </w:r>
      <w:r>
        <w:rPr>
          <w:rFonts w:ascii="Times New Roman" w:hAnsi="Times New Roman"/>
          <w:noProof/>
          <w:vertAlign w:val="subscript"/>
          <w:lang w:val="bg-BG"/>
        </w:rPr>
        <w:t>3</w:t>
      </w:r>
      <w:r>
        <w:rPr>
          <w:rFonts w:ascii="Times New Roman" w:hAnsi="Times New Roman"/>
          <w:noProof/>
          <w:lang w:val="bg-BG"/>
        </w:rPr>
        <w:t>), автомобилния транспорт и търговията, институционалния и битовия сектори (ПЧ</w:t>
      </w:r>
      <w:r>
        <w:rPr>
          <w:rFonts w:ascii="Times New Roman" w:hAnsi="Times New Roman"/>
          <w:noProof/>
          <w:vertAlign w:val="subscript"/>
          <w:lang w:val="bg-BG"/>
        </w:rPr>
        <w:t>2,5</w:t>
      </w:r>
      <w:r>
        <w:rPr>
          <w:rFonts w:ascii="Times New Roman" w:hAnsi="Times New Roman"/>
          <w:noProof/>
          <w:lang w:val="bg-BG"/>
        </w:rPr>
        <w:t xml:space="preserve"> и NO</w:t>
      </w:r>
      <w:r>
        <w:rPr>
          <w:rFonts w:ascii="Times New Roman" w:hAnsi="Times New Roman"/>
          <w:noProof/>
          <w:vertAlign w:val="subscript"/>
          <w:lang w:val="bg-BG"/>
        </w:rPr>
        <w:t>x</w:t>
      </w:r>
      <w:r>
        <w:rPr>
          <w:rFonts w:ascii="Times New Roman" w:hAnsi="Times New Roman"/>
          <w:noProof/>
          <w:lang w:val="bg-BG"/>
        </w:rPr>
        <w:t>), както и енергопроизводството и електроразпределението (ПЧ</w:t>
      </w:r>
      <w:r>
        <w:rPr>
          <w:rFonts w:ascii="Times New Roman" w:hAnsi="Times New Roman"/>
          <w:noProof/>
          <w:vertAlign w:val="subscript"/>
          <w:lang w:val="bg-BG"/>
        </w:rPr>
        <w:t>2,5</w:t>
      </w:r>
      <w:r>
        <w:rPr>
          <w:rFonts w:ascii="Times New Roman" w:hAnsi="Times New Roman"/>
          <w:noProof/>
          <w:lang w:val="bg-BG"/>
        </w:rPr>
        <w:t>, SO</w:t>
      </w:r>
      <w:r>
        <w:rPr>
          <w:rFonts w:ascii="Times New Roman" w:hAnsi="Times New Roman"/>
          <w:noProof/>
          <w:vertAlign w:val="subscript"/>
          <w:lang w:val="bg-BG"/>
        </w:rPr>
        <w:t xml:space="preserve">2 </w:t>
      </w:r>
      <w:r>
        <w:rPr>
          <w:rFonts w:ascii="Times New Roman" w:hAnsi="Times New Roman"/>
          <w:noProof/>
          <w:lang w:val="bg-BG"/>
        </w:rPr>
        <w:t>и NO</w:t>
      </w:r>
      <w:r>
        <w:rPr>
          <w:rFonts w:ascii="Times New Roman" w:hAnsi="Times New Roman"/>
          <w:noProof/>
          <w:vertAlign w:val="subscript"/>
          <w:lang w:val="bg-BG"/>
        </w:rPr>
        <w:t>x</w:t>
      </w:r>
      <w:r>
        <w:rPr>
          <w:rFonts w:ascii="Times New Roman" w:hAnsi="Times New Roman"/>
          <w:noProof/>
          <w:lang w:val="bg-BG"/>
        </w:rPr>
        <w:t>). Най-голям брой политики и мерки са насочени към замърсителите NO</w:t>
      </w:r>
      <w:r>
        <w:rPr>
          <w:rFonts w:ascii="Times New Roman" w:hAnsi="Times New Roman"/>
          <w:noProof/>
          <w:vertAlign w:val="subscript"/>
          <w:lang w:val="bg-BG"/>
        </w:rPr>
        <w:t>x</w:t>
      </w:r>
      <w:r>
        <w:rPr>
          <w:rFonts w:ascii="Times New Roman" w:hAnsi="Times New Roman"/>
          <w:noProof/>
          <w:lang w:val="bg-BG"/>
        </w:rPr>
        <w:t xml:space="preserve"> и ПЧ</w:t>
      </w:r>
      <w:r>
        <w:rPr>
          <w:rFonts w:ascii="Times New Roman" w:hAnsi="Times New Roman"/>
          <w:noProof/>
          <w:vertAlign w:val="subscript"/>
          <w:lang w:val="bg-BG"/>
        </w:rPr>
        <w:t>2,5</w:t>
      </w:r>
      <w:r>
        <w:rPr>
          <w:rFonts w:ascii="Times New Roman" w:hAnsi="Times New Roman"/>
          <w:noProof/>
          <w:lang w:val="bg-BG"/>
        </w:rPr>
        <w:t xml:space="preserve">. Трябва обаче да се има предвид, че броят на политиките и мерките не е непременно линейно свързан с ефективността на намаляването на емисиите. </w:t>
      </w:r>
    </w:p>
    <w:p>
      <w:pPr>
        <w:pStyle w:val="ListParagraph"/>
        <w:numPr>
          <w:ilvl w:val="0"/>
          <w:numId w:val="13"/>
        </w:numPr>
        <w:spacing w:after="60" w:line="240" w:lineRule="auto"/>
        <w:jc w:val="both"/>
        <w:rPr>
          <w:rFonts w:ascii="Times New Roman" w:hAnsi="Times New Roman" w:cs="Times New Roman"/>
          <w:noProof/>
          <w:sz w:val="24"/>
          <w:szCs w:val="24"/>
          <w:lang w:val="bg-BG"/>
        </w:rPr>
      </w:pPr>
      <w:r>
        <w:rPr>
          <w:rFonts w:ascii="Times New Roman" w:hAnsi="Times New Roman"/>
          <w:noProof/>
          <w:lang w:val="bg-BG"/>
        </w:rPr>
        <w:t xml:space="preserve">Политиките и мерките варират от много специфични (напр. ограничаване на експлоатацията в даден завод) до много общи (например насърчаване на енергийната ефективност или стратегиите в областта на транспорта), като последното води непременно до по-голяма несигурност при прогнозираното намаляване на емисиите. </w:t>
      </w:r>
    </w:p>
    <w:p>
      <w:pPr>
        <w:pStyle w:val="ListParagraph"/>
        <w:numPr>
          <w:ilvl w:val="0"/>
          <w:numId w:val="13"/>
        </w:numPr>
        <w:spacing w:after="60" w:line="240" w:lineRule="auto"/>
        <w:jc w:val="both"/>
        <w:rPr>
          <w:rFonts w:ascii="Times New Roman" w:hAnsi="Times New Roman" w:cs="Times New Roman"/>
          <w:noProof/>
          <w:sz w:val="24"/>
          <w:szCs w:val="24"/>
          <w:lang w:val="bg-BG"/>
        </w:rPr>
      </w:pPr>
      <w:r>
        <w:rPr>
          <w:rFonts w:ascii="Times New Roman" w:hAnsi="Times New Roman"/>
          <w:noProof/>
          <w:lang w:val="bg-BG"/>
        </w:rPr>
        <w:t xml:space="preserve">Количества за намалението на емисиите са представени само за малка част от политиките и мерките (в зависимост от секторите, но във всички случаи за по-малко от половината от политиките и мерките), което води до несигурност по отношение на достоверността на мерките и степента, в която те могат да допринесат за изпълнение на националните задължения за намаляване на емисиите. В НПКЗВ също така не е предоставена достатъчно информация, за да се даде възможност за сравнение на очакваните намаления в държавите членки (което би допринесло за валидиране на прогнозите). Когато да дадени количества за намалението на емисиите, те често нарастват с течение на времето, което вероятно съответства на постепенното възприемане на мерките. </w:t>
      </w:r>
    </w:p>
    <w:p>
      <w:pPr>
        <w:pStyle w:val="ListParagraph"/>
        <w:numPr>
          <w:ilvl w:val="0"/>
          <w:numId w:val="13"/>
        </w:numPr>
        <w:spacing w:after="60" w:line="240" w:lineRule="auto"/>
        <w:jc w:val="both"/>
        <w:rPr>
          <w:rFonts w:ascii="Times New Roman" w:hAnsi="Times New Roman" w:cs="Times New Roman"/>
          <w:noProof/>
          <w:sz w:val="24"/>
          <w:szCs w:val="24"/>
          <w:lang w:val="bg-BG"/>
        </w:rPr>
      </w:pPr>
      <w:r>
        <w:rPr>
          <w:rFonts w:ascii="Times New Roman" w:hAnsi="Times New Roman"/>
          <w:noProof/>
          <w:lang w:val="bg-BG"/>
        </w:rPr>
        <w:t>В определени сектори (напр. транспорт, енергопотребление) около половината от докладваните политики и мерки всъщност се отнасят до вече съществуващи (или поне вече приети) мерки, като докладваната дата на приемане е между 2004 и 2019 г. Няколко политики и мерки се отнасят до съществуващото законодателство на ЕС (например прилагането на най-добрите налични техники съгласно Директивата относно емисиите от промишлеността</w:t>
      </w:r>
      <w:r>
        <w:rPr>
          <w:rStyle w:val="FootnoteReference"/>
          <w:noProof/>
          <w:lang w:val="bg-BG"/>
        </w:rPr>
        <w:footnoteReference w:id="44"/>
      </w:r>
      <w:r>
        <w:rPr>
          <w:rFonts w:ascii="Times New Roman" w:hAnsi="Times New Roman"/>
          <w:noProof/>
          <w:lang w:val="bg-BG"/>
        </w:rPr>
        <w:t>) и по този начин принадлежат към сценария „при взети мерки“, а не към сценария „при взети допълнителни мерки“. По-ясното разграничаване на съществуващите и новите политики и мерки ще даде възможност за по-добра оценка на действителната нужда от нови такива и тяхната добавена стойност.</w:t>
      </w:r>
    </w:p>
    <w:p>
      <w:pPr>
        <w:pStyle w:val="ListParagraph"/>
        <w:numPr>
          <w:ilvl w:val="0"/>
          <w:numId w:val="13"/>
        </w:numPr>
        <w:spacing w:before="120" w:after="60" w:line="240" w:lineRule="auto"/>
        <w:jc w:val="both"/>
        <w:rPr>
          <w:rFonts w:ascii="Times New Roman" w:hAnsi="Times New Roman" w:cs="Times New Roman"/>
          <w:noProof/>
          <w:sz w:val="24"/>
          <w:szCs w:val="24"/>
          <w:lang w:val="bg-BG"/>
        </w:rPr>
      </w:pPr>
      <w:r>
        <w:rPr>
          <w:rFonts w:ascii="Times New Roman" w:hAnsi="Times New Roman"/>
          <w:noProof/>
          <w:lang w:val="bg-BG"/>
        </w:rPr>
        <w:t>За селскостопанския сектор, политиките и мерките съответстват на мерките, описани в част 2 от приложение III към директивата (само една държава членка представя политики и мерки, различни от посочените в приложение III), и като цяло прогнозираното намаляване на емисиите в държавите членки е последователно.</w:t>
      </w:r>
      <w:r>
        <w:rPr>
          <w:rFonts w:ascii="Times New Roman" w:hAnsi="Times New Roman"/>
          <w:bCs/>
          <w:noProof/>
          <w:lang w:val="bg-BG"/>
        </w:rPr>
        <w:t xml:space="preserve"> </w:t>
      </w:r>
      <w:r>
        <w:rPr>
          <w:rFonts w:ascii="Times New Roman" w:hAnsi="Times New Roman"/>
          <w:noProof/>
          <w:lang w:val="bg-BG"/>
        </w:rPr>
        <w:t xml:space="preserve">Селското стопанство е секторът, в който се отделя най-голямо количество амоняк, и политиките и мерките в сектора с право са насочени към този замърсител; те обаче често са недостатъчни, за да се гарантира изпълнението на задълженията за намаляване на емисиите. Някои политики и мерки в селското стопанство предвиждат намаляване на емисиите на </w:t>
      </w:r>
      <w:r>
        <w:rPr>
          <w:rFonts w:ascii="Times New Roman" w:hAnsi="Times New Roman"/>
          <w:bCs/>
          <w:noProof/>
          <w:lang w:val="bg-BG"/>
        </w:rPr>
        <w:t>ПЧ</w:t>
      </w:r>
      <w:r>
        <w:rPr>
          <w:rFonts w:ascii="Times New Roman" w:hAnsi="Times New Roman"/>
          <w:bCs/>
          <w:noProof/>
          <w:vertAlign w:val="subscript"/>
          <w:lang w:val="bg-BG"/>
        </w:rPr>
        <w:t>2,5</w:t>
      </w:r>
      <w:r>
        <w:rPr>
          <w:rFonts w:ascii="Times New Roman" w:hAnsi="Times New Roman"/>
          <w:bCs/>
          <w:noProof/>
          <w:lang w:val="bg-BG"/>
        </w:rPr>
        <w:t xml:space="preserve"> </w:t>
      </w:r>
      <w:r>
        <w:rPr>
          <w:rFonts w:ascii="Times New Roman" w:hAnsi="Times New Roman"/>
          <w:noProof/>
          <w:lang w:val="bg-BG"/>
        </w:rPr>
        <w:t>като съпътстваща полза от намаляване на емисиите на амоняк.</w:t>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r>
        <w:rPr>
          <w:rFonts w:ascii="Times New Roman" w:hAnsi="Times New Roman"/>
          <w:noProof/>
          <w:lang w:val="bg-BG"/>
        </w:rPr>
        <w:t xml:space="preserve">Като цяло в НПКЗВ не е предоставена достатъчно информация за политиките и мерките, която да потвърди ефективността им; по-специално липсва информация по отношение на прогнозираното възприемане на политики и мерки, сроковете за тяхното прилагане и предвиденото ниво на намаляване на емисиите. Освен това при около една трета от анализираните държави членки са налице някои важни несъответствия между прогнозите, докладвани съгласно член 10, параграф 2, от директивата, и прогнозите, посочени в НПКЗВ, откъдето възниква въпросът дали предложените в НПКЗВ мерки са адекватни. </w:t>
      </w:r>
    </w:p>
    <w:p>
      <w:pPr>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Връзки между НПКЗВ и Националните планове в областта на енергетиката и климата (НПЕК)</w:t>
      </w:r>
      <w:r>
        <w:rPr>
          <w:rStyle w:val="FootnoteReference"/>
          <w:noProof/>
          <w:lang w:val="bg-BG"/>
        </w:rPr>
        <w:footnoteReference w:id="45"/>
      </w:r>
    </w:p>
    <w:p>
      <w:pPr>
        <w:jc w:val="both"/>
        <w:rPr>
          <w:rFonts w:ascii="Times New Roman" w:hAnsi="Times New Roman" w:cs="Times New Roman"/>
          <w:noProof/>
          <w:sz w:val="24"/>
          <w:szCs w:val="24"/>
          <w:lang w:val="bg-BG"/>
        </w:rPr>
      </w:pPr>
      <w:r>
        <w:rPr>
          <w:rFonts w:ascii="Times New Roman" w:hAnsi="Times New Roman"/>
          <w:noProof/>
          <w:lang w:val="bg-BG"/>
        </w:rPr>
        <w:t>Връзките между политиките за въздухa, климатa и енергетиката са многобройни, тъй като източниците на парникови газове и замърсители на въздуха често са едни и същи. Следователно в много случаи една мярка може да бъде от полза за постигане както на целите в областта на въздуха, така и тези в областта на климата (например, разработване на активни видове транспорт, по-добра изолация на сградите за намаляване на потреблението на енергия). В някои случаи обаче има и компромиси (например използването на биоенергия за отопление в бита). Законите в областта на въздуха, енергетиката и климата правят препратки помежду си и изискват установяването на връзки между НПКЗВ и НПЕК</w:t>
      </w:r>
      <w:r>
        <w:rPr>
          <w:rStyle w:val="FootnoteReference"/>
          <w:noProof/>
          <w:lang w:val="bg-BG"/>
        </w:rPr>
        <w:footnoteReference w:id="46"/>
      </w:r>
      <w:r>
        <w:rPr>
          <w:rFonts w:ascii="Times New Roman" w:hAnsi="Times New Roman"/>
          <w:noProof/>
          <w:lang w:val="bg-BG"/>
        </w:rPr>
        <w:t xml:space="preserve">. Насоките на Комисията за разработването на НПКЗВ конкретно приканват при изготвянето на НПКЗВ държавите членки да вземат предвид политиките и мерките, планирани съгласно задълженията за климата и енергетиката.  </w:t>
      </w:r>
    </w:p>
    <w:p>
      <w:pPr>
        <w:jc w:val="both"/>
        <w:rPr>
          <w:rFonts w:ascii="Times New Roman" w:hAnsi="Times New Roman" w:cs="Times New Roman"/>
          <w:noProof/>
          <w:sz w:val="24"/>
          <w:szCs w:val="24"/>
          <w:lang w:val="bg-BG"/>
        </w:rPr>
      </w:pPr>
      <w:r>
        <w:rPr>
          <w:rFonts w:ascii="Times New Roman" w:hAnsi="Times New Roman"/>
          <w:noProof/>
          <w:lang w:val="bg-BG"/>
        </w:rPr>
        <w:t>Признава се, че поради последователността на законовите крайни срокове, представените навреме НПКЗВ могат да се отнасят само за проекти на НПЕК, а не за окончателните планове. От друга страна, връзките между въздуха, климата и енергетиката трябва да бъдат отразени в НПЕК, като през юни 2019 г. 26 държави членки</w:t>
      </w:r>
      <w:r>
        <w:rPr>
          <w:rStyle w:val="FootnoteReference"/>
          <w:noProof/>
          <w:lang w:val="bg-BG"/>
        </w:rPr>
        <w:footnoteReference w:id="47"/>
      </w:r>
      <w:r>
        <w:rPr>
          <w:rFonts w:ascii="Times New Roman" w:hAnsi="Times New Roman"/>
          <w:noProof/>
          <w:lang w:val="bg-BG"/>
        </w:rPr>
        <w:t xml:space="preserve"> получиха, в контекста на регламента относно управлението на Енергийния съюз, препоръка на Комисията относно проектите на техните НПЕК за подобряване на оценката на въздействията върху въздуха. </w:t>
      </w:r>
    </w:p>
    <w:p>
      <w:pPr>
        <w:jc w:val="both"/>
        <w:rPr>
          <w:rFonts w:ascii="Times New Roman" w:hAnsi="Times New Roman" w:cs="Times New Roman"/>
          <w:noProof/>
          <w:sz w:val="24"/>
          <w:szCs w:val="24"/>
          <w:lang w:val="bg-BG"/>
        </w:rPr>
      </w:pPr>
      <w:r>
        <w:rPr>
          <w:rFonts w:ascii="Times New Roman" w:hAnsi="Times New Roman"/>
          <w:noProof/>
          <w:lang w:val="bg-BG"/>
        </w:rPr>
        <w:t xml:space="preserve">В НПКЗВ, анализирани за този доклад, се говори за политиките в областта на климата и енергетиката, но поради липсата на повече предоставени подробности не е известна степента, в която това всъщност e допринесло за постигането на максимални полезни взаимодействия и обръщане на внимание на компромисите между двете области на политиката. Освен това ситуацията в различните НПКЗВ е доста различна. Някои отразяват или дори количествено определят въздействията на мерките в областта на климата и енергетиката върху замърсяването на въздуха и обратно, оценяват въздействията на мерките в областта на въздуха върху емисиите на парникови газове. В други, мерките в областта на климата и енергетиката са включени в списъка на мерките, изброени в НПКЗВ. И накрая, други също използват общ набор данни за моделиране на двете области на политиката. </w:t>
      </w:r>
    </w:p>
    <w:p>
      <w:pPr>
        <w:jc w:val="both"/>
        <w:rPr>
          <w:rFonts w:ascii="Times New Roman" w:hAnsi="Times New Roman" w:cs="Times New Roman"/>
          <w:noProof/>
          <w:sz w:val="24"/>
          <w:szCs w:val="24"/>
          <w:lang w:val="bg-BG"/>
        </w:rPr>
      </w:pPr>
      <w:r>
        <w:rPr>
          <w:rFonts w:ascii="Times New Roman" w:hAnsi="Times New Roman"/>
          <w:noProof/>
          <w:lang w:val="bg-BG"/>
        </w:rPr>
        <w:t>Анализът на НПКЗВ показва, че все пак има възможност за подобряване на връзките между политиките за чист въздух и за климата и енергетиката и че е необходимо по-нататъшно интегриране между двете планирания, за да се повиши ефективността на основните политики.  Комисията ще търси повече такава интеграция в бъдеще в подкрепа на по-голямата интеграция в областта на въздуха и климата в съответствие с целите на Европейския зелен пакт.</w:t>
      </w:r>
    </w:p>
    <w:p>
      <w:pPr>
        <w:pStyle w:val="ListParagraph"/>
        <w:ind w:left="1142"/>
        <w:jc w:val="both"/>
        <w:rPr>
          <w:rFonts w:ascii="Times New Roman" w:hAnsi="Times New Roman" w:cs="Times New Roman"/>
          <w:noProof/>
          <w:sz w:val="24"/>
          <w:szCs w:val="24"/>
          <w:lang w:val="bg-BG"/>
        </w:rPr>
      </w:pPr>
    </w:p>
    <w:p>
      <w:pPr>
        <w:pStyle w:val="ListParagraph"/>
        <w:ind w:left="1142"/>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 xml:space="preserve"> Риск от неспазване на задълженията за намаляване на емисиите</w:t>
      </w:r>
    </w:p>
    <w:p>
      <w:pPr>
        <w:jc w:val="both"/>
        <w:rPr>
          <w:rFonts w:ascii="Times New Roman" w:hAnsi="Times New Roman" w:cs="Times New Roman"/>
          <w:noProof/>
          <w:sz w:val="24"/>
          <w:szCs w:val="24"/>
          <w:lang w:val="bg-BG"/>
        </w:rPr>
      </w:pPr>
      <w:r>
        <w:rPr>
          <w:rFonts w:ascii="Times New Roman" w:hAnsi="Times New Roman"/>
          <w:noProof/>
          <w:lang w:val="bg-BG"/>
        </w:rPr>
        <w:t>Извън анализа на прогнозираното изпълнение на задълженията за намаляване на емисиите, което всяка държава членка е докладвала съгласно член 10, параграф 2 от директивата, Комисията предприе оценка на риска от неспазване на задълженията за намаляване на емисиите въз основа на съвместен анализ на качеството на прогнозите, достоверността на избраните политики и мерки за приемане в НПКЗВ, и прогнозираната граница на съответствие</w:t>
      </w:r>
      <w:r>
        <w:rPr>
          <w:rStyle w:val="FootnoteReference"/>
          <w:noProof/>
          <w:lang w:val="bg-BG"/>
        </w:rPr>
        <w:footnoteReference w:id="48"/>
      </w:r>
      <w:r>
        <w:rPr>
          <w:rFonts w:ascii="Times New Roman" w:hAnsi="Times New Roman"/>
          <w:noProof/>
          <w:lang w:val="bg-BG"/>
        </w:rPr>
        <w:t>. В тази оценка се заключава, че за поетите задължения за намаляване на емисиите за периода 2020—2029 г., от двадесет държави членки, разгледани при анализа</w:t>
      </w:r>
      <w:r>
        <w:rPr>
          <w:rStyle w:val="FootnoteReference"/>
          <w:noProof/>
          <w:lang w:val="bg-BG"/>
        </w:rPr>
        <w:footnoteReference w:id="49"/>
      </w:r>
      <w:r>
        <w:rPr>
          <w:rFonts w:ascii="Times New Roman" w:hAnsi="Times New Roman"/>
          <w:noProof/>
          <w:lang w:val="bg-BG"/>
        </w:rPr>
        <w:t>, четиринадесет</w:t>
      </w:r>
      <w:r>
        <w:rPr>
          <w:rStyle w:val="FootnoteReference"/>
          <w:noProof/>
          <w:lang w:val="bg-BG"/>
        </w:rPr>
        <w:footnoteReference w:id="50"/>
      </w:r>
      <w:r>
        <w:rPr>
          <w:rFonts w:ascii="Times New Roman" w:hAnsi="Times New Roman"/>
          <w:noProof/>
          <w:lang w:val="bg-BG"/>
        </w:rPr>
        <w:t xml:space="preserve"> са изложени на висок риск от неспазване на задълженията за намаляване на емисиите на амоняк (вж. приложение 3). </w:t>
      </w:r>
    </w:p>
    <w:p>
      <w:pPr>
        <w:jc w:val="both"/>
        <w:rPr>
          <w:rFonts w:ascii="Times New Roman" w:hAnsi="Times New Roman" w:cs="Times New Roman"/>
          <w:noProof/>
          <w:sz w:val="24"/>
          <w:szCs w:val="24"/>
          <w:lang w:val="bg-BG"/>
        </w:rPr>
      </w:pPr>
      <w:r>
        <w:rPr>
          <w:rFonts w:ascii="Times New Roman" w:hAnsi="Times New Roman"/>
          <w:noProof/>
          <w:lang w:val="bg-BG"/>
        </w:rPr>
        <w:t>По отношение на поетите задължения за 2030 г. ситуацията дава още по-голям повод за безпокойство, тъй като повече от половината от анализираните държави членки са изложени на висок риск от неспазване на задълженията за намаляване на емисиите за всички замърсители съгласно Директива (ЕС) 2016/2284, с изключение на SO</w:t>
      </w:r>
      <w:r>
        <w:rPr>
          <w:rFonts w:ascii="Times New Roman" w:hAnsi="Times New Roman"/>
          <w:noProof/>
          <w:vertAlign w:val="subscript"/>
          <w:lang w:val="bg-BG"/>
        </w:rPr>
        <w:t>2</w:t>
      </w:r>
      <w:r>
        <w:rPr>
          <w:rFonts w:ascii="Times New Roman" w:hAnsi="Times New Roman"/>
          <w:noProof/>
          <w:lang w:val="bg-BG"/>
        </w:rPr>
        <w:t xml:space="preserve">. Следователно в тези държави членки следва да се въведат допълнителни мерки, освен представените в НПКЗВ, за да се намали този риск. Наред с останалото, това може да включва подбор на други политики и мерки за приемане, преработка на вече избрани за приемане политики и мерки, въвеждане на мерки в подкрепа на прилагането на политики и мерки, както и избор на показатели за по-добро наблюдение на напредъка по прилагането. Държавите членки ще трябва да документират тези допълнителни мерки в актуализирана НПКЗВ, както се изисква в член 6, параграф 4 от директивата. </w:t>
      </w:r>
    </w:p>
    <w:p>
      <w:pPr>
        <w:rPr>
          <w:rFonts w:ascii="Times New Roman" w:hAnsi="Times New Roman"/>
          <w:b/>
          <w:noProof/>
          <w:sz w:val="24"/>
          <w:lang w:val="bg-BG"/>
        </w:rPr>
      </w:pPr>
      <w:r>
        <w:rPr>
          <w:rFonts w:ascii="Times New Roman" w:hAnsi="Times New Roman" w:cs="Times New Roman"/>
          <w:b/>
          <w:noProof/>
          <w:sz w:val="24"/>
          <w:szCs w:val="24"/>
          <w:lang w:val="bg-BG"/>
        </w:rPr>
        <w:br w:type="page"/>
      </w:r>
    </w:p>
    <w:p>
      <w:pPr>
        <w:pStyle w:val="ListParagraph"/>
        <w:ind w:left="1224"/>
        <w:jc w:val="both"/>
        <w:rPr>
          <w:rFonts w:ascii="Times New Roman" w:hAnsi="Times New Roman" w:cs="Times New Roman"/>
          <w:noProof/>
          <w:sz w:val="24"/>
          <w:szCs w:val="24"/>
          <w:lang w:val="bg-BG"/>
        </w:rPr>
      </w:pPr>
    </w:p>
    <w:p>
      <w:pPr>
        <w:pStyle w:val="ListParagraph"/>
        <w:numPr>
          <w:ilvl w:val="0"/>
          <w:numId w:val="12"/>
        </w:numPr>
        <w:spacing w:line="256" w:lineRule="auto"/>
        <w:ind w:left="567" w:hanging="567"/>
        <w:jc w:val="both"/>
        <w:rPr>
          <w:rFonts w:ascii="Times New Roman" w:hAnsi="Times New Roman" w:cs="Times New Roman"/>
          <w:b/>
          <w:i/>
          <w:noProof/>
          <w:sz w:val="24"/>
          <w:szCs w:val="24"/>
          <w:lang w:val="bg-BG"/>
        </w:rPr>
      </w:pPr>
      <w:r>
        <w:rPr>
          <w:rFonts w:ascii="Times New Roman" w:hAnsi="Times New Roman"/>
          <w:b/>
          <w:noProof/>
          <w:lang w:val="bg-BG"/>
        </w:rPr>
        <w:t>Анализ на въздействията на прогнозираното намаляване на емисиите</w:t>
      </w:r>
      <w:r>
        <w:rPr>
          <w:rFonts w:ascii="Times New Roman" w:hAnsi="Times New Roman"/>
          <w:b/>
          <w:i/>
          <w:noProof/>
          <w:lang w:val="bg-BG"/>
        </w:rPr>
        <w:t xml:space="preserve"> </w:t>
      </w:r>
    </w:p>
    <w:p>
      <w:pPr>
        <w:pStyle w:val="ListParagraph"/>
        <w:ind w:left="567"/>
        <w:jc w:val="both"/>
        <w:rPr>
          <w:rFonts w:ascii="Times New Roman" w:hAnsi="Times New Roman" w:cs="Times New Roman"/>
          <w:b/>
          <w:i/>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 xml:space="preserve">Въздействия върху качеството на въздуха </w:t>
      </w:r>
    </w:p>
    <w:p>
      <w:pPr>
        <w:jc w:val="both"/>
        <w:rPr>
          <w:rFonts w:ascii="Times New Roman" w:hAnsi="Times New Roman" w:cs="Times New Roman"/>
          <w:noProof/>
          <w:sz w:val="24"/>
          <w:szCs w:val="24"/>
          <w:lang w:val="bg-BG"/>
        </w:rPr>
      </w:pPr>
      <w:r>
        <w:rPr>
          <w:rFonts w:ascii="Times New Roman" w:hAnsi="Times New Roman"/>
          <w:noProof/>
          <w:lang w:val="bg-BG"/>
        </w:rPr>
        <w:t xml:space="preserve">Намаляването на емисиите на замърсители води до намаляване на концентрациите им и следователно до подобряване на нивата на качеството на въздуха. Сред шестнадесетте НПКЗВ, представени навреме за анализ по този раздел, десет държави членки (както е посочено по-долу) са изпълнили незадължителното изискване да предоставят информация за прогнозираните въздействия върху качеството на въздуха на допълнителните политики и мерки, въведени от тях. Тази информация варира от качествено описание на въздействията </w:t>
      </w:r>
      <w:r>
        <w:rPr>
          <w:rStyle w:val="FootnoteReference"/>
          <w:noProof/>
          <w:lang w:val="bg-BG"/>
        </w:rPr>
        <w:footnoteReference w:id="51"/>
      </w:r>
      <w:r>
        <w:rPr>
          <w:rFonts w:ascii="Times New Roman" w:hAnsi="Times New Roman"/>
          <w:noProof/>
          <w:lang w:val="bg-BG"/>
        </w:rPr>
        <w:t xml:space="preserve"> до подробно моделиране на бъдещи концентрации</w:t>
      </w:r>
      <w:r>
        <w:rPr>
          <w:rStyle w:val="FootnoteReference"/>
          <w:noProof/>
          <w:lang w:val="bg-BG"/>
        </w:rPr>
        <w:footnoteReference w:id="52"/>
      </w:r>
      <w:r>
        <w:rPr>
          <w:rFonts w:ascii="Times New Roman" w:hAnsi="Times New Roman"/>
          <w:noProof/>
          <w:lang w:val="bg-BG"/>
        </w:rPr>
        <w:t xml:space="preserve"> и осигуряване на прогнозирано съответствие с пределно допустимите стойности на качеството на въздуха</w:t>
      </w:r>
      <w:r>
        <w:rPr>
          <w:rStyle w:val="FootnoteReference"/>
          <w:noProof/>
          <w:lang w:val="bg-BG"/>
        </w:rPr>
        <w:footnoteReference w:id="53"/>
      </w:r>
      <w:r>
        <w:rPr>
          <w:rFonts w:ascii="Times New Roman" w:hAnsi="Times New Roman"/>
          <w:noProof/>
          <w:lang w:val="bg-BG"/>
        </w:rPr>
        <w:t xml:space="preserve">. Когато се провежда моделиране на бъдещи промени в качеството на въздуха, държавите членки обикновено включват в своите НПКЗВ карти на бъдещи концентрации на замърсители в атмосферния въздух. Този вид анализ може да бъде полезно извършен от още държави членки, за да се засилят взаимодействията между Директива (ЕС) 2016/2284 и директивите за качеството на атмосферния въздух. Такъв интегриращ анализ би позволил да се изберат мерки за намаляване на емисиите, които биха подобрили местните нива на концентрация на замърсители на въздуха. Основните ползи се очакват от мерките, предприети в секторите на транспорта и отоплението в бита, тъй като ще се прилагат за градски райони с по-голяма експозиция на населението. Като цяло всички държави членки са заявили, че въздействието върху качеството на въздуха е взето предвид при избора на политики и мерки за приемане, но не са избрани такива, които се занимават основно с целите, свързани с качеството на въздуха. </w:t>
      </w:r>
    </w:p>
    <w:p>
      <w:pPr>
        <w:pStyle w:val="ListParagraph"/>
        <w:ind w:left="1142"/>
        <w:jc w:val="both"/>
        <w:rPr>
          <w:rFonts w:ascii="Times New Roman" w:hAnsi="Times New Roman" w:cs="Times New Roman"/>
          <w:b/>
          <w:i/>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Въздействия върху екосистемите</w:t>
      </w:r>
    </w:p>
    <w:p>
      <w:pPr>
        <w:jc w:val="both"/>
        <w:rPr>
          <w:rFonts w:ascii="Times New Roman" w:hAnsi="Times New Roman" w:cs="Times New Roman"/>
          <w:noProof/>
          <w:sz w:val="24"/>
          <w:szCs w:val="24"/>
          <w:lang w:val="bg-BG"/>
        </w:rPr>
      </w:pPr>
      <w:r>
        <w:rPr>
          <w:rFonts w:ascii="Times New Roman" w:hAnsi="Times New Roman"/>
          <w:noProof/>
          <w:lang w:val="bg-BG"/>
        </w:rPr>
        <w:t xml:space="preserve">Замърсяването на въздуха води не само до въздействия върху човешкото здраве, но и до подкиселяване, еутрофикация и образуване на тропосферен озон, всички от които са вредни за екосистемите (сладководни или сухоземни екосистеми, полуестествени и селскостопански) и биоразнообразието. В директивата (членове 9 и 10, параграф 4) се изисква държавите членки да докладват въздействието върху тези екосистеми на всеки четири години, считано от 1 юли 2019 г., въз основа на представителна мрежа от станции, която трябваше да бъде въведена до 1 юли 2018 г. и за която докладването също трябва да се актуализира на всеки четири години. Всички държави членки са изпълнили тези две задължения за докладване. Това осигурява първата основа за установяване на референтни стойности, с които ще се сравняват бъдещите данни за екосистемата, докладвани съгласно директивата, като се допринесе за бъдещата оценка на ефективността на директивата за опазване на околната среда за един по-дълъг период. </w:t>
      </w:r>
    </w:p>
    <w:p>
      <w:pPr>
        <w:jc w:val="both"/>
        <w:rPr>
          <w:rFonts w:ascii="Times New Roman" w:hAnsi="Times New Roman" w:cs="Times New Roman"/>
          <w:noProof/>
          <w:sz w:val="24"/>
          <w:szCs w:val="24"/>
          <w:lang w:val="bg-BG"/>
        </w:rPr>
      </w:pPr>
      <w:r>
        <w:rPr>
          <w:rFonts w:ascii="Times New Roman" w:hAnsi="Times New Roman"/>
          <w:noProof/>
          <w:lang w:val="bg-BG"/>
        </w:rPr>
        <w:t>Известие на Комисията</w:t>
      </w:r>
      <w:r>
        <w:rPr>
          <w:rStyle w:val="FootnoteReference"/>
          <w:noProof/>
          <w:lang w:val="bg-BG"/>
        </w:rPr>
        <w:footnoteReference w:id="54"/>
      </w:r>
      <w:r>
        <w:rPr>
          <w:rFonts w:ascii="Times New Roman" w:hAnsi="Times New Roman"/>
          <w:noProof/>
          <w:lang w:val="bg-BG"/>
        </w:rPr>
        <w:t xml:space="preserve"> и незадължителен образец за докладване заедно с придружаващо ръководство</w:t>
      </w:r>
      <w:r>
        <w:rPr>
          <w:rStyle w:val="FootnoteReference"/>
          <w:noProof/>
          <w:lang w:val="bg-BG"/>
        </w:rPr>
        <w:footnoteReference w:id="55"/>
      </w:r>
      <w:r>
        <w:rPr>
          <w:rFonts w:ascii="Times New Roman" w:hAnsi="Times New Roman"/>
          <w:noProof/>
          <w:lang w:val="bg-BG"/>
        </w:rPr>
        <w:t xml:space="preserve"> бяха публикувани от Европейската комисия, за да се улесни докладването от държавите членки на въздействието върху екосистемите и последващия анализ. Всички държави членки са използвали стандартизирания шаблон за докладване поне за част от представените данни за 2019 г. Директивата предвижда в приложение V и списък с незадължителни показатели за мониторинг. Държавите членки са докладвали най-вече тези показатели, които са свързани с екосистемата на реки и езера.</w:t>
      </w:r>
    </w:p>
    <w:p>
      <w:pPr>
        <w:jc w:val="both"/>
        <w:rPr>
          <w:rFonts w:ascii="Times New Roman" w:hAnsi="Times New Roman" w:cs="Times New Roman"/>
          <w:noProof/>
          <w:sz w:val="24"/>
          <w:szCs w:val="24"/>
          <w:lang w:val="bg-BG"/>
        </w:rPr>
      </w:pPr>
      <w:r>
        <w:rPr>
          <w:rFonts w:ascii="Times New Roman" w:hAnsi="Times New Roman"/>
          <w:noProof/>
          <w:lang w:val="bg-BG"/>
        </w:rPr>
        <w:t xml:space="preserve">Като цяло оценката на Комисията показва, че настоящата мрежа от станции и докладваните данни все още не са достатъчно представителни и адекватни, за да се следи въздействието на замърсяването на въздуха върху европейските екосистеми. За да се получи полезна информация е важно мрежата за мониторинг и докладваните данни да са представителни за всички екосистеми на територията на ЕС. Анализът на станциите за мониторинг, докладвани през 2018 г., показва, че това невинаги е така. Някои екосистеми, които са особено чувствителни към замърсяването на въздуха (равнинни местности, блата и чувствителни към подкиселяване пасища), са недостатъчно представени, дори в държави членки, където тези екосистеми са широко разпространени. Данните, докладвани през 2019 г., потвърждават горния анализ, тъй като той показва различни нива на интензивност на мониторинг сред различните видове екосистеми и допълнително потвърждава недостига от представени данни за екосистемите, особено чувствителни към замърсяването на въздуха. При все това в повечето държави членки се наблюдават различни нива на излагане при различни концентрации посредством станции, разположени в райони с ниско и високо сярно и азотно отлагане, като по този начин се осигурява положителен принос за представителността на докладваните данни. </w:t>
      </w:r>
    </w:p>
    <w:p>
      <w:pPr>
        <w:jc w:val="both"/>
        <w:rPr>
          <w:rFonts w:ascii="Times New Roman" w:hAnsi="Times New Roman" w:cs="Times New Roman"/>
          <w:noProof/>
          <w:sz w:val="24"/>
          <w:szCs w:val="24"/>
          <w:lang w:val="bg-BG"/>
        </w:rPr>
      </w:pPr>
      <w:r>
        <w:rPr>
          <w:rFonts w:ascii="Times New Roman" w:hAnsi="Times New Roman"/>
          <w:noProof/>
          <w:lang w:val="bg-BG"/>
        </w:rPr>
        <w:t>Целта на директивата е да се ограничи административната тежест на изискванията за мониторинг на екосистемата, като се насърчи използването на същите станции и/или данни, както е докладвано съгласно други задължения в рамките на ЕС или международни задължения. В редица случаи държавите членки са се възползвали от тази възможност</w:t>
      </w:r>
      <w:r>
        <w:rPr>
          <w:rStyle w:val="FootnoteReference"/>
          <w:noProof/>
          <w:lang w:val="bg-BG"/>
        </w:rPr>
        <w:footnoteReference w:id="56"/>
      </w:r>
      <w:r>
        <w:rPr>
          <w:rFonts w:ascii="Times New Roman" w:hAnsi="Times New Roman"/>
          <w:noProof/>
          <w:lang w:val="bg-BG"/>
        </w:rPr>
        <w:t xml:space="preserve">. </w:t>
      </w:r>
    </w:p>
    <w:p>
      <w:pPr>
        <w:jc w:val="both"/>
        <w:rPr>
          <w:rFonts w:ascii="Times New Roman" w:hAnsi="Times New Roman" w:cs="Times New Roman"/>
          <w:noProof/>
          <w:sz w:val="24"/>
          <w:szCs w:val="24"/>
          <w:lang w:val="bg-BG"/>
        </w:rPr>
      </w:pPr>
      <w:r>
        <w:rPr>
          <w:rFonts w:ascii="Times New Roman" w:hAnsi="Times New Roman"/>
          <w:noProof/>
          <w:lang w:val="bg-BG"/>
        </w:rPr>
        <w:t xml:space="preserve">Първото докладване на данни за екосистемите през 2019 г. съгласно Директива (ЕС) 2016/2284 ще допринесе за създаването на референтни стойности, с който бъдещите въздействия могат да се сравняват, при условие че има съгласуваност във времето при докладване на станции, показатели и подходяща честота на мониторинг. Това също така ще позволи мониторинг на въздействията върху екосистемата съгласно директивата с оглед на информиране за Стратегията за биологичното разнообразие до 2030 г. и след това. </w:t>
      </w:r>
    </w:p>
    <w:p>
      <w:pPr>
        <w:jc w:val="both"/>
        <w:rPr>
          <w:rFonts w:ascii="Times New Roman" w:hAnsi="Times New Roman" w:cs="Times New Roman"/>
          <w:noProof/>
          <w:sz w:val="24"/>
          <w:szCs w:val="24"/>
          <w:lang w:val="bg-BG"/>
        </w:rPr>
      </w:pPr>
      <w:r>
        <w:rPr>
          <w:rFonts w:ascii="Times New Roman" w:hAnsi="Times New Roman"/>
          <w:noProof/>
          <w:lang w:val="bg-BG"/>
        </w:rPr>
        <w:t>Въпреки че в шаблона за НПКЗВ е уточнено, че държавите членки трябва да докладват (като незадължително съдържание) въздействията върху околната среда по прогнозен сценарий „при взети допълнителни мерки“, такива не са докладвани в нито една НПКЗВ, представена през 2019 г. По-вероятно е държавите членки да докладват за тези въздействия в следващата НПКЗВ въз основа на информацията, събрана съгласно задълженията по член 9 от директивата.</w:t>
      </w:r>
    </w:p>
    <w:p>
      <w:pPr>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 xml:space="preserve">Разходи и ползи в резултат на намалените емисии на замърсители на въздуха </w:t>
      </w:r>
    </w:p>
    <w:p>
      <w:pPr>
        <w:jc w:val="both"/>
        <w:rPr>
          <w:rFonts w:ascii="Times New Roman" w:hAnsi="Times New Roman" w:cs="Times New Roman"/>
          <w:noProof/>
          <w:sz w:val="24"/>
          <w:szCs w:val="24"/>
          <w:lang w:val="bg-BG"/>
        </w:rPr>
      </w:pPr>
      <w:r>
        <w:rPr>
          <w:rFonts w:ascii="Times New Roman" w:hAnsi="Times New Roman"/>
          <w:noProof/>
          <w:lang w:val="bg-BG"/>
        </w:rPr>
        <w:t>Информацията за разходите и ползите от политиките и мерките, избрани за приемане от държавите членки, представлява незадължително съдържание на формата на НПКЗВ. Сред шестнадесетте НПКЗВ, анализирани в това отношение за този доклад, едва в пет</w:t>
      </w:r>
      <w:r>
        <w:rPr>
          <w:rStyle w:val="FootnoteReference"/>
          <w:noProof/>
          <w:lang w:val="bg-BG"/>
        </w:rPr>
        <w:footnoteReference w:id="57"/>
      </w:r>
      <w:r>
        <w:rPr>
          <w:rFonts w:ascii="Times New Roman" w:hAnsi="Times New Roman"/>
          <w:noProof/>
          <w:lang w:val="bg-BG"/>
        </w:rPr>
        <w:t xml:space="preserve"> е била докладвана такава информация. Дори в тези НПКЗВ разходите са били докладвани само за няколко политики и мерки със сравнително ниско (или никакво) ниво на подробност относно степента и мащаба на мерките. Липсва информация за срока, за който се прилагат приблизително оценените разходи. Това много ограничено докладване на разходите за предложените мерки може да породи съмнение относно степента, в която е осигурено финансиране за тяхното изпълнение. Въпреки че приблизително оценените разходи до голяма степен зависят от националните обстоятелства, тяхното докладване ще предостави елементи за полезен анализ на относителната ефективност на различните мерки, които биха могли да информират бъдещия избор на политики в дадената държава членка или в други държави (партньорско обучение). </w:t>
      </w:r>
    </w:p>
    <w:p>
      <w:pPr>
        <w:jc w:val="both"/>
        <w:rPr>
          <w:rFonts w:ascii="Times New Roman" w:hAnsi="Times New Roman" w:cs="Times New Roman"/>
          <w:noProof/>
          <w:sz w:val="24"/>
          <w:szCs w:val="24"/>
          <w:lang w:val="bg-BG"/>
        </w:rPr>
      </w:pPr>
      <w:r>
        <w:rPr>
          <w:rFonts w:ascii="Times New Roman" w:hAnsi="Times New Roman"/>
          <w:noProof/>
          <w:lang w:val="bg-BG"/>
        </w:rPr>
        <w:t xml:space="preserve">Нито една НПКЗВ не е предоставила оценка на паричната стойност на ползите от предложените мерки. Това следва от факта, че емисиите във въздуха и въздействията на мерките върху качеството на въздуха невинаги са количествено определени, поради което се отразяват на стъпките за окончателна оценка. </w:t>
      </w:r>
    </w:p>
    <w:p>
      <w:pPr>
        <w:jc w:val="both"/>
        <w:rPr>
          <w:rFonts w:ascii="Times New Roman" w:hAnsi="Times New Roman" w:cs="Times New Roman"/>
          <w:noProof/>
          <w:sz w:val="24"/>
          <w:szCs w:val="24"/>
          <w:lang w:val="bg-BG"/>
        </w:rPr>
      </w:pPr>
      <w:r>
        <w:rPr>
          <w:rFonts w:ascii="Times New Roman" w:hAnsi="Times New Roman"/>
          <w:noProof/>
          <w:lang w:val="bg-BG"/>
        </w:rPr>
        <w:t xml:space="preserve">В следващото докладване по НПКЗВ от държавите членки се очаква да докладват повече информация за разходите и ползите от мерките за намаляване на емисиите на замърсителите на въздуха, тъй като това е ключов елемент, от който се извличат поуки при разработването на бъдещи мерки. Междувременно този аспект ще бъде анализиран в предстоящия обзор на мерките за чистота на въздуха чрез методика за моделиране. </w:t>
      </w:r>
    </w:p>
    <w:p>
      <w:pPr>
        <w:jc w:val="both"/>
        <w:rPr>
          <w:rFonts w:ascii="Times New Roman" w:hAnsi="Times New Roman" w:cs="Times New Roman"/>
          <w:noProof/>
          <w:sz w:val="24"/>
          <w:szCs w:val="24"/>
          <w:lang w:val="bg-BG"/>
        </w:rPr>
      </w:pPr>
    </w:p>
    <w:p>
      <w:pPr>
        <w:pStyle w:val="ListParagraph"/>
        <w:numPr>
          <w:ilvl w:val="0"/>
          <w:numId w:val="12"/>
        </w:numPr>
        <w:spacing w:line="256" w:lineRule="auto"/>
        <w:jc w:val="both"/>
        <w:rPr>
          <w:rFonts w:ascii="Times New Roman" w:hAnsi="Times New Roman" w:cs="Times New Roman"/>
          <w:noProof/>
          <w:sz w:val="24"/>
          <w:szCs w:val="24"/>
          <w:lang w:val="bg-BG"/>
        </w:rPr>
      </w:pPr>
      <w:r>
        <w:rPr>
          <w:rFonts w:ascii="Times New Roman" w:hAnsi="Times New Roman"/>
          <w:b/>
          <w:noProof/>
          <w:lang w:val="bg-BG"/>
        </w:rPr>
        <w:t>Други аспекти на прилагането на Директива (ЕС) 2016/2284</w:t>
      </w:r>
    </w:p>
    <w:p>
      <w:pPr>
        <w:pStyle w:val="ListParagraph"/>
        <w:ind w:left="360"/>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Съществуващи действия на ЕС в подкрепа на прилагането</w:t>
      </w:r>
    </w:p>
    <w:p>
      <w:pPr>
        <w:jc w:val="both"/>
        <w:rPr>
          <w:rFonts w:ascii="Times New Roman" w:hAnsi="Times New Roman" w:cs="Times New Roman"/>
          <w:noProof/>
          <w:sz w:val="24"/>
          <w:szCs w:val="24"/>
          <w:lang w:val="bg-BG"/>
        </w:rPr>
      </w:pPr>
      <w:r>
        <w:rPr>
          <w:rFonts w:ascii="Times New Roman" w:hAnsi="Times New Roman"/>
          <w:noProof/>
          <w:lang w:val="bg-BG"/>
        </w:rPr>
        <w:t>В съответствие с член 12 от Директива (ЕС) 2016/2284 Комисията трябва да организира на редовни интервали Европейски форум за чист въздух, за да улесни координираното прилагане на законодателството и политиките в областта на качеството на въздуха в Съюза. Досега Комисията е организирала, в сътрудничество със съответните държави членки, два европейски форума за чист въздух. Първият се проведе в Париж в периода 16—17 ноември 2017 г., а вторият — в Братислава в периода 28—29 ноември 2019 г.</w:t>
      </w:r>
      <w:r>
        <w:rPr>
          <w:rStyle w:val="FootnoteReference"/>
          <w:noProof/>
          <w:lang w:val="bg-BG"/>
        </w:rPr>
        <w:footnoteReference w:id="58"/>
      </w:r>
      <w:r>
        <w:rPr>
          <w:rFonts w:ascii="Times New Roman" w:hAnsi="Times New Roman"/>
          <w:noProof/>
          <w:lang w:val="bg-BG"/>
        </w:rPr>
        <w:t xml:space="preserve"> И към двете събития беше проявен силен интерес от страна на заинтересовани страни от правителството, промишлеността, неправителствените организации и гражданите. Форумът за чист въздух през 2017 г. се фокусира върху темите за качеството на въздуха в градовете, замърсяването на въздуха от селскостопанския сектор, както и възможностите за бизнес в областта на чистия въздух. Форумът за чист въздух през 2019 г. продължи дискусията относно въздействията на селското стопанство върху замърсяването на въздуха и освен това постави акцент върху чистия въздух и здравето, отоплението в бита, както и върху възможностите за финансиране на мерките за чист въздух.</w:t>
      </w:r>
    </w:p>
    <w:p>
      <w:pPr>
        <w:jc w:val="both"/>
        <w:rPr>
          <w:rFonts w:ascii="Times New Roman" w:hAnsi="Times New Roman" w:cs="Times New Roman"/>
          <w:noProof/>
          <w:sz w:val="24"/>
          <w:szCs w:val="24"/>
          <w:lang w:val="bg-BG"/>
        </w:rPr>
      </w:pPr>
      <w:r>
        <w:rPr>
          <w:rFonts w:ascii="Times New Roman" w:hAnsi="Times New Roman"/>
          <w:noProof/>
          <w:lang w:val="bg-BG"/>
        </w:rPr>
        <w:t xml:space="preserve">Комисията осигурява допълнителна подкрепа на държавите членки при прилагането на Директива (ЕС) 2016/2284 чрез различни средства, включително диалозите за чист въздух, изграждането на капацитет и експертната група за качеството на атмосферния въздух. Диалозите за чист въздух представляват двустранни срещи между Комисията и дадена държава членка за насърчаване на действия, които ще подобрят качеството на въздуха и ще намалят замърсяването на въздуха, обединявайки различни участници и сектори в подход на сътрудничество. Те разглеждат конкретната ситуация и нужди на държава членка, насърчават най-добрите практики и информират за възможностите за финансиране. В периода 2017—2019 г. са проведени седем диалога: с Ирландия, Испания, Италия, Люксембург, Словакия, Унгария и Чехия. </w:t>
      </w:r>
    </w:p>
    <w:p>
      <w:pPr>
        <w:jc w:val="both"/>
        <w:rPr>
          <w:rFonts w:ascii="Times New Roman" w:hAnsi="Times New Roman" w:cs="Times New Roman"/>
          <w:noProof/>
          <w:sz w:val="24"/>
          <w:szCs w:val="24"/>
          <w:lang w:val="bg-BG"/>
        </w:rPr>
      </w:pPr>
      <w:r>
        <w:rPr>
          <w:rFonts w:ascii="Times New Roman" w:hAnsi="Times New Roman"/>
          <w:noProof/>
          <w:lang w:val="bg-BG"/>
        </w:rPr>
        <w:t>За да помогне на държавите членки да подобрят способността си да изготвят надеждни прогнози за емисиите на замърсители на въздуха, през 2018 г. Комисията стартира проект за изграждане на капацитет, в който участваха десет държави членки. Сред резултатите от проекта беше разработването на насоки за изготвянето на прогнози, достъпни за всички държави членки.</w:t>
      </w:r>
      <w:r>
        <w:rPr>
          <w:noProof/>
          <w:lang w:val="bg-BG"/>
        </w:rPr>
        <w:t xml:space="preserve"> </w:t>
      </w:r>
      <w:r>
        <w:rPr>
          <w:rFonts w:ascii="Times New Roman" w:hAnsi="Times New Roman"/>
          <w:noProof/>
          <w:lang w:val="bg-BG"/>
        </w:rPr>
        <w:t>Освен това, от 2014 г. програмата за наблюдение на Земята „Коперник“ осигурява чрез своята основна услуга за мониторинг на атмосферата (CAMS) непрекъснати данни и информация, описващи качеството на въздуха и неговото развитие на национално и европейско равнище.</w:t>
      </w:r>
    </w:p>
    <w:p>
      <w:pPr>
        <w:jc w:val="both"/>
        <w:rPr>
          <w:rFonts w:ascii="Times New Roman" w:hAnsi="Times New Roman"/>
          <w:noProof/>
          <w:sz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 xml:space="preserve"> Усвояване на средства от Съюза в подкрепа на целите на Директива (ЕС) 2016/2284</w:t>
      </w:r>
    </w:p>
    <w:p>
      <w:pPr>
        <w:jc w:val="both"/>
        <w:rPr>
          <w:rFonts w:ascii="Times New Roman" w:hAnsi="Times New Roman" w:cs="Times New Roman"/>
          <w:noProof/>
          <w:sz w:val="24"/>
          <w:szCs w:val="24"/>
          <w:lang w:val="bg-BG"/>
        </w:rPr>
      </w:pPr>
      <w:r>
        <w:rPr>
          <w:rFonts w:ascii="Times New Roman" w:hAnsi="Times New Roman"/>
          <w:noProof/>
          <w:lang w:val="bg-BG"/>
        </w:rPr>
        <w:t xml:space="preserve">В член 7 от директивата се изисква от Комисията да „се стреми да улесни достъпа [на държавите членки] до съществуващите фондове на Съюза“, за да подкрепи постигането на целите на директивата. В член 11, параграф 1, буква в) от директивата се изисква от Комисията да докладва за такова усвояване. </w:t>
      </w:r>
    </w:p>
    <w:p>
      <w:pPr>
        <w:jc w:val="both"/>
        <w:rPr>
          <w:rFonts w:ascii="Times New Roman" w:hAnsi="Times New Roman" w:cs="Times New Roman"/>
          <w:noProof/>
          <w:sz w:val="24"/>
          <w:szCs w:val="24"/>
          <w:lang w:val="bg-BG"/>
        </w:rPr>
      </w:pPr>
      <w:r>
        <w:rPr>
          <w:rFonts w:ascii="Times New Roman" w:hAnsi="Times New Roman"/>
          <w:noProof/>
          <w:lang w:val="bg-BG"/>
        </w:rPr>
        <w:t xml:space="preserve">През годините беше предоставено финансиране от ЕС по различни програми и то беше успешно използвано от държавите членки за подобряване на качеството на въздуха. Това финансиране директно подкрепя проекти за чист въздух или ефективно включва целите за чист въздух в други инвестиции (например инфраструктура, развитие на селските райони и региона). За да се наблюдава напредъкът по усвояването на тези средства от ЕС, Комисията разработи методика, оценяваща степента, в която всеки поток на финансиране допринася за постигане на целите за чист въздух. Това наблюдение също така ще подпомогне държавите членки при прилагането на политиките за чист въздух. </w:t>
      </w:r>
    </w:p>
    <w:p>
      <w:pPr>
        <w:jc w:val="both"/>
        <w:rPr>
          <w:rFonts w:ascii="Times New Roman" w:hAnsi="Times New Roman" w:cs="Times New Roman"/>
          <w:noProof/>
          <w:sz w:val="24"/>
          <w:szCs w:val="24"/>
          <w:lang w:val="bg-BG"/>
        </w:rPr>
      </w:pPr>
      <w:r>
        <w:rPr>
          <w:rFonts w:ascii="Times New Roman" w:hAnsi="Times New Roman"/>
          <w:noProof/>
          <w:lang w:val="bg-BG"/>
        </w:rPr>
        <w:t>Методиката, както и прогнозните суми на средствата от ЕС, допринасящи за постигане на целите за чист въздух, са представени в приложение 4 към настоящия доклад. Комисията ще докладва ежегодно за финансирането на мерки в областта на чистия въздух в рамките на своя проектобюджет за всяка съответна програма за финансиране.</w:t>
      </w:r>
    </w:p>
    <w:p>
      <w:pPr>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 xml:space="preserve"> Последващи действия по „Декларацията на Комисията за метана“</w:t>
      </w:r>
    </w:p>
    <w:p>
      <w:pPr>
        <w:jc w:val="both"/>
        <w:rPr>
          <w:rFonts w:ascii="Times New Roman" w:hAnsi="Times New Roman"/>
          <w:noProof/>
          <w:lang w:val="bg-BG"/>
        </w:rPr>
      </w:pPr>
      <w:r>
        <w:rPr>
          <w:rFonts w:ascii="Times New Roman" w:hAnsi="Times New Roman"/>
          <w:noProof/>
          <w:lang w:val="bg-BG"/>
        </w:rPr>
        <w:t>Докато общите емисии на метан в ЕС са намалели със 17% в периода 2005—2017 г. (същият процент като общите емисии на парникови газове), емисиите на метан от селскостопанския сектор са намалели с 1,6 % за същия период (което води до по-голям дял на селскостопанския сектор)</w:t>
      </w:r>
      <w:r>
        <w:rPr>
          <w:rStyle w:val="FootnoteReference"/>
          <w:noProof/>
          <w:lang w:val="bg-BG"/>
        </w:rPr>
        <w:t xml:space="preserve"> </w:t>
      </w:r>
      <w:r>
        <w:rPr>
          <w:rStyle w:val="FootnoteReference"/>
          <w:noProof/>
          <w:lang w:val="bg-BG"/>
        </w:rPr>
        <w:footnoteReference w:id="59"/>
      </w:r>
      <w:r>
        <w:rPr>
          <w:rFonts w:ascii="Times New Roman" w:hAnsi="Times New Roman"/>
          <w:noProof/>
          <w:lang w:val="bg-BG"/>
        </w:rPr>
        <w:t>.</w:t>
      </w:r>
    </w:p>
    <w:p>
      <w:pPr>
        <w:jc w:val="both"/>
        <w:rPr>
          <w:rFonts w:ascii="Times New Roman" w:hAnsi="Times New Roman" w:cs="Times New Roman"/>
          <w:noProof/>
          <w:sz w:val="24"/>
          <w:szCs w:val="24"/>
          <w:lang w:val="bg-BG"/>
        </w:rPr>
      </w:pPr>
      <w:r>
        <w:rPr>
          <w:rFonts w:ascii="Times New Roman" w:hAnsi="Times New Roman"/>
          <w:noProof/>
          <w:lang w:val="bg-BG"/>
        </w:rPr>
        <w:t>Предложението на Комисията за Директива (ЕС) 2016/2284 включва задължение за намаляване на емисиите на метан поради спешността на борбата с емисиите от този замърсител, както от гледна точка на чистия въздух (метанът е важен прекурсор на озона), така и от гледна точка на климата. Европейският парламент и Съветът обаче решиха да премахнат позоваването на метана по време на процеса на приемане, оставяйки този замърсител нерегулиран от директивата. Впоследствие Комисията издаде декларация, публикувана в края на директивата. Декларацията гласи:</w:t>
      </w:r>
    </w:p>
    <w:p>
      <w:pPr>
        <w:jc w:val="both"/>
        <w:rPr>
          <w:rFonts w:ascii="Times New Roman" w:hAnsi="Times New Roman" w:cs="Times New Roman"/>
          <w:noProof/>
          <w:sz w:val="24"/>
          <w:szCs w:val="24"/>
          <w:lang w:val="bg-BG"/>
        </w:rPr>
      </w:pPr>
      <w:r>
        <w:rPr>
          <w:rFonts w:ascii="Times New Roman" w:hAnsi="Times New Roman"/>
          <w:i/>
          <w:noProof/>
          <w:lang w:val="bg-BG"/>
        </w:rPr>
        <w:t>„Комисията счита, че във връзка с качеството на въздуха са налице сериозни аргументи за поддържане на наблюдението на измененията при емисиите на метан в държавите членки, с цел намаляване на концентрациите на озон в ЕС и за насърчаване намаляването на емисиите на метан в международен план.[...] Комисията потвърждава, че [...] възнамерява да оцени допълнително въздействието на емисиите на метан за постигането на целите [...] от Директивата за НТЕ, и ще разгледа мерки за намаляване на посочените емисии, като при необходимост ще представи законодателно предложение за тази цел.“</w:t>
      </w:r>
      <w:r>
        <w:rPr>
          <w:rFonts w:ascii="Times New Roman" w:hAnsi="Times New Roman"/>
          <w:noProof/>
          <w:lang w:val="bg-BG"/>
        </w:rPr>
        <w:t xml:space="preserve"> </w:t>
      </w:r>
    </w:p>
    <w:p>
      <w:pPr>
        <w:jc w:val="both"/>
        <w:rPr>
          <w:rFonts w:ascii="Times New Roman" w:hAnsi="Times New Roman" w:cs="Times New Roman"/>
          <w:noProof/>
          <w:sz w:val="24"/>
          <w:szCs w:val="24"/>
          <w:lang w:val="bg-BG"/>
        </w:rPr>
      </w:pPr>
      <w:r>
        <w:rPr>
          <w:rFonts w:ascii="Times New Roman" w:hAnsi="Times New Roman"/>
          <w:noProof/>
          <w:lang w:val="bg-BG"/>
        </w:rPr>
        <w:t>Комисията работи върху тази допълнителна оценка</w:t>
      </w:r>
      <w:r>
        <w:rPr>
          <w:rStyle w:val="FootnoteReference"/>
          <w:noProof/>
          <w:lang w:val="bg-BG"/>
        </w:rPr>
        <w:footnoteReference w:id="60"/>
      </w:r>
      <w:r>
        <w:rPr>
          <w:rFonts w:ascii="Times New Roman" w:hAnsi="Times New Roman"/>
          <w:noProof/>
          <w:lang w:val="bg-BG"/>
        </w:rPr>
        <w:t xml:space="preserve">. </w:t>
      </w:r>
    </w:p>
    <w:p>
      <w:pPr>
        <w:jc w:val="both"/>
        <w:rPr>
          <w:rFonts w:ascii="Times New Roman" w:hAnsi="Times New Roman" w:cs="Times New Roman"/>
          <w:noProof/>
          <w:sz w:val="24"/>
          <w:szCs w:val="24"/>
          <w:lang w:val="bg-BG"/>
        </w:rPr>
      </w:pPr>
      <w:r>
        <w:rPr>
          <w:rFonts w:ascii="Times New Roman" w:hAnsi="Times New Roman"/>
          <w:noProof/>
          <w:lang w:val="bg-BG"/>
        </w:rPr>
        <w:t>В съобщението относно стратегическия дългосрочен план на Европа за просперираща, модерна, конкурентоспособна и неутрална по отношение на климата икономика до 2050 г. бяха оценени възможностите за по-нататъшно намаляване на емисиите на метан във всички сектори на ЕС</w:t>
      </w:r>
      <w:r>
        <w:rPr>
          <w:rStyle w:val="FootnoteReference"/>
          <w:noProof/>
          <w:lang w:val="bg-BG"/>
        </w:rPr>
        <w:footnoteReference w:id="61"/>
      </w:r>
      <w:r>
        <w:rPr>
          <w:rFonts w:ascii="Times New Roman" w:hAnsi="Times New Roman"/>
          <w:noProof/>
          <w:lang w:val="bg-BG"/>
        </w:rPr>
        <w:t>. Подкрепящият и задълбочен анализ на това съобщение показа, че все още има потенциал за по-нататъшно намаляване на емисиите на метан във всички засегнати сектори: селско стопанство, отпадъци и отпадъчни води, както и енергетика</w:t>
      </w:r>
      <w:r>
        <w:rPr>
          <w:rStyle w:val="FootnoteReference"/>
          <w:noProof/>
          <w:lang w:val="bg-BG"/>
        </w:rPr>
        <w:footnoteReference w:id="62"/>
      </w:r>
      <w:r>
        <w:rPr>
          <w:noProof/>
          <w:lang w:val="bg-BG"/>
        </w:rPr>
        <w:t>.</w:t>
      </w:r>
      <w:r>
        <w:rPr>
          <w:rFonts w:ascii="Times New Roman" w:hAnsi="Times New Roman"/>
          <w:noProof/>
          <w:lang w:val="bg-BG"/>
        </w:rPr>
        <w:t xml:space="preserve"> </w:t>
      </w:r>
    </w:p>
    <w:p>
      <w:pPr>
        <w:jc w:val="both"/>
        <w:rPr>
          <w:rFonts w:ascii="Times New Roman" w:hAnsi="Times New Roman" w:cs="Times New Roman"/>
          <w:noProof/>
          <w:sz w:val="24"/>
          <w:szCs w:val="24"/>
          <w:lang w:val="bg-BG"/>
        </w:rPr>
      </w:pPr>
      <w:r>
        <w:rPr>
          <w:rFonts w:ascii="Times New Roman" w:hAnsi="Times New Roman"/>
          <w:noProof/>
          <w:lang w:val="bg-BG"/>
        </w:rPr>
        <w:t xml:space="preserve">Комисията продължава да смята, че емисиите на метан трябва да бъдат предмет на преглед с цел ограничаване на приноса им към концентрациите на озон в ЕС и намаляване на емисиите на метан в международен план, което поставя Съюза в лидерска позиция в разработването на взаимодействия за борба както с изменението на климата, така и със замърсяването на въздуха. Въз основа на анализа, извършен през последните години и в съответствие с обзора на мерките за чистота на въздуха през 2018 г., горната декларация на Комисията остава напълно валидна.  </w:t>
      </w:r>
    </w:p>
    <w:p>
      <w:pPr>
        <w:ind w:left="568"/>
        <w:jc w:val="both"/>
        <w:rPr>
          <w:rFonts w:ascii="Times New Roman" w:hAnsi="Times New Roman" w:cs="Times New Roman"/>
          <w:noProof/>
          <w:sz w:val="24"/>
          <w:szCs w:val="24"/>
          <w:lang w:val="bg-BG"/>
        </w:rPr>
      </w:pPr>
    </w:p>
    <w:p>
      <w:pPr>
        <w:pStyle w:val="ListParagraph"/>
        <w:numPr>
          <w:ilvl w:val="1"/>
          <w:numId w:val="12"/>
        </w:numPr>
        <w:spacing w:line="256" w:lineRule="auto"/>
        <w:jc w:val="both"/>
        <w:rPr>
          <w:rFonts w:ascii="Times New Roman" w:hAnsi="Times New Roman" w:cs="Times New Roman"/>
          <w:noProof/>
          <w:sz w:val="24"/>
          <w:szCs w:val="24"/>
          <w:lang w:val="bg-BG"/>
        </w:rPr>
      </w:pPr>
      <w:r>
        <w:rPr>
          <w:rFonts w:ascii="Times New Roman" w:hAnsi="Times New Roman"/>
          <w:noProof/>
          <w:lang w:val="bg-BG"/>
        </w:rPr>
        <w:t xml:space="preserve">Международни връзки </w:t>
      </w:r>
    </w:p>
    <w:p>
      <w:pPr>
        <w:jc w:val="both"/>
        <w:rPr>
          <w:rFonts w:ascii="Times New Roman" w:hAnsi="Times New Roman" w:cs="Times New Roman"/>
          <w:noProof/>
          <w:sz w:val="24"/>
          <w:szCs w:val="24"/>
          <w:lang w:val="bg-BG"/>
        </w:rPr>
      </w:pPr>
      <w:r>
        <w:rPr>
          <w:rFonts w:ascii="Times New Roman" w:hAnsi="Times New Roman"/>
          <w:noProof/>
          <w:lang w:val="bg-BG"/>
        </w:rPr>
        <w:t>Директива (ЕС) 2016/2284 е тясно свързана с Конвенцията на ИКЕ на ООН за трансгранично замърсяване на въздуха на далечни разстояния (Конвенцията за въздуха) и протоколите към нея</w:t>
      </w:r>
      <w:r>
        <w:rPr>
          <w:rStyle w:val="FootnoteReference"/>
          <w:noProof/>
          <w:lang w:val="bg-BG"/>
        </w:rPr>
        <w:footnoteReference w:id="63"/>
      </w:r>
      <w:r>
        <w:rPr>
          <w:rFonts w:ascii="Times New Roman" w:hAnsi="Times New Roman"/>
          <w:noProof/>
          <w:lang w:val="bg-BG"/>
        </w:rPr>
        <w:t>. Доколкото е възможно, се проучват взаимодействията между двата правни режима и се осигурява сътрудничество, по-специално по отношение на докладването на инвентаризациите и прогнозите за емисиите. С подкрепата на ЕАОС е разработено съвместно ръководство за инвентаризациите във връзка с общата методика, което непрекъснато се усъвършенства. Измененият Протокол от Гьотеборг към Конвенцията за въздуха, който влезе в сила на 7 октомври 2019 г. и директивата до голяма степен съвпадат по отношение на задълженията за намаляване на емисиите за периода 2020—2029 г. Протоколът от Гьотеборг ще бъде преразгледан в рамките на Рамковата конвенция за въздуха от 2020 г. нататък, като предоставя възможност за разглеждане на по-нататъшното привеждане в съответствие на тези два правни режима, включително и по отношение на разработването на подход, свързан например с емисиите на метан и черен въглерод.</w:t>
      </w:r>
    </w:p>
    <w:p>
      <w:pPr>
        <w:jc w:val="both"/>
        <w:rPr>
          <w:rFonts w:ascii="Times New Roman" w:hAnsi="Times New Roman" w:cs="Times New Roman"/>
          <w:b/>
          <w:noProof/>
          <w:sz w:val="24"/>
          <w:szCs w:val="24"/>
          <w:lang w:val="bg-BG"/>
        </w:rPr>
      </w:pPr>
    </w:p>
    <w:p>
      <w:pPr>
        <w:pStyle w:val="ListParagraph"/>
        <w:numPr>
          <w:ilvl w:val="0"/>
          <w:numId w:val="12"/>
        </w:numPr>
        <w:spacing w:line="256" w:lineRule="auto"/>
        <w:jc w:val="both"/>
        <w:rPr>
          <w:rFonts w:ascii="Times New Roman" w:hAnsi="Times New Roman" w:cs="Times New Roman"/>
          <w:noProof/>
          <w:sz w:val="24"/>
          <w:szCs w:val="24"/>
          <w:lang w:val="bg-BG"/>
        </w:rPr>
      </w:pPr>
      <w:r>
        <w:rPr>
          <w:rFonts w:ascii="Times New Roman" w:hAnsi="Times New Roman"/>
          <w:b/>
          <w:noProof/>
          <w:lang w:val="bg-BG"/>
        </w:rPr>
        <w:t>Заключение</w:t>
      </w:r>
    </w:p>
    <w:p>
      <w:pPr>
        <w:jc w:val="both"/>
        <w:rPr>
          <w:rFonts w:ascii="Times New Roman" w:hAnsi="Times New Roman" w:cs="Times New Roman"/>
          <w:noProof/>
          <w:sz w:val="24"/>
          <w:szCs w:val="24"/>
          <w:lang w:val="bg-BG"/>
        </w:rPr>
      </w:pPr>
      <w:r>
        <w:rPr>
          <w:rFonts w:ascii="Times New Roman" w:hAnsi="Times New Roman"/>
          <w:noProof/>
          <w:lang w:val="bg-BG"/>
        </w:rPr>
        <w:t xml:space="preserve">Правилното прилагане на Директива (ЕС) 2016/2284 от самото начало е изключително важно, за да се гарантира навременното намаляване на емисиите на замърсители на въздуха, да се допринесе ефективно за подобряването на здравето на хората и екосистемите и да се постигне амбицията на Комисията за нулево замърсяване за нетоксична околна среда в рамките на Европейския зелен пакт. </w:t>
      </w:r>
    </w:p>
    <w:p>
      <w:pPr>
        <w:jc w:val="both"/>
        <w:rPr>
          <w:rFonts w:ascii="Times New Roman" w:hAnsi="Times New Roman" w:cs="Times New Roman"/>
          <w:noProof/>
          <w:sz w:val="24"/>
          <w:szCs w:val="24"/>
          <w:lang w:val="bg-BG"/>
        </w:rPr>
      </w:pPr>
      <w:r>
        <w:rPr>
          <w:rFonts w:ascii="Times New Roman" w:hAnsi="Times New Roman"/>
          <w:noProof/>
          <w:lang w:val="bg-BG"/>
        </w:rPr>
        <w:t xml:space="preserve">Все още е твърде рано да се правят категорични изводи за пътя на държавите членки до целите и траекториите за постигането на съответствие на базата на действителните емисии, тъй като данните за 2020 г. ще станат достъпни за проверка на съответствието едва през 2022 г. Имайки това предвид, прогнозираните данни за емисиите и анализът на НПКЗВ ясно сочат необходимостта от засилени усилия дори в краткосрочен план. </w:t>
      </w:r>
    </w:p>
    <w:p>
      <w:pPr>
        <w:jc w:val="both"/>
        <w:rPr>
          <w:rFonts w:ascii="Times New Roman" w:hAnsi="Times New Roman" w:cs="Times New Roman"/>
          <w:noProof/>
          <w:sz w:val="24"/>
          <w:szCs w:val="24"/>
          <w:lang w:val="bg-BG"/>
        </w:rPr>
      </w:pPr>
      <w:r>
        <w:rPr>
          <w:rFonts w:ascii="Times New Roman" w:hAnsi="Times New Roman"/>
          <w:noProof/>
          <w:lang w:val="bg-BG"/>
        </w:rPr>
        <w:t xml:space="preserve">Тъй като НПКЗВ представляват основен инструмент на директивата, още по-важно е те да бъдат изготвяни навреме, и във всеки случай поне веднъж на всеки четири години, въз основа на качествени данни, както и да се актуализират, когато прогнозите показват, че задълженията за намаляване на емисиите няма да бъдат постигнати. За целта държавите членки трябва да продължат да проучват допълнителни и по-строги мерки, за да се гарантира допълнително и по-ефективно намаляване на националните емисии на замърсители на въздуха. Амонякът се откроява в това отношение. Както вече беше подчертано в първия обзор на мерките за чистота на въздуха през 2018 г., емисиите на амоняк остават изключение от цялостните подобрения до момента. Селскостопанският сектор ще трябва да се ангажира допълнително с постигането на необходимите намаления. Комисията ще продължи да наблюдава и подкрепя националните усилия в това отношение чрез финансови и нефинансови инструменти. За финансовите инструменти, това ще бъде постигнато, наред с другото, чрез максимално използване на финансиране по Общата селскостопанска политика в предстоящия програмен цикъл. За нефинансовите инструменти, това ще бъде постигнато, наред с другото, чрез действия за изграждане на капацитет и насърчаване на по-нататъшни полезни взаимодействия с прилагането на съответното законодателство на ЕС, като Директива 91/676/ЕИО относно нитратите и Директива 2010/75/ЕС относно емисиите от промишлеността. Освен това при преразглеждането на последната директива ще се разгледа и потенциалът за по-нататъшен принос за намаляване на емисиите, включително тези на амоняк.     </w:t>
      </w:r>
    </w:p>
    <w:p>
      <w:pPr>
        <w:jc w:val="both"/>
        <w:rPr>
          <w:rFonts w:ascii="Times New Roman" w:hAnsi="Times New Roman" w:cs="Times New Roman"/>
          <w:noProof/>
          <w:sz w:val="24"/>
          <w:szCs w:val="24"/>
          <w:lang w:val="bg-BG"/>
        </w:rPr>
      </w:pPr>
      <w:r>
        <w:rPr>
          <w:rFonts w:ascii="Times New Roman" w:hAnsi="Times New Roman"/>
          <w:noProof/>
          <w:lang w:val="bg-BG"/>
        </w:rPr>
        <w:t xml:space="preserve">Цялостното прилагане на Европейския зелен пакт и увеличената подкрепа от Фонда за справедлив преход и съответните програми на Съюза за финансиране в новия програмен цикъл значително ще улеснят постигането на целите на Директива (ЕС) 2016/2284. Редица инициативи по Зеления пакт ще осигурят важни взаимни ползи за по-ефективното и по-бързо прилагане на директивата. На първо място, амбицията за по-добър климат, реализирана под формата на повишена енергийна ефективност и по-нататъшното развитие на негорими възобновяеми енергийни източници, ще намали емисиите на замърсители на въздуха заедно с парниковите газове. В същото време прилагането на Директива (ЕС) 2016/2284 ще бъде от съществено значение за успеха на прехода към „амбицията за нулево замърсяване за постигане на нетоксична околна среда“, предвидена в Европейския зелен пакт. </w:t>
      </w:r>
    </w:p>
    <w:p>
      <w:pPr>
        <w:jc w:val="both"/>
        <w:rPr>
          <w:rFonts w:ascii="Times New Roman" w:hAnsi="Times New Roman"/>
          <w:b/>
          <w:noProof/>
          <w:sz w:val="24"/>
          <w:lang w:val="bg-BG"/>
        </w:rPr>
      </w:pPr>
      <w:r>
        <w:rPr>
          <w:rFonts w:ascii="Times New Roman" w:hAnsi="Times New Roman"/>
          <w:noProof/>
          <w:lang w:val="bg-BG"/>
        </w:rPr>
        <w:t xml:space="preserve">В допълнение към настоящия доклад, предстоящият втори обзор на мерките за чистота на въздуха, който ще бъде публикуван по-нататък през 2020 г., ще хвърли светлина върху разходите, ползите, полезните взаимодействия и компромисите на текущите и прогнозираните нива на прилагане на директивата и ще подчертае потенциалните нужди от по-нататъшни действия, както на национално равнище, така и на равнището на ЕС.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2408"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72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Съобщение на Комисията до Европейския парламент, Съвета, Европейския икономически и социален комитет и Комитета на регионите — „Програма за чист въздух за Европа“, </w:t>
      </w:r>
      <w:r>
        <w:rPr>
          <w:rFonts w:ascii="Times New Roman" w:hAnsi="Times New Roman"/>
        </w:rPr>
        <w:t>COM</w:t>
      </w:r>
      <w:r>
        <w:rPr>
          <w:rFonts w:ascii="Times New Roman" w:hAnsi="Times New Roman"/>
          <w:lang w:val="ru-RU"/>
        </w:rPr>
        <w:t xml:space="preserve"> (2013) 918, 18.12.2013</w:t>
      </w:r>
      <w:r>
        <w:rPr>
          <w:rFonts w:ascii="Times New Roman" w:hAnsi="Times New Roman"/>
        </w:rPr>
        <w:t> </w:t>
      </w:r>
      <w:r>
        <w:rPr>
          <w:rFonts w:ascii="Times New Roman" w:hAnsi="Times New Roman"/>
          <w:lang w:val="ru-RU"/>
        </w:rPr>
        <w:t>г.</w:t>
      </w:r>
    </w:p>
  </w:footnote>
  <w:footnote w:id="3">
    <w:p>
      <w:pPr>
        <w:pStyle w:val="FootnoteText"/>
        <w:rPr>
          <w:rFonts w:ascii="Times New Roman" w:hAnsi="Times New Roman" w:cs="Times New Roman"/>
          <w:lang w:val="ru-RU"/>
        </w:rPr>
      </w:pPr>
      <w:r>
        <w:rPr>
          <w:rStyle w:val="FootnoteReference"/>
        </w:rPr>
        <w:footnoteRef/>
      </w:r>
      <w:r>
        <w:rPr>
          <w:lang w:val="ru-RU"/>
        </w:rPr>
        <w:t xml:space="preserve"> </w:t>
      </w:r>
      <w:r>
        <w:rPr>
          <w:rFonts w:ascii="Times New Roman" w:hAnsi="Times New Roman"/>
          <w:lang w:val="ru-RU"/>
        </w:rPr>
        <w:t>Директива 2001/81/ЕО на Европейския парламент и на Съвета от 23 октомври 2001</w:t>
      </w:r>
      <w:r>
        <w:rPr>
          <w:rFonts w:ascii="Times New Roman" w:hAnsi="Times New Roman"/>
        </w:rPr>
        <w:t> </w:t>
      </w:r>
      <w:r>
        <w:rPr>
          <w:rFonts w:ascii="Times New Roman" w:hAnsi="Times New Roman"/>
          <w:lang w:val="ru-RU"/>
        </w:rPr>
        <w:t xml:space="preserve">г. относно националните тавани за емисии на някои атмосферни замърсители, ОВ </w:t>
      </w:r>
      <w:r>
        <w:rPr>
          <w:rFonts w:ascii="Times New Roman" w:hAnsi="Times New Roman"/>
        </w:rPr>
        <w:t>L </w:t>
      </w:r>
      <w:r>
        <w:rPr>
          <w:rFonts w:ascii="Times New Roman" w:hAnsi="Times New Roman"/>
          <w:lang w:val="ru-RU"/>
        </w:rPr>
        <w:t>309, 27.11.2001</w:t>
      </w:r>
      <w:r>
        <w:rPr>
          <w:rFonts w:ascii="Times New Roman" w:hAnsi="Times New Roman"/>
        </w:rPr>
        <w:t> </w:t>
      </w:r>
      <w:r>
        <w:rPr>
          <w:rFonts w:ascii="Times New Roman" w:hAnsi="Times New Roman"/>
          <w:lang w:val="ru-RU"/>
        </w:rPr>
        <w:t>г., стр.</w:t>
      </w:r>
      <w:r>
        <w:rPr>
          <w:rFonts w:ascii="Times New Roman" w:hAnsi="Times New Roman"/>
        </w:rPr>
        <w:t> </w:t>
      </w:r>
      <w:r>
        <w:rPr>
          <w:rFonts w:ascii="Times New Roman" w:hAnsi="Times New Roman"/>
          <w:lang w:val="ru-RU"/>
        </w:rPr>
        <w:t xml:space="preserve">22. </w:t>
      </w:r>
    </w:p>
  </w:footnote>
  <w:footnote w:id="4">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Допълнителна информация за това как ЕС и неговите държави членки спазват таваните за емисии за 2010</w:t>
      </w:r>
      <w:r>
        <w:rPr>
          <w:rFonts w:ascii="Times New Roman" w:hAnsi="Times New Roman"/>
        </w:rPr>
        <w:t> </w:t>
      </w:r>
      <w:r>
        <w:rPr>
          <w:rFonts w:ascii="Times New Roman" w:hAnsi="Times New Roman"/>
          <w:lang w:val="ru-RU"/>
        </w:rPr>
        <w:t xml:space="preserve">г., е достъпна на: </w:t>
      </w:r>
      <w:hyperlink r:id="rId1"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www</w:t>
        </w:r>
        <w:r>
          <w:rPr>
            <w:rStyle w:val="Hyperlink"/>
            <w:rFonts w:ascii="Times New Roman" w:hAnsi="Times New Roman"/>
            <w:lang w:val="ru-RU"/>
          </w:rPr>
          <w:t>.</w:t>
        </w:r>
        <w:r>
          <w:rPr>
            <w:rStyle w:val="Hyperlink"/>
            <w:rFonts w:ascii="Times New Roman" w:hAnsi="Times New Roman"/>
          </w:rPr>
          <w:t>eea</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themes</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pollution</w:t>
        </w:r>
        <w:r>
          <w:rPr>
            <w:rStyle w:val="Hyperlink"/>
            <w:rFonts w:ascii="Times New Roman" w:hAnsi="Times New Roman"/>
            <w:lang w:val="ru-RU"/>
          </w:rPr>
          <w:t>-</w:t>
        </w:r>
        <w:r>
          <w:rPr>
            <w:rStyle w:val="Hyperlink"/>
            <w:rFonts w:ascii="Times New Roman" w:hAnsi="Times New Roman"/>
          </w:rPr>
          <w:t>sources</w:t>
        </w:r>
        <w:r>
          <w:rPr>
            <w:rStyle w:val="Hyperlink"/>
            <w:rFonts w:ascii="Times New Roman" w:hAnsi="Times New Roman"/>
            <w:lang w:val="ru-RU"/>
          </w:rPr>
          <w:t>-1/</w:t>
        </w:r>
        <w:r>
          <w:rPr>
            <w:rStyle w:val="Hyperlink"/>
            <w:rFonts w:ascii="Times New Roman" w:hAnsi="Times New Roman"/>
          </w:rPr>
          <w:t>national</w:t>
        </w:r>
        <w:r>
          <w:rPr>
            <w:rStyle w:val="Hyperlink"/>
            <w:rFonts w:ascii="Times New Roman" w:hAnsi="Times New Roman"/>
            <w:lang w:val="ru-RU"/>
          </w:rPr>
          <w:t>-</w:t>
        </w:r>
        <w:r>
          <w:rPr>
            <w:rStyle w:val="Hyperlink"/>
            <w:rFonts w:ascii="Times New Roman" w:hAnsi="Times New Roman"/>
          </w:rPr>
          <w:t>emission</w:t>
        </w:r>
        <w:r>
          <w:rPr>
            <w:rStyle w:val="Hyperlink"/>
            <w:rFonts w:ascii="Times New Roman" w:hAnsi="Times New Roman"/>
            <w:lang w:val="ru-RU"/>
          </w:rPr>
          <w:t>-</w:t>
        </w:r>
        <w:r>
          <w:rPr>
            <w:rStyle w:val="Hyperlink"/>
            <w:rFonts w:ascii="Times New Roman" w:hAnsi="Times New Roman"/>
          </w:rPr>
          <w:t>ceilings</w:t>
        </w:r>
        <w:r>
          <w:rPr>
            <w:rStyle w:val="Hyperlink"/>
            <w:rFonts w:ascii="Times New Roman" w:hAnsi="Times New Roman"/>
            <w:lang w:val="ru-RU"/>
          </w:rPr>
          <w:t>/</w:t>
        </w:r>
        <w:r>
          <w:rPr>
            <w:rStyle w:val="Hyperlink"/>
            <w:rFonts w:ascii="Times New Roman" w:hAnsi="Times New Roman"/>
          </w:rPr>
          <w:t>nec</w:t>
        </w:r>
        <w:r>
          <w:rPr>
            <w:rStyle w:val="Hyperlink"/>
            <w:rFonts w:ascii="Times New Roman" w:hAnsi="Times New Roman"/>
            <w:lang w:val="ru-RU"/>
          </w:rPr>
          <w:t>-</w:t>
        </w:r>
        <w:r>
          <w:rPr>
            <w:rStyle w:val="Hyperlink"/>
            <w:rFonts w:ascii="Times New Roman" w:hAnsi="Times New Roman"/>
          </w:rPr>
          <w:t>directive</w:t>
        </w:r>
        <w:r>
          <w:rPr>
            <w:rStyle w:val="Hyperlink"/>
            <w:rFonts w:ascii="Times New Roman" w:hAnsi="Times New Roman"/>
            <w:lang w:val="ru-RU"/>
          </w:rPr>
          <w:t>-</w:t>
        </w:r>
        <w:r>
          <w:rPr>
            <w:rStyle w:val="Hyperlink"/>
            <w:rFonts w:ascii="Times New Roman" w:hAnsi="Times New Roman"/>
          </w:rPr>
          <w:t>reporting</w:t>
        </w:r>
        <w:r>
          <w:rPr>
            <w:rStyle w:val="Hyperlink"/>
            <w:rFonts w:ascii="Times New Roman" w:hAnsi="Times New Roman"/>
            <w:lang w:val="ru-RU"/>
          </w:rPr>
          <w:t>-</w:t>
        </w:r>
        <w:r>
          <w:rPr>
            <w:rStyle w:val="Hyperlink"/>
            <w:rFonts w:ascii="Times New Roman" w:hAnsi="Times New Roman"/>
          </w:rPr>
          <w:t>status</w:t>
        </w:r>
        <w:r>
          <w:rPr>
            <w:rStyle w:val="Hyperlink"/>
            <w:rFonts w:ascii="Times New Roman" w:hAnsi="Times New Roman"/>
            <w:lang w:val="ru-RU"/>
          </w:rPr>
          <w:t>-2019</w:t>
        </w:r>
      </w:hyperlink>
    </w:p>
  </w:footnote>
  <w:footnote w:id="5">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Протокол от 1999</w:t>
      </w:r>
      <w:r>
        <w:rPr>
          <w:rFonts w:ascii="Times New Roman" w:hAnsi="Times New Roman"/>
        </w:rPr>
        <w:t> </w:t>
      </w:r>
      <w:r>
        <w:rPr>
          <w:rFonts w:ascii="Times New Roman" w:hAnsi="Times New Roman"/>
          <w:lang w:val="ru-RU"/>
        </w:rPr>
        <w:t>г. към Конвенцията за трансграничното замърсяване на въздуха на далечни разстояния за намаляване на подкиселяването, еутрофикацията и тропосферния озон, изменен на 4 май 2012</w:t>
      </w:r>
      <w:r>
        <w:rPr>
          <w:rFonts w:ascii="Times New Roman" w:hAnsi="Times New Roman"/>
        </w:rPr>
        <w:t> </w:t>
      </w:r>
      <w:r>
        <w:rPr>
          <w:rFonts w:ascii="Times New Roman" w:hAnsi="Times New Roman"/>
          <w:lang w:val="ru-RU"/>
        </w:rPr>
        <w:t xml:space="preserve">г. (изменен Протокол от Гьотеборг) </w:t>
      </w:r>
      <w:hyperlink r:id="rId2" w:history="1">
        <w:r>
          <w:rPr>
            <w:rStyle w:val="Hyperlink"/>
            <w:rFonts w:ascii="Times New Roman" w:hAnsi="Times New Roman"/>
          </w:rPr>
          <w:t>http</w:t>
        </w:r>
        <w:r>
          <w:rPr>
            <w:rStyle w:val="Hyperlink"/>
            <w:rFonts w:ascii="Times New Roman" w:hAnsi="Times New Roman"/>
            <w:lang w:val="ru-RU"/>
          </w:rPr>
          <w:t>://</w:t>
        </w:r>
        <w:r>
          <w:rPr>
            <w:rStyle w:val="Hyperlink"/>
            <w:rFonts w:ascii="Times New Roman" w:hAnsi="Times New Roman"/>
          </w:rPr>
          <w:t>www</w:t>
        </w:r>
        <w:r>
          <w:rPr>
            <w:rStyle w:val="Hyperlink"/>
            <w:rFonts w:ascii="Times New Roman" w:hAnsi="Times New Roman"/>
            <w:lang w:val="ru-RU"/>
          </w:rPr>
          <w:t>.</w:t>
        </w:r>
        <w:r>
          <w:rPr>
            <w:rStyle w:val="Hyperlink"/>
            <w:rFonts w:ascii="Times New Roman" w:hAnsi="Times New Roman"/>
          </w:rPr>
          <w:t>unece</w:t>
        </w:r>
        <w:r>
          <w:rPr>
            <w:rStyle w:val="Hyperlink"/>
            <w:rFonts w:ascii="Times New Roman" w:hAnsi="Times New Roman"/>
            <w:lang w:val="ru-RU"/>
          </w:rPr>
          <w:t>.</w:t>
        </w:r>
        <w:r>
          <w:rPr>
            <w:rStyle w:val="Hyperlink"/>
            <w:rFonts w:ascii="Times New Roman" w:hAnsi="Times New Roman"/>
          </w:rPr>
          <w:t>org</w:t>
        </w:r>
        <w:r>
          <w:rPr>
            <w:rStyle w:val="Hyperlink"/>
            <w:rFonts w:ascii="Times New Roman" w:hAnsi="Times New Roman"/>
            <w:lang w:val="ru-RU"/>
          </w:rPr>
          <w:t>/</w:t>
        </w:r>
        <w:r>
          <w:rPr>
            <w:rStyle w:val="Hyperlink"/>
            <w:rFonts w:ascii="Times New Roman" w:hAnsi="Times New Roman"/>
          </w:rPr>
          <w:t>env</w:t>
        </w:r>
        <w:r>
          <w:rPr>
            <w:rStyle w:val="Hyperlink"/>
            <w:rFonts w:ascii="Times New Roman" w:hAnsi="Times New Roman"/>
            <w:lang w:val="ru-RU"/>
          </w:rPr>
          <w:t>/</w:t>
        </w:r>
        <w:r>
          <w:rPr>
            <w:rStyle w:val="Hyperlink"/>
            <w:rFonts w:ascii="Times New Roman" w:hAnsi="Times New Roman"/>
          </w:rPr>
          <w:t>lrtap</w:t>
        </w:r>
        <w:r>
          <w:rPr>
            <w:rStyle w:val="Hyperlink"/>
            <w:rFonts w:ascii="Times New Roman" w:hAnsi="Times New Roman"/>
            <w:lang w:val="ru-RU"/>
          </w:rPr>
          <w:t>/</w:t>
        </w:r>
        <w:r>
          <w:rPr>
            <w:rStyle w:val="Hyperlink"/>
            <w:rFonts w:ascii="Times New Roman" w:hAnsi="Times New Roman"/>
          </w:rPr>
          <w:t>status</w:t>
        </w:r>
        <w:r>
          <w:rPr>
            <w:rStyle w:val="Hyperlink"/>
            <w:rFonts w:ascii="Times New Roman" w:hAnsi="Times New Roman"/>
            <w:lang w:val="ru-RU"/>
          </w:rPr>
          <w:t>/</w:t>
        </w:r>
        <w:r>
          <w:rPr>
            <w:rStyle w:val="Hyperlink"/>
            <w:rFonts w:ascii="Times New Roman" w:hAnsi="Times New Roman"/>
          </w:rPr>
          <w:t>lrtap</w:t>
        </w:r>
        <w:r>
          <w:rPr>
            <w:rStyle w:val="Hyperlink"/>
            <w:rFonts w:ascii="Times New Roman" w:hAnsi="Times New Roman"/>
            <w:lang w:val="ru-RU"/>
          </w:rPr>
          <w:t>_</w:t>
        </w:r>
        <w:r>
          <w:rPr>
            <w:rStyle w:val="Hyperlink"/>
            <w:rFonts w:ascii="Times New Roman" w:hAnsi="Times New Roman"/>
          </w:rPr>
          <w:t>s</w:t>
        </w:r>
        <w:r>
          <w:rPr>
            <w:rStyle w:val="Hyperlink"/>
            <w:rFonts w:ascii="Times New Roman" w:hAnsi="Times New Roman"/>
            <w:lang w:val="ru-RU"/>
          </w:rPr>
          <w:t>.</w:t>
        </w:r>
        <w:r>
          <w:rPr>
            <w:rStyle w:val="Hyperlink"/>
            <w:rFonts w:ascii="Times New Roman" w:hAnsi="Times New Roman"/>
          </w:rPr>
          <w:t>html</w:t>
        </w:r>
      </w:hyperlink>
    </w:p>
  </w:footnote>
  <w:footnote w:id="6">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Конвенция от 1979</w:t>
      </w:r>
      <w:r>
        <w:rPr>
          <w:rFonts w:ascii="Times New Roman" w:hAnsi="Times New Roman"/>
        </w:rPr>
        <w:t> </w:t>
      </w:r>
      <w:r>
        <w:rPr>
          <w:rFonts w:ascii="Times New Roman" w:hAnsi="Times New Roman"/>
          <w:lang w:val="ru-RU"/>
        </w:rPr>
        <w:t xml:space="preserve">г. за трансграничното замърсяване на въздуха на далечни разстояния </w:t>
      </w:r>
      <w:hyperlink r:id="rId3"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www</w:t>
        </w:r>
        <w:r>
          <w:rPr>
            <w:rStyle w:val="Hyperlink"/>
            <w:rFonts w:ascii="Times New Roman" w:hAnsi="Times New Roman"/>
            <w:lang w:val="ru-RU"/>
          </w:rPr>
          <w:t>.</w:t>
        </w:r>
        <w:r>
          <w:rPr>
            <w:rStyle w:val="Hyperlink"/>
            <w:rFonts w:ascii="Times New Roman" w:hAnsi="Times New Roman"/>
          </w:rPr>
          <w:t>unece</w:t>
        </w:r>
        <w:r>
          <w:rPr>
            <w:rStyle w:val="Hyperlink"/>
            <w:rFonts w:ascii="Times New Roman" w:hAnsi="Times New Roman"/>
            <w:lang w:val="ru-RU"/>
          </w:rPr>
          <w:t>.</w:t>
        </w:r>
        <w:r>
          <w:rPr>
            <w:rStyle w:val="Hyperlink"/>
            <w:rFonts w:ascii="Times New Roman" w:hAnsi="Times New Roman"/>
          </w:rPr>
          <w:t>org</w:t>
        </w:r>
        <w:r>
          <w:rPr>
            <w:rStyle w:val="Hyperlink"/>
            <w:rFonts w:ascii="Times New Roman" w:hAnsi="Times New Roman"/>
            <w:lang w:val="ru-RU"/>
          </w:rPr>
          <w:t>/</w:t>
        </w:r>
        <w:r>
          <w:rPr>
            <w:rStyle w:val="Hyperlink"/>
            <w:rFonts w:ascii="Times New Roman" w:hAnsi="Times New Roman"/>
          </w:rPr>
          <w:t>environmental</w:t>
        </w:r>
        <w:r>
          <w:rPr>
            <w:rStyle w:val="Hyperlink"/>
            <w:rFonts w:ascii="Times New Roman" w:hAnsi="Times New Roman"/>
            <w:lang w:val="ru-RU"/>
          </w:rPr>
          <w:t>-</w:t>
        </w:r>
        <w:r>
          <w:rPr>
            <w:rStyle w:val="Hyperlink"/>
            <w:rFonts w:ascii="Times New Roman" w:hAnsi="Times New Roman"/>
          </w:rPr>
          <w:t>policy</w:t>
        </w:r>
        <w:r>
          <w:rPr>
            <w:rStyle w:val="Hyperlink"/>
            <w:rFonts w:ascii="Times New Roman" w:hAnsi="Times New Roman"/>
            <w:lang w:val="ru-RU"/>
          </w:rPr>
          <w:t>/</w:t>
        </w:r>
        <w:r>
          <w:rPr>
            <w:rStyle w:val="Hyperlink"/>
            <w:rFonts w:ascii="Times New Roman" w:hAnsi="Times New Roman"/>
          </w:rPr>
          <w:t>conventions</w:t>
        </w:r>
        <w:r>
          <w:rPr>
            <w:rStyle w:val="Hyperlink"/>
            <w:rFonts w:ascii="Times New Roman" w:hAnsi="Times New Roman"/>
            <w:lang w:val="ru-RU"/>
          </w:rPr>
          <w:t>/</w:t>
        </w:r>
        <w:r>
          <w:rPr>
            <w:rStyle w:val="Hyperlink"/>
            <w:rFonts w:ascii="Times New Roman" w:hAnsi="Times New Roman"/>
          </w:rPr>
          <w:t>envlrtapwelcome</w:t>
        </w:r>
        <w:r>
          <w:rPr>
            <w:rStyle w:val="Hyperlink"/>
            <w:rFonts w:ascii="Times New Roman" w:hAnsi="Times New Roman"/>
            <w:lang w:val="ru-RU"/>
          </w:rPr>
          <w:t>/</w:t>
        </w:r>
        <w:r>
          <w:rPr>
            <w:rStyle w:val="Hyperlink"/>
            <w:rFonts w:ascii="Times New Roman" w:hAnsi="Times New Roman"/>
          </w:rPr>
          <w:t>the</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convention</w:t>
        </w:r>
        <w:r>
          <w:rPr>
            <w:rStyle w:val="Hyperlink"/>
            <w:rFonts w:ascii="Times New Roman" w:hAnsi="Times New Roman"/>
            <w:lang w:val="ru-RU"/>
          </w:rPr>
          <w:t>-</w:t>
        </w:r>
        <w:r>
          <w:rPr>
            <w:rStyle w:val="Hyperlink"/>
            <w:rFonts w:ascii="Times New Roman" w:hAnsi="Times New Roman"/>
          </w:rPr>
          <w:t>and</w:t>
        </w:r>
        <w:r>
          <w:rPr>
            <w:rStyle w:val="Hyperlink"/>
            <w:rFonts w:ascii="Times New Roman" w:hAnsi="Times New Roman"/>
            <w:lang w:val="ru-RU"/>
          </w:rPr>
          <w:t>-</w:t>
        </w:r>
        <w:r>
          <w:rPr>
            <w:rStyle w:val="Hyperlink"/>
            <w:rFonts w:ascii="Times New Roman" w:hAnsi="Times New Roman"/>
          </w:rPr>
          <w:t>its</w:t>
        </w:r>
        <w:r>
          <w:rPr>
            <w:rStyle w:val="Hyperlink"/>
            <w:rFonts w:ascii="Times New Roman" w:hAnsi="Times New Roman"/>
            <w:lang w:val="ru-RU"/>
          </w:rPr>
          <w:t>-</w:t>
        </w:r>
        <w:r>
          <w:rPr>
            <w:rStyle w:val="Hyperlink"/>
            <w:rFonts w:ascii="Times New Roman" w:hAnsi="Times New Roman"/>
          </w:rPr>
          <w:t>protocols</w:t>
        </w:r>
        <w:r>
          <w:rPr>
            <w:rStyle w:val="Hyperlink"/>
            <w:rFonts w:ascii="Times New Roman" w:hAnsi="Times New Roman"/>
            <w:lang w:val="ru-RU"/>
          </w:rPr>
          <w:t>/</w:t>
        </w:r>
        <w:r>
          <w:rPr>
            <w:rStyle w:val="Hyperlink"/>
            <w:rFonts w:ascii="Times New Roman" w:hAnsi="Times New Roman"/>
          </w:rPr>
          <w:t>the</w:t>
        </w:r>
        <w:r>
          <w:rPr>
            <w:rStyle w:val="Hyperlink"/>
            <w:rFonts w:ascii="Times New Roman" w:hAnsi="Times New Roman"/>
            <w:lang w:val="ru-RU"/>
          </w:rPr>
          <w:t>-</w:t>
        </w:r>
        <w:r>
          <w:rPr>
            <w:rStyle w:val="Hyperlink"/>
            <w:rFonts w:ascii="Times New Roman" w:hAnsi="Times New Roman"/>
          </w:rPr>
          <w:t>convention</w:t>
        </w:r>
        <w:r>
          <w:rPr>
            <w:rStyle w:val="Hyperlink"/>
            <w:rFonts w:ascii="Times New Roman" w:hAnsi="Times New Roman"/>
            <w:lang w:val="ru-RU"/>
          </w:rPr>
          <w:t>-</w:t>
        </w:r>
        <w:r>
          <w:rPr>
            <w:rStyle w:val="Hyperlink"/>
            <w:rFonts w:ascii="Times New Roman" w:hAnsi="Times New Roman"/>
          </w:rPr>
          <w:t>and</w:t>
        </w:r>
        <w:r>
          <w:rPr>
            <w:rStyle w:val="Hyperlink"/>
            <w:rFonts w:ascii="Times New Roman" w:hAnsi="Times New Roman"/>
            <w:lang w:val="ru-RU"/>
          </w:rPr>
          <w:t>-</w:t>
        </w:r>
        <w:r>
          <w:rPr>
            <w:rStyle w:val="Hyperlink"/>
            <w:rFonts w:ascii="Times New Roman" w:hAnsi="Times New Roman"/>
          </w:rPr>
          <w:t>its</w:t>
        </w:r>
        <w:r>
          <w:rPr>
            <w:rStyle w:val="Hyperlink"/>
            <w:rFonts w:ascii="Times New Roman" w:hAnsi="Times New Roman"/>
            <w:lang w:val="ru-RU"/>
          </w:rPr>
          <w:t>-</w:t>
        </w:r>
        <w:r>
          <w:rPr>
            <w:rStyle w:val="Hyperlink"/>
            <w:rFonts w:ascii="Times New Roman" w:hAnsi="Times New Roman"/>
          </w:rPr>
          <w:t>achievements</w:t>
        </w:r>
        <w:r>
          <w:rPr>
            <w:rStyle w:val="Hyperlink"/>
            <w:rFonts w:ascii="Times New Roman" w:hAnsi="Times New Roman"/>
            <w:lang w:val="ru-RU"/>
          </w:rPr>
          <w:t>.</w:t>
        </w:r>
        <w:r>
          <w:rPr>
            <w:rStyle w:val="Hyperlink"/>
            <w:rFonts w:ascii="Times New Roman" w:hAnsi="Times New Roman"/>
          </w:rPr>
          <w:t>html</w:t>
        </w:r>
      </w:hyperlink>
    </w:p>
  </w:footnote>
  <w:footnote w:id="7">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Директива 2008/50/ЕО на Европейския парламент и на Съвета от 21</w:t>
      </w:r>
      <w:r>
        <w:rPr>
          <w:rFonts w:ascii="Times New Roman" w:hAnsi="Times New Roman"/>
        </w:rPr>
        <w:t> </w:t>
      </w:r>
      <w:r>
        <w:rPr>
          <w:rFonts w:ascii="Times New Roman" w:hAnsi="Times New Roman"/>
          <w:lang w:val="ru-RU"/>
        </w:rPr>
        <w:t>май 2008</w:t>
      </w:r>
      <w:r>
        <w:rPr>
          <w:rFonts w:ascii="Times New Roman" w:hAnsi="Times New Roman"/>
        </w:rPr>
        <w:t> </w:t>
      </w:r>
      <w:r>
        <w:rPr>
          <w:rFonts w:ascii="Times New Roman" w:hAnsi="Times New Roman"/>
          <w:lang w:val="ru-RU"/>
        </w:rPr>
        <w:t xml:space="preserve">г. относно качеството на атмосферния въздух и за по-чист въздух за Европа (ОВ </w:t>
      </w:r>
      <w:r>
        <w:rPr>
          <w:rFonts w:ascii="Times New Roman" w:hAnsi="Times New Roman"/>
        </w:rPr>
        <w:t>L </w:t>
      </w:r>
      <w:r>
        <w:rPr>
          <w:rFonts w:ascii="Times New Roman" w:hAnsi="Times New Roman"/>
          <w:lang w:val="ru-RU"/>
        </w:rPr>
        <w:t>152, 11.6.2008</w:t>
      </w:r>
      <w:r>
        <w:rPr>
          <w:rFonts w:ascii="Times New Roman" w:hAnsi="Times New Roman"/>
        </w:rPr>
        <w:t> </w:t>
      </w:r>
      <w:r>
        <w:rPr>
          <w:rFonts w:ascii="Times New Roman" w:hAnsi="Times New Roman"/>
          <w:lang w:val="ru-RU"/>
        </w:rPr>
        <w:t>г.) и Директива 2004/107/ЕО на Европейския парламент и на Съвета от 15</w:t>
      </w:r>
      <w:r>
        <w:rPr>
          <w:rFonts w:ascii="Times New Roman" w:hAnsi="Times New Roman"/>
        </w:rPr>
        <w:t> </w:t>
      </w:r>
      <w:r>
        <w:rPr>
          <w:rFonts w:ascii="Times New Roman" w:hAnsi="Times New Roman"/>
          <w:lang w:val="ru-RU"/>
        </w:rPr>
        <w:t>декември 2004</w:t>
      </w:r>
      <w:r>
        <w:rPr>
          <w:rFonts w:ascii="Times New Roman" w:hAnsi="Times New Roman"/>
        </w:rPr>
        <w:t> </w:t>
      </w:r>
      <w:r>
        <w:rPr>
          <w:rFonts w:ascii="Times New Roman" w:hAnsi="Times New Roman"/>
          <w:lang w:val="ru-RU"/>
        </w:rPr>
        <w:t xml:space="preserve">г. относно съдържанието на арсен, кадмий, никел и полициклични ароматни въглеводороди в атмосферния въздух (ОВ </w:t>
      </w:r>
      <w:r>
        <w:rPr>
          <w:rFonts w:ascii="Times New Roman" w:hAnsi="Times New Roman"/>
        </w:rPr>
        <w:t>L </w:t>
      </w:r>
      <w:r>
        <w:rPr>
          <w:rFonts w:ascii="Times New Roman" w:hAnsi="Times New Roman"/>
          <w:lang w:val="ru-RU"/>
        </w:rPr>
        <w:t>23, 26.1.2005</w:t>
      </w:r>
      <w:r>
        <w:rPr>
          <w:rFonts w:ascii="Times New Roman" w:hAnsi="Times New Roman"/>
        </w:rPr>
        <w:t> </w:t>
      </w:r>
      <w:r>
        <w:rPr>
          <w:rFonts w:ascii="Times New Roman" w:hAnsi="Times New Roman"/>
          <w:lang w:val="ru-RU"/>
        </w:rPr>
        <w:t>г.).</w:t>
      </w:r>
    </w:p>
  </w:footnote>
  <w:footnote w:id="8">
    <w:p>
      <w:pPr>
        <w:pStyle w:val="FootnoteText"/>
        <w:rPr>
          <w:rFonts w:ascii="Times New Roman" w:hAnsi="Times New Roman" w:cs="Times New Roman"/>
          <w:lang w:val="ru-RU"/>
        </w:rPr>
      </w:pPr>
      <w:r>
        <w:rPr>
          <w:rStyle w:val="FootnoteReference"/>
        </w:rPr>
        <w:footnoteRef/>
      </w:r>
      <w:r>
        <w:rPr>
          <w:rFonts w:ascii="Times New Roman" w:hAnsi="Times New Roman"/>
          <w:lang w:val="ru-RU"/>
        </w:rPr>
        <w:t xml:space="preserve"> Общ преглед можете да намерите на адрес: </w:t>
      </w:r>
      <w:hyperlink r:id="rId4"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environment</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index</w:t>
        </w:r>
        <w:r>
          <w:rPr>
            <w:rStyle w:val="Hyperlink"/>
            <w:rFonts w:ascii="Times New Roman" w:hAnsi="Times New Roman"/>
            <w:lang w:val="ru-RU"/>
          </w:rPr>
          <w:t>_</w:t>
        </w:r>
        <w:r>
          <w:rPr>
            <w:rStyle w:val="Hyperlink"/>
            <w:rFonts w:ascii="Times New Roman" w:hAnsi="Times New Roman"/>
          </w:rPr>
          <w:t>en</w:t>
        </w:r>
        <w:r>
          <w:rPr>
            <w:rStyle w:val="Hyperlink"/>
            <w:rFonts w:ascii="Times New Roman" w:hAnsi="Times New Roman"/>
            <w:lang w:val="ru-RU"/>
          </w:rPr>
          <w:t>.</w:t>
        </w:r>
        <w:r>
          <w:rPr>
            <w:rStyle w:val="Hyperlink"/>
            <w:rFonts w:ascii="Times New Roman" w:hAnsi="Times New Roman"/>
          </w:rPr>
          <w:t>htm</w:t>
        </w:r>
      </w:hyperlink>
    </w:p>
  </w:footnote>
  <w:footnote w:id="9">
    <w:p>
      <w:pPr>
        <w:pStyle w:val="FootnoteText"/>
        <w:rPr>
          <w:rFonts w:ascii="Times New Roman" w:hAnsi="Times New Roman" w:cs="Times New Roman"/>
          <w:lang w:val="ru-RU"/>
        </w:rPr>
      </w:pPr>
      <w:r>
        <w:rPr>
          <w:rStyle w:val="FootnoteReference"/>
        </w:rPr>
        <w:footnoteRef/>
      </w:r>
      <w:r>
        <w:rPr>
          <w:rFonts w:ascii="Times New Roman" w:hAnsi="Times New Roman"/>
          <w:lang w:val="ru-RU"/>
        </w:rPr>
        <w:t xml:space="preserve"> </w:t>
      </w:r>
      <w:r>
        <w:rPr>
          <w:rFonts w:ascii="Times New Roman" w:hAnsi="Times New Roman"/>
        </w:rPr>
        <w:t>COM</w:t>
      </w:r>
      <w:r>
        <w:rPr>
          <w:rFonts w:ascii="Times New Roman" w:hAnsi="Times New Roman"/>
          <w:lang w:val="ru-RU"/>
        </w:rPr>
        <w:t xml:space="preserve">(2019) 640 </w:t>
      </w:r>
      <w:r>
        <w:rPr>
          <w:rFonts w:ascii="Times New Roman" w:hAnsi="Times New Roman"/>
        </w:rPr>
        <w:t>final</w:t>
      </w:r>
    </w:p>
  </w:footnote>
  <w:footnote w:id="10">
    <w:p>
      <w:pPr>
        <w:pStyle w:val="FootnoteText"/>
        <w:jc w:val="both"/>
        <w:rPr>
          <w:rFonts w:ascii="Times New Roman" w:hAnsi="Times New Roman" w:cs="Times New Roman"/>
          <w:lang w:val="ru-RU"/>
        </w:rPr>
      </w:pPr>
      <w:r>
        <w:rPr>
          <w:rStyle w:val="FootnoteReference"/>
        </w:rPr>
        <w:footnoteRef/>
      </w:r>
      <w:r>
        <w:rPr>
          <w:lang w:val="ru-RU"/>
        </w:rPr>
        <w:t xml:space="preserve"> </w:t>
      </w:r>
      <w:r>
        <w:rPr>
          <w:rFonts w:ascii="Times New Roman" w:hAnsi="Times New Roman"/>
          <w:lang w:val="ru-RU"/>
        </w:rPr>
        <w:t>Тъй като докладът обхваща прилагането на директивата до началото на 2020</w:t>
      </w:r>
      <w:r>
        <w:rPr>
          <w:rFonts w:ascii="Times New Roman" w:hAnsi="Times New Roman"/>
        </w:rPr>
        <w:t> </w:t>
      </w:r>
      <w:r>
        <w:rPr>
          <w:rFonts w:ascii="Times New Roman" w:hAnsi="Times New Roman"/>
          <w:lang w:val="ru-RU"/>
        </w:rPr>
        <w:t xml:space="preserve">г., Обединеното кралство е изцяло включено в анализа.  </w:t>
      </w:r>
    </w:p>
  </w:footnote>
  <w:footnote w:id="11">
    <w:p>
      <w:pPr>
        <w:pStyle w:val="FootnoteText"/>
        <w:rPr>
          <w:rFonts w:ascii="Times New Roman" w:hAnsi="Times New Roman" w:cs="Times New Roman"/>
        </w:rPr>
      </w:pPr>
      <w:r>
        <w:rPr>
          <w:rStyle w:val="FootnoteReference"/>
        </w:rPr>
        <w:footnoteRef/>
      </w:r>
      <w:r>
        <w:rPr>
          <w:rFonts w:ascii="Times New Roman" w:hAnsi="Times New Roman"/>
        </w:rPr>
        <w:t xml:space="preserve"> COM(2018) 446 final</w:t>
      </w:r>
    </w:p>
  </w:footnote>
  <w:footnote w:id="12">
    <w:p>
      <w:pPr>
        <w:pStyle w:val="FootnoteText"/>
        <w:rPr>
          <w:rFonts w:ascii="Times New Roman" w:hAnsi="Times New Roman" w:cs="Times New Roman"/>
        </w:rPr>
      </w:pPr>
      <w:r>
        <w:rPr>
          <w:rStyle w:val="FootnoteReference"/>
        </w:rPr>
        <w:footnoteRef/>
      </w:r>
      <w:r>
        <w:rPr>
          <w:rFonts w:ascii="Times New Roman" w:hAnsi="Times New Roman"/>
        </w:rPr>
        <w:t xml:space="preserve"> Вж. </w:t>
      </w:r>
      <w:hyperlink r:id="rId5" w:history="1">
        <w:r>
          <w:rPr>
            <w:rStyle w:val="Hyperlink"/>
            <w:rFonts w:ascii="Times New Roman" w:hAnsi="Times New Roman"/>
          </w:rPr>
          <w:t>https://ec.europa.eu/environment/air/reduction/implementation.htm</w:t>
        </w:r>
      </w:hyperlink>
    </w:p>
  </w:footnote>
  <w:footnote w:id="13">
    <w:p>
      <w:pPr>
        <w:pStyle w:val="FootnoteText"/>
        <w:rPr>
          <w:rFonts w:ascii="Times New Roman" w:hAnsi="Times New Roman" w:cs="Times New Roman"/>
          <w:lang w:val="ru-RU"/>
        </w:rPr>
      </w:pPr>
      <w:r>
        <w:rPr>
          <w:rStyle w:val="FootnoteReference"/>
        </w:rPr>
        <w:footnoteRef/>
      </w:r>
      <w:r>
        <w:rPr>
          <w:rFonts w:ascii="Times New Roman" w:hAnsi="Times New Roman"/>
          <w:lang w:val="ru-RU"/>
        </w:rPr>
        <w:t xml:space="preserve"> Вж. </w:t>
      </w:r>
      <w:hyperlink r:id="rId6"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environment</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reduction</w:t>
        </w:r>
        <w:r>
          <w:rPr>
            <w:rStyle w:val="Hyperlink"/>
            <w:rFonts w:ascii="Times New Roman" w:hAnsi="Times New Roman"/>
            <w:lang w:val="ru-RU"/>
          </w:rPr>
          <w:t>/</w:t>
        </w:r>
        <w:r>
          <w:rPr>
            <w:rStyle w:val="Hyperlink"/>
            <w:rFonts w:ascii="Times New Roman" w:hAnsi="Times New Roman"/>
          </w:rPr>
          <w:t>NAPCP</w:t>
        </w:r>
        <w:r>
          <w:rPr>
            <w:rStyle w:val="Hyperlink"/>
            <w:rFonts w:ascii="Times New Roman" w:hAnsi="Times New Roman"/>
            <w:lang w:val="ru-RU"/>
          </w:rPr>
          <w:t>.</w:t>
        </w:r>
        <w:r>
          <w:rPr>
            <w:rStyle w:val="Hyperlink"/>
            <w:rFonts w:ascii="Times New Roman" w:hAnsi="Times New Roman"/>
          </w:rPr>
          <w:t>htm</w:t>
        </w:r>
      </w:hyperlink>
      <w:r>
        <w:rPr>
          <w:rFonts w:ascii="Times New Roman" w:hAnsi="Times New Roman"/>
          <w:lang w:val="ru-RU"/>
        </w:rPr>
        <w:t xml:space="preserve"> </w:t>
      </w:r>
    </w:p>
  </w:footnote>
  <w:footnote w:id="14">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w:t>
      </w:r>
      <w:hyperlink r:id="rId7"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environment</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reduction</w:t>
        </w:r>
        <w:r>
          <w:rPr>
            <w:rStyle w:val="Hyperlink"/>
            <w:rFonts w:ascii="Times New Roman" w:hAnsi="Times New Roman"/>
            <w:lang w:val="ru-RU"/>
          </w:rPr>
          <w:t>/</w:t>
        </w:r>
        <w:r>
          <w:rPr>
            <w:rStyle w:val="Hyperlink"/>
            <w:rFonts w:ascii="Times New Roman" w:hAnsi="Times New Roman"/>
          </w:rPr>
          <w:t>implementation</w:t>
        </w:r>
        <w:r>
          <w:rPr>
            <w:rStyle w:val="Hyperlink"/>
            <w:rFonts w:ascii="Times New Roman" w:hAnsi="Times New Roman"/>
            <w:lang w:val="ru-RU"/>
          </w:rPr>
          <w:t>.</w:t>
        </w:r>
        <w:r>
          <w:rPr>
            <w:rStyle w:val="Hyperlink"/>
            <w:rFonts w:ascii="Times New Roman" w:hAnsi="Times New Roman"/>
          </w:rPr>
          <w:t>htm</w:t>
        </w:r>
      </w:hyperlink>
      <w:r>
        <w:rPr>
          <w:rFonts w:ascii="Times New Roman" w:hAnsi="Times New Roman"/>
          <w:lang w:val="ru-RU"/>
        </w:rPr>
        <w:t>: Девет държави членки са подали заявление за корекция за първи път през 2017</w:t>
      </w:r>
      <w:r>
        <w:rPr>
          <w:rFonts w:ascii="Times New Roman" w:hAnsi="Times New Roman"/>
        </w:rPr>
        <w:t> </w:t>
      </w:r>
      <w:r>
        <w:rPr>
          <w:rFonts w:ascii="Times New Roman" w:hAnsi="Times New Roman"/>
          <w:lang w:val="ru-RU"/>
        </w:rPr>
        <w:t>г. През 2018</w:t>
      </w:r>
      <w:r>
        <w:rPr>
          <w:rFonts w:ascii="Times New Roman" w:hAnsi="Times New Roman"/>
        </w:rPr>
        <w:t> </w:t>
      </w:r>
      <w:r>
        <w:rPr>
          <w:rFonts w:ascii="Times New Roman" w:hAnsi="Times New Roman"/>
          <w:lang w:val="ru-RU"/>
        </w:rPr>
        <w:t>г. броят на тези държави е бил четири, а през 2019 и 2020</w:t>
      </w:r>
      <w:r>
        <w:rPr>
          <w:rFonts w:ascii="Times New Roman" w:hAnsi="Times New Roman"/>
        </w:rPr>
        <w:t> </w:t>
      </w:r>
      <w:r>
        <w:rPr>
          <w:rFonts w:ascii="Times New Roman" w:hAnsi="Times New Roman"/>
          <w:lang w:val="ru-RU"/>
        </w:rPr>
        <w:t xml:space="preserve">г. една държава членка е подала заявление за нови корекции (докато предишните заявления за корекции са подадени повторно).  </w:t>
      </w:r>
    </w:p>
  </w:footnote>
  <w:footnote w:id="15">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Вж. пълна оценка на адрес: </w:t>
      </w:r>
      <w:hyperlink r:id="rId8"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environment</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reduction</w:t>
        </w:r>
        <w:r>
          <w:rPr>
            <w:rStyle w:val="Hyperlink"/>
            <w:rFonts w:ascii="Times New Roman" w:hAnsi="Times New Roman"/>
            <w:lang w:val="ru-RU"/>
          </w:rPr>
          <w:t>/</w:t>
        </w:r>
        <w:r>
          <w:rPr>
            <w:rStyle w:val="Hyperlink"/>
            <w:rFonts w:ascii="Times New Roman" w:hAnsi="Times New Roman"/>
          </w:rPr>
          <w:t>NAPCP</w:t>
        </w:r>
        <w:r>
          <w:rPr>
            <w:rStyle w:val="Hyperlink"/>
            <w:rFonts w:ascii="Times New Roman" w:hAnsi="Times New Roman"/>
            <w:lang w:val="ru-RU"/>
          </w:rPr>
          <w:t>.</w:t>
        </w:r>
        <w:r>
          <w:rPr>
            <w:rStyle w:val="Hyperlink"/>
            <w:rFonts w:ascii="Times New Roman" w:hAnsi="Times New Roman"/>
          </w:rPr>
          <w:t>htm</w:t>
        </w:r>
      </w:hyperlink>
      <w:r>
        <w:rPr>
          <w:rFonts w:ascii="Times New Roman" w:hAnsi="Times New Roman"/>
          <w:lang w:val="ru-RU"/>
        </w:rPr>
        <w:t xml:space="preserve"> </w:t>
      </w:r>
    </w:p>
  </w:footnote>
  <w:footnote w:id="16">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Белгия, Гърция, Естония, Ирландия, Испания, Италия, Кипър, Литва, Люксембург, Нидерландия, Полша, Португалия, Румъния, Словакия, Словения, Унгария, Хърватия и Швеция </w:t>
      </w:r>
    </w:p>
  </w:footnote>
  <w:footnote w:id="17">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България, Гърция, Италия, Латвия, Люксембург, Полша, Португалия, Румъния, Унгария и Хърватия</w:t>
      </w:r>
    </w:p>
  </w:footnote>
  <w:footnote w:id="18">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Член 10, параграф 2 се отнася до таблица В от приложение </w:t>
      </w:r>
      <w:r>
        <w:rPr>
          <w:rFonts w:ascii="Times New Roman" w:hAnsi="Times New Roman"/>
        </w:rPr>
        <w:t>I</w:t>
      </w:r>
      <w:r>
        <w:rPr>
          <w:rFonts w:ascii="Times New Roman" w:hAnsi="Times New Roman"/>
          <w:lang w:val="ru-RU"/>
        </w:rPr>
        <w:t xml:space="preserve"> към Директива (ЕС) 2016/2284, в която се описват подробно изискванията за докладване относно емисиите и прогнозите</w:t>
      </w:r>
    </w:p>
  </w:footnote>
  <w:footnote w:id="19">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Член 8, параграф 5, от Директива (ЕС) 2016/2284 се отнася до част 2 от приложение </w:t>
      </w:r>
      <w:r>
        <w:rPr>
          <w:rFonts w:ascii="Times New Roman" w:hAnsi="Times New Roman"/>
        </w:rPr>
        <w:t>IV</w:t>
      </w:r>
      <w:r>
        <w:rPr>
          <w:rFonts w:ascii="Times New Roman" w:hAnsi="Times New Roman"/>
          <w:lang w:val="ru-RU"/>
        </w:rPr>
        <w:t>, в която подробно са посочени изискванията за прогнози за емисиите.</w:t>
      </w:r>
    </w:p>
  </w:footnote>
  <w:footnote w:id="20">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Белгия, Гърция, Испания, Кипър, Нидерландия, Португалия, Словакия, Финландия, Хърватия и Чехия </w:t>
      </w:r>
    </w:p>
  </w:footnote>
  <w:footnote w:id="21">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Кипър, Нидерландия, Финландия, Хърватия</w:t>
      </w:r>
    </w:p>
  </w:footnote>
  <w:footnote w:id="22">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Австрия, Италия, Люксембург, Обединеното кралство, Полша, Португалия, Словения, Унгария и Швеция</w:t>
      </w:r>
    </w:p>
  </w:footnote>
  <w:footnote w:id="23">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Вж. приложение 2</w:t>
      </w:r>
    </w:p>
  </w:footnote>
  <w:footnote w:id="24">
    <w:p>
      <w:pPr>
        <w:pStyle w:val="FootnoteText"/>
        <w:jc w:val="both"/>
        <w:rPr>
          <w:rFonts w:ascii="Times New Roman" w:hAnsi="Times New Roman" w:cs="Times New Roman"/>
          <w:lang w:val="ru-RU"/>
        </w:rPr>
      </w:pPr>
      <w:r>
        <w:rPr>
          <w:rStyle w:val="FootnoteReference"/>
        </w:rPr>
        <w:footnoteRef/>
      </w:r>
      <w:r>
        <w:rPr>
          <w:lang w:val="ru-RU"/>
        </w:rPr>
        <w:t xml:space="preserve"> </w:t>
      </w:r>
      <w:r>
        <w:rPr>
          <w:rFonts w:ascii="Times New Roman" w:hAnsi="Times New Roman"/>
          <w:lang w:val="ru-RU"/>
        </w:rPr>
        <w:t>Белгия, България, Гърция, Нидерландия, Франция, Хърватия и Чехия</w:t>
      </w:r>
    </w:p>
  </w:footnote>
  <w:footnote w:id="25">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Решение за изпълнение (ЕС) 2018/1522 на Комисията от 11 октомври 2018</w:t>
      </w:r>
      <w:r>
        <w:rPr>
          <w:rFonts w:ascii="Times New Roman" w:hAnsi="Times New Roman"/>
        </w:rPr>
        <w:t> </w:t>
      </w:r>
      <w:r>
        <w:rPr>
          <w:rFonts w:ascii="Times New Roman" w:hAnsi="Times New Roman"/>
          <w:lang w:val="ru-RU"/>
        </w:rPr>
        <w:t xml:space="preserve">г. за определяне на общ формат за националните програми за контрол на замърсяването на въздуха съгласно Директива (ЕС) 2016/2284 на Европейския парламент и на Съвета за намаляване на националните емисии на някои атмосферни замърсители, ОВ </w:t>
      </w:r>
      <w:r>
        <w:rPr>
          <w:rFonts w:ascii="Times New Roman" w:hAnsi="Times New Roman"/>
        </w:rPr>
        <w:t>L</w:t>
      </w:r>
      <w:r>
        <w:rPr>
          <w:rFonts w:ascii="Times New Roman" w:hAnsi="Times New Roman"/>
          <w:lang w:val="ru-RU"/>
        </w:rPr>
        <w:t xml:space="preserve"> 256, 12.10.2018</w:t>
      </w:r>
      <w:r>
        <w:rPr>
          <w:rFonts w:ascii="Times New Roman" w:hAnsi="Times New Roman"/>
        </w:rPr>
        <w:t> </w:t>
      </w:r>
      <w:r>
        <w:rPr>
          <w:rFonts w:ascii="Times New Roman" w:hAnsi="Times New Roman"/>
          <w:lang w:val="ru-RU"/>
        </w:rPr>
        <w:t>г., стр. 87.</w:t>
      </w:r>
    </w:p>
  </w:footnote>
  <w:footnote w:id="26">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Съобщение на Комисията относно Ръководство за разработване на национални програми за контрол на замърсяването на въздуха съгласно Директива (ЕС) 2016/2284 на Европейския парламент и на Съвета за намаляване на националните емисии на някои атмосферни замърсители, ОВ </w:t>
      </w:r>
      <w:r>
        <w:rPr>
          <w:rFonts w:ascii="Times New Roman" w:hAnsi="Times New Roman"/>
        </w:rPr>
        <w:t>C</w:t>
      </w:r>
      <w:r>
        <w:rPr>
          <w:rFonts w:ascii="Times New Roman" w:hAnsi="Times New Roman"/>
          <w:lang w:val="ru-RU"/>
        </w:rPr>
        <w:t xml:space="preserve"> 77, 1.3.2019</w:t>
      </w:r>
      <w:r>
        <w:rPr>
          <w:rFonts w:ascii="Times New Roman" w:hAnsi="Times New Roman"/>
        </w:rPr>
        <w:t> </w:t>
      </w:r>
      <w:r>
        <w:rPr>
          <w:rFonts w:ascii="Times New Roman" w:hAnsi="Times New Roman"/>
          <w:lang w:val="ru-RU"/>
        </w:rPr>
        <w:t xml:space="preserve">г., стр. 1.  </w:t>
      </w:r>
    </w:p>
  </w:footnote>
  <w:footnote w:id="27">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Белгия, Дания, Естония, Нидерландия, Обединеното кралство, Португалия, Финландия и Швеция</w:t>
      </w:r>
    </w:p>
  </w:footnote>
  <w:footnote w:id="28">
    <w:p>
      <w:pPr>
        <w:pStyle w:val="FootnoteText"/>
        <w:jc w:val="both"/>
        <w:rPr>
          <w:rFonts w:ascii="Times New Roman" w:hAnsi="Times New Roman"/>
          <w:lang w:val="ru-RU"/>
        </w:rPr>
      </w:pPr>
      <w:r>
        <w:rPr>
          <w:rStyle w:val="FootnoteReference"/>
        </w:rPr>
        <w:footnoteRef/>
      </w:r>
      <w:r>
        <w:rPr>
          <w:rFonts w:ascii="Times New Roman" w:hAnsi="Times New Roman"/>
          <w:lang w:val="ru-RU"/>
        </w:rPr>
        <w:t xml:space="preserve"> Австрия, България, Германия, Ирландия, Испания, Кипър, Латвия, Литва, Малта, Полша, Словакия, Словения, Унгария, Франция, Хърватия и Чехия</w:t>
      </w:r>
    </w:p>
  </w:footnote>
  <w:footnote w:id="29">
    <w:p>
      <w:pPr>
        <w:pStyle w:val="FootnoteText"/>
        <w:rPr>
          <w:rFonts w:ascii="Times New Roman" w:hAnsi="Times New Roman" w:cs="Times New Roman"/>
          <w:lang w:val="ru-RU"/>
        </w:rPr>
      </w:pPr>
      <w:r>
        <w:rPr>
          <w:rStyle w:val="FootnoteReference"/>
        </w:rPr>
        <w:footnoteRef/>
      </w:r>
      <w:r>
        <w:rPr>
          <w:lang w:val="ru-RU"/>
        </w:rPr>
        <w:t xml:space="preserve"> </w:t>
      </w:r>
      <w:r>
        <w:rPr>
          <w:rFonts w:ascii="Times New Roman" w:hAnsi="Times New Roman"/>
          <w:lang w:val="ru-RU"/>
        </w:rPr>
        <w:t>Крайна дата за включване в този доклад</w:t>
      </w:r>
    </w:p>
  </w:footnote>
  <w:footnote w:id="30">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Италия, Люксембург</w:t>
      </w:r>
    </w:p>
  </w:footnote>
  <w:footnote w:id="31">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Гърция, Румъния</w:t>
      </w:r>
    </w:p>
  </w:footnote>
  <w:footnote w:id="32">
    <w:p>
      <w:pPr>
        <w:pStyle w:val="FootnoteText"/>
        <w:rPr>
          <w:rFonts w:ascii="Times New Roman" w:hAnsi="Times New Roman" w:cs="Times New Roman"/>
          <w:lang w:val="ru-RU"/>
        </w:rPr>
      </w:pPr>
      <w:r>
        <w:rPr>
          <w:rStyle w:val="FootnoteReference"/>
        </w:rPr>
        <w:footnoteRef/>
      </w:r>
      <w:r>
        <w:rPr>
          <w:lang w:val="ru-RU"/>
        </w:rPr>
        <w:t xml:space="preserve"> </w:t>
      </w:r>
      <w:r>
        <w:rPr>
          <w:rFonts w:ascii="Times New Roman" w:hAnsi="Times New Roman"/>
          <w:lang w:val="ru-RU"/>
        </w:rPr>
        <w:t>Гърция, Малта, Румъния</w:t>
      </w:r>
    </w:p>
  </w:footnote>
  <w:footnote w:id="33">
    <w:p>
      <w:pPr>
        <w:pStyle w:val="FootnoteText"/>
        <w:rPr>
          <w:lang w:val="ru-RU"/>
        </w:rPr>
      </w:pPr>
      <w:r>
        <w:rPr>
          <w:rStyle w:val="FootnoteReference"/>
        </w:rPr>
        <w:footnoteRef/>
      </w:r>
      <w:r>
        <w:rPr>
          <w:lang w:val="ru-RU"/>
        </w:rPr>
        <w:t xml:space="preserve"> </w:t>
      </w:r>
      <w:r>
        <w:rPr>
          <w:rFonts w:ascii="Times New Roman" w:hAnsi="Times New Roman"/>
          <w:lang w:val="ru-RU"/>
        </w:rPr>
        <w:t>Малта</w:t>
      </w:r>
    </w:p>
  </w:footnote>
  <w:footnote w:id="34">
    <w:p>
      <w:pPr>
        <w:pStyle w:val="FootnoteText"/>
        <w:jc w:val="both"/>
        <w:rPr>
          <w:lang w:val="ru-RU"/>
        </w:rPr>
      </w:pPr>
      <w:r>
        <w:rPr>
          <w:rStyle w:val="FootnoteReference"/>
        </w:rPr>
        <w:footnoteRef/>
      </w:r>
      <w:r>
        <w:rPr>
          <w:lang w:val="ru-RU"/>
        </w:rPr>
        <w:t xml:space="preserve"> </w:t>
      </w:r>
      <w:r>
        <w:rPr>
          <w:rFonts w:ascii="Times New Roman" w:hAnsi="Times New Roman"/>
          <w:lang w:val="ru-RU"/>
        </w:rPr>
        <w:t>Регламент (ЕС) 2018/1999 на Европейския парламент и на Съвета от 11</w:t>
      </w:r>
      <w:r>
        <w:rPr>
          <w:rFonts w:ascii="Times New Roman" w:hAnsi="Times New Roman"/>
        </w:rPr>
        <w:t> </w:t>
      </w:r>
      <w:r>
        <w:rPr>
          <w:rFonts w:ascii="Times New Roman" w:hAnsi="Times New Roman"/>
          <w:lang w:val="ru-RU"/>
        </w:rPr>
        <w:t>декември 2018</w:t>
      </w:r>
      <w:r>
        <w:rPr>
          <w:rFonts w:ascii="Times New Roman" w:hAnsi="Times New Roman"/>
        </w:rPr>
        <w:t> </w:t>
      </w:r>
      <w:r>
        <w:rPr>
          <w:rFonts w:ascii="Times New Roman" w:hAnsi="Times New Roman"/>
          <w:lang w:val="ru-RU"/>
        </w:rPr>
        <w:t>г. относно управлението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Регламент (ЕС) № 525/2013 на Европейския парламент и на Съвета, ОВ</w:t>
      </w:r>
      <w:r>
        <w:rPr>
          <w:rFonts w:ascii="Times New Roman" w:hAnsi="Times New Roman"/>
        </w:rPr>
        <w:t> L </w:t>
      </w:r>
      <w:r>
        <w:rPr>
          <w:rFonts w:ascii="Times New Roman" w:hAnsi="Times New Roman"/>
          <w:lang w:val="ru-RU"/>
        </w:rPr>
        <w:t>328, 21.12.2018</w:t>
      </w:r>
      <w:r>
        <w:rPr>
          <w:rFonts w:ascii="Times New Roman" w:hAnsi="Times New Roman"/>
        </w:rPr>
        <w:t> </w:t>
      </w:r>
      <w:r>
        <w:rPr>
          <w:rFonts w:ascii="Times New Roman" w:hAnsi="Times New Roman"/>
          <w:lang w:val="ru-RU"/>
        </w:rPr>
        <w:t>г., стр.</w:t>
      </w:r>
      <w:r>
        <w:rPr>
          <w:rFonts w:ascii="Times New Roman" w:hAnsi="Times New Roman"/>
        </w:rPr>
        <w:t> </w:t>
      </w:r>
      <w:r>
        <w:rPr>
          <w:rFonts w:ascii="Times New Roman" w:hAnsi="Times New Roman"/>
          <w:lang w:val="ru-RU"/>
        </w:rPr>
        <w:t>1.</w:t>
      </w:r>
      <w:r>
        <w:rPr>
          <w:lang w:val="ru-RU"/>
        </w:rPr>
        <w:t xml:space="preserve"> </w:t>
      </w:r>
    </w:p>
  </w:footnote>
  <w:footnote w:id="35">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Белгия, България, Кипър, Латвия, Литва, Нидерландия, Обединеното кралство, Полша, Португалия, Унгария, Финландия, Франция, Хърватия</w:t>
      </w:r>
    </w:p>
  </w:footnote>
  <w:footnote w:id="36">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Австрия, Германия, Дания, Ирландия, Испания, Малта, Словакия, Словения, Швеция</w:t>
      </w:r>
    </w:p>
  </w:footnote>
  <w:footnote w:id="37">
    <w:p>
      <w:pPr>
        <w:pStyle w:val="FootnoteText"/>
        <w:rPr>
          <w:rFonts w:ascii="Times New Roman" w:hAnsi="Times New Roman" w:cs="Times New Roman"/>
          <w:lang w:val="ru-RU"/>
        </w:rPr>
      </w:pPr>
      <w:r>
        <w:rPr>
          <w:rStyle w:val="FootnoteReference"/>
        </w:rPr>
        <w:footnoteRef/>
      </w:r>
      <w:r>
        <w:rPr>
          <w:rFonts w:ascii="Times New Roman" w:hAnsi="Times New Roman"/>
          <w:lang w:val="ru-RU"/>
        </w:rPr>
        <w:t xml:space="preserve"> Естония, Чехия </w:t>
      </w:r>
    </w:p>
  </w:footnote>
  <w:footnote w:id="38">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Директива</w:t>
      </w:r>
      <w:r>
        <w:rPr>
          <w:rFonts w:ascii="Times New Roman" w:hAnsi="Times New Roman"/>
        </w:rPr>
        <w:t> </w:t>
      </w:r>
      <w:r>
        <w:rPr>
          <w:rFonts w:ascii="Times New Roman" w:hAnsi="Times New Roman"/>
          <w:lang w:val="ru-RU"/>
        </w:rPr>
        <w:t>2003/35/ЕО на Европейския парламент и на Съвета от 26 май 2003</w:t>
      </w:r>
      <w:r>
        <w:rPr>
          <w:rFonts w:ascii="Times New Roman" w:hAnsi="Times New Roman"/>
        </w:rPr>
        <w:t> </w:t>
      </w:r>
      <w:r>
        <w:rPr>
          <w:rFonts w:ascii="Times New Roman" w:hAnsi="Times New Roman"/>
          <w:lang w:val="ru-RU"/>
        </w:rPr>
        <w:t xml:space="preserve">г. за осигуряване участието на обществеността при изготвянето на определени планове и програми, отнасящи се до околната среда, ОВ </w:t>
      </w:r>
      <w:r>
        <w:rPr>
          <w:rFonts w:ascii="Times New Roman" w:hAnsi="Times New Roman"/>
        </w:rPr>
        <w:t>L </w:t>
      </w:r>
      <w:r>
        <w:rPr>
          <w:rFonts w:ascii="Times New Roman" w:hAnsi="Times New Roman"/>
          <w:lang w:val="ru-RU"/>
        </w:rPr>
        <w:t>156, 25.6.2003</w:t>
      </w:r>
      <w:r>
        <w:rPr>
          <w:rFonts w:ascii="Times New Roman" w:hAnsi="Times New Roman"/>
        </w:rPr>
        <w:t> </w:t>
      </w:r>
      <w:r>
        <w:rPr>
          <w:rFonts w:ascii="Times New Roman" w:hAnsi="Times New Roman"/>
          <w:lang w:val="ru-RU"/>
        </w:rPr>
        <w:t>г., стр. 17.</w:t>
      </w:r>
    </w:p>
  </w:footnote>
  <w:footnote w:id="39">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Австрия, Белгия, България, Германия, Дания, Естония, Ирландия, Испания, Латвия, Литва, Малта, Нидерландия, Обединеното кралство, Полша, Унгария, Финландия, Франция, Хърватия, Швеция</w:t>
      </w:r>
    </w:p>
  </w:footnote>
  <w:footnote w:id="40">
    <w:p>
      <w:pPr>
        <w:pStyle w:val="FootnoteText"/>
        <w:jc w:val="both"/>
        <w:rPr>
          <w:rFonts w:ascii="Times New Roman" w:hAnsi="Times New Roman"/>
          <w:lang w:val="ru-RU"/>
        </w:rPr>
      </w:pPr>
      <w:r>
        <w:rPr>
          <w:rStyle w:val="FootnoteReference"/>
        </w:rPr>
        <w:footnoteRef/>
      </w:r>
      <w:r>
        <w:rPr>
          <w:rFonts w:ascii="Times New Roman" w:hAnsi="Times New Roman"/>
          <w:lang w:val="ru-RU"/>
        </w:rPr>
        <w:t xml:space="preserve"> Кипър, Португалия, Словакия, Словения, Чехия</w:t>
      </w:r>
    </w:p>
  </w:footnote>
  <w:footnote w:id="41">
    <w:p>
      <w:pPr>
        <w:pStyle w:val="FootnoteText"/>
        <w:jc w:val="both"/>
        <w:rPr>
          <w:lang w:val="ru-RU"/>
        </w:rPr>
      </w:pPr>
      <w:r>
        <w:rPr>
          <w:rStyle w:val="FootnoteReference"/>
        </w:rPr>
        <w:footnoteRef/>
      </w:r>
      <w:r>
        <w:rPr>
          <w:lang w:val="ru-RU"/>
        </w:rPr>
        <w:t xml:space="preserve"> </w:t>
      </w:r>
      <w:r>
        <w:rPr>
          <w:rFonts w:ascii="Times New Roman" w:hAnsi="Times New Roman"/>
          <w:lang w:val="ru-RU"/>
        </w:rPr>
        <w:t>Австрия, Белгия, Германия, Дания, Естония, Ирландия, Испания, Кипър, Латвия, Литва, Малта, Нидерландия, Обединеното кралство, Полша, Словакия, Словения, Унгария, Финландия, Хърватия, Швеция</w:t>
      </w:r>
    </w:p>
  </w:footnote>
  <w:footnote w:id="42">
    <w:p>
      <w:pPr>
        <w:pStyle w:val="FootnoteText"/>
        <w:jc w:val="both"/>
        <w:rPr>
          <w:rFonts w:ascii="Times New Roman" w:hAnsi="Times New Roman" w:cs="Times New Roman"/>
          <w:lang w:val="ru-RU"/>
        </w:rPr>
      </w:pPr>
      <w:r>
        <w:rPr>
          <w:rStyle w:val="FootnoteReference"/>
        </w:rPr>
        <w:footnoteRef/>
      </w:r>
      <w:r>
        <w:rPr>
          <w:lang w:val="ru-RU"/>
        </w:rPr>
        <w:t xml:space="preserve"> </w:t>
      </w:r>
      <w:r>
        <w:rPr>
          <w:rFonts w:ascii="Times New Roman" w:hAnsi="Times New Roman"/>
          <w:lang w:val="ru-RU"/>
        </w:rPr>
        <w:t xml:space="preserve">Латвия и Унгария не са взети предвид при анализа на политиките и мерките поради късната дата на подаване на окончателните им НПКЗВ.  </w:t>
      </w:r>
    </w:p>
  </w:footnote>
  <w:footnote w:id="43">
    <w:p>
      <w:pPr>
        <w:pStyle w:val="FootnoteText"/>
        <w:rPr>
          <w:rFonts w:ascii="Times New Roman" w:hAnsi="Times New Roman" w:cs="Times New Roman"/>
          <w:lang w:val="ru-RU"/>
        </w:rPr>
      </w:pPr>
      <w:r>
        <w:rPr>
          <w:rStyle w:val="FootnoteReference"/>
        </w:rPr>
        <w:footnoteRef/>
      </w:r>
      <w:r>
        <w:rPr>
          <w:rFonts w:ascii="Times New Roman" w:hAnsi="Times New Roman"/>
          <w:lang w:val="ru-RU"/>
        </w:rPr>
        <w:t xml:space="preserve"> По-подробна информация е налична на адрес: </w:t>
      </w:r>
      <w:hyperlink r:id="rId9"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environment</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reduction</w:t>
        </w:r>
        <w:r>
          <w:rPr>
            <w:rStyle w:val="Hyperlink"/>
            <w:rFonts w:ascii="Times New Roman" w:hAnsi="Times New Roman"/>
            <w:lang w:val="ru-RU"/>
          </w:rPr>
          <w:t>/</w:t>
        </w:r>
        <w:r>
          <w:rPr>
            <w:rStyle w:val="Hyperlink"/>
            <w:rFonts w:ascii="Times New Roman" w:hAnsi="Times New Roman"/>
          </w:rPr>
          <w:t>NAPCP</w:t>
        </w:r>
        <w:r>
          <w:rPr>
            <w:rStyle w:val="Hyperlink"/>
            <w:rFonts w:ascii="Times New Roman" w:hAnsi="Times New Roman"/>
            <w:lang w:val="ru-RU"/>
          </w:rPr>
          <w:t>.</w:t>
        </w:r>
        <w:r>
          <w:rPr>
            <w:rStyle w:val="Hyperlink"/>
            <w:rFonts w:ascii="Times New Roman" w:hAnsi="Times New Roman"/>
          </w:rPr>
          <w:t>htm</w:t>
        </w:r>
      </w:hyperlink>
      <w:r>
        <w:rPr>
          <w:rFonts w:ascii="Times New Roman" w:hAnsi="Times New Roman"/>
          <w:lang w:val="ru-RU"/>
        </w:rPr>
        <w:t xml:space="preserve"> </w:t>
      </w:r>
    </w:p>
  </w:footnote>
  <w:footnote w:id="44">
    <w:p>
      <w:pPr>
        <w:pStyle w:val="FootnoteText"/>
        <w:jc w:val="both"/>
        <w:rPr>
          <w:rFonts w:ascii="Times New Roman" w:hAnsi="Times New Roman" w:cs="Times New Roman"/>
          <w:lang w:val="ru-RU"/>
        </w:rPr>
      </w:pPr>
      <w:r>
        <w:rPr>
          <w:rStyle w:val="FootnoteReference"/>
        </w:rPr>
        <w:footnoteRef/>
      </w:r>
      <w:r>
        <w:rPr>
          <w:lang w:val="ru-RU"/>
        </w:rPr>
        <w:t xml:space="preserve"> </w:t>
      </w:r>
      <w:r>
        <w:rPr>
          <w:rFonts w:ascii="Times New Roman" w:hAnsi="Times New Roman"/>
          <w:lang w:val="ru-RU"/>
        </w:rPr>
        <w:t>Директива 2010/75/ЕС на Европейския парламент и на Съвета от 24</w:t>
      </w:r>
      <w:r>
        <w:rPr>
          <w:rFonts w:ascii="Times New Roman" w:hAnsi="Times New Roman"/>
        </w:rPr>
        <w:t> </w:t>
      </w:r>
      <w:r>
        <w:rPr>
          <w:rFonts w:ascii="Times New Roman" w:hAnsi="Times New Roman"/>
          <w:lang w:val="ru-RU"/>
        </w:rPr>
        <w:t>ноември 2010</w:t>
      </w:r>
      <w:r>
        <w:rPr>
          <w:rFonts w:ascii="Times New Roman" w:hAnsi="Times New Roman"/>
        </w:rPr>
        <w:t> </w:t>
      </w:r>
      <w:r>
        <w:rPr>
          <w:rFonts w:ascii="Times New Roman" w:hAnsi="Times New Roman"/>
          <w:lang w:val="ru-RU"/>
        </w:rPr>
        <w:t>г. относно емисиите от промишлеността, ОВ</w:t>
      </w:r>
      <w:r>
        <w:rPr>
          <w:rFonts w:ascii="Times New Roman" w:hAnsi="Times New Roman"/>
        </w:rPr>
        <w:t> L </w:t>
      </w:r>
      <w:r>
        <w:rPr>
          <w:rFonts w:ascii="Times New Roman" w:hAnsi="Times New Roman"/>
          <w:lang w:val="ru-RU"/>
        </w:rPr>
        <w:t>334, 17.12.2010</w:t>
      </w:r>
      <w:r>
        <w:rPr>
          <w:rFonts w:ascii="Times New Roman" w:hAnsi="Times New Roman"/>
        </w:rPr>
        <w:t> </w:t>
      </w:r>
      <w:r>
        <w:rPr>
          <w:rFonts w:ascii="Times New Roman" w:hAnsi="Times New Roman"/>
          <w:lang w:val="ru-RU"/>
        </w:rPr>
        <w:t>г., стр.</w:t>
      </w:r>
      <w:r>
        <w:rPr>
          <w:rFonts w:ascii="Times New Roman" w:hAnsi="Times New Roman"/>
        </w:rPr>
        <w:t> </w:t>
      </w:r>
      <w:r>
        <w:rPr>
          <w:rFonts w:ascii="Times New Roman" w:hAnsi="Times New Roman"/>
          <w:lang w:val="ru-RU"/>
        </w:rPr>
        <w:t>17.</w:t>
      </w:r>
    </w:p>
  </w:footnote>
  <w:footnote w:id="45">
    <w:p>
      <w:pPr>
        <w:pStyle w:val="FootnoteText"/>
        <w:rPr>
          <w:rFonts w:ascii="Times New Roman" w:hAnsi="Times New Roman" w:cs="Times New Roman"/>
          <w:lang w:val="ru-RU"/>
        </w:rPr>
      </w:pPr>
      <w:r>
        <w:rPr>
          <w:rStyle w:val="FootnoteReference"/>
        </w:rPr>
        <w:footnoteRef/>
      </w:r>
      <w:r>
        <w:rPr>
          <w:lang w:val="ru-RU"/>
        </w:rPr>
        <w:t xml:space="preserve"> </w:t>
      </w:r>
      <w:r>
        <w:rPr>
          <w:rFonts w:ascii="Times New Roman" w:hAnsi="Times New Roman"/>
          <w:lang w:val="ru-RU"/>
        </w:rPr>
        <w:t>Съгласно член 3 от Регламент (ЕС) 2018/1999 държавите членки са длъжни да нотифицират своите национални планове в областта на енергетиката и климата до 31 декември 2019</w:t>
      </w:r>
      <w:r>
        <w:rPr>
          <w:rFonts w:ascii="Times New Roman" w:hAnsi="Times New Roman"/>
        </w:rPr>
        <w:t> </w:t>
      </w:r>
      <w:r>
        <w:rPr>
          <w:rFonts w:ascii="Times New Roman" w:hAnsi="Times New Roman"/>
          <w:lang w:val="ru-RU"/>
        </w:rPr>
        <w:t>г.</w:t>
      </w:r>
    </w:p>
  </w:footnote>
  <w:footnote w:id="46">
    <w:p>
      <w:pPr>
        <w:pStyle w:val="FootnoteText"/>
        <w:rPr>
          <w:lang w:val="ru-RU"/>
        </w:rPr>
      </w:pPr>
      <w:r>
        <w:rPr>
          <w:rStyle w:val="FootnoteReference"/>
        </w:rPr>
        <w:footnoteRef/>
      </w:r>
      <w:r>
        <w:rPr>
          <w:lang w:val="ru-RU"/>
        </w:rPr>
        <w:t xml:space="preserve"> </w:t>
      </w:r>
      <w:r>
        <w:rPr>
          <w:rFonts w:ascii="Times New Roman" w:hAnsi="Times New Roman"/>
          <w:lang w:val="ru-RU"/>
        </w:rPr>
        <w:t xml:space="preserve">Вж. член 1 (полезно взаимодействие) от Директива (ЕС) 2016/2284; Част 1 от приложение </w:t>
      </w:r>
      <w:r>
        <w:rPr>
          <w:rFonts w:ascii="Times New Roman" w:hAnsi="Times New Roman"/>
        </w:rPr>
        <w:t>III</w:t>
      </w:r>
      <w:r>
        <w:rPr>
          <w:rFonts w:ascii="Times New Roman" w:hAnsi="Times New Roman"/>
          <w:lang w:val="ru-RU"/>
        </w:rPr>
        <w:t xml:space="preserve"> (съгласуваност в приоритетите); Част 2 от приложение </w:t>
      </w:r>
      <w:r>
        <w:rPr>
          <w:rFonts w:ascii="Times New Roman" w:hAnsi="Times New Roman"/>
        </w:rPr>
        <w:t>IV</w:t>
      </w:r>
      <w:r>
        <w:rPr>
          <w:rFonts w:ascii="Times New Roman" w:hAnsi="Times New Roman"/>
          <w:lang w:val="ru-RU"/>
        </w:rPr>
        <w:t xml:space="preserve"> (съгласуваност в прогнозите). Успоредно, вж. точка</w:t>
      </w:r>
      <w:r>
        <w:rPr>
          <w:rFonts w:ascii="Times New Roman" w:hAnsi="Times New Roman"/>
          <w:shd w:val="clear" w:color="auto" w:fill="FFFFFF"/>
          <w:lang w:val="ru-RU"/>
        </w:rPr>
        <w:t xml:space="preserve"> 5, подточка 1, буква </w:t>
      </w:r>
      <w:r>
        <w:rPr>
          <w:rFonts w:ascii="Times New Roman" w:hAnsi="Times New Roman"/>
          <w:shd w:val="clear" w:color="auto" w:fill="FFFFFF"/>
        </w:rPr>
        <w:t>i</w:t>
      </w:r>
      <w:r>
        <w:rPr>
          <w:rFonts w:ascii="Times New Roman" w:hAnsi="Times New Roman"/>
          <w:shd w:val="clear" w:color="auto" w:fill="FFFFFF"/>
          <w:lang w:val="ru-RU"/>
        </w:rPr>
        <w:t xml:space="preserve">) от раздел А на приложение </w:t>
      </w:r>
      <w:r>
        <w:rPr>
          <w:rFonts w:ascii="Times New Roman" w:hAnsi="Times New Roman"/>
          <w:shd w:val="clear" w:color="auto" w:fill="FFFFFF"/>
        </w:rPr>
        <w:t>I</w:t>
      </w:r>
      <w:r>
        <w:rPr>
          <w:rFonts w:ascii="Times New Roman" w:hAnsi="Times New Roman"/>
          <w:shd w:val="clear" w:color="auto" w:fill="FFFFFF"/>
          <w:lang w:val="ru-RU"/>
        </w:rPr>
        <w:t xml:space="preserve"> към Регламент </w:t>
      </w:r>
      <w:r>
        <w:rPr>
          <w:rFonts w:ascii="Times New Roman" w:hAnsi="Times New Roman"/>
          <w:lang w:val="ru-RU"/>
        </w:rPr>
        <w:t>(ЕС) 2018/1999, в който се изисква докладване на прогнозираните въздействия на планираните политики и мерки върху емисиите на замърсителите на въздуха, регулирани съгласно Директива (ЕС) 2018/2284</w:t>
      </w:r>
    </w:p>
  </w:footnote>
  <w:footnote w:id="47">
    <w:p>
      <w:pPr>
        <w:pStyle w:val="FootnoteText"/>
      </w:pPr>
      <w:r>
        <w:rPr>
          <w:rStyle w:val="FootnoteReference"/>
        </w:rPr>
        <w:footnoteRef/>
      </w:r>
      <w:r>
        <w:rPr>
          <w:lang w:val="ru-RU"/>
        </w:rPr>
        <w:t xml:space="preserve"> </w:t>
      </w:r>
      <w:r>
        <w:rPr>
          <w:rFonts w:ascii="Times New Roman" w:hAnsi="Times New Roman"/>
          <w:lang w:val="ru-RU"/>
        </w:rPr>
        <w:t>Всички държави членки без Испания и Франция, вж.</w:t>
      </w:r>
      <w:r>
        <w:rPr>
          <w:rFonts w:ascii="Times New Roman" w:hAnsi="Times New Roman"/>
        </w:rPr>
        <w:t> </w:t>
      </w:r>
      <w:hyperlink r:id="rId10" w:history="1">
        <w:r>
          <w:rPr>
            <w:rStyle w:val="Hyperlink"/>
            <w:rFonts w:ascii="Times New Roman" w:hAnsi="Times New Roman"/>
          </w:rPr>
          <w:t>https://ec.europa.eu/energy/topics/energy-strategy/national-energy-climate-plans_en</w:t>
        </w:r>
      </w:hyperlink>
    </w:p>
  </w:footnote>
  <w:footnote w:id="48">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За пълната оценка, вж. </w:t>
      </w:r>
      <w:hyperlink r:id="rId11"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environment</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reduction</w:t>
        </w:r>
        <w:r>
          <w:rPr>
            <w:rStyle w:val="Hyperlink"/>
            <w:rFonts w:ascii="Times New Roman" w:hAnsi="Times New Roman"/>
            <w:lang w:val="ru-RU"/>
          </w:rPr>
          <w:t>/</w:t>
        </w:r>
        <w:r>
          <w:rPr>
            <w:rStyle w:val="Hyperlink"/>
            <w:rFonts w:ascii="Times New Roman" w:hAnsi="Times New Roman"/>
          </w:rPr>
          <w:t>NAPCP</w:t>
        </w:r>
        <w:r>
          <w:rPr>
            <w:rStyle w:val="Hyperlink"/>
            <w:rFonts w:ascii="Times New Roman" w:hAnsi="Times New Roman"/>
            <w:lang w:val="ru-RU"/>
          </w:rPr>
          <w:t>.</w:t>
        </w:r>
        <w:r>
          <w:rPr>
            <w:rStyle w:val="Hyperlink"/>
            <w:rFonts w:ascii="Times New Roman" w:hAnsi="Times New Roman"/>
          </w:rPr>
          <w:t>htm</w:t>
        </w:r>
      </w:hyperlink>
      <w:r>
        <w:rPr>
          <w:rFonts w:ascii="Times New Roman" w:hAnsi="Times New Roman"/>
          <w:lang w:val="ru-RU"/>
        </w:rPr>
        <w:t xml:space="preserve"> </w:t>
      </w:r>
    </w:p>
  </w:footnote>
  <w:footnote w:id="49">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Само двадесет държави членки са представили навреме своите НПКЗВ и прогнози за анализ в настоящия доклад на риска от неспазване: Австрия, Белгия, България, Германия, Дания, Естония, Ирландия, Испания, Кипър, Литва, Нидерландия, Обединеното кралство, Полша, Португалия, Словения, Финландия, Франция, Хърватия, Чехия, Швеция</w:t>
      </w:r>
    </w:p>
  </w:footnote>
  <w:footnote w:id="50">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Австрия, България, Германия, Дания, Естония, Ирландия, Нидерландия, Обединеното кралство, Полша, Португалия, Финландия, Франция, Чехия, Швеция </w:t>
      </w:r>
    </w:p>
  </w:footnote>
  <w:footnote w:id="51">
    <w:p>
      <w:pPr>
        <w:pStyle w:val="FootnoteText"/>
        <w:rPr>
          <w:lang w:val="ru-RU"/>
        </w:rPr>
      </w:pPr>
      <w:r>
        <w:rPr>
          <w:rStyle w:val="FootnoteReference"/>
        </w:rPr>
        <w:footnoteRef/>
      </w:r>
      <w:r>
        <w:rPr>
          <w:lang w:val="ru-RU"/>
        </w:rPr>
        <w:t xml:space="preserve"> </w:t>
      </w:r>
      <w:r>
        <w:rPr>
          <w:rFonts w:ascii="Times New Roman" w:hAnsi="Times New Roman"/>
          <w:lang w:val="ru-RU"/>
        </w:rPr>
        <w:t>Австрия, Дания, Литва, Словения, Хърватия</w:t>
      </w:r>
    </w:p>
  </w:footnote>
  <w:footnote w:id="52">
    <w:p>
      <w:pPr>
        <w:pStyle w:val="FootnoteText"/>
        <w:rPr>
          <w:lang w:val="ru-RU"/>
        </w:rPr>
      </w:pPr>
      <w:r>
        <w:rPr>
          <w:rStyle w:val="FootnoteReference"/>
        </w:rPr>
        <w:footnoteRef/>
      </w:r>
      <w:r>
        <w:rPr>
          <w:lang w:val="ru-RU"/>
        </w:rPr>
        <w:t xml:space="preserve"> </w:t>
      </w:r>
      <w:r>
        <w:rPr>
          <w:rFonts w:ascii="Times New Roman" w:hAnsi="Times New Roman"/>
          <w:lang w:val="ru-RU"/>
        </w:rPr>
        <w:t>Белгия, Германия, Естония, Испания, Полша</w:t>
      </w:r>
    </w:p>
  </w:footnote>
  <w:footnote w:id="53">
    <w:p>
      <w:pPr>
        <w:pStyle w:val="FootnoteText"/>
        <w:rPr>
          <w:lang w:val="ru-RU"/>
        </w:rPr>
      </w:pPr>
      <w:r>
        <w:rPr>
          <w:rStyle w:val="FootnoteReference"/>
        </w:rPr>
        <w:footnoteRef/>
      </w:r>
      <w:r>
        <w:rPr>
          <w:lang w:val="ru-RU"/>
        </w:rPr>
        <w:t xml:space="preserve"> </w:t>
      </w:r>
      <w:r>
        <w:rPr>
          <w:rFonts w:ascii="Times New Roman" w:hAnsi="Times New Roman"/>
          <w:lang w:val="ru-RU"/>
        </w:rPr>
        <w:t>Испания, Литва</w:t>
      </w:r>
    </w:p>
  </w:footnote>
  <w:footnote w:id="54">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Известие на Комисията относно мониторинга на екосистемите, предвиден в член</w:t>
      </w:r>
      <w:r>
        <w:rPr>
          <w:rFonts w:ascii="Times New Roman" w:hAnsi="Times New Roman"/>
        </w:rPr>
        <w:t> </w:t>
      </w:r>
      <w:r>
        <w:rPr>
          <w:rFonts w:ascii="Times New Roman" w:hAnsi="Times New Roman"/>
          <w:lang w:val="ru-RU"/>
        </w:rPr>
        <w:t>9 и в приложение</w:t>
      </w:r>
      <w:r>
        <w:rPr>
          <w:rFonts w:ascii="Times New Roman" w:hAnsi="Times New Roman"/>
        </w:rPr>
        <w:t> V</w:t>
      </w:r>
      <w:r>
        <w:rPr>
          <w:rFonts w:ascii="Times New Roman" w:hAnsi="Times New Roman"/>
          <w:lang w:val="ru-RU"/>
        </w:rPr>
        <w:t xml:space="preserve"> към Директива (ЕС) 2016/2284 на Европейския парламент и на Съвета за намаляване на националните емисии на някои атмосферни замърсители (Директива за НТЕ), ОВ </w:t>
      </w:r>
      <w:r>
        <w:rPr>
          <w:rFonts w:ascii="Times New Roman" w:hAnsi="Times New Roman"/>
        </w:rPr>
        <w:t>C</w:t>
      </w:r>
      <w:r>
        <w:rPr>
          <w:rFonts w:ascii="Times New Roman" w:hAnsi="Times New Roman"/>
          <w:lang w:val="ru-RU"/>
        </w:rPr>
        <w:t xml:space="preserve"> 92, 11.3.2019</w:t>
      </w:r>
      <w:r>
        <w:rPr>
          <w:rFonts w:ascii="Times New Roman" w:hAnsi="Times New Roman"/>
        </w:rPr>
        <w:t> </w:t>
      </w:r>
      <w:r>
        <w:rPr>
          <w:rFonts w:ascii="Times New Roman" w:hAnsi="Times New Roman"/>
          <w:lang w:val="ru-RU"/>
        </w:rPr>
        <w:t xml:space="preserve">г. </w:t>
      </w:r>
    </w:p>
  </w:footnote>
  <w:footnote w:id="55">
    <w:p>
      <w:pPr>
        <w:pStyle w:val="FootnoteText"/>
        <w:rPr>
          <w:rFonts w:ascii="Times New Roman" w:hAnsi="Times New Roman" w:cs="Times New Roman"/>
          <w:lang w:val="ru-RU"/>
        </w:rPr>
      </w:pPr>
      <w:r>
        <w:rPr>
          <w:rStyle w:val="FootnoteReference"/>
        </w:rPr>
        <w:footnoteRef/>
      </w:r>
      <w:r>
        <w:rPr>
          <w:rFonts w:ascii="Times New Roman" w:hAnsi="Times New Roman"/>
          <w:lang w:val="ru-RU"/>
        </w:rPr>
        <w:t xml:space="preserve"> </w:t>
      </w:r>
      <w:hyperlink r:id="rId12"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environment</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reduction</w:t>
        </w:r>
        <w:r>
          <w:rPr>
            <w:rStyle w:val="Hyperlink"/>
            <w:rFonts w:ascii="Times New Roman" w:hAnsi="Times New Roman"/>
            <w:lang w:val="ru-RU"/>
          </w:rPr>
          <w:t>/</w:t>
        </w:r>
        <w:r>
          <w:rPr>
            <w:rStyle w:val="Hyperlink"/>
            <w:rFonts w:ascii="Times New Roman" w:hAnsi="Times New Roman"/>
          </w:rPr>
          <w:t>ecosysmonitoring</w:t>
        </w:r>
        <w:r>
          <w:rPr>
            <w:rStyle w:val="Hyperlink"/>
            <w:rFonts w:ascii="Times New Roman" w:hAnsi="Times New Roman"/>
            <w:lang w:val="ru-RU"/>
          </w:rPr>
          <w:t>.</w:t>
        </w:r>
        <w:r>
          <w:rPr>
            <w:rStyle w:val="Hyperlink"/>
            <w:rFonts w:ascii="Times New Roman" w:hAnsi="Times New Roman"/>
          </w:rPr>
          <w:t>htm</w:t>
        </w:r>
      </w:hyperlink>
      <w:r>
        <w:rPr>
          <w:rFonts w:ascii="Times New Roman" w:hAnsi="Times New Roman"/>
          <w:lang w:val="ru-RU"/>
        </w:rPr>
        <w:t xml:space="preserve"> </w:t>
      </w:r>
    </w:p>
  </w:footnote>
  <w:footnote w:id="56">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Останалите мрежи, най-често използвани от държавите членки за докладване на данни за екосистемите съгласно Директива (ЕС) 2016/2284, се отнасят до Директивата за местообитанията, Рамковата директива за водите и </w:t>
      </w:r>
      <w:r>
        <w:rPr>
          <w:rFonts w:ascii="Times New Roman" w:hAnsi="Times New Roman"/>
          <w:color w:val="4C4845"/>
          <w:lang w:val="ru-RU"/>
        </w:rPr>
        <w:t xml:space="preserve">програмите за международно сътрудничество </w:t>
      </w:r>
      <w:r>
        <w:rPr>
          <w:rFonts w:ascii="Times New Roman" w:hAnsi="Times New Roman"/>
          <w:lang w:val="ru-RU"/>
        </w:rPr>
        <w:t xml:space="preserve">съгласно Конвенцията за въздуха. </w:t>
      </w:r>
    </w:p>
  </w:footnote>
  <w:footnote w:id="57">
    <w:p>
      <w:pPr>
        <w:pStyle w:val="FootnoteText"/>
        <w:rPr>
          <w:rFonts w:ascii="Times New Roman" w:hAnsi="Times New Roman" w:cs="Times New Roman"/>
          <w:lang w:val="ru-RU"/>
        </w:rPr>
      </w:pPr>
      <w:r>
        <w:rPr>
          <w:rStyle w:val="FootnoteReference"/>
        </w:rPr>
        <w:footnoteRef/>
      </w:r>
      <w:r>
        <w:rPr>
          <w:lang w:val="ru-RU"/>
        </w:rPr>
        <w:t xml:space="preserve"> </w:t>
      </w:r>
      <w:r>
        <w:rPr>
          <w:rFonts w:ascii="Times New Roman" w:hAnsi="Times New Roman"/>
          <w:lang w:val="ru-RU"/>
        </w:rPr>
        <w:t>Дания, Естония, Кипър, Хърватия и Швеция</w:t>
      </w:r>
    </w:p>
  </w:footnote>
  <w:footnote w:id="58">
    <w:p>
      <w:pPr>
        <w:pStyle w:val="FootnoteText"/>
        <w:rPr>
          <w:rFonts w:ascii="Times New Roman" w:hAnsi="Times New Roman" w:cs="Times New Roman"/>
          <w:lang w:val="ru-RU"/>
        </w:rPr>
      </w:pPr>
      <w:r>
        <w:rPr>
          <w:rStyle w:val="FootnoteReference"/>
        </w:rPr>
        <w:footnoteRef/>
      </w:r>
      <w:r>
        <w:rPr>
          <w:rFonts w:ascii="Times New Roman" w:hAnsi="Times New Roman"/>
          <w:lang w:val="ru-RU"/>
        </w:rPr>
        <w:t xml:space="preserve"> </w:t>
      </w:r>
      <w:hyperlink r:id="rId13"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environment</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clean</w:t>
        </w:r>
        <w:r>
          <w:rPr>
            <w:rStyle w:val="Hyperlink"/>
            <w:rFonts w:ascii="Times New Roman" w:hAnsi="Times New Roman"/>
            <w:lang w:val="ru-RU"/>
          </w:rPr>
          <w:t>_</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forum</w:t>
        </w:r>
        <w:r>
          <w:rPr>
            <w:rStyle w:val="Hyperlink"/>
            <w:rFonts w:ascii="Times New Roman" w:hAnsi="Times New Roman"/>
            <w:lang w:val="ru-RU"/>
          </w:rPr>
          <w:t>.</w:t>
        </w:r>
        <w:r>
          <w:rPr>
            <w:rStyle w:val="Hyperlink"/>
            <w:rFonts w:ascii="Times New Roman" w:hAnsi="Times New Roman"/>
          </w:rPr>
          <w:t>htm</w:t>
        </w:r>
      </w:hyperlink>
      <w:r>
        <w:rPr>
          <w:rFonts w:ascii="Times New Roman" w:hAnsi="Times New Roman"/>
          <w:lang w:val="ru-RU"/>
        </w:rPr>
        <w:t xml:space="preserve"> </w:t>
      </w:r>
    </w:p>
  </w:footnote>
  <w:footnote w:id="59">
    <w:p>
      <w:pPr>
        <w:pStyle w:val="FootnoteText"/>
        <w:jc w:val="both"/>
        <w:rPr>
          <w:rFonts w:ascii="Times New Roman" w:hAnsi="Times New Roman"/>
          <w:lang w:val="ru-RU"/>
        </w:rPr>
      </w:pPr>
      <w:r>
        <w:rPr>
          <w:rStyle w:val="FootnoteReference"/>
        </w:rPr>
        <w:footnoteRef/>
      </w:r>
      <w:r>
        <w:rPr>
          <w:rFonts w:ascii="Times New Roman" w:hAnsi="Times New Roman"/>
          <w:lang w:val="ru-RU"/>
        </w:rPr>
        <w:t xml:space="preserve"> Източник: ЕАОС (</w:t>
      </w:r>
      <w:r>
        <w:rPr>
          <w:rFonts w:ascii="Times New Roman" w:hAnsi="Times New Roman"/>
        </w:rPr>
        <w:t>https</w:t>
      </w:r>
      <w:r>
        <w:rPr>
          <w:rFonts w:ascii="Times New Roman" w:hAnsi="Times New Roman"/>
          <w:lang w:val="ru-RU"/>
        </w:rPr>
        <w:t>://</w:t>
      </w:r>
      <w:r>
        <w:rPr>
          <w:rFonts w:ascii="Times New Roman" w:hAnsi="Times New Roman"/>
        </w:rPr>
        <w:t>www</w:t>
      </w:r>
      <w:r>
        <w:rPr>
          <w:rFonts w:ascii="Times New Roman" w:hAnsi="Times New Roman"/>
          <w:lang w:val="ru-RU"/>
        </w:rPr>
        <w:t>.</w:t>
      </w:r>
      <w:r>
        <w:rPr>
          <w:rFonts w:ascii="Times New Roman" w:hAnsi="Times New Roman"/>
        </w:rPr>
        <w:t>eea</w:t>
      </w:r>
      <w:r>
        <w:rPr>
          <w:rFonts w:ascii="Times New Roman" w:hAnsi="Times New Roman"/>
          <w:lang w:val="ru-RU"/>
        </w:rPr>
        <w:t>.</w:t>
      </w:r>
      <w:r>
        <w:rPr>
          <w:rFonts w:ascii="Times New Roman" w:hAnsi="Times New Roman"/>
        </w:rPr>
        <w:t>europa</w:t>
      </w:r>
      <w:r>
        <w:rPr>
          <w:rFonts w:ascii="Times New Roman" w:hAnsi="Times New Roman"/>
          <w:lang w:val="ru-RU"/>
        </w:rPr>
        <w:t>.</w:t>
      </w:r>
      <w:r>
        <w:rPr>
          <w:rFonts w:ascii="Times New Roman" w:hAnsi="Times New Roman"/>
        </w:rPr>
        <w:t>eu</w:t>
      </w:r>
      <w:r>
        <w:rPr>
          <w:rFonts w:ascii="Times New Roman" w:hAnsi="Times New Roman"/>
          <w:lang w:val="ru-RU"/>
        </w:rPr>
        <w:t>/</w:t>
      </w:r>
      <w:r>
        <w:rPr>
          <w:rFonts w:ascii="Times New Roman" w:hAnsi="Times New Roman"/>
        </w:rPr>
        <w:t>data</w:t>
      </w:r>
      <w:r>
        <w:rPr>
          <w:rFonts w:ascii="Times New Roman" w:hAnsi="Times New Roman"/>
          <w:lang w:val="ru-RU"/>
        </w:rPr>
        <w:t>-</w:t>
      </w:r>
      <w:r>
        <w:rPr>
          <w:rFonts w:ascii="Times New Roman" w:hAnsi="Times New Roman"/>
        </w:rPr>
        <w:t>and</w:t>
      </w:r>
      <w:r>
        <w:rPr>
          <w:rFonts w:ascii="Times New Roman" w:hAnsi="Times New Roman"/>
          <w:lang w:val="ru-RU"/>
        </w:rPr>
        <w:t>-</w:t>
      </w:r>
      <w:r>
        <w:rPr>
          <w:rFonts w:ascii="Times New Roman" w:hAnsi="Times New Roman"/>
        </w:rPr>
        <w:t>maps</w:t>
      </w:r>
      <w:r>
        <w:rPr>
          <w:rFonts w:ascii="Times New Roman" w:hAnsi="Times New Roman"/>
          <w:lang w:val="ru-RU"/>
        </w:rPr>
        <w:t>/</w:t>
      </w:r>
      <w:r>
        <w:rPr>
          <w:rFonts w:ascii="Times New Roman" w:hAnsi="Times New Roman"/>
        </w:rPr>
        <w:t>data</w:t>
      </w:r>
      <w:r>
        <w:rPr>
          <w:rFonts w:ascii="Times New Roman" w:hAnsi="Times New Roman"/>
          <w:lang w:val="ru-RU"/>
        </w:rPr>
        <w:t>/</w:t>
      </w:r>
      <w:r>
        <w:rPr>
          <w:rFonts w:ascii="Times New Roman" w:hAnsi="Times New Roman"/>
        </w:rPr>
        <w:t>data</w:t>
      </w:r>
      <w:r>
        <w:rPr>
          <w:rFonts w:ascii="Times New Roman" w:hAnsi="Times New Roman"/>
          <w:lang w:val="ru-RU"/>
        </w:rPr>
        <w:t>-</w:t>
      </w:r>
      <w:r>
        <w:rPr>
          <w:rFonts w:ascii="Times New Roman" w:hAnsi="Times New Roman"/>
        </w:rPr>
        <w:t>viewers</w:t>
      </w:r>
      <w:r>
        <w:rPr>
          <w:rFonts w:ascii="Times New Roman" w:hAnsi="Times New Roman"/>
          <w:lang w:val="ru-RU"/>
        </w:rPr>
        <w:t>/</w:t>
      </w:r>
      <w:r>
        <w:rPr>
          <w:rFonts w:ascii="Times New Roman" w:hAnsi="Times New Roman"/>
        </w:rPr>
        <w:t>greenhouse</w:t>
      </w:r>
      <w:r>
        <w:rPr>
          <w:rFonts w:ascii="Times New Roman" w:hAnsi="Times New Roman"/>
          <w:lang w:val="ru-RU"/>
        </w:rPr>
        <w:t>-</w:t>
      </w:r>
      <w:r>
        <w:rPr>
          <w:rFonts w:ascii="Times New Roman" w:hAnsi="Times New Roman"/>
        </w:rPr>
        <w:t>gases</w:t>
      </w:r>
      <w:r>
        <w:rPr>
          <w:rFonts w:ascii="Times New Roman" w:hAnsi="Times New Roman"/>
          <w:lang w:val="ru-RU"/>
        </w:rPr>
        <w:t>-</w:t>
      </w:r>
      <w:r>
        <w:rPr>
          <w:rFonts w:ascii="Times New Roman" w:hAnsi="Times New Roman"/>
        </w:rPr>
        <w:t>viewer</w:t>
      </w:r>
      <w:r>
        <w:rPr>
          <w:rFonts w:ascii="Times New Roman" w:hAnsi="Times New Roman"/>
          <w:lang w:val="ru-RU"/>
        </w:rPr>
        <w:t>)</w:t>
      </w:r>
    </w:p>
  </w:footnote>
  <w:footnote w:id="60">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С публикуването на проучване за връзката между емисиите на метан и концентрациите на озон</w:t>
      </w:r>
      <w:hyperlink r:id="rId14"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jrc</w:t>
        </w:r>
        <w:r>
          <w:rPr>
            <w:rStyle w:val="Hyperlink"/>
            <w:rFonts w:ascii="Times New Roman" w:hAnsi="Times New Roman"/>
            <w:lang w:val="ru-RU"/>
          </w:rPr>
          <w:t>/</w:t>
        </w:r>
        <w:r>
          <w:rPr>
            <w:rStyle w:val="Hyperlink"/>
            <w:rFonts w:ascii="Times New Roman" w:hAnsi="Times New Roman"/>
          </w:rPr>
          <w:t>en</w:t>
        </w:r>
        <w:r>
          <w:rPr>
            <w:rStyle w:val="Hyperlink"/>
            <w:rFonts w:ascii="Times New Roman" w:hAnsi="Times New Roman"/>
            <w:lang w:val="ru-RU"/>
          </w:rPr>
          <w:t>/</w:t>
        </w:r>
        <w:r>
          <w:rPr>
            <w:rStyle w:val="Hyperlink"/>
            <w:rFonts w:ascii="Times New Roman" w:hAnsi="Times New Roman"/>
          </w:rPr>
          <w:t>publication</w:t>
        </w:r>
        <w:r>
          <w:rPr>
            <w:rStyle w:val="Hyperlink"/>
            <w:rFonts w:ascii="Times New Roman" w:hAnsi="Times New Roman"/>
            <w:lang w:val="ru-RU"/>
          </w:rPr>
          <w:t>/</w:t>
        </w:r>
        <w:r>
          <w:rPr>
            <w:rStyle w:val="Hyperlink"/>
            <w:rFonts w:ascii="Times New Roman" w:hAnsi="Times New Roman"/>
          </w:rPr>
          <w:t>global</w:t>
        </w:r>
        <w:r>
          <w:rPr>
            <w:rStyle w:val="Hyperlink"/>
            <w:rFonts w:ascii="Times New Roman" w:hAnsi="Times New Roman"/>
            <w:lang w:val="ru-RU"/>
          </w:rPr>
          <w:t>-</w:t>
        </w:r>
        <w:r>
          <w:rPr>
            <w:rStyle w:val="Hyperlink"/>
            <w:rFonts w:ascii="Times New Roman" w:hAnsi="Times New Roman"/>
          </w:rPr>
          <w:t>trends</w:t>
        </w:r>
        <w:r>
          <w:rPr>
            <w:rStyle w:val="Hyperlink"/>
            <w:rFonts w:ascii="Times New Roman" w:hAnsi="Times New Roman"/>
            <w:lang w:val="ru-RU"/>
          </w:rPr>
          <w:t>-</w:t>
        </w:r>
        <w:r>
          <w:rPr>
            <w:rStyle w:val="Hyperlink"/>
            <w:rFonts w:ascii="Times New Roman" w:hAnsi="Times New Roman"/>
          </w:rPr>
          <w:t>methane</w:t>
        </w:r>
        <w:r>
          <w:rPr>
            <w:rStyle w:val="Hyperlink"/>
            <w:rFonts w:ascii="Times New Roman" w:hAnsi="Times New Roman"/>
            <w:lang w:val="ru-RU"/>
          </w:rPr>
          <w:t>-</w:t>
        </w:r>
        <w:r>
          <w:rPr>
            <w:rStyle w:val="Hyperlink"/>
            <w:rFonts w:ascii="Times New Roman" w:hAnsi="Times New Roman"/>
          </w:rPr>
          <w:t>emissions</w:t>
        </w:r>
        <w:r>
          <w:rPr>
            <w:rStyle w:val="Hyperlink"/>
            <w:rFonts w:ascii="Times New Roman" w:hAnsi="Times New Roman"/>
            <w:lang w:val="ru-RU"/>
          </w:rPr>
          <w:t>-</w:t>
        </w:r>
        <w:r>
          <w:rPr>
            <w:rStyle w:val="Hyperlink"/>
            <w:rFonts w:ascii="Times New Roman" w:hAnsi="Times New Roman"/>
          </w:rPr>
          <w:t>and</w:t>
        </w:r>
        <w:r>
          <w:rPr>
            <w:rStyle w:val="Hyperlink"/>
            <w:rFonts w:ascii="Times New Roman" w:hAnsi="Times New Roman"/>
            <w:lang w:val="ru-RU"/>
          </w:rPr>
          <w:t>-</w:t>
        </w:r>
        <w:r>
          <w:rPr>
            <w:rStyle w:val="Hyperlink"/>
            <w:rFonts w:ascii="Times New Roman" w:hAnsi="Times New Roman"/>
          </w:rPr>
          <w:t>their</w:t>
        </w:r>
        <w:r>
          <w:rPr>
            <w:rStyle w:val="Hyperlink"/>
            <w:rFonts w:ascii="Times New Roman" w:hAnsi="Times New Roman"/>
            <w:lang w:val="ru-RU"/>
          </w:rPr>
          <w:t>-</w:t>
        </w:r>
        <w:r>
          <w:rPr>
            <w:rStyle w:val="Hyperlink"/>
            <w:rFonts w:ascii="Times New Roman" w:hAnsi="Times New Roman"/>
          </w:rPr>
          <w:t>impacts</w:t>
        </w:r>
        <w:r>
          <w:rPr>
            <w:rStyle w:val="Hyperlink"/>
            <w:rFonts w:ascii="Times New Roman" w:hAnsi="Times New Roman"/>
            <w:lang w:val="ru-RU"/>
          </w:rPr>
          <w:t>-</w:t>
        </w:r>
        <w:r>
          <w:rPr>
            <w:rStyle w:val="Hyperlink"/>
            <w:rFonts w:ascii="Times New Roman" w:hAnsi="Times New Roman"/>
          </w:rPr>
          <w:t>ozone</w:t>
        </w:r>
        <w:r>
          <w:rPr>
            <w:rStyle w:val="Hyperlink"/>
            <w:rFonts w:ascii="Times New Roman" w:hAnsi="Times New Roman"/>
            <w:lang w:val="ru-RU"/>
          </w:rPr>
          <w:t>-</w:t>
        </w:r>
        <w:r>
          <w:rPr>
            <w:rStyle w:val="Hyperlink"/>
            <w:rFonts w:ascii="Times New Roman" w:hAnsi="Times New Roman"/>
          </w:rPr>
          <w:t>concentrations</w:t>
        </w:r>
      </w:hyperlink>
      <w:r>
        <w:rPr>
          <w:rFonts w:ascii="Times New Roman" w:hAnsi="Times New Roman"/>
          <w:lang w:val="ru-RU"/>
        </w:rPr>
        <w:t xml:space="preserve"> и две проучвания (включително едно, което все още продължава) за по-нататъшния потенциал за намаляване на емисиите на метан в енергийния сектор и за въздействието на използването на биометан и водород върху газовата инфраструктура.</w:t>
      </w:r>
    </w:p>
  </w:footnote>
  <w:footnote w:id="61">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Съобщение на Комисията: Чиста планета за всички Европейска стратегическа дългосрочна визия за просперираща, модерна, конкурентоспособна и неутрална по отношение на климата икономика , </w:t>
      </w:r>
      <w:r>
        <w:rPr>
          <w:rFonts w:ascii="Times New Roman" w:hAnsi="Times New Roman"/>
        </w:rPr>
        <w:t>COM</w:t>
      </w:r>
      <w:r>
        <w:rPr>
          <w:rFonts w:ascii="Times New Roman" w:hAnsi="Times New Roman"/>
          <w:lang w:val="ru-RU"/>
        </w:rPr>
        <w:t xml:space="preserve">(2018) 773 </w:t>
      </w:r>
      <w:r>
        <w:rPr>
          <w:rFonts w:ascii="Times New Roman" w:hAnsi="Times New Roman"/>
        </w:rPr>
        <w:t>final</w:t>
      </w:r>
      <w:r>
        <w:rPr>
          <w:rFonts w:ascii="Times New Roman" w:hAnsi="Times New Roman"/>
          <w:lang w:val="ru-RU"/>
        </w:rPr>
        <w:t>.</w:t>
      </w:r>
    </w:p>
  </w:footnote>
  <w:footnote w:id="62">
    <w:p>
      <w:pPr>
        <w:pStyle w:val="FootnoteText"/>
        <w:jc w:val="both"/>
        <w:rPr>
          <w:rFonts w:ascii="Times New Roman" w:hAnsi="Times New Roman" w:cs="Times New Roman"/>
          <w:lang w:val="ru-RU"/>
        </w:rPr>
      </w:pPr>
      <w:r>
        <w:rPr>
          <w:rStyle w:val="FootnoteReference"/>
        </w:rPr>
        <w:footnoteRef/>
      </w:r>
      <w:r>
        <w:rPr>
          <w:rFonts w:ascii="Times New Roman" w:hAnsi="Times New Roman"/>
          <w:lang w:val="ru-RU"/>
        </w:rPr>
        <w:t xml:space="preserve"> </w:t>
      </w:r>
      <w:hyperlink r:id="rId15"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clima</w:t>
        </w:r>
        <w:r>
          <w:rPr>
            <w:rStyle w:val="Hyperlink"/>
            <w:rFonts w:ascii="Times New Roman" w:hAnsi="Times New Roman"/>
            <w:lang w:val="ru-RU"/>
          </w:rPr>
          <w:t>/</w:t>
        </w:r>
        <w:r>
          <w:rPr>
            <w:rStyle w:val="Hyperlink"/>
            <w:rFonts w:ascii="Times New Roman" w:hAnsi="Times New Roman"/>
          </w:rPr>
          <w:t>sites</w:t>
        </w:r>
        <w:r>
          <w:rPr>
            <w:rStyle w:val="Hyperlink"/>
            <w:rFonts w:ascii="Times New Roman" w:hAnsi="Times New Roman"/>
            <w:lang w:val="ru-RU"/>
          </w:rPr>
          <w:t>/</w:t>
        </w:r>
        <w:r>
          <w:rPr>
            <w:rStyle w:val="Hyperlink"/>
            <w:rFonts w:ascii="Times New Roman" w:hAnsi="Times New Roman"/>
          </w:rPr>
          <w:t>clima</w:t>
        </w:r>
        <w:r>
          <w:rPr>
            <w:rStyle w:val="Hyperlink"/>
            <w:rFonts w:ascii="Times New Roman" w:hAnsi="Times New Roman"/>
            <w:lang w:val="ru-RU"/>
          </w:rPr>
          <w:t>/</w:t>
        </w:r>
        <w:r>
          <w:rPr>
            <w:rStyle w:val="Hyperlink"/>
            <w:rFonts w:ascii="Times New Roman" w:hAnsi="Times New Roman"/>
          </w:rPr>
          <w:t>files</w:t>
        </w:r>
        <w:r>
          <w:rPr>
            <w:rStyle w:val="Hyperlink"/>
            <w:rFonts w:ascii="Times New Roman" w:hAnsi="Times New Roman"/>
            <w:lang w:val="ru-RU"/>
          </w:rPr>
          <w:t>/</w:t>
        </w:r>
        <w:r>
          <w:rPr>
            <w:rStyle w:val="Hyperlink"/>
            <w:rFonts w:ascii="Times New Roman" w:hAnsi="Times New Roman"/>
          </w:rPr>
          <w:t>docs</w:t>
        </w:r>
        <w:r>
          <w:rPr>
            <w:rStyle w:val="Hyperlink"/>
            <w:rFonts w:ascii="Times New Roman" w:hAnsi="Times New Roman"/>
            <w:lang w:val="ru-RU"/>
          </w:rPr>
          <w:t>/</w:t>
        </w:r>
        <w:r>
          <w:rPr>
            <w:rStyle w:val="Hyperlink"/>
            <w:rFonts w:ascii="Times New Roman" w:hAnsi="Times New Roman"/>
          </w:rPr>
          <w:t>pages</w:t>
        </w:r>
        <w:r>
          <w:rPr>
            <w:rStyle w:val="Hyperlink"/>
            <w:rFonts w:ascii="Times New Roman" w:hAnsi="Times New Roman"/>
            <w:lang w:val="ru-RU"/>
          </w:rPr>
          <w:t>/</w:t>
        </w:r>
        <w:r>
          <w:rPr>
            <w:rStyle w:val="Hyperlink"/>
            <w:rFonts w:ascii="Times New Roman" w:hAnsi="Times New Roman"/>
          </w:rPr>
          <w:t>com</w:t>
        </w:r>
        <w:r>
          <w:rPr>
            <w:rStyle w:val="Hyperlink"/>
            <w:rFonts w:ascii="Times New Roman" w:hAnsi="Times New Roman"/>
            <w:lang w:val="ru-RU"/>
          </w:rPr>
          <w:t>_2018_733_</w:t>
        </w:r>
        <w:r>
          <w:rPr>
            <w:rStyle w:val="Hyperlink"/>
            <w:rFonts w:ascii="Times New Roman" w:hAnsi="Times New Roman"/>
          </w:rPr>
          <w:t>analysis</w:t>
        </w:r>
        <w:r>
          <w:rPr>
            <w:rStyle w:val="Hyperlink"/>
            <w:rFonts w:ascii="Times New Roman" w:hAnsi="Times New Roman"/>
            <w:lang w:val="ru-RU"/>
          </w:rPr>
          <w:t>_</w:t>
        </w:r>
        <w:r>
          <w:rPr>
            <w:rStyle w:val="Hyperlink"/>
            <w:rFonts w:ascii="Times New Roman" w:hAnsi="Times New Roman"/>
          </w:rPr>
          <w:t>in</w:t>
        </w:r>
        <w:r>
          <w:rPr>
            <w:rStyle w:val="Hyperlink"/>
            <w:rFonts w:ascii="Times New Roman" w:hAnsi="Times New Roman"/>
            <w:lang w:val="ru-RU"/>
          </w:rPr>
          <w:t>_</w:t>
        </w:r>
        <w:r>
          <w:rPr>
            <w:rStyle w:val="Hyperlink"/>
            <w:rFonts w:ascii="Times New Roman" w:hAnsi="Times New Roman"/>
          </w:rPr>
          <w:t>support</w:t>
        </w:r>
        <w:r>
          <w:rPr>
            <w:rStyle w:val="Hyperlink"/>
            <w:rFonts w:ascii="Times New Roman" w:hAnsi="Times New Roman"/>
            <w:lang w:val="ru-RU"/>
          </w:rPr>
          <w:t>_</w:t>
        </w:r>
        <w:r>
          <w:rPr>
            <w:rStyle w:val="Hyperlink"/>
            <w:rFonts w:ascii="Times New Roman" w:hAnsi="Times New Roman"/>
          </w:rPr>
          <w:t>en</w:t>
        </w:r>
        <w:r>
          <w:rPr>
            <w:rStyle w:val="Hyperlink"/>
            <w:rFonts w:ascii="Times New Roman" w:hAnsi="Times New Roman"/>
            <w:lang w:val="ru-RU"/>
          </w:rPr>
          <w:t>_0.</w:t>
        </w:r>
        <w:r>
          <w:rPr>
            <w:rStyle w:val="Hyperlink"/>
            <w:rFonts w:ascii="Times New Roman" w:hAnsi="Times New Roman"/>
          </w:rPr>
          <w:t>pdf</w:t>
        </w:r>
      </w:hyperlink>
      <w:r>
        <w:rPr>
          <w:rFonts w:ascii="Times New Roman" w:hAnsi="Times New Roman"/>
          <w:lang w:val="ru-RU"/>
        </w:rPr>
        <w:t xml:space="preserve">  (вж. по-специално страници 159—174).  </w:t>
      </w:r>
    </w:p>
  </w:footnote>
  <w:footnote w:id="63">
    <w:p>
      <w:pPr>
        <w:pStyle w:val="FootnoteText"/>
        <w:jc w:val="both"/>
        <w:rPr>
          <w:rFonts w:ascii="Times New Roman" w:hAnsi="Times New Roman"/>
          <w:lang w:val="ru-RU"/>
        </w:rPr>
      </w:pPr>
      <w:r>
        <w:rPr>
          <w:rStyle w:val="FootnoteReference"/>
        </w:rPr>
        <w:footnoteRef/>
      </w:r>
      <w:r>
        <w:rPr>
          <w:rFonts w:ascii="Times New Roman" w:hAnsi="Times New Roman"/>
          <w:lang w:val="ru-RU"/>
        </w:rPr>
        <w:t xml:space="preserve"> </w:t>
      </w:r>
      <w:hyperlink r:id="rId16" w:history="1">
        <w:r>
          <w:rPr>
            <w:rStyle w:val="Hyperlink"/>
            <w:rFonts w:ascii="Times New Roman" w:hAnsi="Times New Roman"/>
          </w:rPr>
          <w:t>https</w:t>
        </w:r>
        <w:r>
          <w:rPr>
            <w:rStyle w:val="Hyperlink"/>
            <w:rFonts w:ascii="Times New Roman" w:hAnsi="Times New Roman"/>
            <w:lang w:val="ru-RU"/>
          </w:rPr>
          <w:t>://</w:t>
        </w:r>
        <w:r>
          <w:rPr>
            <w:rStyle w:val="Hyperlink"/>
            <w:rFonts w:ascii="Times New Roman" w:hAnsi="Times New Roman"/>
          </w:rPr>
          <w:t>ec</w:t>
        </w:r>
        <w:r>
          <w:rPr>
            <w:rStyle w:val="Hyperlink"/>
            <w:rFonts w:ascii="Times New Roman" w:hAnsi="Times New Roman"/>
            <w:lang w:val="ru-RU"/>
          </w:rPr>
          <w:t>.</w:t>
        </w:r>
        <w:r>
          <w:rPr>
            <w:rStyle w:val="Hyperlink"/>
            <w:rFonts w:ascii="Times New Roman" w:hAnsi="Times New Roman"/>
          </w:rPr>
          <w:t>europa</w:t>
        </w:r>
        <w:r>
          <w:rPr>
            <w:rStyle w:val="Hyperlink"/>
            <w:rFonts w:ascii="Times New Roman" w:hAnsi="Times New Roman"/>
            <w:lang w:val="ru-RU"/>
          </w:rPr>
          <w:t>.</w:t>
        </w:r>
        <w:r>
          <w:rPr>
            <w:rStyle w:val="Hyperlink"/>
            <w:rFonts w:ascii="Times New Roman" w:hAnsi="Times New Roman"/>
          </w:rPr>
          <w:t>eu</w:t>
        </w:r>
        <w:r>
          <w:rPr>
            <w:rStyle w:val="Hyperlink"/>
            <w:rFonts w:ascii="Times New Roman" w:hAnsi="Times New Roman"/>
            <w:lang w:val="ru-RU"/>
          </w:rPr>
          <w:t>/</w:t>
        </w:r>
        <w:r>
          <w:rPr>
            <w:rStyle w:val="Hyperlink"/>
            <w:rFonts w:ascii="Times New Roman" w:hAnsi="Times New Roman"/>
          </w:rPr>
          <w:t>environment</w:t>
        </w:r>
        <w:r>
          <w:rPr>
            <w:rStyle w:val="Hyperlink"/>
            <w:rFonts w:ascii="Times New Roman" w:hAnsi="Times New Roman"/>
            <w:lang w:val="ru-RU"/>
          </w:rPr>
          <w:t>/</w:t>
        </w:r>
        <w:r>
          <w:rPr>
            <w:rStyle w:val="Hyperlink"/>
            <w:rFonts w:ascii="Times New Roman" w:hAnsi="Times New Roman"/>
          </w:rPr>
          <w:t>air</w:t>
        </w:r>
        <w:r>
          <w:rPr>
            <w:rStyle w:val="Hyperlink"/>
            <w:rFonts w:ascii="Times New Roman" w:hAnsi="Times New Roman"/>
            <w:lang w:val="ru-RU"/>
          </w:rPr>
          <w:t>/</w:t>
        </w:r>
        <w:r>
          <w:rPr>
            <w:rStyle w:val="Hyperlink"/>
            <w:rFonts w:ascii="Times New Roman" w:hAnsi="Times New Roman"/>
          </w:rPr>
          <w:t>policy</w:t>
        </w:r>
        <w:r>
          <w:rPr>
            <w:rStyle w:val="Hyperlink"/>
            <w:rFonts w:ascii="Times New Roman" w:hAnsi="Times New Roman"/>
            <w:lang w:val="ru-RU"/>
          </w:rPr>
          <w:t>/</w:t>
        </w:r>
        <w:r>
          <w:rPr>
            <w:rStyle w:val="Hyperlink"/>
            <w:rFonts w:ascii="Times New Roman" w:hAnsi="Times New Roman"/>
          </w:rPr>
          <w:t>index</w:t>
        </w:r>
        <w:r>
          <w:rPr>
            <w:rStyle w:val="Hyperlink"/>
            <w:rFonts w:ascii="Times New Roman" w:hAnsi="Times New Roman"/>
            <w:lang w:val="ru-RU"/>
          </w:rPr>
          <w:t>.</w:t>
        </w:r>
        <w:r>
          <w:rPr>
            <w:rStyle w:val="Hyperlink"/>
            <w:rFonts w:ascii="Times New Roman" w:hAnsi="Times New Roman"/>
          </w:rPr>
          <w:t>htm</w:t>
        </w:r>
      </w:hyperlink>
      <w:r>
        <w:rPr>
          <w:rFonts w:ascii="Times New Roman" w:hAnsi="Times New Roman"/>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6DCB"/>
    <w:multiLevelType w:val="hybridMultilevel"/>
    <w:tmpl w:val="B87E3A36"/>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nsid w:val="1CAD504E"/>
    <w:multiLevelType w:val="hybridMultilevel"/>
    <w:tmpl w:val="C4AA3E78"/>
    <w:lvl w:ilvl="0" w:tplc="B4964FF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BA42EC"/>
    <w:multiLevelType w:val="hybridMultilevel"/>
    <w:tmpl w:val="4F6E8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A5312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6E2208"/>
    <w:multiLevelType w:val="multilevel"/>
    <w:tmpl w:val="37704C18"/>
    <w:lvl w:ilvl="0">
      <w:start w:val="1"/>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rPr>
    </w:lvl>
    <w:lvl w:ilvl="2">
      <w:start w:val="2"/>
      <w:numFmt w:val="bullet"/>
      <w:lvlText w:val="-"/>
      <w:lvlJc w:val="left"/>
      <w:pPr>
        <w:ind w:left="1224" w:hanging="504"/>
      </w:pPr>
      <w:rPr>
        <w:rFonts w:ascii="Calibri" w:eastAsiaTheme="minorHAnsi" w:hAnsi="Calibri" w:cs="Calibri"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0F6A94"/>
    <w:multiLevelType w:val="hybridMultilevel"/>
    <w:tmpl w:val="00EC94B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nsid w:val="65AD693E"/>
    <w:multiLevelType w:val="hybridMultilevel"/>
    <w:tmpl w:val="EBD299BC"/>
    <w:lvl w:ilvl="0" w:tplc="8A288D0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A75491A"/>
    <w:multiLevelType w:val="hybridMultilevel"/>
    <w:tmpl w:val="5EFE8D26"/>
    <w:lvl w:ilvl="0" w:tplc="5282A8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EE467FE"/>
    <w:multiLevelType w:val="hybridMultilevel"/>
    <w:tmpl w:val="91F25A5C"/>
    <w:lvl w:ilvl="0" w:tplc="8A1CF3E0">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603ED6"/>
    <w:multiLevelType w:val="hybridMultilevel"/>
    <w:tmpl w:val="CD6C4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AF441C9"/>
    <w:multiLevelType w:val="hybridMultilevel"/>
    <w:tmpl w:val="0BA622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8"/>
  </w:num>
  <w:num w:numId="6">
    <w:abstractNumId w:val="5"/>
  </w:num>
  <w:num w:numId="7">
    <w:abstractNumId w:val="0"/>
  </w:num>
  <w:num w:numId="8">
    <w:abstractNumId w:val="7"/>
  </w:num>
  <w:num w:numId="9">
    <w:abstractNumId w:val="3"/>
  </w:num>
  <w:num w:numId="10">
    <w:abstractNumId w:val="10"/>
  </w:num>
  <w:num w:numId="11">
    <w:abstractNumId w:val="9"/>
  </w:num>
  <w:num w:numId="1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380F494-BD6D-45DD-96DB-C8B010CE9113"/>
    <w:docVar w:name="LW_COVERPAGE_TYPE" w:val="1"/>
    <w:docVar w:name="LW_CROSSREFERENCE" w:val="&lt;UNUSED&gt;"/>
    <w:docVar w:name="LW_DocType" w:val="NORMAL"/>
    <w:docVar w:name="LW_EMISSION" w:val="26.6.2020"/>
    <w:docVar w:name="LW_EMISSION_ISODATE" w:val="2020-06-2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b__x000d__x000d__x000d__x000d_&lt;FMT:Bold&gt;\u1079?\u1072? \u1085?\u1072?\u1087?\u1088?\u1077?\u1076?\u1098?\u1082?\u1072? \u1087?\u1086? \u1087?\u1088?\u1080?\u1083?\u1072?\u1075?\u1072?\u1085?\u1077?\u1090?\u1086? \u1085?\u1072? \u1044?\u1080?\u1088?\u1077?\u1082?\u1090?\u1080?\u1074?\u1072? (\u1045?\u1057?) 2016/2284 \u1079?\u1072? \u1085?\u1072?\u1084?\u1072?\u1083?\u1103?\u1074?\u1072?\u1085?\u1077? \u1085?\u1072? \u1085?\u1072?\u1094?\u1080?\u1086?\u1085?\u1072?\u1083?\u1085?\u1080?\u1090?\u1077? \u1077?\u1084?\u1080?\u1089?\u1080?\u1080? \u1085?\u1072? \u1085?\u1103?\u1082?\u1086?\u1080? \u1072?\u1090?\u1084?\u1086?\u1089?\u1092?\u1077?\u1088?\u1085?\u1080? \u1079?\u1072?\u1084?\u1098?\u1088?\u1089?\u1080?\u1090?\u1077?\u1083?\u1080?&lt;/FMT&gt;_x000d__x000d__x000d__x000d__x000d__x000d__x000d__x000d__x000d__x000b__x000d__x000d__x000d__x000d__x000d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FR"/>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rPr>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GB"/>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lang w:val="fr-FR"/>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FR"/>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rPr>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GB"/>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200"/>
    </w:pPr>
    <w:rPr>
      <w:b/>
      <w:bCs/>
      <w:lang w:val="fr-FR"/>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61025">
      <w:bodyDiv w:val="1"/>
      <w:marLeft w:val="0"/>
      <w:marRight w:val="0"/>
      <w:marTop w:val="0"/>
      <w:marBottom w:val="0"/>
      <w:divBdr>
        <w:top w:val="none" w:sz="0" w:space="0" w:color="auto"/>
        <w:left w:val="none" w:sz="0" w:space="0" w:color="auto"/>
        <w:bottom w:val="none" w:sz="0" w:space="0" w:color="auto"/>
        <w:right w:val="none" w:sz="0" w:space="0" w:color="auto"/>
      </w:divBdr>
    </w:div>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18734198">
      <w:bodyDiv w:val="1"/>
      <w:marLeft w:val="0"/>
      <w:marRight w:val="0"/>
      <w:marTop w:val="0"/>
      <w:marBottom w:val="0"/>
      <w:divBdr>
        <w:top w:val="none" w:sz="0" w:space="0" w:color="auto"/>
        <w:left w:val="none" w:sz="0" w:space="0" w:color="auto"/>
        <w:bottom w:val="none" w:sz="0" w:space="0" w:color="auto"/>
        <w:right w:val="none" w:sz="0" w:space="0" w:color="auto"/>
      </w:divBdr>
    </w:div>
    <w:div w:id="1614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vironment/air/reduction/NAPCP.htm" TargetMode="External"/><Relationship Id="rId13" Type="http://schemas.openxmlformats.org/officeDocument/2006/relationships/hyperlink" Target="https://ec.europa.eu/environment/air/clean_air/forum.htm" TargetMode="External"/><Relationship Id="rId3" Type="http://schemas.openxmlformats.org/officeDocument/2006/relationships/hyperlink" Target="https://www.unece.org/environmental-policy/conventions/envlrtapwelcome/the-air-convention-and-its-protocols/the-convention-and-its-achievements.html" TargetMode="External"/><Relationship Id="rId7" Type="http://schemas.openxmlformats.org/officeDocument/2006/relationships/hyperlink" Target="https://ec.europa.eu/environment/air/reduction/implementation.htm" TargetMode="External"/><Relationship Id="rId12" Type="http://schemas.openxmlformats.org/officeDocument/2006/relationships/hyperlink" Target="https://ec.europa.eu/environment/air/reduction/ecosysmonitoring.htm" TargetMode="External"/><Relationship Id="rId2" Type="http://schemas.openxmlformats.org/officeDocument/2006/relationships/hyperlink" Target="http://www.unece.org/env/lrtap/status/lrtap_s.html" TargetMode="External"/><Relationship Id="rId16" Type="http://schemas.openxmlformats.org/officeDocument/2006/relationships/hyperlink" Target="https://ec.europa.eu/environment/air/policy/index.htm" TargetMode="External"/><Relationship Id="rId1" Type="http://schemas.openxmlformats.org/officeDocument/2006/relationships/hyperlink" Target="https://www.eea.europa.eu/themes/air/air-pollution-sources-1/national-emission-ceilings/nec-directive-reporting-status-2019" TargetMode="External"/><Relationship Id="rId6" Type="http://schemas.openxmlformats.org/officeDocument/2006/relationships/hyperlink" Target="https://ec.europa.eu/environment/air/reduction/NAPCP.htm" TargetMode="External"/><Relationship Id="rId11" Type="http://schemas.openxmlformats.org/officeDocument/2006/relationships/hyperlink" Target="https://ec.europa.eu/environment/air/reduction/NAPCP.htm" TargetMode="External"/><Relationship Id="rId5" Type="http://schemas.openxmlformats.org/officeDocument/2006/relationships/hyperlink" Target="https://ec.europa.eu/environment/air/reduction/implementation.htm" TargetMode="External"/><Relationship Id="rId15" Type="http://schemas.openxmlformats.org/officeDocument/2006/relationships/hyperlink" Target="https://ec.europa.eu/clima/sites/clima/files/docs/pages/com_2018_733_analysis_in_support_en_0.pdf" TargetMode="External"/><Relationship Id="rId10" Type="http://schemas.openxmlformats.org/officeDocument/2006/relationships/hyperlink" Target="https://ec.europa.eu/energy/topics/energy-strategy/national-energy-climate-plans_en" TargetMode="External"/><Relationship Id="rId4" Type="http://schemas.openxmlformats.org/officeDocument/2006/relationships/hyperlink" Target="https://ec.europa.eu/environment/air/index_en.htm" TargetMode="External"/><Relationship Id="rId9" Type="http://schemas.openxmlformats.org/officeDocument/2006/relationships/hyperlink" Target="https://ec.europa.eu/environment/air/reduction/NAPCP.htm" TargetMode="External"/><Relationship Id="rId14" Type="http://schemas.openxmlformats.org/officeDocument/2006/relationships/hyperlink" Target="https://ec.europa.eu/jrc/en/publication/global-trends-methane-emissions-and-their-impacts-ozone-concentrations"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AEE5C7-F7AA-4320-80A6-3D74E91F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6492</Words>
  <Characters>37724</Characters>
  <Application>Microsoft Office Word</Application>
  <DocSecurity>0</DocSecurity>
  <Lines>639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2020-01-07T13:57:00Z</cp:lastPrinted>
  <dcterms:created xsi:type="dcterms:W3CDTF">2020-06-02T15:12:00Z</dcterms:created>
  <dcterms:modified xsi:type="dcterms:W3CDTF">2020-06-25T13:20:00Z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