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552" w:rsidRDefault="004C63B0">
      <w:pPr>
        <w:pStyle w:val="Pagedecouverture"/>
        <w:rPr>
          <w:noProof/>
        </w:rPr>
      </w:pPr>
      <w:bookmarkStart w:id="0" w:name="_CSF_TOC_1"/>
      <w:bookmarkStart w:id="1" w:name="LW_BM_COVERPAGE"/>
      <w:bookmarkStart w:id="2" w:name="_DMBM_171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5882C0E2-B9AF-4570-BEC0-4605E20AA262" style="width:450.55pt;height:320.2pt">
            <v:imagedata r:id="rId9" o:title=""/>
          </v:shape>
        </w:pict>
      </w:r>
    </w:p>
    <w:bookmarkEnd w:id="1"/>
    <w:p w:rsidR="00135552" w:rsidRDefault="00135552">
      <w:pPr>
        <w:rPr>
          <w:noProof/>
        </w:rPr>
        <w:sectPr w:rsidR="00135552">
          <w:headerReference w:type="even" r:id="rId10"/>
          <w:headerReference w:type="default" r:id="rId11"/>
          <w:footerReference w:type="even" r:id="rId12"/>
          <w:footerReference w:type="default" r:id="rId13"/>
          <w:headerReference w:type="first" r:id="rId14"/>
          <w:footerReference w:type="first" r:id="rId15"/>
          <w:pgSz w:w="11907" w:h="16840"/>
          <w:pgMar w:top="1134" w:right="1417" w:bottom="1134" w:left="1417" w:header="709" w:footer="709" w:gutter="0"/>
          <w:pgNumType w:start="0"/>
          <w:cols w:space="720"/>
          <w:docGrid w:linePitch="360"/>
        </w:sectPr>
      </w:pPr>
    </w:p>
    <w:p w:rsidR="00135552" w:rsidRDefault="00135552">
      <w:pPr>
        <w:rPr>
          <w:noProof/>
        </w:rPr>
      </w:pPr>
    </w:p>
    <w:p w:rsidR="00135552" w:rsidRDefault="00135552">
      <w:pPr>
        <w:rPr>
          <w:noProof/>
        </w:rPr>
      </w:pPr>
    </w:p>
    <w:p w:rsidR="00135552" w:rsidRDefault="004C63B0">
      <w:pPr>
        <w:rPr>
          <w:rFonts w:ascii="Verdana" w:hAnsi="Verdana"/>
          <w:b/>
          <w:noProof/>
          <w:color w:val="016794"/>
          <w:sz w:val="28"/>
          <w:szCs w:val="28"/>
        </w:rPr>
      </w:pPr>
      <w:bookmarkStart w:id="3" w:name="_DMBM_17175"/>
      <w:bookmarkEnd w:id="2"/>
      <w:r>
        <w:rPr>
          <w:noProof/>
        </w:rPr>
        <w:br w:type="page"/>
      </w:r>
    </w:p>
    <w:p w:rsidR="00135552" w:rsidRDefault="004C63B0">
      <w:pPr>
        <w:pStyle w:val="HEADERTABLE"/>
        <w:rPr>
          <w:noProof/>
        </w:rPr>
      </w:pPr>
      <w:r>
        <w:rPr>
          <w:noProof/>
        </w:rPr>
        <w:t>CONTENTS</w:t>
      </w:r>
    </w:p>
    <w:p w:rsidR="00135552" w:rsidRDefault="00135552">
      <w:pPr>
        <w:pStyle w:val="HEADERTABLE"/>
        <w:rPr>
          <w:noProof/>
        </w:rPr>
      </w:pPr>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r>
        <w:rPr>
          <w:noProof/>
          <w:color w:val="auto"/>
          <w:sz w:val="18"/>
          <w:szCs w:val="18"/>
          <w:lang w:eastAsia="en-US"/>
        </w:rPr>
        <w:fldChar w:fldCharType="begin"/>
      </w:r>
      <w:r>
        <w:rPr>
          <w:noProof/>
        </w:rPr>
        <w:instrText xml:space="preserve"> TOC \h \z \t "FIRST_CHAPTER_PAGE;1;HEADER_TITLE_1;2" </w:instrText>
      </w:r>
      <w:r>
        <w:rPr>
          <w:noProof/>
          <w:color w:val="auto"/>
          <w:sz w:val="18"/>
          <w:szCs w:val="18"/>
          <w:lang w:eastAsia="en-US"/>
        </w:rPr>
        <w:fldChar w:fldCharType="separate"/>
      </w:r>
      <w:hyperlink w:anchor="_Toc43224147" w:history="1">
        <w:r>
          <w:rPr>
            <w:rStyle w:val="Hyperlink"/>
            <w:noProof/>
          </w:rPr>
          <w:t>FOREWORD</w:t>
        </w:r>
        <w:r>
          <w:rPr>
            <w:noProof/>
            <w:webHidden/>
          </w:rPr>
          <w:tab/>
        </w:r>
        <w:r>
          <w:rPr>
            <w:noProof/>
            <w:webHidden/>
          </w:rPr>
          <w:fldChar w:fldCharType="begin"/>
        </w:r>
        <w:r>
          <w:rPr>
            <w:noProof/>
            <w:webHidden/>
          </w:rPr>
          <w:instrText xml:space="preserve"> PAGEREF _Toc43224147 \h </w:instrText>
        </w:r>
        <w:r>
          <w:rPr>
            <w:noProof/>
            <w:webHidden/>
          </w:rPr>
        </w:r>
        <w:r>
          <w:rPr>
            <w:noProof/>
            <w:webHidden/>
          </w:rPr>
          <w:fldChar w:fldCharType="separate"/>
        </w:r>
        <w:r>
          <w:rPr>
            <w:noProof/>
            <w:webHidden/>
          </w:rPr>
          <w:t>2</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48" w:history="1">
        <w:r>
          <w:rPr>
            <w:rStyle w:val="Hyperlink"/>
            <w:noProof/>
          </w:rPr>
          <w:t>EUROPEAN UNION POLITICAL AND FINANCIAL FRAMEWORK, GOVERNANCE</w:t>
        </w:r>
        <w:r>
          <w:rPr>
            <w:rStyle w:val="Hyperlink"/>
            <w:noProof/>
          </w:rPr>
          <w:br/>
          <w:t>AND ACCOUNTABILITY</w:t>
        </w:r>
        <w:r>
          <w:rPr>
            <w:noProof/>
            <w:webHidden/>
          </w:rPr>
          <w:tab/>
        </w:r>
        <w:r>
          <w:rPr>
            <w:noProof/>
            <w:webHidden/>
          </w:rPr>
          <w:fldChar w:fldCharType="begin"/>
        </w:r>
        <w:r>
          <w:rPr>
            <w:noProof/>
            <w:webHidden/>
          </w:rPr>
          <w:instrText xml:space="preserve"> PAGEREF _Toc43224148 \h </w:instrText>
        </w:r>
        <w:r>
          <w:rPr>
            <w:noProof/>
            <w:webHidden/>
          </w:rPr>
        </w:r>
        <w:r>
          <w:rPr>
            <w:noProof/>
            <w:webHidden/>
          </w:rPr>
          <w:fldChar w:fldCharType="separate"/>
        </w:r>
        <w:r>
          <w:rPr>
            <w:noProof/>
            <w:webHidden/>
          </w:rPr>
          <w:t>3</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49" w:history="1">
        <w:r>
          <w:rPr>
            <w:rStyle w:val="Hyperlink"/>
            <w:noProof/>
          </w:rPr>
          <w:t>NOTE ACCOMPANYING THE CONSOLIDATED ACCOUNTS</w:t>
        </w:r>
        <w:r>
          <w:rPr>
            <w:noProof/>
            <w:webHidden/>
          </w:rPr>
          <w:tab/>
        </w:r>
        <w:r>
          <w:rPr>
            <w:noProof/>
            <w:webHidden/>
          </w:rPr>
          <w:fldChar w:fldCharType="begin"/>
        </w:r>
        <w:r>
          <w:rPr>
            <w:noProof/>
            <w:webHidden/>
          </w:rPr>
          <w:instrText xml:space="preserve"> PAGEREF _Toc43224149 \h </w:instrText>
        </w:r>
        <w:r>
          <w:rPr>
            <w:noProof/>
            <w:webHidden/>
          </w:rPr>
        </w:r>
        <w:r>
          <w:rPr>
            <w:noProof/>
            <w:webHidden/>
          </w:rPr>
          <w:fldChar w:fldCharType="separate"/>
        </w:r>
        <w:r>
          <w:rPr>
            <w:noProof/>
            <w:webHidden/>
          </w:rPr>
          <w:t>10</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50" w:history="1">
        <w:r>
          <w:rPr>
            <w:rStyle w:val="Hyperlink"/>
            <w:noProof/>
          </w:rPr>
          <w:t>HIGHLIGHTS OF THE FINANCIAL YEAR 2019</w:t>
        </w:r>
        <w:r>
          <w:rPr>
            <w:noProof/>
            <w:webHidden/>
          </w:rPr>
          <w:tab/>
        </w:r>
        <w:r>
          <w:rPr>
            <w:noProof/>
            <w:webHidden/>
          </w:rPr>
          <w:fldChar w:fldCharType="begin"/>
        </w:r>
        <w:r>
          <w:rPr>
            <w:noProof/>
            <w:webHidden/>
          </w:rPr>
          <w:instrText xml:space="preserve"> PAGEREF _Toc43224150 \h </w:instrText>
        </w:r>
        <w:r>
          <w:rPr>
            <w:noProof/>
            <w:webHidden/>
          </w:rPr>
        </w:r>
        <w:r>
          <w:rPr>
            <w:noProof/>
            <w:webHidden/>
          </w:rPr>
          <w:fldChar w:fldCharType="separate"/>
        </w:r>
        <w:r>
          <w:rPr>
            <w:noProof/>
            <w:webHidden/>
          </w:rPr>
          <w:t>11</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51" w:history="1">
        <w:r>
          <w:rPr>
            <w:rStyle w:val="Hyperlink"/>
            <w:noProof/>
          </w:rPr>
          <w:t>CONSOLIDATED FINANCIAL STATEMENTS AND EXPLANATORY NOTES</w:t>
        </w:r>
        <w:r>
          <w:rPr>
            <w:noProof/>
            <w:webHidden/>
          </w:rPr>
          <w:tab/>
        </w:r>
        <w:r>
          <w:rPr>
            <w:noProof/>
            <w:webHidden/>
          </w:rPr>
          <w:fldChar w:fldCharType="begin"/>
        </w:r>
        <w:r>
          <w:rPr>
            <w:noProof/>
            <w:webHidden/>
          </w:rPr>
          <w:instrText xml:space="preserve"> PAGEREF _Toc43224151 \h </w:instrText>
        </w:r>
        <w:r>
          <w:rPr>
            <w:noProof/>
            <w:webHidden/>
          </w:rPr>
        </w:r>
        <w:r>
          <w:rPr>
            <w:noProof/>
            <w:webHidden/>
          </w:rPr>
          <w:fldChar w:fldCharType="separate"/>
        </w:r>
        <w:r>
          <w:rPr>
            <w:noProof/>
            <w:webHidden/>
          </w:rPr>
          <w:t>13</w:t>
        </w:r>
        <w:r>
          <w:rPr>
            <w:noProof/>
            <w:webHidden/>
          </w:rPr>
          <w:fldChar w:fldCharType="end"/>
        </w:r>
      </w:hyperlink>
    </w:p>
    <w:p w:rsidR="00135552" w:rsidRDefault="004C63B0">
      <w:pPr>
        <w:pStyle w:val="TOC2"/>
        <w:tabs>
          <w:tab w:val="right" w:leader="dot" w:pos="9017"/>
        </w:tabs>
        <w:rPr>
          <w:rFonts w:asciiTheme="minorHAnsi" w:eastAsiaTheme="minorEastAsia" w:hAnsiTheme="minorHAnsi" w:cstheme="minorBidi"/>
          <w:noProof/>
          <w:color w:val="auto"/>
          <w:szCs w:val="22"/>
          <w:lang w:val="de-DE" w:eastAsia="de-DE"/>
        </w:rPr>
      </w:pPr>
      <w:hyperlink w:anchor="_Toc43224152" w:history="1">
        <w:r>
          <w:rPr>
            <w:rStyle w:val="Hyperlink"/>
            <w:noProof/>
            <w:lang w:val="fr-BE"/>
          </w:rPr>
          <w:t>BALANCE SHEET</w:t>
        </w:r>
        <w:r>
          <w:rPr>
            <w:noProof/>
            <w:webHidden/>
          </w:rPr>
          <w:tab/>
        </w:r>
        <w:r>
          <w:rPr>
            <w:noProof/>
            <w:webHidden/>
          </w:rPr>
          <w:fldChar w:fldCharType="begin"/>
        </w:r>
        <w:r>
          <w:rPr>
            <w:noProof/>
            <w:webHidden/>
          </w:rPr>
          <w:instrText xml:space="preserve"> PAGEREF _Toc43224152 \h </w:instrText>
        </w:r>
        <w:r>
          <w:rPr>
            <w:noProof/>
            <w:webHidden/>
          </w:rPr>
        </w:r>
        <w:r>
          <w:rPr>
            <w:noProof/>
            <w:webHidden/>
          </w:rPr>
          <w:fldChar w:fldCharType="separate"/>
        </w:r>
        <w:r>
          <w:rPr>
            <w:noProof/>
            <w:webHidden/>
          </w:rPr>
          <w:t>15</w:t>
        </w:r>
        <w:r>
          <w:rPr>
            <w:noProof/>
            <w:webHidden/>
          </w:rPr>
          <w:fldChar w:fldCharType="end"/>
        </w:r>
      </w:hyperlink>
    </w:p>
    <w:p w:rsidR="00135552" w:rsidRDefault="004C63B0">
      <w:pPr>
        <w:pStyle w:val="TOC2"/>
        <w:tabs>
          <w:tab w:val="right" w:leader="dot" w:pos="9017"/>
        </w:tabs>
        <w:rPr>
          <w:rFonts w:asciiTheme="minorHAnsi" w:eastAsiaTheme="minorEastAsia" w:hAnsiTheme="minorHAnsi" w:cstheme="minorBidi"/>
          <w:noProof/>
          <w:color w:val="auto"/>
          <w:szCs w:val="22"/>
          <w:lang w:val="de-DE" w:eastAsia="de-DE"/>
        </w:rPr>
      </w:pPr>
      <w:hyperlink w:anchor="_Toc43224153" w:history="1">
        <w:r>
          <w:rPr>
            <w:rStyle w:val="Hyperlink"/>
            <w:noProof/>
            <w:lang w:val="fr-BE"/>
          </w:rPr>
          <w:t>STATEMENT OF FINANCIAL PERFORMANCE</w:t>
        </w:r>
        <w:r>
          <w:rPr>
            <w:noProof/>
            <w:webHidden/>
          </w:rPr>
          <w:tab/>
        </w:r>
        <w:r>
          <w:rPr>
            <w:noProof/>
            <w:webHidden/>
          </w:rPr>
          <w:fldChar w:fldCharType="begin"/>
        </w:r>
        <w:r>
          <w:rPr>
            <w:noProof/>
            <w:webHidden/>
          </w:rPr>
          <w:instrText xml:space="preserve"> PAGEREF _Toc43224153 \h </w:instrText>
        </w:r>
        <w:r>
          <w:rPr>
            <w:noProof/>
            <w:webHidden/>
          </w:rPr>
        </w:r>
        <w:r>
          <w:rPr>
            <w:noProof/>
            <w:webHidden/>
          </w:rPr>
          <w:fldChar w:fldCharType="separate"/>
        </w:r>
        <w:r>
          <w:rPr>
            <w:noProof/>
            <w:webHidden/>
          </w:rPr>
          <w:t>16</w:t>
        </w:r>
        <w:r>
          <w:rPr>
            <w:noProof/>
            <w:webHidden/>
          </w:rPr>
          <w:fldChar w:fldCharType="end"/>
        </w:r>
      </w:hyperlink>
    </w:p>
    <w:p w:rsidR="00135552" w:rsidRDefault="004C63B0">
      <w:pPr>
        <w:pStyle w:val="TOC2"/>
        <w:tabs>
          <w:tab w:val="right" w:leader="dot" w:pos="9017"/>
        </w:tabs>
        <w:rPr>
          <w:rFonts w:asciiTheme="minorHAnsi" w:eastAsiaTheme="minorEastAsia" w:hAnsiTheme="minorHAnsi" w:cstheme="minorBidi"/>
          <w:noProof/>
          <w:color w:val="auto"/>
          <w:szCs w:val="22"/>
          <w:lang w:val="de-DE" w:eastAsia="de-DE"/>
        </w:rPr>
      </w:pPr>
      <w:hyperlink w:anchor="_Toc43224154" w:history="1">
        <w:r>
          <w:rPr>
            <w:rStyle w:val="Hyperlink"/>
            <w:noProof/>
            <w:lang w:val="fr-BE"/>
          </w:rPr>
          <w:t>CASHFLOW STATEMENT</w:t>
        </w:r>
        <w:r>
          <w:rPr>
            <w:noProof/>
            <w:webHidden/>
          </w:rPr>
          <w:tab/>
        </w:r>
        <w:r>
          <w:rPr>
            <w:noProof/>
            <w:webHidden/>
          </w:rPr>
          <w:fldChar w:fldCharType="begin"/>
        </w:r>
        <w:r>
          <w:rPr>
            <w:noProof/>
            <w:webHidden/>
          </w:rPr>
          <w:instrText xml:space="preserve"> PAGEREF _Toc43224154 \h </w:instrText>
        </w:r>
        <w:r>
          <w:rPr>
            <w:noProof/>
            <w:webHidden/>
          </w:rPr>
        </w:r>
        <w:r>
          <w:rPr>
            <w:noProof/>
            <w:webHidden/>
          </w:rPr>
          <w:fldChar w:fldCharType="separate"/>
        </w:r>
        <w:r>
          <w:rPr>
            <w:noProof/>
            <w:webHidden/>
          </w:rPr>
          <w:t>17</w:t>
        </w:r>
        <w:r>
          <w:rPr>
            <w:noProof/>
            <w:webHidden/>
          </w:rPr>
          <w:fldChar w:fldCharType="end"/>
        </w:r>
      </w:hyperlink>
    </w:p>
    <w:p w:rsidR="00135552" w:rsidRDefault="004C63B0">
      <w:pPr>
        <w:pStyle w:val="TOC2"/>
        <w:tabs>
          <w:tab w:val="right" w:leader="dot" w:pos="9017"/>
        </w:tabs>
        <w:rPr>
          <w:rFonts w:asciiTheme="minorHAnsi" w:eastAsiaTheme="minorEastAsia" w:hAnsiTheme="minorHAnsi" w:cstheme="minorBidi"/>
          <w:noProof/>
          <w:color w:val="auto"/>
          <w:szCs w:val="22"/>
          <w:lang w:val="de-DE" w:eastAsia="de-DE"/>
        </w:rPr>
      </w:pPr>
      <w:hyperlink w:anchor="_Toc43224155" w:history="1">
        <w:r>
          <w:rPr>
            <w:rStyle w:val="Hyperlink"/>
            <w:noProof/>
          </w:rPr>
          <w:t>STATEMENT OF CHANGES IN NET ASSETS</w:t>
        </w:r>
        <w:r>
          <w:rPr>
            <w:noProof/>
            <w:webHidden/>
          </w:rPr>
          <w:tab/>
        </w:r>
        <w:r>
          <w:rPr>
            <w:noProof/>
            <w:webHidden/>
          </w:rPr>
          <w:fldChar w:fldCharType="begin"/>
        </w:r>
        <w:r>
          <w:rPr>
            <w:noProof/>
            <w:webHidden/>
          </w:rPr>
          <w:instrText xml:space="preserve"> PAGEREF _Toc43224155 \h </w:instrText>
        </w:r>
        <w:r>
          <w:rPr>
            <w:noProof/>
            <w:webHidden/>
          </w:rPr>
        </w:r>
        <w:r>
          <w:rPr>
            <w:noProof/>
            <w:webHidden/>
          </w:rPr>
          <w:fldChar w:fldCharType="separate"/>
        </w:r>
        <w:r>
          <w:rPr>
            <w:noProof/>
            <w:webHidden/>
          </w:rPr>
          <w:t>18</w:t>
        </w:r>
        <w:r>
          <w:rPr>
            <w:noProof/>
            <w:webHidden/>
          </w:rPr>
          <w:fldChar w:fldCharType="end"/>
        </w:r>
      </w:hyperlink>
    </w:p>
    <w:p w:rsidR="00135552" w:rsidRDefault="004C63B0">
      <w:pPr>
        <w:pStyle w:val="TOC2"/>
        <w:tabs>
          <w:tab w:val="right" w:leader="dot" w:pos="9017"/>
        </w:tabs>
        <w:rPr>
          <w:rFonts w:asciiTheme="minorHAnsi" w:eastAsiaTheme="minorEastAsia" w:hAnsiTheme="minorHAnsi" w:cstheme="minorBidi"/>
          <w:noProof/>
          <w:color w:val="auto"/>
          <w:szCs w:val="22"/>
          <w:lang w:val="de-DE" w:eastAsia="de-DE"/>
        </w:rPr>
      </w:pPr>
      <w:hyperlink w:anchor="_Toc43224156" w:history="1">
        <w:r>
          <w:rPr>
            <w:rStyle w:val="Hyperlink"/>
            <w:rFonts w:eastAsia="Calibri"/>
            <w:noProof/>
            <w:lang w:val="fr-BE"/>
          </w:rPr>
          <w:t>NOTES TO THE FINANCIAL STATEMENTS</w:t>
        </w:r>
        <w:r>
          <w:rPr>
            <w:noProof/>
            <w:webHidden/>
          </w:rPr>
          <w:tab/>
        </w:r>
        <w:r>
          <w:rPr>
            <w:noProof/>
            <w:webHidden/>
          </w:rPr>
          <w:fldChar w:fldCharType="begin"/>
        </w:r>
        <w:r>
          <w:rPr>
            <w:noProof/>
            <w:webHidden/>
          </w:rPr>
          <w:instrText xml:space="preserve"> PAGEREF _Toc43224156 \h </w:instrText>
        </w:r>
        <w:r>
          <w:rPr>
            <w:noProof/>
            <w:webHidden/>
          </w:rPr>
        </w:r>
        <w:r>
          <w:rPr>
            <w:noProof/>
            <w:webHidden/>
          </w:rPr>
          <w:fldChar w:fldCharType="separate"/>
        </w:r>
        <w:r>
          <w:rPr>
            <w:noProof/>
            <w:webHidden/>
          </w:rPr>
          <w:t>19</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57" w:history="1">
        <w:r>
          <w:rPr>
            <w:rStyle w:val="Hyperlink"/>
            <w:noProof/>
          </w:rPr>
          <w:t>FINANCIAL STATEMENT DISCUSSION AND ANALYSIS</w:t>
        </w:r>
        <w:r>
          <w:rPr>
            <w:noProof/>
            <w:webHidden/>
          </w:rPr>
          <w:tab/>
        </w:r>
        <w:r>
          <w:rPr>
            <w:noProof/>
            <w:webHidden/>
          </w:rPr>
          <w:fldChar w:fldCharType="begin"/>
        </w:r>
        <w:r>
          <w:rPr>
            <w:noProof/>
            <w:webHidden/>
          </w:rPr>
          <w:instrText xml:space="preserve"> PAGEREF _Toc4322415</w:instrText>
        </w:r>
        <w:r>
          <w:rPr>
            <w:noProof/>
            <w:webHidden/>
          </w:rPr>
          <w:instrText xml:space="preserve">7 \h </w:instrText>
        </w:r>
        <w:r>
          <w:rPr>
            <w:noProof/>
            <w:webHidden/>
          </w:rPr>
        </w:r>
        <w:r>
          <w:rPr>
            <w:noProof/>
            <w:webHidden/>
          </w:rPr>
          <w:fldChar w:fldCharType="separate"/>
        </w:r>
        <w:r>
          <w:rPr>
            <w:noProof/>
            <w:webHidden/>
          </w:rPr>
          <w:t>96</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58" w:history="1">
        <w:r>
          <w:rPr>
            <w:rStyle w:val="Hyperlink"/>
            <w:noProof/>
          </w:rPr>
          <w:t>BUDGETARY IMPLEMENTATION REPORTS AND EXPLANATORY NOTES</w:t>
        </w:r>
        <w:r>
          <w:rPr>
            <w:noProof/>
            <w:webHidden/>
          </w:rPr>
          <w:tab/>
        </w:r>
        <w:r>
          <w:rPr>
            <w:noProof/>
            <w:webHidden/>
          </w:rPr>
          <w:fldChar w:fldCharType="begin"/>
        </w:r>
        <w:r>
          <w:rPr>
            <w:noProof/>
            <w:webHidden/>
          </w:rPr>
          <w:instrText xml:space="preserve"> PAGEREF _Toc43224158 \h </w:instrText>
        </w:r>
        <w:r>
          <w:rPr>
            <w:noProof/>
            <w:webHidden/>
          </w:rPr>
        </w:r>
        <w:r>
          <w:rPr>
            <w:noProof/>
            <w:webHidden/>
          </w:rPr>
          <w:fldChar w:fldCharType="separate"/>
        </w:r>
        <w:r>
          <w:rPr>
            <w:noProof/>
            <w:webHidden/>
          </w:rPr>
          <w:t>110</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59" w:history="1">
        <w:r>
          <w:rPr>
            <w:rStyle w:val="Hyperlink"/>
            <w:noProof/>
          </w:rPr>
          <w:t>GLOSSARY</w:t>
        </w:r>
        <w:r>
          <w:rPr>
            <w:noProof/>
            <w:webHidden/>
          </w:rPr>
          <w:tab/>
        </w:r>
        <w:r>
          <w:rPr>
            <w:noProof/>
            <w:webHidden/>
          </w:rPr>
          <w:fldChar w:fldCharType="begin"/>
        </w:r>
        <w:r>
          <w:rPr>
            <w:noProof/>
            <w:webHidden/>
          </w:rPr>
          <w:instrText xml:space="preserve"> PAGEREF _Toc43224159 \h </w:instrText>
        </w:r>
        <w:r>
          <w:rPr>
            <w:noProof/>
            <w:webHidden/>
          </w:rPr>
        </w:r>
        <w:r>
          <w:rPr>
            <w:noProof/>
            <w:webHidden/>
          </w:rPr>
          <w:fldChar w:fldCharType="separate"/>
        </w:r>
        <w:r>
          <w:rPr>
            <w:noProof/>
            <w:webHidden/>
          </w:rPr>
          <w:t>162</w:t>
        </w:r>
        <w:r>
          <w:rPr>
            <w:noProof/>
            <w:webHidden/>
          </w:rPr>
          <w:fldChar w:fldCharType="end"/>
        </w:r>
      </w:hyperlink>
    </w:p>
    <w:p w:rsidR="00135552" w:rsidRDefault="004C63B0">
      <w:pPr>
        <w:pStyle w:val="TOC1"/>
        <w:tabs>
          <w:tab w:val="right" w:leader="dot" w:pos="9017"/>
        </w:tabs>
        <w:rPr>
          <w:rFonts w:asciiTheme="minorHAnsi" w:eastAsiaTheme="minorEastAsia" w:hAnsiTheme="minorHAnsi" w:cstheme="minorBidi"/>
          <w:noProof/>
          <w:color w:val="auto"/>
          <w:szCs w:val="22"/>
          <w:lang w:val="de-DE" w:eastAsia="de-DE"/>
        </w:rPr>
      </w:pPr>
      <w:hyperlink w:anchor="_Toc43224160" w:history="1">
        <w:r>
          <w:rPr>
            <w:rStyle w:val="Hyperlink"/>
            <w:noProof/>
          </w:rPr>
          <w:t>LIST OF ABBREVIATIONS</w:t>
        </w:r>
        <w:r>
          <w:rPr>
            <w:noProof/>
            <w:webHidden/>
          </w:rPr>
          <w:tab/>
        </w:r>
        <w:r>
          <w:rPr>
            <w:noProof/>
            <w:webHidden/>
          </w:rPr>
          <w:fldChar w:fldCharType="begin"/>
        </w:r>
        <w:r>
          <w:rPr>
            <w:noProof/>
            <w:webHidden/>
          </w:rPr>
          <w:instrText xml:space="preserve"> PAGEREF _Toc43224160 \h </w:instrText>
        </w:r>
        <w:r>
          <w:rPr>
            <w:noProof/>
            <w:webHidden/>
          </w:rPr>
        </w:r>
        <w:r>
          <w:rPr>
            <w:noProof/>
            <w:webHidden/>
          </w:rPr>
          <w:fldChar w:fldCharType="separate"/>
        </w:r>
        <w:r>
          <w:rPr>
            <w:noProof/>
            <w:webHidden/>
          </w:rPr>
          <w:t>166</w:t>
        </w:r>
        <w:r>
          <w:rPr>
            <w:noProof/>
            <w:webHidden/>
          </w:rPr>
          <w:fldChar w:fldCharType="end"/>
        </w:r>
      </w:hyperlink>
    </w:p>
    <w:p w:rsidR="00135552" w:rsidRDefault="004C63B0">
      <w:pPr>
        <w:pStyle w:val="Textstand-alone"/>
        <w:sectPr w:rsidR="00135552">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440" w:right="1440" w:bottom="1440" w:left="1440" w:header="708" w:footer="708" w:gutter="0"/>
          <w:cols w:space="708"/>
          <w:docGrid w:linePitch="360"/>
        </w:sectPr>
      </w:pPr>
      <w:r>
        <w:rPr>
          <w:caps/>
          <w:color w:val="016894"/>
          <w:sz w:val="20"/>
          <w:szCs w:val="24"/>
          <w:lang w:eastAsia="en-GB"/>
        </w:rPr>
        <w:fldChar w:fldCharType="end"/>
      </w:r>
      <w:r>
        <w:rPr>
          <w:caps/>
          <w:color w:val="016894"/>
          <w:sz w:val="20"/>
          <w:szCs w:val="24"/>
          <w:lang w:eastAsia="en-GB"/>
        </w:rPr>
        <w:t xml:space="preserve"> </w:t>
      </w:r>
      <w:bookmarkEnd w:id="3"/>
    </w:p>
    <w:p w:rsidR="00135552" w:rsidRDefault="004C63B0">
      <w:pPr>
        <w:pStyle w:val="FIRSTCHAPTERPAGE"/>
        <w:rPr>
          <w:noProof/>
        </w:rPr>
      </w:pPr>
      <w:bookmarkStart w:id="4" w:name="_Toc43224147"/>
      <w:bookmarkStart w:id="5" w:name="_DMBM_17259"/>
      <w:r>
        <w:rPr>
          <w:noProof/>
        </w:rPr>
        <w:t>FOREWORD</w:t>
      </w:r>
      <w:bookmarkEnd w:id="4"/>
    </w:p>
    <w:p w:rsidR="00135552" w:rsidRDefault="004C63B0">
      <w:pPr>
        <w:pStyle w:val="DGTextstand-alone"/>
        <w:spacing w:before="0"/>
      </w:pPr>
      <w:r>
        <w:rPr>
          <w:rFonts w:ascii="EC Square Sans Cond Pro" w:hAnsi="EC Square Sans Cond Pro"/>
          <w:sz w:val="20"/>
          <w:szCs w:val="16"/>
          <w:lang w:val="pl-PL" w:eastAsia="pl-PL"/>
        </w:rPr>
        <w:drawing>
          <wp:anchor distT="0" distB="0" distL="114300" distR="114300" simplePos="0" relativeHeight="251662336" behindDoc="0" locked="0" layoutInCell="1" allowOverlap="0">
            <wp:simplePos x="0" y="0"/>
            <wp:positionH relativeFrom="margin">
              <wp:posOffset>0</wp:posOffset>
            </wp:positionH>
            <wp:positionV relativeFrom="paragraph">
              <wp:posOffset>293370</wp:posOffset>
            </wp:positionV>
            <wp:extent cx="1393200" cy="139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310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3200" cy="1393200"/>
                    </a:xfrm>
                    <a:prstGeom prst="rect">
                      <a:avLst/>
                    </a:prstGeom>
                    <a:noFill/>
                  </pic:spPr>
                </pic:pic>
              </a:graphicData>
            </a:graphic>
            <wp14:sizeRelH relativeFrom="margin">
              <wp14:pctWidth>0</wp14:pctWidth>
            </wp14:sizeRelH>
            <wp14:sizeRelV relativeFrom="margin">
              <wp14:pctHeight>0</wp14:pctHeight>
            </wp14:sizeRelV>
          </wp:anchor>
        </w:drawing>
      </w:r>
    </w:p>
    <w:p w:rsidR="00135552" w:rsidRDefault="004C63B0">
      <w:pPr>
        <w:pStyle w:val="DGTextstand-alone"/>
      </w:pPr>
      <w:r>
        <w:t>It is my pl</w:t>
      </w:r>
      <w:r>
        <w:t>easure to present the 2019 annual accounts of the European Union. They provide a complete overview of the EU finances and the implementation of the EU budget for the last year, including information on contingent liabilities, financial commitments and othe</w:t>
      </w:r>
      <w:r>
        <w:t xml:space="preserve">r obligations of the Union. Reflecting the multiannual nature of the Union’s activities, they offer explanations of the key financial figures and their evolution. The consolidated annual accounts of the European Union are part of the </w:t>
      </w:r>
      <w:r>
        <w:rPr>
          <w:b/>
        </w:rPr>
        <w:t>Commission’s integrate</w:t>
      </w:r>
      <w:r>
        <w:rPr>
          <w:b/>
        </w:rPr>
        <w:t>d financial and accountability reporting package</w:t>
      </w:r>
      <w:r>
        <w:t xml:space="preserve"> and form an essential part of our highly developed system of financial accountability.</w:t>
      </w:r>
    </w:p>
    <w:p w:rsidR="00135552" w:rsidRDefault="004C63B0">
      <w:pPr>
        <w:pStyle w:val="DGTextstand-alone"/>
      </w:pPr>
      <w:r>
        <w:t>The EU budget proved once more that it means added value for citizens, companies and regions: despite its limited amount</w:t>
      </w:r>
      <w:r>
        <w:t xml:space="preserve">, representing around 2 % of all public spending in the Union, it complements national budgets and supports our common political priorities. </w:t>
      </w:r>
    </w:p>
    <w:p w:rsidR="00135552" w:rsidRDefault="004C63B0">
      <w:pPr>
        <w:pStyle w:val="DGTextstand-alone"/>
      </w:pPr>
      <w:r>
        <w:t>The 2019 budget was the penultimate budget of the current multiannual financial framework (MFF). The implementation of almost all programmes was at cruising speed, with the exception of new programmes, such as the European Defence Industrial Development Pr</w:t>
      </w:r>
      <w:r>
        <w:t xml:space="preserve">ogramme (EDIDP), or actions for which the legislative process finished recently. The implementation of the EU budget totalled EUR 178.8 billion in commitment appropriations, and EUR 159.1 billion in payment appropriations. </w:t>
      </w:r>
    </w:p>
    <w:p w:rsidR="00135552" w:rsidRDefault="004C63B0">
      <w:pPr>
        <w:pStyle w:val="DGTextstand-alone"/>
      </w:pPr>
      <w:r>
        <w:t>In line with the European Commis</w:t>
      </w:r>
      <w:r>
        <w:t>sion proposal of May 2018, a significant portion of the 2019 budget went to programmes to stimulate the creation of jobs, especially for young people, and to boost growth, strategic investments and convergence. The EU has also continued supporting the effo</w:t>
      </w:r>
      <w:r>
        <w:t>rts to effectively deal with the migration challenge, both inside and outside the EU.</w:t>
      </w: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4C63B0">
      <w:pPr>
        <w:pStyle w:val="DGTextstand-alone"/>
      </w:pPr>
      <w:r>
        <w:t>Measures to support economic growth and reduce the economic gaps between regions amounted to nearly half of the funds committed. EU funding contributed EUR 12.4 billio</w:t>
      </w:r>
      <w:r>
        <w:t xml:space="preserve">n to research and innovation under Horizon 2020, including in the field of high-performance computing. The budget also proved in other areas that it is an investment in the future: it increased expenditure on education and training by 20 % for Erasmus+ as </w:t>
      </w:r>
      <w:r>
        <w:t>compared to 2018 and by 37 % for the Connecting Europe Facility, which fosters transport and digital infrastructure. Support for agriculture and rural areas remained stable at EUR 57.9 billion, contributing also to the fight against climate change and to t</w:t>
      </w:r>
      <w:r>
        <w:t>he promotion of sustainable growth.</w:t>
      </w:r>
    </w:p>
    <w:p w:rsidR="00135552" w:rsidRDefault="004C63B0">
      <w:pPr>
        <w:pStyle w:val="DGTextstand-alone"/>
      </w:pPr>
      <w:r>
        <w:t xml:space="preserve">The 2019 budget provided the necessary flexibility to address the internal aspect of migration issues, with a total of EUR 1.2 billion support from the Asylum, Migration and Integration Fund, along with EUR 533 million </w:t>
      </w:r>
      <w:r>
        <w:t>for border management and security from the Internal Security Fund. A total of EUR 5 million was also allocated to the creation of the new European Public Prosecutor’s Office, set up to prosecute crimes against the EU budget, including fraud, money launder</w:t>
      </w:r>
      <w:r>
        <w:t>ing and corruption.</w:t>
      </w:r>
    </w:p>
    <w:p w:rsidR="00135552" w:rsidRDefault="004C63B0">
      <w:pPr>
        <w:pStyle w:val="DGTextstand-alone"/>
      </w:pPr>
      <w:r>
        <w:t>Even before the Coronavirus crisis the EU Budget 2019 showed the importance of a functioning multiannual financial framework which provides the necessary means and flexibility to act and to react to upcoming challenges. This flexibility</w:t>
      </w:r>
      <w:r>
        <w:t xml:space="preserve"> will also play a role for the next multiannual financal framework, which is at the heart of the recovery plan for Europe. </w:t>
      </w:r>
    </w:p>
    <w:p w:rsidR="00135552" w:rsidRDefault="004C63B0">
      <w:pPr>
        <w:pStyle w:val="DGTextstand-alone"/>
      </w:pPr>
      <w:r>
        <w:t xml:space="preserve">The consolidated annual accounts of the European Union are produced in accordance with </w:t>
      </w:r>
      <w:r>
        <w:rPr>
          <w:b/>
        </w:rPr>
        <w:t>International Public Sector Accounting Standa</w:t>
      </w:r>
      <w:r>
        <w:rPr>
          <w:b/>
        </w:rPr>
        <w:t>rds</w:t>
      </w:r>
      <w:r>
        <w:t>. In order to uphold these standards, the Commission is consistently improving its rules and procedures, organisational structure and agility. Reporting consistently and effectively ensures legal compliance and increases the accountability of EU spendin</w:t>
      </w:r>
      <w:r>
        <w:t xml:space="preserve">g. It helps to engage with citizens and with other stakeholders, and to maintain their confidence and trust in the European Union. </w:t>
      </w:r>
    </w:p>
    <w:p w:rsidR="00135552" w:rsidRDefault="004C63B0">
      <w:pPr>
        <w:pStyle w:val="DGTextstand-alone"/>
        <w:rPr>
          <w:b/>
        </w:rPr>
      </w:pPr>
      <w:r>
        <w:rPr>
          <w:b/>
        </w:rPr>
        <w:t>Johannes Hahn</w:t>
      </w:r>
    </w:p>
    <w:p w:rsidR="00135552" w:rsidRDefault="004C63B0">
      <w:pPr>
        <w:pStyle w:val="DGTextstand-alone"/>
        <w:spacing w:before="0"/>
        <w:jc w:val="left"/>
        <w:rPr>
          <w:b/>
        </w:rPr>
      </w:pPr>
      <w:r>
        <w:rPr>
          <w:b/>
        </w:rPr>
        <w:t>Commissioner for Budget and Human Resources</w:t>
      </w:r>
    </w:p>
    <w:bookmarkEnd w:id="5"/>
    <w:p w:rsidR="00135552" w:rsidRDefault="00135552">
      <w:pPr>
        <w:pStyle w:val="DGTextstand-alone"/>
        <w:spacing w:before="0"/>
        <w:jc w:val="left"/>
        <w:rPr>
          <w:b/>
        </w:rPr>
        <w:sectPr w:rsidR="00135552">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num="2" w:space="708"/>
          <w:docGrid w:linePitch="360"/>
        </w:sectPr>
      </w:pPr>
    </w:p>
    <w:p w:rsidR="00135552" w:rsidRDefault="004C63B0">
      <w:pPr>
        <w:pStyle w:val="FIRSTCHAPTERPAGE"/>
        <w:spacing w:after="480"/>
        <w:rPr>
          <w:noProof/>
        </w:rPr>
      </w:pPr>
      <w:bookmarkStart w:id="6" w:name="_Toc43224148"/>
      <w:bookmarkStart w:id="7" w:name="_DMBM_17111"/>
      <w:r>
        <w:rPr>
          <w:noProof/>
        </w:rPr>
        <w:t>EUROPEAN UNION POLITICAL AND FINANCIAL FRAMEWORK, GOVERNANCE AND ACCOUNTABILITY</w:t>
      </w:r>
      <w:bookmarkEnd w:id="6"/>
    </w:p>
    <w:p w:rsidR="00135552" w:rsidRDefault="004C63B0">
      <w:pPr>
        <w:pStyle w:val="DGTextstand-alone"/>
      </w:pPr>
      <w:r>
        <w:t>The European Union (EU) is a Union on which the Member States confer competences to attain objectives they have in common. The Union is founded</w:t>
      </w:r>
      <w:r>
        <w:t xml:space="preserve"> on the values of respect for human dignity, freedom, democracy, equality, the rule of law and respect for human rights, including the rights of persons belonging to minorities. These values are common to the Member States in a society in which pluralism, </w:t>
      </w:r>
      <w:r>
        <w:t>non-discrimination, tolerance, justice, solidarity and equality between women and men prevail.</w:t>
      </w:r>
    </w:p>
    <w:p w:rsidR="00135552" w:rsidRDefault="004C63B0">
      <w:pPr>
        <w:pStyle w:val="HEADER1Part1"/>
        <w:rPr>
          <w:noProof/>
        </w:rPr>
      </w:pPr>
      <w:r>
        <w:rPr>
          <w:noProof/>
        </w:rPr>
        <w:t>POLITICAL AND FINANCIAL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135552">
        <w:trPr>
          <w:trHeight w:val="907"/>
        </w:trPr>
        <w:tc>
          <w:tcPr>
            <w:tcW w:w="2518" w:type="dxa"/>
            <w:shd w:val="clear" w:color="auto" w:fill="0070C0"/>
            <w:vAlign w:val="center"/>
          </w:tcPr>
          <w:p w:rsidR="00135552" w:rsidRDefault="004C63B0">
            <w:pPr>
              <w:tabs>
                <w:tab w:val="left" w:pos="426"/>
                <w:tab w:val="left" w:pos="907"/>
                <w:tab w:val="left" w:pos="8647"/>
              </w:tabs>
              <w:jc w:val="center"/>
              <w:rPr>
                <w:rFonts w:ascii="Verdana" w:hAnsi="Verdana"/>
                <w:b/>
                <w:noProof/>
                <w:sz w:val="18"/>
                <w:szCs w:val="18"/>
                <w:lang w:eastAsia="en-US"/>
              </w:rPr>
            </w:pPr>
            <w:r>
              <w:rPr>
                <w:rFonts w:ascii="Verdana" w:hAnsi="Verdana"/>
                <w:b/>
                <w:noProof/>
                <w:color w:val="FFFFFF" w:themeColor="background1"/>
                <w:sz w:val="18"/>
                <w:szCs w:val="18"/>
                <w:lang w:eastAsia="en-US"/>
              </w:rPr>
              <w:t>EU Treaties</w:t>
            </w: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 xml:space="preserve">The overarching objectives and principles that guide the Union and the European institutions are defined in the </w:t>
            </w:r>
            <w:r>
              <w:rPr>
                <w:rFonts w:ascii="Verdana" w:hAnsi="Verdana"/>
                <w:noProof/>
                <w:color w:val="016794"/>
                <w:sz w:val="18"/>
                <w:szCs w:val="18"/>
              </w:rPr>
              <w:t>Treaties</w:t>
            </w:r>
            <w:r>
              <w:rPr>
                <w:rFonts w:ascii="Verdana" w:hAnsi="Verdana"/>
                <w:noProof/>
                <w:sz w:val="18"/>
                <w:szCs w:val="18"/>
                <w:lang w:eastAsia="en-US"/>
              </w:rPr>
              <w:t>. The Union and the EU institutions may only act within the limits of the competences conferred by the Treaties so as to attain the objectives set out therein and must do this in</w:t>
            </w:r>
          </w:p>
        </w:tc>
      </w:tr>
      <w:tr w:rsidR="00135552">
        <w:tc>
          <w:tcPr>
            <w:tcW w:w="9778" w:type="dxa"/>
            <w:gridSpan w:val="2"/>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accordance with the principles</w:t>
            </w:r>
            <w:r>
              <w:rPr>
                <w:rStyle w:val="FootnoteReference"/>
                <w:rFonts w:ascii="Verdana" w:hAnsi="Verdana"/>
                <w:noProof/>
                <w:sz w:val="18"/>
                <w:szCs w:val="18"/>
                <w:lang w:eastAsia="en-US"/>
              </w:rPr>
              <w:footnoteReference w:id="1"/>
            </w:r>
            <w:r>
              <w:rPr>
                <w:rFonts w:ascii="Verdana" w:hAnsi="Verdana"/>
                <w:noProof/>
                <w:sz w:val="18"/>
                <w:szCs w:val="18"/>
                <w:lang w:eastAsia="en-US"/>
              </w:rPr>
              <w:t xml:space="preserve"> of subsidiarity and proportionality.</w:t>
            </w:r>
            <w:r>
              <w:rPr>
                <w:rFonts w:ascii="Verdana" w:hAnsi="Verdana"/>
                <w:noProof/>
                <w:sz w:val="18"/>
                <w:szCs w:val="18"/>
                <w:lang w:eastAsia="en-US"/>
              </w:rPr>
              <w:t xml:space="preserve"> To attain its objectives and carry out its policies, the Union provides itself with the necessary financial means. The Commission is responsible for promoting the general interest of the Union which includes executing the budget and managing programmes in</w:t>
            </w:r>
            <w:r>
              <w:rPr>
                <w:rFonts w:ascii="Verdana" w:hAnsi="Verdana"/>
                <w:noProof/>
                <w:sz w:val="18"/>
                <w:szCs w:val="18"/>
                <w:lang w:eastAsia="en-US"/>
              </w:rPr>
              <w:t xml:space="preserve"> cooperation with the Member States and in accordance with the principle of sound financial management.</w:t>
            </w:r>
          </w:p>
        </w:tc>
      </w:tr>
    </w:tbl>
    <w:p w:rsidR="00135552" w:rsidRDefault="004C63B0">
      <w:pPr>
        <w:tabs>
          <w:tab w:val="left" w:pos="426"/>
          <w:tab w:val="left" w:pos="907"/>
          <w:tab w:val="left" w:pos="8647"/>
        </w:tabs>
        <w:spacing w:before="240" w:after="240"/>
        <w:jc w:val="both"/>
        <w:rPr>
          <w:rFonts w:ascii="Verdana" w:hAnsi="Verdana"/>
          <w:noProof/>
          <w:sz w:val="18"/>
          <w:szCs w:val="18"/>
          <w:lang w:eastAsia="en-US"/>
        </w:rPr>
      </w:pPr>
      <w:r>
        <w:rPr>
          <w:rFonts w:ascii="Verdana" w:hAnsi="Verdana"/>
          <w:noProof/>
          <w:sz w:val="18"/>
          <w:szCs w:val="18"/>
          <w:lang w:eastAsia="en-US"/>
        </w:rPr>
        <w:t>The EU pursues the objectives established by the Treaty with a number of tools, one of which is the EU budget. Others are, for example, a common legisl</w:t>
      </w:r>
      <w:r>
        <w:rPr>
          <w:rFonts w:ascii="Verdana" w:hAnsi="Verdana"/>
          <w:noProof/>
          <w:sz w:val="18"/>
          <w:szCs w:val="18"/>
          <w:lang w:eastAsia="en-US"/>
        </w:rPr>
        <w:t>ative framework or joint policy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135552">
        <w:tc>
          <w:tcPr>
            <w:tcW w:w="2518" w:type="dxa"/>
            <w:shd w:val="clear" w:color="auto" w:fill="00B050"/>
          </w:tcPr>
          <w:p w:rsidR="00135552" w:rsidRDefault="004C63B0">
            <w:pPr>
              <w:tabs>
                <w:tab w:val="left" w:pos="426"/>
                <w:tab w:val="left" w:pos="907"/>
                <w:tab w:val="left" w:pos="8647"/>
              </w:tabs>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br/>
              <w:t>Commission political priorities</w:t>
            </w:r>
          </w:p>
          <w:p w:rsidR="00135552" w:rsidRDefault="00135552">
            <w:pPr>
              <w:tabs>
                <w:tab w:val="left" w:pos="426"/>
                <w:tab w:val="left" w:pos="907"/>
                <w:tab w:val="left" w:pos="8647"/>
              </w:tabs>
              <w:jc w:val="center"/>
              <w:rPr>
                <w:rFonts w:ascii="Verdana" w:hAnsi="Verdana"/>
                <w:b/>
                <w:noProof/>
                <w:sz w:val="18"/>
                <w:szCs w:val="18"/>
                <w:lang w:eastAsia="en-US"/>
              </w:rPr>
            </w:pP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 xml:space="preserve">The </w:t>
            </w:r>
            <w:r>
              <w:rPr>
                <w:rFonts w:ascii="Verdana" w:hAnsi="Verdana"/>
                <w:noProof/>
                <w:color w:val="016794"/>
                <w:sz w:val="18"/>
                <w:szCs w:val="18"/>
              </w:rPr>
              <w:t>political priorities of the Commission</w:t>
            </w:r>
            <w:r>
              <w:rPr>
                <w:rFonts w:ascii="Verdana" w:hAnsi="Verdana"/>
                <w:noProof/>
                <w:sz w:val="18"/>
                <w:szCs w:val="18"/>
                <w:lang w:eastAsia="en-US"/>
              </w:rPr>
              <w:t xml:space="preserve"> are defined in the political guidelines set by the President of the Commission. Under President von der Leyen, the Commission which took office on 1 December 2019 will focus on the following six headline ambitions:</w:t>
            </w:r>
          </w:p>
        </w:tc>
      </w:tr>
    </w:tbl>
    <w:p w:rsidR="00135552" w:rsidRDefault="00135552">
      <w:pPr>
        <w:tabs>
          <w:tab w:val="left" w:pos="426"/>
          <w:tab w:val="left" w:pos="907"/>
          <w:tab w:val="left" w:pos="8647"/>
        </w:tabs>
        <w:jc w:val="both"/>
        <w:rPr>
          <w:rFonts w:ascii="Verdana" w:hAnsi="Verdana"/>
          <w:noProof/>
          <w:sz w:val="18"/>
          <w:szCs w:val="18"/>
          <w:lang w:eastAsia="en-US"/>
        </w:rPr>
      </w:pPr>
    </w:p>
    <w:p w:rsidR="00135552" w:rsidRDefault="004C63B0">
      <w:pPr>
        <w:tabs>
          <w:tab w:val="left" w:pos="426"/>
          <w:tab w:val="left" w:pos="907"/>
          <w:tab w:val="left" w:pos="8647"/>
        </w:tabs>
        <w:spacing w:after="240"/>
        <w:ind w:right="-22"/>
        <w:jc w:val="both"/>
        <w:rPr>
          <w:rFonts w:ascii="Verdana" w:hAnsi="Verdana"/>
          <w:noProof/>
          <w:color w:val="016794"/>
          <w:sz w:val="18"/>
          <w:szCs w:val="18"/>
        </w:rPr>
      </w:pPr>
      <w:r>
        <w:rPr>
          <w:rFonts w:ascii="Verdana" w:hAnsi="Verdana"/>
          <w:noProof/>
          <w:color w:val="016794"/>
          <w:sz w:val="18"/>
          <w:szCs w:val="18"/>
        </w:rPr>
        <w:t>6 HEADLINE AMBITIONS</w:t>
      </w:r>
    </w:p>
    <w:tbl>
      <w:tblPr>
        <w:tblW w:w="9639" w:type="dxa"/>
        <w:tblLayout w:type="fixed"/>
        <w:tblCellMar>
          <w:left w:w="0" w:type="dxa"/>
          <w:right w:w="0" w:type="dxa"/>
        </w:tblCellMar>
        <w:tblLook w:val="04A0" w:firstRow="1" w:lastRow="0" w:firstColumn="1" w:lastColumn="0" w:noHBand="0" w:noVBand="1"/>
      </w:tblPr>
      <w:tblGrid>
        <w:gridCol w:w="1260"/>
        <w:gridCol w:w="105"/>
        <w:gridCol w:w="8274"/>
      </w:tblGrid>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noProof/>
                <w:lang w:val="pl-PL" w:eastAsia="pl-PL"/>
              </w:rPr>
              <w:drawing>
                <wp:inline distT="0" distB="0" distL="0" distR="0">
                  <wp:extent cx="756000" cy="442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694" name=""/>
                          <pic:cNvPicPr/>
                        </pic:nvPicPr>
                        <pic:blipFill>
                          <a:blip r:embed="rId29"/>
                          <a:srcRect l="13605" t="1125" r="17871" b="1125"/>
                          <a:stretch>
                            <a:fillRect/>
                          </a:stretch>
                        </pic:blipFill>
                        <pic:spPr bwMode="auto">
                          <a:xfrm>
                            <a:off x="0" y="0"/>
                            <a:ext cx="756000" cy="442800"/>
                          </a:xfrm>
                          <a:prstGeom prst="rect">
                            <a:avLst/>
                          </a:prstGeom>
                          <a:ln>
                            <a:noFill/>
                          </a:ln>
                          <a:extLst>
                            <a:ext uri="{53640926-AAD7-44D8-BBD7-CCE9431645EC}">
                              <a14:shadowObscured xmlns:a14="http://schemas.microsoft.com/office/drawing/2010/main"/>
                            </a:ext>
                          </a:extLst>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A European Gre</w:t>
            </w:r>
            <w:r>
              <w:rPr>
                <w:rFonts w:ascii="Verdana" w:hAnsi="Verdana"/>
                <w:noProof/>
                <w:color w:val="016794"/>
                <w:sz w:val="18"/>
                <w:szCs w:val="18"/>
              </w:rPr>
              <w:t>en Deal</w:t>
            </w:r>
          </w:p>
          <w:p w:rsidR="00135552" w:rsidRDefault="004C63B0">
            <w:pPr>
              <w:jc w:val="both"/>
              <w:rPr>
                <w:rFonts w:ascii="Verdana" w:hAnsi="Verdana"/>
                <w:noProof/>
                <w:sz w:val="18"/>
                <w:szCs w:val="18"/>
                <w:lang w:eastAsia="en-US"/>
              </w:rPr>
            </w:pPr>
            <w:r>
              <w:rPr>
                <w:rFonts w:ascii="Verdana" w:hAnsi="Verdana"/>
                <w:noProof/>
                <w:sz w:val="18"/>
                <w:szCs w:val="18"/>
                <w:lang w:eastAsia="en-US"/>
              </w:rPr>
              <w:t>– Striving to be the first climate-neutral continent</w:t>
            </w:r>
          </w:p>
        </w:tc>
      </w:tr>
      <w:tr w:rsidR="00135552">
        <w:trPr>
          <w:trHeight w:val="57"/>
        </w:trPr>
        <w:tc>
          <w:tcPr>
            <w:tcW w:w="1260" w:type="dxa"/>
            <w:shd w:val="clear" w:color="auto" w:fill="auto"/>
            <w:vAlign w:val="center"/>
          </w:tcPr>
          <w:p w:rsidR="00135552" w:rsidRDefault="00135552">
            <w:pPr>
              <w:rPr>
                <w:rFonts w:ascii="Verdana" w:hAnsi="Verdana"/>
                <w:noProof/>
                <w:sz w:val="8"/>
                <w:lang w:eastAsia="de-DE"/>
              </w:rPr>
            </w:pPr>
          </w:p>
        </w:tc>
        <w:tc>
          <w:tcPr>
            <w:tcW w:w="105" w:type="dxa"/>
          </w:tcPr>
          <w:p w:rsidR="00135552" w:rsidRDefault="00135552">
            <w:pPr>
              <w:jc w:val="both"/>
              <w:rPr>
                <w:rFonts w:ascii="Verdana" w:hAnsi="Verdana"/>
                <w:noProof/>
                <w:sz w:val="8"/>
                <w:szCs w:val="18"/>
                <w:lang w:eastAsia="en-US"/>
              </w:rPr>
            </w:pPr>
          </w:p>
        </w:tc>
        <w:tc>
          <w:tcPr>
            <w:tcW w:w="8274" w:type="dxa"/>
          </w:tcPr>
          <w:p w:rsidR="00135552" w:rsidRDefault="00135552">
            <w:pPr>
              <w:jc w:val="both"/>
              <w:rPr>
                <w:rFonts w:ascii="Verdana" w:hAnsi="Verdana"/>
                <w:noProof/>
                <w:sz w:val="8"/>
                <w:szCs w:val="18"/>
                <w:lang w:eastAsia="en-US"/>
              </w:rPr>
            </w:pPr>
          </w:p>
        </w:tc>
      </w:tr>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rFonts w:ascii="Verdana" w:hAnsi="Verdana"/>
                <w:noProof/>
                <w:sz w:val="18"/>
                <w:szCs w:val="18"/>
                <w:lang w:val="pl-PL" w:eastAsia="pl-PL"/>
              </w:rPr>
              <w:drawing>
                <wp:inline distT="0" distB="0" distL="0" distR="0">
                  <wp:extent cx="756000" cy="442800"/>
                  <wp:effectExtent l="0" t="0" r="6350" b="0"/>
                  <wp:docPr id="24" name="Picture 24" descr="economy fo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0507" name="Picture 1" descr="economy for peopl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An economy that works for people</w:t>
            </w:r>
          </w:p>
          <w:p w:rsidR="00135552" w:rsidRDefault="004C63B0">
            <w:pPr>
              <w:jc w:val="both"/>
              <w:rPr>
                <w:rFonts w:ascii="Verdana" w:hAnsi="Verdana"/>
                <w:noProof/>
                <w:sz w:val="18"/>
                <w:szCs w:val="18"/>
                <w:lang w:eastAsia="en-US"/>
              </w:rPr>
            </w:pPr>
            <w:r>
              <w:rPr>
                <w:rFonts w:ascii="Verdana" w:hAnsi="Verdana"/>
                <w:noProof/>
                <w:sz w:val="18"/>
                <w:szCs w:val="18"/>
                <w:lang w:eastAsia="en-US"/>
              </w:rPr>
              <w:t>– Working for social fairness and prosperity</w:t>
            </w:r>
          </w:p>
        </w:tc>
      </w:tr>
      <w:tr w:rsidR="00135552">
        <w:trPr>
          <w:trHeight w:val="57"/>
        </w:trPr>
        <w:tc>
          <w:tcPr>
            <w:tcW w:w="1260" w:type="dxa"/>
            <w:shd w:val="clear" w:color="auto" w:fill="auto"/>
            <w:vAlign w:val="center"/>
          </w:tcPr>
          <w:p w:rsidR="00135552" w:rsidRDefault="00135552">
            <w:pPr>
              <w:rPr>
                <w:rFonts w:ascii="Verdana" w:hAnsi="Verdana"/>
                <w:noProof/>
                <w:sz w:val="8"/>
                <w:szCs w:val="18"/>
                <w:lang w:eastAsia="en-US"/>
              </w:rPr>
            </w:pPr>
          </w:p>
        </w:tc>
        <w:tc>
          <w:tcPr>
            <w:tcW w:w="105" w:type="dxa"/>
          </w:tcPr>
          <w:p w:rsidR="00135552" w:rsidRDefault="00135552">
            <w:pPr>
              <w:jc w:val="both"/>
              <w:rPr>
                <w:rFonts w:ascii="Verdana" w:hAnsi="Verdana"/>
                <w:noProof/>
                <w:sz w:val="8"/>
                <w:szCs w:val="18"/>
                <w:lang w:eastAsia="en-US"/>
              </w:rPr>
            </w:pPr>
          </w:p>
        </w:tc>
        <w:tc>
          <w:tcPr>
            <w:tcW w:w="8274" w:type="dxa"/>
          </w:tcPr>
          <w:p w:rsidR="00135552" w:rsidRDefault="00135552">
            <w:pPr>
              <w:jc w:val="both"/>
              <w:rPr>
                <w:rFonts w:ascii="Verdana" w:hAnsi="Verdana"/>
                <w:noProof/>
                <w:sz w:val="8"/>
                <w:szCs w:val="18"/>
                <w:lang w:eastAsia="en-US"/>
              </w:rPr>
            </w:pPr>
          </w:p>
        </w:tc>
      </w:tr>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rFonts w:ascii="Verdana" w:hAnsi="Verdana"/>
                <w:noProof/>
                <w:sz w:val="18"/>
                <w:szCs w:val="18"/>
                <w:lang w:val="pl-PL" w:eastAsia="pl-PL"/>
              </w:rPr>
              <w:drawing>
                <wp:inline distT="0" distB="0" distL="0" distR="0">
                  <wp:extent cx="756000" cy="442800"/>
                  <wp:effectExtent l="0" t="0" r="6350" b="0"/>
                  <wp:docPr id="25" name="Picture 25" descr="digit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71256" name="Picture 3" descr="digital ag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A Europe fit for the digital age</w:t>
            </w:r>
          </w:p>
          <w:p w:rsidR="00135552" w:rsidRDefault="004C63B0">
            <w:pPr>
              <w:jc w:val="both"/>
              <w:rPr>
                <w:rFonts w:ascii="Verdana" w:hAnsi="Verdana"/>
                <w:noProof/>
                <w:sz w:val="18"/>
                <w:szCs w:val="18"/>
                <w:lang w:eastAsia="en-US"/>
              </w:rPr>
            </w:pPr>
            <w:r>
              <w:rPr>
                <w:rFonts w:ascii="Verdana" w:hAnsi="Verdana"/>
                <w:noProof/>
                <w:sz w:val="18"/>
                <w:szCs w:val="18"/>
                <w:lang w:eastAsia="en-US"/>
              </w:rPr>
              <w:t>– Empowering people with a new generation of technologies</w:t>
            </w:r>
          </w:p>
        </w:tc>
      </w:tr>
      <w:tr w:rsidR="00135552">
        <w:trPr>
          <w:trHeight w:val="57"/>
        </w:trPr>
        <w:tc>
          <w:tcPr>
            <w:tcW w:w="1260" w:type="dxa"/>
            <w:shd w:val="clear" w:color="auto" w:fill="auto"/>
            <w:vAlign w:val="center"/>
          </w:tcPr>
          <w:p w:rsidR="00135552" w:rsidRDefault="00135552">
            <w:pPr>
              <w:rPr>
                <w:rFonts w:ascii="Verdana" w:hAnsi="Verdana"/>
                <w:noProof/>
                <w:sz w:val="8"/>
                <w:szCs w:val="8"/>
                <w:lang w:eastAsia="en-US"/>
              </w:rPr>
            </w:pPr>
          </w:p>
        </w:tc>
        <w:tc>
          <w:tcPr>
            <w:tcW w:w="105" w:type="dxa"/>
          </w:tcPr>
          <w:p w:rsidR="00135552" w:rsidRDefault="00135552">
            <w:pPr>
              <w:jc w:val="both"/>
              <w:rPr>
                <w:rFonts w:ascii="Verdana" w:hAnsi="Verdana"/>
                <w:noProof/>
                <w:sz w:val="8"/>
                <w:szCs w:val="8"/>
                <w:lang w:eastAsia="en-US"/>
              </w:rPr>
            </w:pPr>
          </w:p>
        </w:tc>
        <w:tc>
          <w:tcPr>
            <w:tcW w:w="8274" w:type="dxa"/>
          </w:tcPr>
          <w:p w:rsidR="00135552" w:rsidRDefault="00135552">
            <w:pPr>
              <w:jc w:val="both"/>
              <w:rPr>
                <w:rFonts w:ascii="Verdana" w:hAnsi="Verdana"/>
                <w:noProof/>
                <w:sz w:val="8"/>
                <w:szCs w:val="8"/>
                <w:lang w:eastAsia="en-US"/>
              </w:rPr>
            </w:pPr>
          </w:p>
        </w:tc>
      </w:tr>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rFonts w:ascii="Verdana" w:hAnsi="Verdana"/>
                <w:noProof/>
                <w:sz w:val="18"/>
                <w:szCs w:val="18"/>
                <w:lang w:val="pl-PL" w:eastAsia="pl-PL"/>
              </w:rPr>
              <w:drawing>
                <wp:inline distT="0" distB="0" distL="0" distR="0">
                  <wp:extent cx="756000" cy="442800"/>
                  <wp:effectExtent l="0" t="0" r="6350" b="0"/>
                  <wp:docPr id="26" name="Picture 26" descr="Promoting the European wa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44711" name="Picture 5" descr="Promoting the European way of lif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Promoting our European way of life</w:t>
            </w:r>
          </w:p>
          <w:p w:rsidR="00135552" w:rsidRDefault="004C63B0">
            <w:pPr>
              <w:rPr>
                <w:rFonts w:ascii="Verdana" w:hAnsi="Verdana"/>
                <w:noProof/>
                <w:sz w:val="18"/>
                <w:szCs w:val="18"/>
                <w:lang w:eastAsia="en-US"/>
              </w:rPr>
            </w:pPr>
            <w:r>
              <w:rPr>
                <w:rFonts w:ascii="Verdana" w:hAnsi="Verdana"/>
                <w:noProof/>
                <w:sz w:val="18"/>
                <w:szCs w:val="18"/>
                <w:lang w:eastAsia="en-US"/>
              </w:rPr>
              <w:t>– Building a Union of equality in which we all have the same access to opportunities</w:t>
            </w:r>
          </w:p>
        </w:tc>
      </w:tr>
      <w:tr w:rsidR="00135552">
        <w:trPr>
          <w:trHeight w:val="57"/>
        </w:trPr>
        <w:tc>
          <w:tcPr>
            <w:tcW w:w="1260" w:type="dxa"/>
            <w:shd w:val="clear" w:color="auto" w:fill="auto"/>
            <w:vAlign w:val="center"/>
          </w:tcPr>
          <w:p w:rsidR="00135552" w:rsidRDefault="00135552">
            <w:pPr>
              <w:rPr>
                <w:rFonts w:ascii="Verdana" w:hAnsi="Verdana"/>
                <w:noProof/>
                <w:sz w:val="8"/>
                <w:szCs w:val="8"/>
                <w:lang w:eastAsia="en-US"/>
              </w:rPr>
            </w:pPr>
          </w:p>
        </w:tc>
        <w:tc>
          <w:tcPr>
            <w:tcW w:w="105" w:type="dxa"/>
          </w:tcPr>
          <w:p w:rsidR="00135552" w:rsidRDefault="00135552">
            <w:pPr>
              <w:jc w:val="both"/>
              <w:rPr>
                <w:rFonts w:ascii="Verdana" w:hAnsi="Verdana"/>
                <w:noProof/>
                <w:sz w:val="8"/>
                <w:szCs w:val="8"/>
                <w:lang w:eastAsia="en-US"/>
              </w:rPr>
            </w:pPr>
          </w:p>
        </w:tc>
        <w:tc>
          <w:tcPr>
            <w:tcW w:w="8274" w:type="dxa"/>
          </w:tcPr>
          <w:p w:rsidR="00135552" w:rsidRDefault="00135552">
            <w:pPr>
              <w:jc w:val="both"/>
              <w:rPr>
                <w:rFonts w:ascii="Verdana" w:hAnsi="Verdana"/>
                <w:noProof/>
                <w:sz w:val="8"/>
                <w:szCs w:val="8"/>
                <w:lang w:eastAsia="en-US"/>
              </w:rPr>
            </w:pPr>
          </w:p>
        </w:tc>
      </w:tr>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rFonts w:ascii="Verdana" w:hAnsi="Verdana"/>
                <w:noProof/>
                <w:sz w:val="18"/>
                <w:szCs w:val="18"/>
                <w:lang w:val="pl-PL" w:eastAsia="pl-PL"/>
              </w:rPr>
              <w:drawing>
                <wp:inline distT="0" distB="0" distL="0" distR="0">
                  <wp:extent cx="756000" cy="442800"/>
                  <wp:effectExtent l="0" t="0" r="6350" b="0"/>
                  <wp:docPr id="27" name="Picture 27" descr="A stronger Europe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4401" name="Picture 7" descr="A stronger Europe in the worl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A stronger Europe in the world</w:t>
            </w:r>
          </w:p>
          <w:p w:rsidR="00135552" w:rsidRDefault="004C63B0">
            <w:pPr>
              <w:rPr>
                <w:rFonts w:ascii="Verdana" w:hAnsi="Verdana"/>
                <w:noProof/>
                <w:sz w:val="18"/>
                <w:szCs w:val="18"/>
                <w:lang w:eastAsia="en-US"/>
              </w:rPr>
            </w:pPr>
            <w:r>
              <w:rPr>
                <w:rFonts w:ascii="Verdana" w:hAnsi="Verdana"/>
                <w:noProof/>
                <w:sz w:val="18"/>
                <w:szCs w:val="18"/>
                <w:lang w:eastAsia="en-US"/>
              </w:rPr>
              <w:t>– Europe to strive for more by strengthening our unique brand of responsible global</w:t>
            </w:r>
            <w:r>
              <w:rPr>
                <w:rFonts w:ascii="Verdana" w:hAnsi="Verdana"/>
                <w:noProof/>
                <w:sz w:val="18"/>
                <w:szCs w:val="18"/>
                <w:lang w:eastAsia="en-US"/>
              </w:rPr>
              <w:br/>
              <w:t xml:space="preserve">   leadership</w:t>
            </w:r>
          </w:p>
        </w:tc>
      </w:tr>
      <w:tr w:rsidR="00135552">
        <w:trPr>
          <w:trHeight w:val="57"/>
        </w:trPr>
        <w:tc>
          <w:tcPr>
            <w:tcW w:w="1260" w:type="dxa"/>
            <w:shd w:val="clear" w:color="auto" w:fill="auto"/>
            <w:vAlign w:val="center"/>
          </w:tcPr>
          <w:p w:rsidR="00135552" w:rsidRDefault="00135552">
            <w:pPr>
              <w:rPr>
                <w:rFonts w:ascii="Verdana" w:hAnsi="Verdana"/>
                <w:noProof/>
                <w:sz w:val="8"/>
                <w:szCs w:val="18"/>
                <w:lang w:eastAsia="en-US"/>
              </w:rPr>
            </w:pPr>
          </w:p>
        </w:tc>
        <w:tc>
          <w:tcPr>
            <w:tcW w:w="105" w:type="dxa"/>
          </w:tcPr>
          <w:p w:rsidR="00135552" w:rsidRDefault="00135552">
            <w:pPr>
              <w:jc w:val="both"/>
              <w:rPr>
                <w:rFonts w:ascii="Verdana" w:hAnsi="Verdana"/>
                <w:noProof/>
                <w:sz w:val="8"/>
                <w:szCs w:val="18"/>
                <w:lang w:eastAsia="en-US"/>
              </w:rPr>
            </w:pPr>
          </w:p>
        </w:tc>
        <w:tc>
          <w:tcPr>
            <w:tcW w:w="8274" w:type="dxa"/>
          </w:tcPr>
          <w:p w:rsidR="00135552" w:rsidRDefault="00135552">
            <w:pPr>
              <w:jc w:val="both"/>
              <w:rPr>
                <w:rFonts w:ascii="Verdana" w:hAnsi="Verdana"/>
                <w:noProof/>
                <w:sz w:val="8"/>
                <w:szCs w:val="18"/>
                <w:lang w:eastAsia="en-US"/>
              </w:rPr>
            </w:pPr>
          </w:p>
        </w:tc>
      </w:tr>
      <w:tr w:rsidR="00135552">
        <w:tc>
          <w:tcPr>
            <w:tcW w:w="1260" w:type="dxa"/>
            <w:shd w:val="clear" w:color="auto" w:fill="auto"/>
            <w:vAlign w:val="center"/>
          </w:tcPr>
          <w:p w:rsidR="00135552" w:rsidRDefault="004C63B0">
            <w:pPr>
              <w:jc w:val="center"/>
              <w:rPr>
                <w:rFonts w:ascii="Verdana" w:hAnsi="Verdana"/>
                <w:b/>
                <w:noProof/>
                <w:sz w:val="18"/>
                <w:szCs w:val="18"/>
                <w:lang w:eastAsia="en-US"/>
              </w:rPr>
            </w:pPr>
            <w:r>
              <w:rPr>
                <w:rFonts w:ascii="Verdana" w:hAnsi="Verdana"/>
                <w:noProof/>
                <w:sz w:val="18"/>
                <w:szCs w:val="18"/>
                <w:lang w:val="pl-PL" w:eastAsia="pl-PL"/>
              </w:rPr>
              <w:drawing>
                <wp:inline distT="0" distB="0" distL="0" distR="0">
                  <wp:extent cx="756000" cy="442800"/>
                  <wp:effectExtent l="0" t="0" r="6350" b="0"/>
                  <wp:docPr id="28" name="Picture 28" descr="A new push for European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31501" name="Picture 9" descr="A new push for European democrac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135552" w:rsidRDefault="00135552">
            <w:pPr>
              <w:spacing w:after="60"/>
              <w:jc w:val="both"/>
              <w:rPr>
                <w:rFonts w:ascii="Verdana" w:hAnsi="Verdana"/>
                <w:noProof/>
                <w:sz w:val="18"/>
                <w:szCs w:val="18"/>
                <w:lang w:eastAsia="en-US"/>
              </w:rPr>
            </w:pPr>
          </w:p>
        </w:tc>
        <w:tc>
          <w:tcPr>
            <w:tcW w:w="8274" w:type="dxa"/>
          </w:tcPr>
          <w:p w:rsidR="00135552" w:rsidRDefault="004C63B0">
            <w:pPr>
              <w:spacing w:after="60"/>
              <w:jc w:val="both"/>
              <w:rPr>
                <w:rFonts w:ascii="Verdana" w:hAnsi="Verdana"/>
                <w:noProof/>
                <w:color w:val="016794"/>
                <w:sz w:val="18"/>
                <w:szCs w:val="18"/>
              </w:rPr>
            </w:pPr>
            <w:r>
              <w:rPr>
                <w:rFonts w:ascii="Verdana" w:hAnsi="Verdana"/>
                <w:noProof/>
                <w:color w:val="016794"/>
                <w:sz w:val="18"/>
                <w:szCs w:val="18"/>
              </w:rPr>
              <w:t>A new push for European democracy</w:t>
            </w:r>
          </w:p>
          <w:p w:rsidR="00135552" w:rsidRDefault="004C63B0">
            <w:pPr>
              <w:jc w:val="both"/>
              <w:rPr>
                <w:rFonts w:ascii="Verdana" w:hAnsi="Verdana"/>
                <w:noProof/>
                <w:sz w:val="18"/>
                <w:szCs w:val="18"/>
                <w:lang w:eastAsia="en-US"/>
              </w:rPr>
            </w:pPr>
            <w:r>
              <w:rPr>
                <w:rFonts w:ascii="Verdana" w:hAnsi="Verdana"/>
                <w:noProof/>
                <w:sz w:val="18"/>
                <w:szCs w:val="18"/>
                <w:lang w:eastAsia="en-US"/>
              </w:rPr>
              <w:t>– Nurturing, protecting and strengthening our democracy</w:t>
            </w:r>
          </w:p>
        </w:tc>
      </w:tr>
    </w:tbl>
    <w:p w:rsidR="00135552" w:rsidRDefault="004C63B0">
      <w:pPr>
        <w:tabs>
          <w:tab w:val="left" w:pos="426"/>
          <w:tab w:val="left" w:pos="907"/>
          <w:tab w:val="left" w:pos="8647"/>
        </w:tabs>
        <w:spacing w:after="240"/>
        <w:ind w:right="-22"/>
        <w:jc w:val="both"/>
        <w:rPr>
          <w:rFonts w:ascii="Verdana" w:hAnsi="Verdana"/>
          <w:noProof/>
          <w:sz w:val="18"/>
          <w:szCs w:val="18"/>
          <w:lang w:eastAsia="en-US"/>
        </w:rPr>
      </w:pPr>
      <w:r>
        <w:rPr>
          <w:rFonts w:ascii="Verdana" w:hAnsi="Verdana"/>
          <w:noProof/>
          <w:sz w:val="18"/>
          <w:szCs w:val="18"/>
          <w:lang w:eastAsia="en-US"/>
        </w:rPr>
        <w:t xml:space="preserve">The previous Commission focused on ten priorities set by former President Jean-Claude Juncker and in line with Europe 2020, the EU’s long-term growth </w:t>
      </w:r>
      <w:r>
        <w:rPr>
          <w:rFonts w:ascii="Verdana" w:hAnsi="Verdana"/>
          <w:noProof/>
          <w:sz w:val="18"/>
          <w:szCs w:val="18"/>
          <w:lang w:eastAsia="en-US"/>
        </w:rPr>
        <w:t>strategy at the time:</w:t>
      </w:r>
    </w:p>
    <w:p w:rsidR="00135552" w:rsidRDefault="00135552">
      <w:pPr>
        <w:tabs>
          <w:tab w:val="left" w:pos="426"/>
          <w:tab w:val="left" w:pos="907"/>
          <w:tab w:val="left" w:pos="8647"/>
        </w:tabs>
        <w:spacing w:before="240" w:after="240"/>
        <w:jc w:val="both"/>
        <w:rPr>
          <w:rFonts w:ascii="Verdana" w:hAnsi="Verdana"/>
          <w:noProof/>
          <w:sz w:val="18"/>
          <w:szCs w:val="18"/>
          <w:lang w:eastAsia="en-US"/>
        </w:rPr>
        <w:sectPr w:rsidR="00135552">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A new boost for jobs, growth and investment;</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A connected digital single market;</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 xml:space="preserve">A resilient Energy Union with a forward-looking climate </w:t>
      </w:r>
      <w:r>
        <w:rPr>
          <w:rFonts w:ascii="Verdana" w:hAnsi="Verdana"/>
          <w:noProof/>
          <w:sz w:val="18"/>
          <w:szCs w:val="18"/>
          <w:lang w:eastAsia="en-US"/>
        </w:rPr>
        <w:t>change policy;</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A deeper and fairer internal market with a strengthened industrial base;</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A deeper and fairer Economic and Monetary Union (EMU);</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br w:type="column"/>
        <w:t>A balanced and progressive trade policy to harness globalisation;</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An area of justice and fundamental rights base</w:t>
      </w:r>
      <w:r>
        <w:rPr>
          <w:rFonts w:ascii="Verdana" w:hAnsi="Verdana"/>
          <w:noProof/>
          <w:sz w:val="18"/>
          <w:szCs w:val="18"/>
          <w:lang w:eastAsia="en-US"/>
        </w:rPr>
        <w:t>d on mutual trust;</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Towards a new policy on migration;</w:t>
      </w:r>
    </w:p>
    <w:p w:rsidR="00135552" w:rsidRDefault="004C63B0">
      <w:pPr>
        <w:pStyle w:val="ListParagraph"/>
        <w:numPr>
          <w:ilvl w:val="0"/>
          <w:numId w:val="17"/>
        </w:numPr>
        <w:spacing w:after="240"/>
        <w:rPr>
          <w:rFonts w:ascii="Verdana" w:hAnsi="Verdana"/>
          <w:noProof/>
          <w:sz w:val="18"/>
          <w:szCs w:val="18"/>
          <w:lang w:eastAsia="en-US"/>
        </w:rPr>
      </w:pPr>
      <w:r>
        <w:rPr>
          <w:rFonts w:ascii="Verdana" w:hAnsi="Verdana"/>
          <w:noProof/>
          <w:sz w:val="18"/>
          <w:szCs w:val="18"/>
          <w:lang w:eastAsia="en-US"/>
        </w:rPr>
        <w:t>Europe as a stronger global actor;</w:t>
      </w:r>
    </w:p>
    <w:p w:rsidR="00135552" w:rsidRDefault="004C63B0">
      <w:pPr>
        <w:pStyle w:val="ListParagraph"/>
        <w:numPr>
          <w:ilvl w:val="0"/>
          <w:numId w:val="17"/>
        </w:numPr>
        <w:tabs>
          <w:tab w:val="left" w:pos="426"/>
          <w:tab w:val="left" w:pos="907"/>
          <w:tab w:val="left" w:pos="8647"/>
        </w:tabs>
        <w:spacing w:after="240"/>
        <w:ind w:right="-22"/>
        <w:rPr>
          <w:rFonts w:ascii="Verdana" w:hAnsi="Verdana"/>
          <w:noProof/>
          <w:sz w:val="18"/>
          <w:szCs w:val="18"/>
          <w:lang w:eastAsia="en-US"/>
        </w:rPr>
        <w:sectPr w:rsidR="00135552">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1134" w:bottom="1134" w:left="1134" w:header="709" w:footer="709" w:gutter="0"/>
          <w:cols w:num="2" w:space="708"/>
          <w:docGrid w:linePitch="360"/>
        </w:sectPr>
      </w:pPr>
      <w:r>
        <w:rPr>
          <w:rFonts w:ascii="Verdana" w:hAnsi="Verdana"/>
          <w:noProof/>
          <w:sz w:val="18"/>
          <w:szCs w:val="18"/>
          <w:lang w:eastAsia="en-US"/>
        </w:rPr>
        <w:t>A Union of democratic change.</w:t>
      </w:r>
    </w:p>
    <w:p w:rsidR="00135552" w:rsidRDefault="00135552">
      <w:pPr>
        <w:pStyle w:val="ListParagraph"/>
        <w:numPr>
          <w:ilvl w:val="0"/>
          <w:numId w:val="18"/>
        </w:numPr>
        <w:tabs>
          <w:tab w:val="left" w:pos="426"/>
          <w:tab w:val="left" w:pos="907"/>
          <w:tab w:val="left" w:pos="8647"/>
        </w:tabs>
        <w:spacing w:after="240"/>
        <w:ind w:right="-22"/>
        <w:rPr>
          <w:rFonts w:ascii="Verdana" w:hAnsi="Verdana"/>
          <w:noProof/>
          <w:sz w:val="18"/>
          <w:szCs w:val="18"/>
          <w:lang w:eastAsia="en-US"/>
        </w:rPr>
        <w:sectPr w:rsidR="00135552">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134" w:bottom="1134" w:left="1134"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135552">
        <w:tc>
          <w:tcPr>
            <w:tcW w:w="2518" w:type="dxa"/>
            <w:shd w:val="clear" w:color="auto" w:fill="00B050"/>
            <w:vAlign w:val="center"/>
          </w:tcPr>
          <w:p w:rsidR="00135552" w:rsidRDefault="004C63B0">
            <w:pPr>
              <w:tabs>
                <w:tab w:val="left" w:pos="426"/>
                <w:tab w:val="left" w:pos="907"/>
                <w:tab w:val="left" w:pos="8647"/>
              </w:tabs>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t>2030 Agenda for Sustainable Development</w:t>
            </w: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 xml:space="preserve">The 2030 Agenda for Sustainable Development and its 17 Sustainable Development Goals, adopted by the United Nations in September 2015, have given a </w:t>
            </w:r>
            <w:r>
              <w:rPr>
                <w:rFonts w:ascii="Verdana" w:hAnsi="Verdana"/>
                <w:noProof/>
                <w:sz w:val="18"/>
                <w:szCs w:val="18"/>
                <w:lang w:eastAsia="en-US"/>
              </w:rPr>
              <w:t>new impetus to global efforts to achieve sustainable development. The EU played an important role in shaping the 2030 Agenda, reflecting the</w:t>
            </w:r>
          </w:p>
        </w:tc>
      </w:tr>
      <w:tr w:rsidR="00135552">
        <w:tc>
          <w:tcPr>
            <w:tcW w:w="9778" w:type="dxa"/>
            <w:gridSpan w:val="2"/>
          </w:tcPr>
          <w:p w:rsidR="00135552" w:rsidRDefault="004C63B0">
            <w:pPr>
              <w:tabs>
                <w:tab w:val="left" w:pos="426"/>
                <w:tab w:val="left" w:pos="907"/>
                <w:tab w:val="left" w:pos="8647"/>
              </w:tabs>
              <w:spacing w:after="240"/>
              <w:jc w:val="both"/>
              <w:rPr>
                <w:rFonts w:ascii="Verdana" w:hAnsi="Verdana"/>
                <w:noProof/>
                <w:sz w:val="18"/>
                <w:szCs w:val="18"/>
                <w:lang w:eastAsia="en-US"/>
              </w:rPr>
            </w:pPr>
            <w:r>
              <w:rPr>
                <w:rFonts w:ascii="Verdana" w:hAnsi="Verdana"/>
                <w:noProof/>
                <w:sz w:val="18"/>
                <w:szCs w:val="18"/>
                <w:lang w:eastAsia="en-US"/>
              </w:rPr>
              <w:t xml:space="preserve">fact that sustainable development has long been at the heart of the European project. The Sustainable Development </w:t>
            </w:r>
            <w:r>
              <w:rPr>
                <w:rFonts w:ascii="Verdana" w:hAnsi="Verdana"/>
                <w:noProof/>
                <w:sz w:val="18"/>
                <w:szCs w:val="18"/>
                <w:lang w:eastAsia="en-US"/>
              </w:rPr>
              <w:t>Goals are firmly anchored in the EU Treaties and mainstreamed in all the EU policies and initiatives. The EU budget plays an essential role in addressing many sustainability challenges including poverty, youth unemployment, health and well-being, climate c</w:t>
            </w:r>
            <w:r>
              <w:rPr>
                <w:rFonts w:ascii="Verdana" w:hAnsi="Verdana"/>
                <w:noProof/>
                <w:sz w:val="18"/>
                <w:szCs w:val="18"/>
                <w:lang w:eastAsia="en-US"/>
              </w:rPr>
              <w:t>hange, loss of biodiversity, sustainable energy and migration.</w:t>
            </w:r>
          </w:p>
        </w:tc>
      </w:tr>
      <w:tr w:rsidR="00135552">
        <w:tc>
          <w:tcPr>
            <w:tcW w:w="2518" w:type="dxa"/>
            <w:shd w:val="clear" w:color="auto" w:fill="0070C0"/>
            <w:vAlign w:val="center"/>
          </w:tcPr>
          <w:p w:rsidR="00135552" w:rsidRDefault="004C63B0">
            <w:pPr>
              <w:tabs>
                <w:tab w:val="left" w:pos="426"/>
                <w:tab w:val="left" w:pos="907"/>
                <w:tab w:val="left" w:pos="8647"/>
              </w:tabs>
              <w:jc w:val="center"/>
              <w:rPr>
                <w:rFonts w:ascii="Verdana" w:hAnsi="Verdana"/>
                <w:b/>
                <w:noProof/>
                <w:sz w:val="18"/>
                <w:szCs w:val="18"/>
                <w:lang w:eastAsia="en-US"/>
              </w:rPr>
            </w:pPr>
            <w:r>
              <w:rPr>
                <w:rFonts w:ascii="Verdana" w:hAnsi="Verdana"/>
                <w:b/>
                <w:noProof/>
                <w:color w:val="FFFFFF" w:themeColor="background1"/>
                <w:sz w:val="18"/>
                <w:szCs w:val="18"/>
                <w:lang w:eastAsia="en-US"/>
              </w:rPr>
              <w:t>Multiannual financial framework and spending programmes</w:t>
            </w: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 xml:space="preserve">The policies supported by the EU budget are implemented in accordance with the </w:t>
            </w:r>
            <w:r>
              <w:rPr>
                <w:rFonts w:ascii="Verdana" w:hAnsi="Verdana"/>
                <w:noProof/>
                <w:color w:val="016794"/>
                <w:sz w:val="18"/>
                <w:szCs w:val="18"/>
              </w:rPr>
              <w:t>multiannual financial framework (MFF)</w:t>
            </w:r>
            <w:r>
              <w:rPr>
                <w:rFonts w:ascii="Verdana" w:hAnsi="Verdana"/>
                <w:noProof/>
                <w:sz w:val="18"/>
                <w:szCs w:val="18"/>
                <w:lang w:eastAsia="en-US"/>
              </w:rPr>
              <w:t xml:space="preserve"> and corresponding sectoral legislation defining spending programmes. These translate the EU’s political priorities into financial terms over a period long enough to be effective and </w:t>
            </w:r>
          </w:p>
        </w:tc>
      </w:tr>
      <w:tr w:rsidR="00135552">
        <w:tc>
          <w:tcPr>
            <w:tcW w:w="9778" w:type="dxa"/>
            <w:gridSpan w:val="2"/>
          </w:tcPr>
          <w:p w:rsidR="00135552" w:rsidRDefault="004C63B0">
            <w:pPr>
              <w:tabs>
                <w:tab w:val="left" w:pos="426"/>
                <w:tab w:val="left" w:pos="907"/>
                <w:tab w:val="left" w:pos="8647"/>
              </w:tabs>
              <w:spacing w:after="240"/>
              <w:jc w:val="both"/>
              <w:rPr>
                <w:rFonts w:ascii="Verdana" w:hAnsi="Verdana"/>
                <w:noProof/>
                <w:sz w:val="18"/>
                <w:szCs w:val="18"/>
                <w:lang w:eastAsia="en-US"/>
              </w:rPr>
            </w:pPr>
            <w:r>
              <w:rPr>
                <w:rFonts w:ascii="Verdana" w:hAnsi="Verdana"/>
                <w:noProof/>
                <w:sz w:val="18"/>
                <w:szCs w:val="18"/>
                <w:lang w:eastAsia="en-US"/>
              </w:rPr>
              <w:t xml:space="preserve">to provide a coherent long-term perspective for beneficiaries of EU </w:t>
            </w:r>
            <w:r>
              <w:rPr>
                <w:rFonts w:ascii="Verdana" w:hAnsi="Verdana"/>
                <w:noProof/>
                <w:sz w:val="18"/>
                <w:szCs w:val="18"/>
                <w:lang w:eastAsia="en-US"/>
              </w:rPr>
              <w:t>funds and co-financing national authorities. Maximum annual amounts (ceilings) are set for EU expenditure as a whole and for the main categories of expenditure (headings). The sum of the ceilings of all headings gives the total ceiling for commitment appro</w:t>
            </w:r>
            <w:r>
              <w:rPr>
                <w:rFonts w:ascii="Verdana" w:hAnsi="Verdana"/>
                <w:noProof/>
                <w:sz w:val="18"/>
                <w:szCs w:val="18"/>
                <w:lang w:eastAsia="en-US"/>
              </w:rPr>
              <w:t>priations. The multiannual financial framework is adopted by unanimity indicating the agreement of all Member States to the objectives and the level of spending (maximum level of budget commitments and payments), with the consent of the European Parliament</w:t>
            </w:r>
            <w:r>
              <w:rPr>
                <w:rFonts w:ascii="Verdana" w:hAnsi="Verdana"/>
                <w:noProof/>
                <w:sz w:val="18"/>
                <w:szCs w:val="18"/>
                <w:lang w:eastAsia="en-US"/>
              </w:rPr>
              <w:t>. The current MFF covers the period 2014-2020.</w:t>
            </w:r>
          </w:p>
        </w:tc>
      </w:tr>
      <w:tr w:rsidR="00135552">
        <w:tc>
          <w:tcPr>
            <w:tcW w:w="2518" w:type="dxa"/>
            <w:shd w:val="clear" w:color="auto" w:fill="00B050"/>
            <w:vAlign w:val="center"/>
          </w:tcPr>
          <w:p w:rsidR="00135552" w:rsidRDefault="004C63B0">
            <w:pPr>
              <w:tabs>
                <w:tab w:val="left" w:pos="426"/>
                <w:tab w:val="left" w:pos="907"/>
                <w:tab w:val="left" w:pos="8647"/>
              </w:tabs>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t>Interinstitutional agreement</w:t>
            </w: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rPr>
              <w:t>The multiannual financial framework is complemented by the</w:t>
            </w:r>
            <w:r>
              <w:rPr>
                <w:rFonts w:ascii="Verdana" w:hAnsi="Verdana"/>
                <w:b/>
                <w:noProof/>
                <w:sz w:val="18"/>
                <w:szCs w:val="18"/>
              </w:rPr>
              <w:t xml:space="preserve"> </w:t>
            </w:r>
            <w:r>
              <w:rPr>
                <w:rFonts w:ascii="Verdana" w:hAnsi="Verdana"/>
                <w:noProof/>
                <w:color w:val="016794"/>
                <w:sz w:val="18"/>
                <w:szCs w:val="18"/>
              </w:rPr>
              <w:t>interinstitutional agreement</w:t>
            </w:r>
            <w:r>
              <w:rPr>
                <w:rFonts w:ascii="Verdana" w:hAnsi="Verdana"/>
                <w:noProof/>
                <w:sz w:val="18"/>
                <w:szCs w:val="18"/>
                <w:vertAlign w:val="superscript"/>
              </w:rPr>
              <w:footnoteReference w:id="2"/>
            </w:r>
            <w:r>
              <w:rPr>
                <w:rFonts w:ascii="Verdana" w:hAnsi="Verdana"/>
                <w:noProof/>
                <w:color w:val="016794"/>
                <w:sz w:val="18"/>
                <w:szCs w:val="18"/>
              </w:rPr>
              <w:t>,</w:t>
            </w:r>
            <w:r>
              <w:rPr>
                <w:rFonts w:ascii="Verdana" w:hAnsi="Verdana"/>
                <w:noProof/>
                <w:sz w:val="18"/>
                <w:szCs w:val="18"/>
              </w:rPr>
              <w:t xml:space="preserve"> which is a political agreement</w:t>
            </w:r>
            <w:r>
              <w:rPr>
                <w:noProof/>
              </w:rPr>
              <w:t xml:space="preserve"> </w:t>
            </w:r>
            <w:r>
              <w:rPr>
                <w:rFonts w:ascii="Verdana" w:hAnsi="Verdana"/>
                <w:noProof/>
                <w:sz w:val="18"/>
                <w:szCs w:val="18"/>
              </w:rPr>
              <w:t>between the European Parliament, the Council and the Commi</w:t>
            </w:r>
            <w:r>
              <w:rPr>
                <w:rFonts w:ascii="Verdana" w:hAnsi="Verdana"/>
                <w:noProof/>
                <w:sz w:val="18"/>
                <w:szCs w:val="18"/>
              </w:rPr>
              <w:t xml:space="preserve">ssion. The purpose of this agreement, adopted in 2013 in accordance with Article 295 of the Treaty on </w:t>
            </w:r>
          </w:p>
        </w:tc>
      </w:tr>
      <w:tr w:rsidR="00135552">
        <w:tc>
          <w:tcPr>
            <w:tcW w:w="9778" w:type="dxa"/>
            <w:gridSpan w:val="2"/>
          </w:tcPr>
          <w:p w:rsidR="00135552" w:rsidRDefault="004C63B0">
            <w:pPr>
              <w:tabs>
                <w:tab w:val="left" w:pos="426"/>
                <w:tab w:val="left" w:pos="907"/>
                <w:tab w:val="left" w:pos="8647"/>
              </w:tabs>
              <w:spacing w:after="240"/>
              <w:jc w:val="both"/>
              <w:rPr>
                <w:rFonts w:ascii="Verdana" w:hAnsi="Verdana"/>
                <w:noProof/>
                <w:sz w:val="18"/>
                <w:szCs w:val="18"/>
                <w:lang w:eastAsia="en-US"/>
              </w:rPr>
            </w:pPr>
            <w:r>
              <w:rPr>
                <w:rFonts w:ascii="Verdana" w:hAnsi="Verdana"/>
                <w:noProof/>
                <w:sz w:val="18"/>
                <w:szCs w:val="18"/>
              </w:rPr>
              <w:t xml:space="preserve">the Functioning of the European Union (TFEU), is to implement budgetary discipline, to improve the functioning of the annual budgetary procedure and </w:t>
            </w:r>
            <w:r>
              <w:rPr>
                <w:rFonts w:ascii="Verdana" w:hAnsi="Verdana"/>
                <w:noProof/>
                <w:sz w:val="18"/>
                <w:szCs w:val="18"/>
              </w:rPr>
              <w:t>cooperation between the institutions on budgetary matters, as well as to ensure sound financial management.</w:t>
            </w:r>
          </w:p>
        </w:tc>
      </w:tr>
      <w:tr w:rsidR="00135552">
        <w:tc>
          <w:tcPr>
            <w:tcW w:w="2518" w:type="dxa"/>
            <w:shd w:val="clear" w:color="auto" w:fill="0070C0"/>
            <w:vAlign w:val="center"/>
          </w:tcPr>
          <w:p w:rsidR="00135552" w:rsidRDefault="004C63B0">
            <w:pPr>
              <w:tabs>
                <w:tab w:val="left" w:pos="426"/>
                <w:tab w:val="left" w:pos="907"/>
                <w:tab w:val="left" w:pos="8647"/>
              </w:tabs>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t>Annual budget</w:t>
            </w:r>
          </w:p>
        </w:tc>
        <w:tc>
          <w:tcPr>
            <w:tcW w:w="7260" w:type="dxa"/>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rPr>
              <w:t>The</w:t>
            </w:r>
            <w:r>
              <w:rPr>
                <w:rFonts w:ascii="Verdana" w:hAnsi="Verdana"/>
                <w:noProof/>
                <w:color w:val="016794"/>
                <w:sz w:val="18"/>
                <w:szCs w:val="18"/>
              </w:rPr>
              <w:t xml:space="preserve"> annual budget</w:t>
            </w:r>
            <w:r>
              <w:rPr>
                <w:rFonts w:ascii="Verdana" w:hAnsi="Verdana"/>
                <w:noProof/>
                <w:sz w:val="18"/>
                <w:szCs w:val="18"/>
              </w:rPr>
              <w:t xml:space="preserve"> is prepared by the Commission and usually agreed by mid-December by the European Parliament and the Council, based </w:t>
            </w:r>
            <w:r>
              <w:rPr>
                <w:rFonts w:ascii="Verdana" w:hAnsi="Verdana"/>
                <w:noProof/>
                <w:sz w:val="18"/>
                <w:szCs w:val="18"/>
              </w:rPr>
              <w:t>on the procedure of Article 314 TFEU. According to the principle of budgetary equilibrium, total revenue must equal total expenditure (payment</w:t>
            </w:r>
          </w:p>
        </w:tc>
      </w:tr>
      <w:tr w:rsidR="00135552">
        <w:tc>
          <w:tcPr>
            <w:tcW w:w="9778" w:type="dxa"/>
            <w:gridSpan w:val="2"/>
          </w:tcPr>
          <w:p w:rsidR="00135552" w:rsidRDefault="004C63B0">
            <w:pPr>
              <w:tabs>
                <w:tab w:val="left" w:pos="426"/>
                <w:tab w:val="left" w:pos="907"/>
                <w:tab w:val="left" w:pos="8647"/>
              </w:tabs>
              <w:jc w:val="both"/>
              <w:rPr>
                <w:rFonts w:ascii="Verdana" w:hAnsi="Verdana"/>
                <w:noProof/>
                <w:sz w:val="18"/>
                <w:szCs w:val="18"/>
                <w:lang w:eastAsia="en-US"/>
              </w:rPr>
            </w:pPr>
            <w:r>
              <w:rPr>
                <w:rFonts w:ascii="Verdana" w:hAnsi="Verdana"/>
                <w:noProof/>
                <w:sz w:val="18"/>
                <w:szCs w:val="18"/>
                <w:lang w:eastAsia="en-US"/>
              </w:rPr>
              <w:t>appropriations) for a given financial year.</w:t>
            </w:r>
          </w:p>
        </w:tc>
      </w:tr>
    </w:tbl>
    <w:p w:rsidR="00135552" w:rsidRDefault="004C63B0">
      <w:pPr>
        <w:pStyle w:val="DGTextstand-alone"/>
      </w:pPr>
      <w:r>
        <w:t xml:space="preserve">The main </w:t>
      </w:r>
      <w:r>
        <w:rPr>
          <w:color w:val="016794"/>
          <w:lang w:eastAsia="en-GB"/>
        </w:rPr>
        <w:t>sources of funding</w:t>
      </w:r>
      <w:r>
        <w:t xml:space="preserve"> of the EU are own resources revenues which are complemented by other revenues. There are three types of own resources: traditional own resources (such as custom duties and sugar levies), the own resource based on value added tax (VAT) and the own resource</w:t>
      </w:r>
      <w:r>
        <w:t xml:space="preserve"> based on gross national income (GNI). Other revenues arising from the activities of the EU (e.g. competition fines) normally represent less than 10 % of total revenue. The overall amount of own resources needed to finance the budget is determined by total</w:t>
      </w:r>
      <w:r>
        <w:t xml:space="preserve"> expenditure less other revenue. In the current MFF the total amount of own resources cannot exceed 1.20 % of the sum of gross national income (GNI) of the Member States.</w:t>
      </w:r>
    </w:p>
    <w:p w:rsidR="00135552" w:rsidRDefault="004C63B0">
      <w:pPr>
        <w:rPr>
          <w:rFonts w:ascii="Verdana" w:eastAsia="Calibri" w:hAnsi="Verdana"/>
          <w:noProof/>
          <w:sz w:val="18"/>
          <w:szCs w:val="18"/>
          <w:bdr w:val="nil"/>
          <w:lang w:eastAsia="en-US"/>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135552">
        <w:trPr>
          <w:trHeight w:val="624"/>
        </w:trPr>
        <w:tc>
          <w:tcPr>
            <w:tcW w:w="2518" w:type="dxa"/>
            <w:shd w:val="clear" w:color="auto" w:fill="00B050"/>
            <w:vAlign w:val="center"/>
          </w:tcPr>
          <w:p w:rsidR="00135552" w:rsidRDefault="004C63B0">
            <w:pPr>
              <w:tabs>
                <w:tab w:val="left" w:pos="426"/>
                <w:tab w:val="left" w:pos="907"/>
                <w:tab w:val="left" w:pos="8647"/>
              </w:tabs>
              <w:spacing w:before="240" w:after="240"/>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t>Management modes</w:t>
            </w:r>
          </w:p>
        </w:tc>
        <w:tc>
          <w:tcPr>
            <w:tcW w:w="7260" w:type="dxa"/>
          </w:tcPr>
          <w:p w:rsidR="00135552" w:rsidRDefault="004C63B0">
            <w:pPr>
              <w:pStyle w:val="DGTextstand-alone"/>
              <w:spacing w:before="0" w:after="0"/>
              <w:jc w:val="left"/>
            </w:pPr>
            <w:r>
              <w:t xml:space="preserve">The EU budget is implemented in three management modes which </w:t>
            </w:r>
            <w:r>
              <w:t>determine how the money is paid out and managed:</w:t>
            </w:r>
            <w:r>
              <w:br/>
            </w:r>
            <w:r>
              <w:br/>
            </w:r>
          </w:p>
        </w:tc>
      </w:tr>
    </w:tbl>
    <w:p w:rsidR="00135552" w:rsidRDefault="004C63B0">
      <w:pPr>
        <w:pStyle w:val="DGTextstand-alone"/>
        <w:numPr>
          <w:ilvl w:val="0"/>
          <w:numId w:val="19"/>
        </w:numPr>
        <w:ind w:left="714" w:hanging="357"/>
        <w:rPr>
          <w:color w:val="016794"/>
          <w:lang w:eastAsia="en-GB"/>
        </w:rPr>
      </w:pPr>
      <w:r>
        <w:rPr>
          <w:color w:val="016794"/>
          <w:lang w:eastAsia="en-GB"/>
        </w:rPr>
        <w:t>Shared management:</w:t>
      </w:r>
      <w:r>
        <w:t xml:space="preserve"> the vast proportion of the budget is managed under a system of shared management by the Commission in cooperation with the Member States, notably in the areas of structural funds and ag</w:t>
      </w:r>
      <w:r>
        <w:t>riculture.</w:t>
      </w:r>
    </w:p>
    <w:p w:rsidR="00135552" w:rsidRDefault="004C63B0">
      <w:pPr>
        <w:pStyle w:val="DGTextstand-alone"/>
        <w:numPr>
          <w:ilvl w:val="0"/>
          <w:numId w:val="19"/>
        </w:numPr>
        <w:ind w:left="714" w:hanging="357"/>
      </w:pPr>
      <w:r>
        <w:rPr>
          <w:color w:val="016794"/>
          <w:lang w:eastAsia="en-GB"/>
        </w:rPr>
        <w:t>Direct management:</w:t>
      </w:r>
      <w:r>
        <w:t xml:space="preserve"> the Commission also manages programmes itself and can delegate the implementation of specific programmes to executive agencies.</w:t>
      </w:r>
    </w:p>
    <w:p w:rsidR="00135552" w:rsidRDefault="004C63B0">
      <w:pPr>
        <w:pStyle w:val="DGTextstand-alone"/>
        <w:numPr>
          <w:ilvl w:val="0"/>
          <w:numId w:val="19"/>
        </w:numPr>
        <w:ind w:left="714" w:hanging="357"/>
      </w:pPr>
      <w:r>
        <w:rPr>
          <w:color w:val="016794"/>
          <w:lang w:eastAsia="en-GB"/>
        </w:rPr>
        <w:t>Indirect management:</w:t>
      </w:r>
      <w:r>
        <w:t xml:space="preserve"> Expenditure decisions can also be indirectly managed via other bodies within </w:t>
      </w:r>
      <w:r>
        <w:t>or outside the EU. The Financial Regulation and/or delegation agreements define the necessary control and reporting mechanisms by these entities and the supervision by the Commission where budget implementation tasks are entrusted to national agencies, the</w:t>
      </w:r>
      <w:r>
        <w:t xml:space="preserve"> European Investment Bank Group, third countries, international organisations (e.g. the World Bank or the United Nations) and other entities (e.g. EU decentralised agencies, Joint Undertakings).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135552">
        <w:trPr>
          <w:trHeight w:val="624"/>
        </w:trPr>
        <w:tc>
          <w:tcPr>
            <w:tcW w:w="2518" w:type="dxa"/>
            <w:shd w:val="clear" w:color="auto" w:fill="0070C0"/>
            <w:vAlign w:val="center"/>
          </w:tcPr>
          <w:p w:rsidR="00135552" w:rsidRDefault="004C63B0">
            <w:pPr>
              <w:tabs>
                <w:tab w:val="left" w:pos="426"/>
                <w:tab w:val="left" w:pos="907"/>
                <w:tab w:val="left" w:pos="8647"/>
              </w:tabs>
              <w:jc w:val="center"/>
              <w:rPr>
                <w:rFonts w:ascii="Verdana" w:hAnsi="Verdana"/>
                <w:b/>
                <w:noProof/>
                <w:color w:val="FFFFFF" w:themeColor="background1"/>
                <w:sz w:val="18"/>
                <w:szCs w:val="18"/>
                <w:lang w:eastAsia="en-US"/>
              </w:rPr>
            </w:pPr>
            <w:r>
              <w:rPr>
                <w:rFonts w:ascii="Verdana" w:hAnsi="Verdana"/>
                <w:b/>
                <w:noProof/>
                <w:color w:val="FFFFFF" w:themeColor="background1"/>
                <w:sz w:val="18"/>
                <w:szCs w:val="18"/>
                <w:lang w:eastAsia="en-US"/>
              </w:rPr>
              <w:t>Financial Regulation</w:t>
            </w:r>
          </w:p>
        </w:tc>
        <w:tc>
          <w:tcPr>
            <w:tcW w:w="7260" w:type="dxa"/>
          </w:tcPr>
          <w:p w:rsidR="00135552" w:rsidRDefault="004C63B0">
            <w:pPr>
              <w:pStyle w:val="DGTextstand-alone"/>
              <w:spacing w:before="0" w:after="0"/>
            </w:pPr>
            <w:r>
              <w:t xml:space="preserve">The </w:t>
            </w:r>
            <w:r>
              <w:rPr>
                <w:color w:val="016794"/>
              </w:rPr>
              <w:t>Financial Regulation</w:t>
            </w:r>
            <w:r>
              <w:t xml:space="preserve"> (FR)</w:t>
            </w:r>
            <w:r>
              <w:rPr>
                <w:rStyle w:val="FootnoteReference"/>
              </w:rPr>
              <w:t xml:space="preserve"> </w:t>
            </w:r>
            <w:r>
              <w:rPr>
                <w:rStyle w:val="FootnoteReference"/>
              </w:rPr>
              <w:footnoteReference w:id="3"/>
            </w:r>
            <w:r>
              <w:t xml:space="preserve"> applicab</w:t>
            </w:r>
            <w:r>
              <w:t>le to the general budget is a central act in the regulatory architecture of the EU´s finances. It defines in detail the financial rules applicable to the execution of the EU budget and the roles of the different actors involved in ensuring that the money i</w:t>
            </w:r>
            <w:r>
              <w:t xml:space="preserve">s used soundly and </w:t>
            </w:r>
          </w:p>
        </w:tc>
      </w:tr>
      <w:tr w:rsidR="00135552">
        <w:tc>
          <w:tcPr>
            <w:tcW w:w="9778" w:type="dxa"/>
            <w:gridSpan w:val="2"/>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pPr>
            <w:r>
              <w:t>achieves the objectives set.</w:t>
            </w:r>
          </w:p>
        </w:tc>
      </w:tr>
    </w:tbl>
    <w:p w:rsidR="00135552" w:rsidRDefault="00135552">
      <w:pPr>
        <w:pStyle w:val="DGTextstand-alone"/>
      </w:pPr>
    </w:p>
    <w:p w:rsidR="00135552" w:rsidRDefault="004C63B0">
      <w:pPr>
        <w:pStyle w:val="HEADER1Part1"/>
        <w:rPr>
          <w:noProof/>
        </w:rPr>
      </w:pPr>
      <w:r>
        <w:rPr>
          <w:noProof/>
        </w:rPr>
        <w:t>GOVERNANCE AND ACCOUNTABILITY</w:t>
      </w:r>
    </w:p>
    <w:p w:rsidR="00135552" w:rsidRDefault="004C63B0">
      <w:pPr>
        <w:pStyle w:val="HEADER2Part1"/>
        <w:rPr>
          <w:noProof/>
        </w:rPr>
      </w:pPr>
      <w:r>
        <w:rPr>
          <w:noProof/>
        </w:rPr>
        <w:t>INSTITUTIONAL STRUCTURE</w:t>
      </w:r>
    </w:p>
    <w:p w:rsidR="00135552" w:rsidRDefault="004C63B0">
      <w:pPr>
        <w:pStyle w:val="DGTextstand-alone"/>
      </w:pPr>
      <w:r>
        <w:t>The EU has an institutional framework which aims to promote its values, advance its objectives, serve its interests, those of its citizens and those of the Member States, and ensure the consistency, effectiveness and continuity of its policies and actions.</w:t>
      </w:r>
      <w:r>
        <w:t xml:space="preserve"> The organisational structure consists of institutions, agencies and other EU bodies, which are included in the EU consolidated accounts as far as the consolidation criteria as set out in the Financial Regulation and the applicable accounting rules are met</w:t>
      </w:r>
      <w:r>
        <w:t xml:space="preserve"> (please refer to note </w:t>
      </w:r>
      <w:r>
        <w:rPr>
          <w:b/>
        </w:rPr>
        <w:t xml:space="preserve">9 </w:t>
      </w:r>
      <w:r>
        <w:t>for the list of entities included in the scope of consolidation).</w:t>
      </w:r>
    </w:p>
    <w:p w:rsidR="00135552" w:rsidRDefault="004C63B0">
      <w:pPr>
        <w:pStyle w:val="DGTextstand-alone"/>
      </w:pPr>
      <w:r>
        <w:t>The European Parliament, jointly with the Council, exercises legislative and budgetary functions. The Commission is politically accountable to the European Parliamen</w:t>
      </w:r>
      <w:r>
        <w:t>t. The Council also carries out policy-making and coordinating functions within the general political direction and priorities of the Union set by the European Council.</w:t>
      </w:r>
    </w:p>
    <w:p w:rsidR="00135552" w:rsidRDefault="004C63B0">
      <w:pPr>
        <w:pStyle w:val="DGTextstand-alone"/>
      </w:pPr>
      <w:r>
        <w:t>The Commission is responsible for planning, preparing and proposing legislation; for ma</w:t>
      </w:r>
      <w:r>
        <w:t>naging EU policies, including the monitoring of implementation of EU legislation and ensuring its enforcement; for allocating EU funding and managing financing programmes; and for representing the EU internationally.</w:t>
      </w:r>
    </w:p>
    <w:p w:rsidR="00135552" w:rsidRDefault="004C63B0">
      <w:pPr>
        <w:pStyle w:val="DGTextstand-alone"/>
      </w:pPr>
      <w:r>
        <w:t>The Commission implements the budget, i</w:t>
      </w:r>
      <w:r>
        <w:t>n large part in cooperation with the Member States</w:t>
      </w:r>
      <w:r>
        <w:rPr>
          <w:rStyle w:val="FootnoteReference"/>
        </w:rPr>
        <w:footnoteReference w:id="4"/>
      </w:r>
      <w:r>
        <w:t>. Together, they ensure that the appropriations are used in accordance with the principles of sound financial management. Regulations lay down the control and audit obligations of the Member States when th</w:t>
      </w:r>
      <w:r>
        <w:t>ey share the implementation of the budget and the resulting responsibilities. They also lay down the responsibilities and detailed rules for each of the EU’s institution as concerns their own expenditure.</w:t>
      </w:r>
    </w:p>
    <w:p w:rsidR="00135552" w:rsidRDefault="004C63B0">
      <w:pPr>
        <w:rPr>
          <w:rFonts w:ascii="Verdana" w:hAnsi="Verdana"/>
          <w:b/>
          <w:noProof/>
          <w:color w:val="016794"/>
          <w:sz w:val="28"/>
        </w:rPr>
      </w:pPr>
      <w:r>
        <w:rPr>
          <w:noProof/>
        </w:rPr>
        <w:br w:type="page"/>
      </w:r>
    </w:p>
    <w:p w:rsidR="00135552" w:rsidRDefault="004C63B0">
      <w:pPr>
        <w:pStyle w:val="HEADER2Part1"/>
        <w:rPr>
          <w:noProof/>
        </w:rPr>
      </w:pPr>
      <w:r>
        <w:rPr>
          <w:noProof/>
        </w:rPr>
        <w:t>THE COMMISSION'S GOVERNANCE STRUCTURE</w:t>
      </w:r>
    </w:p>
    <w:p w:rsidR="00135552" w:rsidRDefault="004C63B0">
      <w:pPr>
        <w:pStyle w:val="DGTextstand-alone"/>
      </w:pPr>
      <w:r>
        <w:t xml:space="preserve">The </w:t>
      </w:r>
      <w:r>
        <w:t>Commission has a unique governance system, with a clear distinction between political and administrative oversight structures and well-defined lines of responsibility and financial accountability</w:t>
      </w:r>
      <w:r>
        <w:rPr>
          <w:rStyle w:val="FootnoteReference"/>
        </w:rPr>
        <w:footnoteReference w:id="5"/>
      </w:r>
      <w:r>
        <w:t xml:space="preserve">. </w:t>
      </w:r>
    </w:p>
    <w:p w:rsidR="00135552" w:rsidRDefault="004C63B0">
      <w:pPr>
        <w:pStyle w:val="DGTextstand-alone"/>
      </w:pPr>
      <w:r>
        <w:t>The Commission's internal functioning is based on a numbe</w:t>
      </w:r>
      <w:r>
        <w:t>r of key principles underpinning good governance: clear roles and responsibilities, a strong commitment to performance management and compliance with the legal framework, clear accountability mechanisms, a high quality and inclusive regulatory framework, o</w:t>
      </w:r>
      <w:r>
        <w:t>penness and transparency, and high standards of ethical behaviour.</w:t>
      </w:r>
    </w:p>
    <w:p w:rsidR="00135552" w:rsidRDefault="004C63B0">
      <w:pPr>
        <w:pStyle w:val="DGTextstand-alone"/>
      </w:pPr>
      <w:r>
        <w:t xml:space="preserve">The Commission performs its functions under the leadership of the College of Commissioners, which sets priorities and takes overall political responsibility for the work of the Commission. </w:t>
      </w:r>
      <w:r>
        <w:t xml:space="preserve">The President decides on the internal organisation of the Commission, ensuring that it acts consistently, efficiently and as a collegiate body. The internal arrangements create a structure of robust controls and management tools which allow the </w:t>
      </w:r>
      <w:r>
        <w:rPr>
          <w:color w:val="016794"/>
        </w:rPr>
        <w:t xml:space="preserve">College of </w:t>
      </w:r>
      <w:r>
        <w:rPr>
          <w:color w:val="016794"/>
        </w:rPr>
        <w:t>Commissioners</w:t>
      </w:r>
      <w:r>
        <w:t xml:space="preserve"> to take political responsibility for the work of the Commission, namely the decisions it takes as well as for coordinating, executive and management functions, as laid down in the Treaties.</w:t>
      </w:r>
    </w:p>
    <w:p w:rsidR="00135552" w:rsidRDefault="004C63B0">
      <w:pPr>
        <w:pStyle w:val="DGTextstand-alone"/>
      </w:pPr>
      <w:r>
        <w:t>The College delegates the operational implementation</w:t>
      </w:r>
      <w:r>
        <w:t xml:space="preserve"> of the budget and finanical management to the </w:t>
      </w:r>
      <w:r>
        <w:rPr>
          <w:color w:val="016794"/>
        </w:rPr>
        <w:t>Directors-General and Heads of Service</w:t>
      </w:r>
      <w:r>
        <w:rPr>
          <w:color w:val="4F81BD" w:themeColor="accent1"/>
        </w:rPr>
        <w:t xml:space="preserve"> </w:t>
      </w:r>
      <w:r>
        <w:t>who lead the administrative structure of the Commission</w:t>
      </w:r>
      <w:r>
        <w:rPr>
          <w:vertAlign w:val="superscript"/>
        </w:rPr>
        <w:footnoteReference w:id="6"/>
      </w:r>
      <w:r>
        <w:t>. This decentralised approach creates an administrative culture that encourages civil servants to take responsibil</w:t>
      </w:r>
      <w:r>
        <w:t>ity for activities over which they have control and requires them to provide assurance as concerns the activities for which they are accountable.</w:t>
      </w:r>
    </w:p>
    <w:p w:rsidR="00135552" w:rsidRDefault="004C63B0">
      <w:pPr>
        <w:pStyle w:val="DGTextstand-alone"/>
      </w:pPr>
      <w:r>
        <w:t>The central services support the Directors-General and Heads of Service in the exercise of their responsibilit</w:t>
      </w:r>
      <w:r>
        <w:t xml:space="preserve">ies. In particular, the </w:t>
      </w:r>
      <w:r>
        <w:rPr>
          <w:color w:val="016794"/>
          <w:szCs w:val="20"/>
          <w:lang w:eastAsia="en-GB"/>
        </w:rPr>
        <w:t>Corporate Management Board</w:t>
      </w:r>
      <w:r>
        <w:t xml:space="preserve"> provides coordination, oversight, advice and strategic orientations on corporate management issues, in areas including the management of financial and human resources, risk management, performance manageme</w:t>
      </w:r>
      <w:r>
        <w:t>nt, IT governance, cyber- and physical security, business continuity, communication and information management.</w:t>
      </w:r>
      <w:r>
        <w:rPr>
          <w:rStyle w:val="FootnoteReference"/>
        </w:rPr>
        <w:footnoteReference w:id="7"/>
      </w:r>
    </w:p>
    <w:p w:rsidR="00135552" w:rsidRDefault="004C63B0">
      <w:pPr>
        <w:pStyle w:val="DGTextstand-alone"/>
      </w:pPr>
      <w:r>
        <w:t>This governance system is based on the Treaties and has evolved over time to adapt to a changing environment and to remain in line with best pr</w:t>
      </w:r>
      <w:r>
        <w:t>actice as set out in relevant international standards</w:t>
      </w:r>
      <w:r>
        <w:rPr>
          <w:rFonts w:eastAsia="Times New Roman"/>
          <w:bdr w:val="none" w:sz="0" w:space="0" w:color="auto"/>
          <w:vertAlign w:val="superscript"/>
          <w:lang w:eastAsia="en-GB"/>
        </w:rPr>
        <w:footnoteReference w:id="8"/>
      </w:r>
      <w:r>
        <w:t>. The further streamlining and strengthening of the arrangements introduced in 2018</w:t>
      </w:r>
      <w:r>
        <w:rPr>
          <w:rStyle w:val="FootnoteReference"/>
        </w:rPr>
        <w:footnoteReference w:id="9"/>
      </w:r>
      <w:r>
        <w:t xml:space="preserve"> took into account audit work by the European Court of Auditors</w:t>
      </w:r>
      <w:r>
        <w:rPr>
          <w:rStyle w:val="FootnoteReference"/>
        </w:rPr>
        <w:footnoteReference w:id="10"/>
      </w:r>
      <w:r>
        <w:t xml:space="preserve"> and the Commission’s Internal Audit Service. As requi</w:t>
      </w:r>
      <w:r>
        <w:t>red by the Financial Regulation (Article 247), the Annual Management and Performance Report for the EU budget includes information on the key governance arrangements in the Commission.</w:t>
      </w:r>
    </w:p>
    <w:p w:rsidR="00135552" w:rsidRDefault="004C63B0">
      <w:pPr>
        <w:pStyle w:val="HEADER2Part1"/>
        <w:rPr>
          <w:noProof/>
        </w:rPr>
      </w:pPr>
      <w:r>
        <w:rPr>
          <w:noProof/>
        </w:rPr>
        <w:t>PERFORMANCE FRAMEWORK OF THE EU BUDGET</w:t>
      </w:r>
    </w:p>
    <w:p w:rsidR="00135552" w:rsidRDefault="004C63B0">
      <w:pPr>
        <w:pStyle w:val="DGTextstand-alone"/>
      </w:pPr>
      <w:r>
        <w:t xml:space="preserve">Implementing robust performance </w:t>
      </w:r>
      <w:r>
        <w:t>frameworks is essential for ensuring a strong focus on results, European level added value and the sound management of EU programmes. The performance framework for the EU budget is highly developed, and ranks higher than that of any individual country asse</w:t>
      </w:r>
      <w:r>
        <w:t xml:space="preserve">ssed by the Organisation for Economic Co-operation and Development (OECD) in its standard index of performance budgeting frameworks. </w:t>
      </w:r>
    </w:p>
    <w:p w:rsidR="00135552" w:rsidRDefault="004C63B0">
      <w:pPr>
        <w:pStyle w:val="DGTextstand-alone"/>
      </w:pPr>
      <w:r>
        <w:t xml:space="preserve">The EU budget performance framework reports on several types and levels of strategic goals, objectives and indicators. It </w:t>
      </w:r>
      <w:r>
        <w:t xml:space="preserve">also takes account of the complementarity and mainstreaming of policies (such as addressing climate change or gender equality) and programmes and the key role of the Member States in implementing the EU budget. </w:t>
      </w:r>
    </w:p>
    <w:p w:rsidR="00135552" w:rsidRDefault="004C63B0">
      <w:pPr>
        <w:pStyle w:val="DGTextstand-alone"/>
        <w:numPr>
          <w:ilvl w:val="0"/>
          <w:numId w:val="20"/>
        </w:numPr>
      </w:pPr>
      <w:r>
        <w:t>Objectives, indicators and targets are inclu</w:t>
      </w:r>
      <w:r>
        <w:t xml:space="preserve">ded in the programmes' legal bases and every year the Commission reports on them through the </w:t>
      </w:r>
      <w:r>
        <w:rPr>
          <w:b/>
        </w:rPr>
        <w:t>programme statements</w:t>
      </w:r>
      <w:r>
        <w:t xml:space="preserve"> that accompany the draft budget. The latter provide the information necessary for understanding the execution of programmes and measuring thei</w:t>
      </w:r>
      <w:r>
        <w:t>r performance; this includes the long-term financial commitments under the multiannual financial framework, programme performance baselines (starting points for policy action), targets (to be achieved at the end of the multi-annual programming period), and</w:t>
      </w:r>
      <w:r>
        <w:t xml:space="preserve"> intermediate milestones.</w:t>
      </w:r>
    </w:p>
    <w:p w:rsidR="00135552" w:rsidRDefault="004C63B0">
      <w:pPr>
        <w:pStyle w:val="DGTextstand-alone"/>
        <w:numPr>
          <w:ilvl w:val="0"/>
          <w:numId w:val="20"/>
        </w:numPr>
      </w:pPr>
      <w:r>
        <w:t xml:space="preserve">To ensure resources are allocated to priorities and that every action brings high performance and added value, the Commission promotes a </w:t>
      </w:r>
      <w:r>
        <w:rPr>
          <w:b/>
        </w:rPr>
        <w:t>performance culture</w:t>
      </w:r>
      <w:r>
        <w:t>. Moreover, over the past years it has developed an approach that promotes</w:t>
      </w:r>
      <w:r>
        <w:t xml:space="preserve"> a better balance between compliance and performance.</w:t>
      </w:r>
    </w:p>
    <w:p w:rsidR="00135552" w:rsidRDefault="004C63B0">
      <w:pPr>
        <w:pStyle w:val="DGTextstand-alone"/>
        <w:numPr>
          <w:ilvl w:val="0"/>
          <w:numId w:val="20"/>
        </w:numPr>
      </w:pPr>
      <w:r>
        <w:t xml:space="preserve">The </w:t>
      </w:r>
      <w:r>
        <w:rPr>
          <w:b/>
        </w:rPr>
        <w:t>Annual Management and Performance Report</w:t>
      </w:r>
      <w:r>
        <w:t xml:space="preserve"> </w:t>
      </w:r>
      <w:r>
        <w:rPr>
          <w:b/>
        </w:rPr>
        <w:t>for the EU budget</w:t>
      </w:r>
      <w:r>
        <w:t xml:space="preserve"> provides a comprehensive overview on the performance, management and protection of the EU budget. It explains how the EU budget supports th</w:t>
      </w:r>
      <w:r>
        <w:t>e European Union’s political priorities, the results achieved with the EU budget, and the role the Commission plays in ensuring and promoting the highest standards of budgetary and financial management.</w:t>
      </w:r>
    </w:p>
    <w:p w:rsidR="00135552" w:rsidRDefault="004C63B0">
      <w:pPr>
        <w:pStyle w:val="DGTextstand-alone"/>
      </w:pPr>
      <w:r>
        <w:t>These elements place the budget authority in a strong</w:t>
      </w:r>
      <w:r>
        <w:t xml:space="preserve"> position to factor in performance information during the annual budgetary procedure.</w:t>
      </w:r>
    </w:p>
    <w:p w:rsidR="00135552" w:rsidRDefault="004C63B0">
      <w:pPr>
        <w:pStyle w:val="HEADER2Part1"/>
        <w:rPr>
          <w:noProof/>
        </w:rPr>
      </w:pPr>
      <w:r>
        <w:rPr>
          <w:noProof/>
        </w:rPr>
        <w:t>THE COMMISSION’S FINANCIAL MANAGEMENT</w:t>
      </w:r>
    </w:p>
    <w:p w:rsidR="00135552" w:rsidRDefault="004C63B0">
      <w:pPr>
        <w:pStyle w:val="DGTextstand-alone"/>
      </w:pPr>
      <w:r>
        <w:t xml:space="preserve">In the Commission, the roles and responsibilities in financial management are clearly defined (e.g. in the Financial Regulation and </w:t>
      </w:r>
      <w:r>
        <w:t>the Internal Rules</w:t>
      </w:r>
      <w:r>
        <w:rPr>
          <w:rStyle w:val="FootnoteReference"/>
        </w:rPr>
        <w:footnoteReference w:id="11"/>
      </w:r>
      <w:r>
        <w:t xml:space="preserve">) and applied accordingly. As </w:t>
      </w:r>
      <w:r>
        <w:rPr>
          <w:color w:val="4F81BD" w:themeColor="accent1"/>
        </w:rPr>
        <w:t>authorising officers by delegation</w:t>
      </w:r>
      <w:r>
        <w:t>, the Commission’s Directors-General and Heads of Service are responsible for the sound financial management of EU resources, compliance with the provisions of the Financial</w:t>
      </w:r>
      <w:r>
        <w:t xml:space="preserve"> Regulation, risk management and establishing an appropriate internal control framework. </w:t>
      </w:r>
    </w:p>
    <w:p w:rsidR="00135552" w:rsidRDefault="004C63B0">
      <w:pPr>
        <w:pStyle w:val="DGTextstand-alone"/>
      </w:pPr>
      <w:r>
        <w:t>The responsibility of the Authorising Officers covers the entire management process, from determining what needs to be done to achieve the policy objectives set by th</w:t>
      </w:r>
      <w:r>
        <w:t>e institution to managing the activities from both an operational and a sound financial management standpoint. Tasks can further be delegated to Directors, Heads of Unit and others, who thereby become Authorising Officers by Sub-Delegation. Each authorisin</w:t>
      </w:r>
      <w:r>
        <w:t xml:space="preserve">g officer by delegation may rely on one or two directors in charge of risk management and internal control to oversee and monitor the implementation of internal control systems. </w:t>
      </w:r>
    </w:p>
    <w:p w:rsidR="00135552" w:rsidRDefault="004C63B0">
      <w:pPr>
        <w:pStyle w:val="DGTextstand-alone"/>
      </w:pPr>
      <w:r>
        <w:t>The Commission’s central services provide guidance and advice and promote bes</w:t>
      </w:r>
      <w:r>
        <w:t xml:space="preserve">t practices, including through the work of the Corporate Management Board. </w:t>
      </w:r>
    </w:p>
    <w:p w:rsidR="00135552" w:rsidRDefault="004C63B0">
      <w:pPr>
        <w:pStyle w:val="DGTextstand-alone"/>
      </w:pPr>
      <w:r>
        <w:t>The Financial Regulation requires each authorising officer to prepare an annual activity report (‘AAR’) on what has been achieved and on internal control and financial management d</w:t>
      </w:r>
      <w:r>
        <w:t>uring the year. The AAR includes a declaration that resources have been used based on the principles of sound financial management and that control procedures are in place which provide the necessary guarantees concerning the legality and regularity of the</w:t>
      </w:r>
      <w:r>
        <w:t xml:space="preserve"> underlying transactions. At Commission level, the Annual Management and Performance Report for the EU budget is the main instrument through which </w:t>
      </w:r>
      <w:r>
        <w:rPr>
          <w:b/>
        </w:rPr>
        <w:t>the College of Commissioners assumes political responsibility for the financial management of the EU budget</w:t>
      </w:r>
      <w:r>
        <w:t>.</w:t>
      </w:r>
    </w:p>
    <w:p w:rsidR="00135552" w:rsidRDefault="004C63B0">
      <w:pPr>
        <w:pStyle w:val="DGTextstand-alone"/>
      </w:pPr>
      <w:r>
        <w:t xml:space="preserve">The </w:t>
      </w:r>
      <w:r>
        <w:rPr>
          <w:color w:val="016794"/>
          <w:szCs w:val="20"/>
          <w:lang w:eastAsia="en-GB"/>
        </w:rPr>
        <w:t>Accounting Officer</w:t>
      </w:r>
      <w:r>
        <w:t xml:space="preserve"> of the Commission is centrally responsible for treasury management, recovery procedures, laying down accounting rules based on International Public Sector Accounting Standards and methods, validating accounting systems and the prepar</w:t>
      </w:r>
      <w:r>
        <w:t>ation of the Commission's and consolidated annual accounts of the EU. Furthermore, the Accounting Officer is required to sign the annual accounts declaring that they present fairly, in all material aspects, the financial position, the results of the operat</w:t>
      </w:r>
      <w:r>
        <w:t xml:space="preserve">ions and the cash flows of the Union. The annual accounts are adopted by the College of Commissioners. The Accounting Officer is an independent function and bears a major responsibility as regards financial reporting in the Commission. </w:t>
      </w:r>
    </w:p>
    <w:p w:rsidR="00135552" w:rsidRDefault="004C63B0">
      <w:pPr>
        <w:pStyle w:val="DGTextstand-alone"/>
        <w:rPr>
          <w:rFonts w:cs="Arial"/>
          <w:color w:val="000000" w:themeColor="text1"/>
          <w:szCs w:val="28"/>
          <w:lang w:val="en"/>
        </w:rPr>
      </w:pPr>
      <w:r>
        <w:t xml:space="preserve">The </w:t>
      </w:r>
      <w:r>
        <w:rPr>
          <w:color w:val="016794"/>
          <w:szCs w:val="20"/>
          <w:lang w:eastAsia="en-GB"/>
        </w:rPr>
        <w:t>Internal Audito</w:t>
      </w:r>
      <w:r>
        <w:rPr>
          <w:color w:val="016794"/>
          <w:szCs w:val="20"/>
          <w:lang w:eastAsia="en-GB"/>
        </w:rPr>
        <w:t>r</w:t>
      </w:r>
      <w:r>
        <w:t xml:space="preserve"> of the Commission is likewise a centralised and independent function and </w:t>
      </w:r>
      <w:r>
        <w:rPr>
          <w:rFonts w:cs="Arial"/>
          <w:color w:val="000000" w:themeColor="text1"/>
          <w:szCs w:val="28"/>
          <w:lang w:val="en"/>
        </w:rPr>
        <w:t xml:space="preserve">provides independent advice, opinions and recommendations on the quality and functioning of internal control systems inside the Commission, EU agencies and other autonomous bodies. </w:t>
      </w:r>
    </w:p>
    <w:p w:rsidR="00135552" w:rsidRDefault="004C63B0">
      <w:pPr>
        <w:pStyle w:val="DGTextstand-alone"/>
      </w:pPr>
      <w:r>
        <w:rPr>
          <w:rFonts w:eastAsia="Times New Roman" w:cs="Segoe UI"/>
          <w:color w:val="000000" w:themeColor="text1"/>
          <w:szCs w:val="21"/>
          <w:lang w:val="en-IE" w:eastAsia="en-GB"/>
        </w:rPr>
        <w:t xml:space="preserve">The </w:t>
      </w:r>
      <w:r>
        <w:rPr>
          <w:color w:val="016794"/>
          <w:szCs w:val="20"/>
          <w:lang w:eastAsia="en-GB"/>
        </w:rPr>
        <w:t>Audit Progress Committee</w:t>
      </w:r>
      <w:r>
        <w:rPr>
          <w:rFonts w:eastAsia="Times New Roman" w:cs="Segoe UI"/>
          <w:color w:val="000000" w:themeColor="text1"/>
          <w:szCs w:val="21"/>
          <w:lang w:val="en-IE" w:eastAsia="en-GB"/>
        </w:rPr>
        <w:t xml:space="preserve"> ensures the independence of the Internal Auditor and monitors the quality of internal audit work </w:t>
      </w:r>
      <w:r>
        <w:t>and the follow-up given by the Commission to internal and external audit recommendations, as well as to the European Court of Aud</w:t>
      </w:r>
      <w:r>
        <w:t>itors’ discharge-related findings and recommendations on the reliability of the annual consolidated EU accounts. T</w:t>
      </w:r>
      <w:r>
        <w:rPr>
          <w:rFonts w:eastAsia="Times New Roman" w:cs="Segoe UI"/>
          <w:color w:val="000000" w:themeColor="text1"/>
          <w:szCs w:val="21"/>
          <w:lang w:val="en-IE" w:eastAsia="en-GB"/>
        </w:rPr>
        <w:t>he advisory role of the committee contributes to the overall further improvement of the Commission’s effectiveness and efficiency in achieving</w:t>
      </w:r>
      <w:r>
        <w:rPr>
          <w:rFonts w:eastAsia="Times New Roman" w:cs="Segoe UI"/>
          <w:color w:val="000000" w:themeColor="text1"/>
          <w:szCs w:val="21"/>
          <w:lang w:val="en-IE" w:eastAsia="en-GB"/>
        </w:rPr>
        <w:t xml:space="preserve"> its goals and facilitates the College’s oversight of the Commission’s governance, risk management, and internal control practices.</w:t>
      </w:r>
    </w:p>
    <w:p w:rsidR="00135552" w:rsidRDefault="004C63B0">
      <w:pPr>
        <w:pStyle w:val="HEADER2Part1"/>
        <w:rPr>
          <w:noProof/>
        </w:rPr>
      </w:pPr>
      <w:r>
        <w:rPr>
          <w:noProof/>
        </w:rPr>
        <w:t>FINANCIAL REPORTING</w:t>
      </w:r>
    </w:p>
    <w:p w:rsidR="00135552" w:rsidRDefault="004C63B0">
      <w:pPr>
        <w:pStyle w:val="DGTextstand-alone"/>
      </w:pPr>
      <w:r>
        <w:t xml:space="preserve">Reporting on the EU budget is delivered through the </w:t>
      </w:r>
      <w:r>
        <w:rPr>
          <w:b/>
        </w:rPr>
        <w:t xml:space="preserve">Integrated Financial and Accountability Reporting package </w:t>
      </w:r>
      <w:r>
        <w:t>which</w:t>
      </w:r>
      <w:r>
        <w:rPr>
          <w:b/>
        </w:rPr>
        <w:t xml:space="preserve"> </w:t>
      </w:r>
      <w:r>
        <w:rPr>
          <w:color w:val="151515"/>
        </w:rPr>
        <w:t>brings together comprehensive information on the implementation, performance, results, financial management and protection of the EU budget</w:t>
      </w:r>
      <w:r>
        <w:t xml:space="preserve">. This comprises the consolidated annual accounts of </w:t>
      </w:r>
      <w:r>
        <w:t>the EU, the Annual Management and Performance Report for the EU budget (which includes an evaluation on the Union’s finances based on the results achieved), the annual report on internal audits carried out, a long-term forecast of future inflows and outflo</w:t>
      </w:r>
      <w:r>
        <w:t>ws covering the next five years and the report on the follow-up to the discharge. The Integrated Financial and Accountability Reporting package provides the public with a comprehensive view of the financial and operational situation of the EU budget each y</w:t>
      </w:r>
      <w:r>
        <w:t>ear.</w:t>
      </w:r>
    </w:p>
    <w:p w:rsidR="00135552" w:rsidRDefault="004C63B0">
      <w:pPr>
        <w:pStyle w:val="DGTextstand-alone"/>
      </w:pPr>
      <w:r>
        <w:t>The consolidated annual accounts of the EU provide financial information on the activities of the institutions, agencies and other bodies of the EU from both an accrual accounting and budgetary perspective. These accounts do not encompass the annual a</w:t>
      </w:r>
      <w:r>
        <w:t>ccounts of Member States.</w:t>
      </w:r>
    </w:p>
    <w:p w:rsidR="00135552" w:rsidRDefault="004C63B0">
      <w:pPr>
        <w:pStyle w:val="DGTextstand-alone"/>
      </w:pPr>
      <w:r>
        <w:t>The consolidated annual accounts of the EU consist of two separate but linked parts:</w:t>
      </w:r>
    </w:p>
    <w:p w:rsidR="00135552" w:rsidRDefault="004C63B0">
      <w:pPr>
        <w:pStyle w:val="DGTextstand-alone"/>
        <w:numPr>
          <w:ilvl w:val="0"/>
          <w:numId w:val="21"/>
        </w:numPr>
      </w:pPr>
      <w:r>
        <w:t>the consolidated financial statements; and</w:t>
      </w:r>
    </w:p>
    <w:p w:rsidR="00135552" w:rsidRDefault="004C63B0">
      <w:pPr>
        <w:pStyle w:val="DGTextstand-alone"/>
        <w:numPr>
          <w:ilvl w:val="0"/>
          <w:numId w:val="21"/>
        </w:numPr>
      </w:pPr>
      <w:r>
        <w:t>the reports on implementation of the budget, which provide an aggregated record of budget implementati</w:t>
      </w:r>
      <w:r>
        <w:t>on.</w:t>
      </w:r>
    </w:p>
    <w:p w:rsidR="00135552" w:rsidRDefault="004C63B0">
      <w:pPr>
        <w:pStyle w:val="DGTextstand-alone"/>
      </w:pPr>
      <w:r>
        <w:t>In addition, the consolidated annual accounts of the EU are accompanied by a Financial Statement Discussion and Analysis (FSDA), which summarises significant changes and trends in the financial statements and explains significant risks and uncertaintie</w:t>
      </w:r>
      <w:r>
        <w:t>s the EU has faced and needs to address in future.</w:t>
      </w:r>
    </w:p>
    <w:p w:rsidR="00135552" w:rsidRDefault="004C63B0">
      <w:pPr>
        <w:pStyle w:val="DGTextstand-alone"/>
      </w:pPr>
      <w:r>
        <w:t>Reporting and Accountability in the Commission:</w:t>
      </w:r>
    </w:p>
    <w:tbl>
      <w:tblPr>
        <w:tblStyle w:val="TableGrid"/>
        <w:tblW w:w="0" w:type="auto"/>
        <w:tblLook w:val="04A0" w:firstRow="1" w:lastRow="0" w:firstColumn="1" w:lastColumn="0" w:noHBand="0" w:noVBand="1"/>
      </w:tblPr>
      <w:tblGrid>
        <w:gridCol w:w="2802"/>
        <w:gridCol w:w="7052"/>
      </w:tblGrid>
      <w:tr w:rsidR="00135552">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135552" w:rsidRDefault="00135552">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jc w:val="left"/>
              <w:rPr>
                <w:b/>
                <w:color w:val="FFFFFF" w:themeColor="background1"/>
              </w:rPr>
            </w:pPr>
          </w:p>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b/>
                <w:color w:val="FFFFFF" w:themeColor="background1"/>
              </w:rPr>
            </w:pPr>
            <w:r>
              <w:rPr>
                <w:b/>
                <w:color w:val="FFFFFF" w:themeColor="background1"/>
              </w:rPr>
              <w:t>Integrated Financial &amp; Accountability Reporting</w:t>
            </w:r>
            <w:r>
              <w:rPr>
                <w:b/>
                <w:color w:val="FFFFFF" w:themeColor="background1"/>
              </w:rPr>
              <w:br/>
              <w:t>Article 247 FR</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135552" w:rsidRDefault="00135552">
            <w:pPr>
              <w:pStyle w:val="DGTextstand-alone"/>
              <w:spacing w:before="0" w:after="0" w:line="192" w:lineRule="auto"/>
              <w:ind w:left="720"/>
              <w:rPr>
                <w:b/>
                <w:color w:val="FFFFFF" w:themeColor="background1"/>
              </w:rPr>
            </w:pPr>
          </w:p>
          <w:p w:rsidR="00135552" w:rsidRDefault="004C63B0">
            <w:pPr>
              <w:pStyle w:val="DGTextstand-alone"/>
              <w:numPr>
                <w:ilvl w:val="0"/>
                <w:numId w:val="22"/>
              </w:numPr>
              <w:spacing w:before="0" w:line="192" w:lineRule="auto"/>
              <w:rPr>
                <w:b/>
                <w:color w:val="FFFFFF" w:themeColor="background1"/>
              </w:rPr>
            </w:pPr>
            <w:r>
              <w:rPr>
                <w:b/>
                <w:color w:val="FFFFFF" w:themeColor="background1"/>
              </w:rPr>
              <w:t>Consolidated Annual Accounts of the EU</w:t>
            </w:r>
          </w:p>
          <w:p w:rsidR="00135552" w:rsidRDefault="004C63B0">
            <w:pPr>
              <w:pStyle w:val="DGTextstand-alone"/>
              <w:numPr>
                <w:ilvl w:val="0"/>
                <w:numId w:val="22"/>
              </w:numPr>
              <w:spacing w:after="0" w:line="192" w:lineRule="auto"/>
              <w:rPr>
                <w:b/>
                <w:color w:val="FFFFFF" w:themeColor="background1"/>
              </w:rPr>
            </w:pPr>
            <w:r>
              <w:rPr>
                <w:b/>
                <w:color w:val="FFFFFF" w:themeColor="background1"/>
              </w:rPr>
              <w:t xml:space="preserve">Annual Management and Performance Report for the EU </w:t>
            </w:r>
            <w:r>
              <w:rPr>
                <w:b/>
                <w:color w:val="FFFFFF" w:themeColor="background1"/>
              </w:rPr>
              <w:t>budget (incl. reporting on the evaluation of the EU finances)</w:t>
            </w:r>
          </w:p>
          <w:p w:rsidR="00135552" w:rsidRDefault="004C63B0">
            <w:pPr>
              <w:pStyle w:val="DGTextstand-alone"/>
              <w:numPr>
                <w:ilvl w:val="0"/>
                <w:numId w:val="22"/>
              </w:numPr>
              <w:spacing w:after="0" w:line="192" w:lineRule="auto"/>
              <w:rPr>
                <w:b/>
                <w:color w:val="FFFFFF" w:themeColor="background1"/>
              </w:rPr>
            </w:pPr>
            <w:r>
              <w:rPr>
                <w:b/>
                <w:color w:val="FFFFFF" w:themeColor="background1"/>
              </w:rPr>
              <w:t>Annual internal audit report</w:t>
            </w:r>
          </w:p>
          <w:p w:rsidR="00135552" w:rsidRDefault="004C63B0">
            <w:pPr>
              <w:pStyle w:val="DGTextstand-alone"/>
              <w:numPr>
                <w:ilvl w:val="0"/>
                <w:numId w:val="22"/>
              </w:numPr>
              <w:spacing w:after="0" w:line="192" w:lineRule="auto"/>
              <w:rPr>
                <w:b/>
                <w:color w:val="FFFFFF" w:themeColor="background1"/>
              </w:rPr>
            </w:pPr>
            <w:r>
              <w:rPr>
                <w:b/>
                <w:color w:val="FFFFFF" w:themeColor="background1"/>
              </w:rPr>
              <w:t>A long-term forecast of future in- and outflows for five years</w:t>
            </w:r>
          </w:p>
          <w:p w:rsidR="00135552" w:rsidRDefault="004C63B0">
            <w:pPr>
              <w:pStyle w:val="DGTextstand-alone"/>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192" w:lineRule="auto"/>
              <w:rPr>
                <w:b/>
                <w:color w:val="FFFFFF" w:themeColor="background1"/>
              </w:rPr>
            </w:pPr>
            <w:r>
              <w:rPr>
                <w:b/>
                <w:color w:val="FFFFFF" w:themeColor="background1"/>
              </w:rPr>
              <w:t>Report on the follow up to the discharge</w:t>
            </w:r>
          </w:p>
        </w:tc>
      </w:tr>
      <w:tr w:rsidR="00135552">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135552" w:rsidRDefault="00135552">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p>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r>
              <w:rPr>
                <w:b/>
                <w:color w:val="FFFFFF" w:themeColor="background1"/>
              </w:rPr>
              <w:t>Other reports</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135552" w:rsidRDefault="00135552">
            <w:pPr>
              <w:pStyle w:val="DGTextstand-alone"/>
              <w:spacing w:before="0" w:after="0" w:line="192" w:lineRule="auto"/>
              <w:ind w:left="720"/>
              <w:rPr>
                <w:b/>
                <w:bCs/>
                <w:color w:val="FFFFFF" w:themeColor="background1"/>
              </w:rPr>
            </w:pPr>
          </w:p>
          <w:p w:rsidR="00135552" w:rsidRDefault="004C63B0">
            <w:pPr>
              <w:pStyle w:val="DGTextstand-alone"/>
              <w:numPr>
                <w:ilvl w:val="0"/>
                <w:numId w:val="22"/>
              </w:numPr>
              <w:spacing w:before="0" w:line="192" w:lineRule="auto"/>
              <w:rPr>
                <w:b/>
                <w:bCs/>
                <w:color w:val="FFFFFF" w:themeColor="background1"/>
              </w:rPr>
            </w:pPr>
            <w:r>
              <w:rPr>
                <w:b/>
                <w:bCs/>
                <w:color w:val="FFFFFF" w:themeColor="background1"/>
              </w:rPr>
              <w:t>Communication package at the occasion of the</w:t>
            </w:r>
            <w:r>
              <w:rPr>
                <w:b/>
                <w:bCs/>
                <w:color w:val="FFFFFF" w:themeColor="background1"/>
              </w:rPr>
              <w:t xml:space="preserve"> State of the Union address</w:t>
            </w:r>
          </w:p>
          <w:p w:rsidR="00135552" w:rsidRDefault="004C63B0">
            <w:pPr>
              <w:pStyle w:val="DGTextstand-alone"/>
              <w:numPr>
                <w:ilvl w:val="0"/>
                <w:numId w:val="22"/>
              </w:numPr>
              <w:spacing w:before="0" w:line="192" w:lineRule="auto"/>
              <w:rPr>
                <w:b/>
                <w:bCs/>
                <w:color w:val="FFFFFF" w:themeColor="background1"/>
              </w:rPr>
            </w:pPr>
            <w:r>
              <w:rPr>
                <w:b/>
                <w:bCs/>
                <w:color w:val="FFFFFF" w:themeColor="background1"/>
              </w:rPr>
              <w:t>General Report on the activities of the EU</w:t>
            </w:r>
          </w:p>
          <w:p w:rsidR="00135552" w:rsidRDefault="004C63B0">
            <w:pPr>
              <w:pStyle w:val="DGTextstand-alone"/>
              <w:numPr>
                <w:ilvl w:val="0"/>
                <w:numId w:val="22"/>
              </w:numPr>
              <w:spacing w:line="192" w:lineRule="auto"/>
              <w:rPr>
                <w:b/>
                <w:color w:val="FFFFFF" w:themeColor="background1"/>
              </w:rPr>
            </w:pPr>
            <w:r>
              <w:rPr>
                <w:b/>
                <w:bCs/>
                <w:color w:val="FFFFFF" w:themeColor="background1"/>
              </w:rPr>
              <w:t>Annual Activity Reports of the Directorates-General</w:t>
            </w:r>
          </w:p>
          <w:p w:rsidR="00135552" w:rsidRDefault="004C63B0">
            <w:pPr>
              <w:pStyle w:val="DGTextstand-alone"/>
              <w:numPr>
                <w:ilvl w:val="0"/>
                <w:numId w:val="22"/>
              </w:numPr>
              <w:spacing w:after="0" w:line="192" w:lineRule="auto"/>
              <w:rPr>
                <w:b/>
                <w:color w:val="FFFFFF" w:themeColor="background1"/>
              </w:rPr>
            </w:pPr>
            <w:r>
              <w:rPr>
                <w:b/>
                <w:bCs/>
                <w:color w:val="FFFFFF" w:themeColor="background1"/>
              </w:rPr>
              <w:t>Report on Budgetary and Financial Management</w:t>
            </w:r>
          </w:p>
          <w:p w:rsidR="00135552" w:rsidRDefault="00135552">
            <w:pPr>
              <w:pStyle w:val="DGTextstand-alone"/>
              <w:spacing w:before="0" w:after="0" w:line="192" w:lineRule="auto"/>
              <w:ind w:left="720"/>
              <w:rPr>
                <w:b/>
                <w:color w:val="FFFFFF" w:themeColor="background1"/>
              </w:rPr>
            </w:pPr>
          </w:p>
        </w:tc>
      </w:tr>
    </w:tbl>
    <w:p w:rsidR="00135552" w:rsidRDefault="004C63B0">
      <w:pPr>
        <w:pStyle w:val="HEADER2Part1"/>
        <w:rPr>
          <w:noProof/>
        </w:rPr>
      </w:pPr>
      <w:r>
        <w:rPr>
          <w:noProof/>
        </w:rPr>
        <w:t>EXTERNAL AUDIT AND DISCHARGE PROCEDURE</w:t>
      </w:r>
    </w:p>
    <w:p w:rsidR="00135552" w:rsidRDefault="004C63B0">
      <w:pPr>
        <w:pStyle w:val="DGTextstand-alone"/>
        <w:spacing w:before="120"/>
      </w:pPr>
      <w:r>
        <w:t xml:space="preserve">In line with the principles of sound financial </w:t>
      </w:r>
      <w:r>
        <w:t>management, funds must be managed in an effective, efficient and economic manner. An accountability framework based on comprehensive reporting, external audit and political control exists to provide reasonable assurance that EU funds are spent well in a pr</w:t>
      </w:r>
      <w:r>
        <w:t>oper manner.</w:t>
      </w:r>
    </w:p>
    <w:p w:rsidR="00135552" w:rsidRDefault="004C63B0">
      <w:pPr>
        <w:pStyle w:val="DGTextstand-alone"/>
        <w:spacing w:before="120"/>
      </w:pPr>
      <w:r>
        <w:t xml:space="preserve">Every year the </w:t>
      </w:r>
      <w:r>
        <w:rPr>
          <w:b/>
        </w:rPr>
        <w:t>European Court of Auditors</w:t>
      </w:r>
      <w:r>
        <w:t>, based on a systematic and thorough approach, examines the reliability of the accounts, whether all revenue has been received and all expenditure incurred in a lawful and regular manner and whether the</w:t>
      </w:r>
      <w:r>
        <w:t xml:space="preserve"> financial management and the qualitative aspects of budgeting, including the performance dimension, have been sound. The publication of the annual report of the European Court of Auditors is the starting point for the discharge procedure. The auditors als</w:t>
      </w:r>
      <w:r>
        <w:t>o prepare special reports on specific spending or policy areas, or on budgetary or management issues.</w:t>
      </w:r>
    </w:p>
    <w:p w:rsidR="00135552" w:rsidRDefault="004C63B0">
      <w:pPr>
        <w:pStyle w:val="DGTextstand-alone"/>
        <w:spacing w:before="120"/>
      </w:pPr>
      <w:r>
        <w:t xml:space="preserve">The </w:t>
      </w:r>
      <w:r>
        <w:rPr>
          <w:b/>
        </w:rPr>
        <w:t>European</w:t>
      </w:r>
      <w:r>
        <w:t xml:space="preserve"> </w:t>
      </w:r>
      <w:r>
        <w:rPr>
          <w:b/>
        </w:rPr>
        <w:t>Parliament</w:t>
      </w:r>
      <w:r>
        <w:t xml:space="preserve"> decides, after a recommendation by the </w:t>
      </w:r>
      <w:r>
        <w:rPr>
          <w:b/>
        </w:rPr>
        <w:t>Council</w:t>
      </w:r>
      <w:r>
        <w:t>, on whether or not to provide its final approval, known as ‘granting discharge’, on</w:t>
      </w:r>
      <w:r>
        <w:t xml:space="preserve"> the way the Commission implemented the EU budget in a given year. The annual discharge procedure ensures that the Commission is held politically accountable for the implementation of the EU budget.</w:t>
      </w:r>
    </w:p>
    <w:p w:rsidR="00135552" w:rsidRDefault="004C63B0">
      <w:pPr>
        <w:pStyle w:val="DGTextstand-alone"/>
        <w:spacing w:before="120"/>
      </w:pPr>
      <w:r>
        <w:t>The decision on the discharge is also based on the Commis</w:t>
      </w:r>
      <w:r>
        <w:t>sion’s integrated financial and accountability reporting, on hearings of Commissioners and on the replies provided to written questions addressed to the Commission.</w:t>
      </w:r>
    </w:p>
    <w:p w:rsidR="00135552" w:rsidRDefault="00135552">
      <w:pPr>
        <w:pStyle w:val="DGTextstand-alone"/>
        <w:spacing w:before="120"/>
      </w:pPr>
    </w:p>
    <w:bookmarkEnd w:id="7"/>
    <w:p w:rsidR="00135552" w:rsidRDefault="00135552">
      <w:pPr>
        <w:pStyle w:val="Textstand-alone"/>
        <w:sectPr w:rsidR="00135552">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1134" w:bottom="1134" w:left="1134" w:header="709" w:footer="709" w:gutter="0"/>
          <w:cols w:space="708"/>
          <w:docGrid w:linePitch="360"/>
        </w:sectPr>
      </w:pPr>
    </w:p>
    <w:p w:rsidR="00135552" w:rsidRDefault="004C63B0">
      <w:pPr>
        <w:pStyle w:val="FIRSTCHAPTERPAGE"/>
        <w:rPr>
          <w:noProof/>
        </w:rPr>
      </w:pPr>
      <w:bookmarkStart w:id="8" w:name="_Toc43224149"/>
      <w:bookmarkStart w:id="9" w:name="_DMBM_17133"/>
      <w:r>
        <w:rPr>
          <w:noProof/>
        </w:rPr>
        <w:t>NOTE ACCOMPANYING THE CONSOLIDATED ACCOUNTS</w:t>
      </w:r>
      <w:bookmarkEnd w:id="8"/>
    </w:p>
    <w:p w:rsidR="00135552" w:rsidRDefault="00135552">
      <w:pPr>
        <w:pStyle w:val="DGTextstand-alone"/>
      </w:pPr>
    </w:p>
    <w:p w:rsidR="00135552" w:rsidRDefault="004C63B0">
      <w:pPr>
        <w:pStyle w:val="DGTextstand-alone"/>
      </w:pPr>
      <w:r>
        <w:t>The consolidated annual accounts of the European Union for the year 2019 have been prepared on the basis of the information presented by the institutions and bodies under Article 246(2) of</w:t>
      </w:r>
      <w:r>
        <w:t xml:space="preserve"> the Financial Regulation applicable to the general budget of the European Union. I hereby declare that they were prepared in accordance with Title XIII of this Financial Regulation and with the accounting principles, rules and methods set out in the notes</w:t>
      </w:r>
      <w:r>
        <w:t xml:space="preserve"> to the financial statements.</w:t>
      </w:r>
    </w:p>
    <w:p w:rsidR="00135552" w:rsidRDefault="004C63B0">
      <w:pPr>
        <w:pStyle w:val="DGTextstand-alone"/>
      </w:pPr>
      <w:r>
        <w:t xml:space="preserve">I have obtained from the accounting officers of these institutions and bodies, who certified its reliability, all the information necessary for the production of the accounts that show the European Union's assets and </w:t>
      </w:r>
      <w:r>
        <w:t>liabilities and the budgetary implementation.</w:t>
      </w:r>
    </w:p>
    <w:p w:rsidR="00135552" w:rsidRDefault="004C63B0">
      <w:pPr>
        <w:pStyle w:val="DGTextstand-alone"/>
      </w:pPr>
      <w:r>
        <w:t xml:space="preserve">I hereby certify that based on this information, and on such checks as I deemed necessary to sign off the accounts of the European Commission, I have a reasonable assurance that the accounts present fairly, in </w:t>
      </w:r>
      <w:r>
        <w:t>all material aspects, the financial position, the results of the operations and the cashflows of the European Union.</w:t>
      </w:r>
    </w:p>
    <w:p w:rsidR="00135552" w:rsidRDefault="00135552">
      <w:pPr>
        <w:pStyle w:val="DGTextstand-alone"/>
      </w:pPr>
    </w:p>
    <w:p w:rsidR="00135552" w:rsidRDefault="00135552">
      <w:pPr>
        <w:pStyle w:val="Textstand-alone"/>
      </w:pPr>
    </w:p>
    <w:p w:rsidR="00135552" w:rsidRDefault="00135552">
      <w:pPr>
        <w:pStyle w:val="SignatureRightItalic"/>
        <w:rPr>
          <w:noProof/>
        </w:rPr>
      </w:pPr>
    </w:p>
    <w:p w:rsidR="00135552" w:rsidRDefault="004C63B0">
      <w:pPr>
        <w:pStyle w:val="SignatureRight"/>
        <w:rPr>
          <w:noProof/>
        </w:rPr>
      </w:pPr>
      <w:r>
        <w:rPr>
          <w:noProof/>
        </w:rPr>
        <w:t>Rosa ALDEA BUSQUETS</w:t>
      </w:r>
    </w:p>
    <w:p w:rsidR="00135552" w:rsidRDefault="004C63B0">
      <w:pPr>
        <w:pStyle w:val="SignatureRightBold"/>
        <w:rPr>
          <w:noProof/>
        </w:rPr>
      </w:pPr>
      <w:r>
        <w:rPr>
          <w:noProof/>
        </w:rPr>
        <w:t>Accounting Officer of the Commission</w:t>
      </w:r>
    </w:p>
    <w:p w:rsidR="00135552" w:rsidRDefault="004C63B0">
      <w:pPr>
        <w:pStyle w:val="SignatureRightItalic0"/>
        <w:rPr>
          <w:noProof/>
        </w:rPr>
      </w:pPr>
      <w:r>
        <w:rPr>
          <w:noProof/>
        </w:rPr>
        <w:t>18 June 2020</w:t>
      </w:r>
    </w:p>
    <w:p w:rsidR="00135552" w:rsidRDefault="004C63B0">
      <w:pPr>
        <w:pStyle w:val="SignatureRightItalic0"/>
        <w:rPr>
          <w:noProof/>
        </w:rPr>
        <w:sectPr w:rsidR="00135552">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r>
        <w:rPr>
          <w:noProof/>
        </w:rPr>
        <w:t xml:space="preserve"> </w:t>
      </w:r>
      <w:bookmarkEnd w:id="9"/>
    </w:p>
    <w:p w:rsidR="00135552" w:rsidRDefault="004C63B0">
      <w:pPr>
        <w:pStyle w:val="FIRSTCHAPTERPAGE"/>
        <w:spacing w:after="0"/>
        <w:rPr>
          <w:noProof/>
        </w:rPr>
      </w:pPr>
      <w:bookmarkStart w:id="10" w:name="_Toc43224150"/>
      <w:bookmarkStart w:id="11" w:name="_DMBM_17257"/>
      <w:r>
        <w:rPr>
          <w:noProof/>
        </w:rPr>
        <w:t>HIGHLIGHTS OF THE FINANCIAL YEAR 2019</w:t>
      </w:r>
      <w:bookmarkEnd w:id="10"/>
    </w:p>
    <w:p w:rsidR="00135552" w:rsidRDefault="004C63B0">
      <w:pPr>
        <w:pStyle w:val="HEADER5"/>
        <w:spacing w:before="240"/>
        <w:rPr>
          <w:noProof/>
          <w:sz w:val="32"/>
        </w:rPr>
      </w:pPr>
      <w:r>
        <w:rPr>
          <w:noProof/>
          <w:sz w:val="32"/>
        </w:rPr>
        <w:t>Implementation of the 2019 Union budget</w:t>
      </w:r>
    </w:p>
    <w:p w:rsidR="00135552" w:rsidRDefault="004C63B0">
      <w:pPr>
        <w:pStyle w:val="DGTextstand-alone"/>
      </w:pPr>
      <w:r>
        <w:t>The EU budget has an important role to support the delivery of the Union's policies and priorities. Despite its limited amount, representing arou</w:t>
      </w:r>
      <w:r>
        <w:t xml:space="preserve">nd 2% of all public spending in the Union, it complements national budgets and has a clear focus on investment and additionality. It is a key tool among the wide set of European-level policy and regulatory instruments, to implement policy priorities which </w:t>
      </w:r>
      <w:r>
        <w:t>all EU members have agreed upon, translated into a Multiannual Financial Framework containing the different programmes and maximum expenditure ceilings.</w:t>
      </w:r>
    </w:p>
    <w:p w:rsidR="00135552" w:rsidRDefault="004C63B0">
      <w:pPr>
        <w:pStyle w:val="DGTextstand-alone"/>
      </w:pPr>
      <w:r>
        <w:t>The EU budget for 2019, adopted on 12 December 2018, confirms that the EU is directing money to where t</w:t>
      </w:r>
      <w:r>
        <w:t xml:space="preserve">he needs are. In 2019, and in line with the European Commission proposal of May 2018, the biggest part of the EU budget went to stimulate the creation of jobs, especially for young people, and to boost growth, strategic investments and convergence. The EU </w:t>
      </w:r>
      <w:r>
        <w:t>has also continued supporting the efforts to effectively deal with the migration challenge, both inside and outside the EU.</w:t>
      </w:r>
    </w:p>
    <w:p w:rsidR="00135552" w:rsidRDefault="004C63B0">
      <w:pPr>
        <w:pStyle w:val="DGTextstand-alone"/>
      </w:pPr>
      <w:r>
        <w:t xml:space="preserve">The 2019 adopted budget contributed to the strength and resilience of the European economy and to promoting solidarity and security </w:t>
      </w:r>
      <w:r>
        <w:t>both within and beyond its borders. The 2019 budget was the penultimate budget of the current multiannual financial framework (MFF). The implementation of almost all programmes was at cruising speed, with the exception of new programmes, such as the Europe</w:t>
      </w:r>
      <w:r>
        <w:t>an Defence Industrial Development Programme (EDIDP), or actions for which the legislative process finished recently.</w:t>
      </w:r>
    </w:p>
    <w:p w:rsidR="00135552" w:rsidRDefault="004C63B0">
      <w:pPr>
        <w:pStyle w:val="DGTextstand-alone"/>
      </w:pPr>
      <w:r>
        <w:t>The implementation of the EU budget in 2019 totalled EUR 178.8 billion in commitment appropriations, and EUR 159.1 billion in payment appro</w:t>
      </w:r>
      <w:r>
        <w:t>priations. This implementation can be considered satisfactory, with only minor adjustments made throughout the year. After amounts carried over to 2020, the implementation reached 99.4% of commitment appropriations and 99.5% of payment appropriations.</w:t>
      </w:r>
    </w:p>
    <w:p w:rsidR="00135552" w:rsidRDefault="004C63B0">
      <w:pPr>
        <w:pStyle w:val="DGTextstand-alone"/>
      </w:pPr>
      <w:r>
        <w:t>Meas</w:t>
      </w:r>
      <w:r>
        <w:t>ures to support economic growth and reduce the economic gaps between regions amounted to nearly half of the funds committed. EU funding contributed EUR 12.4 billion to research and innovation under Horizon 2020, including in the field of high-performance c</w:t>
      </w:r>
      <w:r>
        <w:t>omputing. The budget increased for education and training (20% more for Erasmus+ than in 2018) and transport and digital infrastructure (37% more for the Connecting Europe Facility). Support for agriculture and rural areas remained stable at EUR 57.9 billi</w:t>
      </w:r>
      <w:r>
        <w:t>on, contributing also to the fight against climate change and to the promotion of sustainable growth.</w:t>
      </w:r>
    </w:p>
    <w:p w:rsidR="00135552" w:rsidRDefault="004C63B0">
      <w:pPr>
        <w:pStyle w:val="DGTextstand-alone"/>
      </w:pPr>
      <w:r>
        <w:t>The 2019 budget provided the necessary flexibility to address the internal aspect of migration issues, with a total of EUR 1.2 billion support from the As</w:t>
      </w:r>
      <w:r>
        <w:t>ylum, Migration and Integration Fund, along with EUR 533 million for border management and security from the Internal Security Fund. A total of EUR 5 million was also allocated to the creation of the new European Public Prosecutor’s Office, set up to prose</w:t>
      </w:r>
      <w:r>
        <w:t>cute crimes against the EU budget, including fraud, money laundering and corruption.</w:t>
      </w:r>
    </w:p>
    <w:p w:rsidR="00135552" w:rsidRDefault="004C63B0">
      <w:pPr>
        <w:pStyle w:val="HEADER5"/>
        <w:spacing w:before="240"/>
        <w:rPr>
          <w:noProof/>
          <w:sz w:val="32"/>
        </w:rPr>
      </w:pPr>
      <w:r>
        <w:rPr>
          <w:noProof/>
          <w:sz w:val="32"/>
        </w:rPr>
        <w:t>Financial Statements – highlights</w:t>
      </w:r>
    </w:p>
    <w:p w:rsidR="00135552" w:rsidRDefault="004C63B0">
      <w:pPr>
        <w:pStyle w:val="HEADER5"/>
        <w:spacing w:before="240"/>
        <w:rPr>
          <w:noProof/>
        </w:rPr>
      </w:pPr>
      <w:r>
        <w:rPr>
          <w:noProof/>
        </w:rPr>
        <w:t>Balance sheet</w:t>
      </w:r>
    </w:p>
    <w:p w:rsidR="00135552" w:rsidRDefault="004C63B0">
      <w:pPr>
        <w:pStyle w:val="DGTextstand-alone"/>
        <w:numPr>
          <w:ilvl w:val="0"/>
          <w:numId w:val="23"/>
        </w:numPr>
      </w:pPr>
      <w:r>
        <w:t xml:space="preserve">Under Property, Plant and Equipment, the four satellites launched in 2018 successfully passed the in-orbit testing in 2019. They have been added to the operational constellation in 2019, bringing it up to 26 satellites – see note </w:t>
      </w:r>
      <w:r>
        <w:rPr>
          <w:b/>
          <w:color w:val="016794"/>
        </w:rPr>
        <w:t>2.2</w:t>
      </w:r>
      <w:r>
        <w:t>.</w:t>
      </w:r>
    </w:p>
    <w:p w:rsidR="00135552" w:rsidRDefault="004C63B0">
      <w:pPr>
        <w:pStyle w:val="DGTextstand-alone"/>
        <w:numPr>
          <w:ilvl w:val="0"/>
          <w:numId w:val="23"/>
        </w:numPr>
      </w:pPr>
      <w:r>
        <w:t>Available for Sale fi</w:t>
      </w:r>
      <w:r>
        <w:t>nancial assets increased by EUR 3.0 billion, due to the continued funding of the EFSI &amp; EFSD guarantee funds, as well as Horizon 2020 Financial Instruments. Loans decreased by EUR 1.3 billion following the repayment of BOP loans by Romania and Latvia, offs</w:t>
      </w:r>
      <w:r>
        <w:t xml:space="preserve">et somewhat by new MFA loans granted – see note </w:t>
      </w:r>
      <w:r>
        <w:rPr>
          <w:b/>
          <w:color w:val="016794"/>
        </w:rPr>
        <w:t>2.4</w:t>
      </w:r>
      <w:r>
        <w:t>.</w:t>
      </w:r>
    </w:p>
    <w:p w:rsidR="00135552" w:rsidRDefault="004C63B0">
      <w:pPr>
        <w:pStyle w:val="DGTextstand-alone"/>
        <w:numPr>
          <w:ilvl w:val="0"/>
          <w:numId w:val="23"/>
        </w:numPr>
      </w:pPr>
      <w:r>
        <w:t xml:space="preserve">Pre-financing (i.e. advances paid to beneficiaries of EU funds) increased slightly by EUR 1.5 billion to EUR 51.4 billion – see note </w:t>
      </w:r>
      <w:r>
        <w:rPr>
          <w:b/>
          <w:color w:val="016794"/>
        </w:rPr>
        <w:t>2.5</w:t>
      </w:r>
      <w:r>
        <w:t>.</w:t>
      </w:r>
    </w:p>
    <w:p w:rsidR="00135552" w:rsidRDefault="004C63B0">
      <w:pPr>
        <w:pStyle w:val="DGTextstand-alone"/>
        <w:numPr>
          <w:ilvl w:val="0"/>
          <w:numId w:val="23"/>
        </w:numPr>
      </w:pPr>
      <w:r>
        <w:t xml:space="preserve">Overall the total Receivables &amp; Recoverables amounts remained at </w:t>
      </w:r>
      <w:r>
        <w:t xml:space="preserve">a similar level to last year, being EUR 24.0 billion – see note </w:t>
      </w:r>
      <w:r>
        <w:rPr>
          <w:b/>
          <w:color w:val="016794"/>
        </w:rPr>
        <w:t>2.6</w:t>
      </w:r>
      <w:r>
        <w:t>.</w:t>
      </w:r>
    </w:p>
    <w:p w:rsidR="00135552" w:rsidRDefault="004C63B0">
      <w:pPr>
        <w:pStyle w:val="DGTextstand-alone"/>
        <w:numPr>
          <w:ilvl w:val="0"/>
          <w:numId w:val="23"/>
        </w:numPr>
      </w:pPr>
      <w:r>
        <w:t xml:space="preserve">A fall in the long-term interest rate used to value employee benefit obligations (the so-called discount rate), becoming negative for the first time, led to a significant increase in the </w:t>
      </w:r>
      <w:r>
        <w:t xml:space="preserve">year-end liability, an increase of EUR 17.2 billion – see note </w:t>
      </w:r>
      <w:r>
        <w:rPr>
          <w:b/>
          <w:color w:val="016794"/>
        </w:rPr>
        <w:t>2.9</w:t>
      </w:r>
      <w:r>
        <w:t>.</w:t>
      </w:r>
    </w:p>
    <w:p w:rsidR="00135552" w:rsidRDefault="004C63B0">
      <w:pPr>
        <w:pStyle w:val="DGTextstand-alone"/>
        <w:numPr>
          <w:ilvl w:val="0"/>
          <w:numId w:val="23"/>
        </w:numPr>
      </w:pPr>
      <w:r>
        <w:t xml:space="preserve">The repayment of BOP borrowings of EUR 1.5 billion drove the decrease in financial liabilities, somewhat offset by new borrowings linked to MFA loans granted – see note </w:t>
      </w:r>
      <w:r>
        <w:rPr>
          <w:b/>
          <w:color w:val="016794"/>
        </w:rPr>
        <w:t>2.11</w:t>
      </w:r>
      <w:r>
        <w:t>.</w:t>
      </w:r>
    </w:p>
    <w:p w:rsidR="00135552" w:rsidRDefault="004C63B0">
      <w:pPr>
        <w:pStyle w:val="DGTextstand-alone"/>
        <w:numPr>
          <w:ilvl w:val="0"/>
          <w:numId w:val="23"/>
        </w:numPr>
        <w:rPr>
          <w:u w:val="single"/>
        </w:rPr>
      </w:pPr>
      <w:r>
        <w:t xml:space="preserve">Payables and </w:t>
      </w:r>
      <w:r>
        <w:t xml:space="preserve">accruals remained at a similar level to 2018, EUR 94.1 billion in total – see notes </w:t>
      </w:r>
      <w:r>
        <w:rPr>
          <w:b/>
          <w:color w:val="016794"/>
        </w:rPr>
        <w:t>2.12</w:t>
      </w:r>
      <w:r>
        <w:t xml:space="preserve"> and </w:t>
      </w:r>
      <w:r>
        <w:rPr>
          <w:b/>
          <w:color w:val="016794"/>
        </w:rPr>
        <w:t>2.13</w:t>
      </w:r>
      <w:r>
        <w:t>.</w:t>
      </w:r>
    </w:p>
    <w:p w:rsidR="00135552" w:rsidRDefault="004C63B0">
      <w:pPr>
        <w:pStyle w:val="HEADER5"/>
        <w:rPr>
          <w:noProof/>
        </w:rPr>
      </w:pPr>
      <w:r>
        <w:rPr>
          <w:noProof/>
        </w:rPr>
        <w:t>Statement of Financial Performance</w:t>
      </w:r>
    </w:p>
    <w:p w:rsidR="00135552" w:rsidRDefault="004C63B0">
      <w:pPr>
        <w:pStyle w:val="DGTextstand-alone"/>
        <w:numPr>
          <w:ilvl w:val="0"/>
          <w:numId w:val="23"/>
        </w:numPr>
        <w:rPr>
          <w:u w:val="single"/>
        </w:rPr>
      </w:pPr>
      <w:r>
        <w:t xml:space="preserve">On the revenue side there were EUR 3.0 billion higher GNI revenue following adjustments made for past amounts (mostly for </w:t>
      </w:r>
      <w:r>
        <w:t xml:space="preserve">years 2012 to 2017) as GNI bases were updated with real data. Fines income was EUR 4.3 billion in 2019 – see note </w:t>
      </w:r>
      <w:r>
        <w:rPr>
          <w:b/>
          <w:color w:val="016794"/>
        </w:rPr>
        <w:t>3.1/3.4</w:t>
      </w:r>
      <w:r>
        <w:t>.</w:t>
      </w:r>
    </w:p>
    <w:p w:rsidR="00135552" w:rsidRDefault="004C63B0">
      <w:pPr>
        <w:pStyle w:val="DGTextstand-alone"/>
        <w:numPr>
          <w:ilvl w:val="0"/>
          <w:numId w:val="23"/>
        </w:numPr>
        <w:rPr>
          <w:u w:val="single"/>
        </w:rPr>
      </w:pPr>
      <w:r>
        <w:t>Expenses incurred under shared management increased by EUR 4.8 billion, led by better implementation of programmes under ERDF &amp; Cohes</w:t>
      </w:r>
      <w:r>
        <w:t xml:space="preserve">ion fund as the current MFF advances – see note </w:t>
      </w:r>
      <w:r>
        <w:rPr>
          <w:b/>
          <w:color w:val="016794"/>
        </w:rPr>
        <w:t>3.9</w:t>
      </w:r>
      <w:r>
        <w:rPr>
          <w:color w:val="000000" w:themeColor="text1"/>
        </w:rPr>
        <w:t>.</w:t>
      </w:r>
    </w:p>
    <w:p w:rsidR="00135552" w:rsidRDefault="004C63B0">
      <w:pPr>
        <w:pStyle w:val="HEADER5"/>
        <w:rPr>
          <w:noProof/>
        </w:rPr>
      </w:pPr>
      <w:r>
        <w:rPr>
          <w:noProof/>
        </w:rPr>
        <w:t>Contingent Liabilities</w:t>
      </w:r>
    </w:p>
    <w:p w:rsidR="00135552" w:rsidRDefault="004C63B0">
      <w:pPr>
        <w:pStyle w:val="DGTextstand-alone"/>
        <w:numPr>
          <w:ilvl w:val="0"/>
          <w:numId w:val="23"/>
        </w:numPr>
      </w:pPr>
      <w:r>
        <w:t xml:space="preserve">Budgetary guarantees increased by EUR 2.7 billion due to the signing of new EFSI and ELM operations in 2019 that are guaranteed by the EU budget – see note </w:t>
      </w:r>
      <w:r>
        <w:rPr>
          <w:b/>
          <w:color w:val="016794"/>
        </w:rPr>
        <w:t>4.1.1</w:t>
      </w:r>
      <w:r>
        <w:t>.</w:t>
      </w:r>
      <w:bookmarkEnd w:id="11"/>
    </w:p>
    <w:p w:rsidR="00135552" w:rsidRDefault="00135552">
      <w:pPr>
        <w:pStyle w:val="DGTextstand-alone"/>
        <w:numPr>
          <w:ilvl w:val="0"/>
          <w:numId w:val="23"/>
        </w:numPr>
        <w:sectPr w:rsidR="00135552">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rsidR="00135552" w:rsidRDefault="004C63B0">
      <w:pPr>
        <w:pStyle w:val="FinancialYear"/>
        <w:rPr>
          <w:noProof/>
        </w:rPr>
      </w:pPr>
      <w:bookmarkStart w:id="12" w:name="_DMBM_17119"/>
      <w:r>
        <w:rPr>
          <w:noProof/>
        </w:rPr>
        <w:t>EUROPEAN UNION</w:t>
      </w:r>
    </w:p>
    <w:p w:rsidR="00135552" w:rsidRDefault="004C63B0">
      <w:pPr>
        <w:pStyle w:val="FinancialYear"/>
        <w:rPr>
          <w:noProof/>
        </w:rPr>
      </w:pPr>
      <w:r>
        <w:rPr>
          <w:noProof/>
        </w:rPr>
        <w:t>FINANCIAL YEAR 2019</w:t>
      </w:r>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4C63B0">
      <w:pPr>
        <w:pStyle w:val="FIRSTCHAPTERPAGE"/>
        <w:rPr>
          <w:noProof/>
        </w:rPr>
      </w:pPr>
      <w:bookmarkStart w:id="13" w:name="_Toc43224151"/>
      <w:r>
        <w:rPr>
          <w:noProof/>
        </w:rPr>
        <w:t>CONSOLIDATED FINANCIAL STATEMENTS AND EXPLANATORY NOTES</w:t>
      </w:r>
      <w:bookmarkEnd w:id="13"/>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4C63B0">
      <w:pPr>
        <w:pStyle w:val="TOPHEADERNOTE"/>
        <w:rPr>
          <w:noProof/>
        </w:rPr>
        <w:sectPr w:rsidR="00135552">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rPr>
          <w:noProof/>
        </w:rPr>
        <w:t>It should be noted that due to the rounding of figures into millions of euros, some financial data in the tables below may appear not to add-up.</w:t>
      </w:r>
      <w:bookmarkEnd w:id="12"/>
    </w:p>
    <w:p w:rsidR="00135552" w:rsidRDefault="004C63B0">
      <w:pPr>
        <w:pStyle w:val="HEADERTABLE"/>
        <w:rPr>
          <w:noProof/>
        </w:rPr>
      </w:pPr>
      <w:bookmarkStart w:id="14" w:name="_DMBM_17156"/>
      <w:r>
        <w:rPr>
          <w:noProof/>
        </w:rPr>
        <w:t>CONTENTS</w:t>
      </w:r>
    </w:p>
    <w:p w:rsidR="00135552" w:rsidRDefault="00135552">
      <w:pPr>
        <w:pStyle w:val="Textstand-alone"/>
      </w:pPr>
    </w:p>
    <w:p w:rsidR="00135552" w:rsidRDefault="004C63B0">
      <w:pPr>
        <w:pStyle w:val="TOC1"/>
        <w:tabs>
          <w:tab w:val="right" w:leader="dot" w:pos="9628"/>
        </w:tabs>
        <w:rPr>
          <w:rFonts w:asciiTheme="minorHAnsi" w:eastAsiaTheme="minorEastAsia" w:hAnsiTheme="minorHAnsi" w:cstheme="minorBidi"/>
          <w:noProof/>
          <w:color w:val="auto"/>
          <w:szCs w:val="22"/>
          <w:lang w:val="de-DE" w:eastAsia="de-DE"/>
        </w:rPr>
      </w:pPr>
      <w:r>
        <w:rPr>
          <w:noProof/>
          <w:color w:val="016894"/>
          <w:sz w:val="20"/>
        </w:rPr>
        <w:fldChar w:fldCharType="begin"/>
      </w:r>
      <w:r>
        <w:rPr>
          <w:noProof/>
          <w:color w:val="016894"/>
          <w:sz w:val="20"/>
        </w:rPr>
        <w:instrText xml:space="preserve"> TOC \o "1-3" \h \z \t "HEADER 1_NOTES;2;HEADER_TITLE_1;1" </w:instrText>
      </w:r>
      <w:r>
        <w:rPr>
          <w:noProof/>
          <w:color w:val="016894"/>
          <w:sz w:val="20"/>
        </w:rPr>
        <w:fldChar w:fldCharType="separate"/>
      </w:r>
      <w:hyperlink w:anchor="_Toc43224161" w:history="1">
        <w:r>
          <w:rPr>
            <w:rStyle w:val="Hyperlink"/>
            <w:noProof/>
            <w:lang w:val="fr-BE"/>
          </w:rPr>
          <w:t>BALANCE SHEET</w:t>
        </w:r>
        <w:r>
          <w:rPr>
            <w:noProof/>
            <w:webHidden/>
          </w:rPr>
          <w:tab/>
        </w:r>
        <w:r>
          <w:rPr>
            <w:noProof/>
            <w:webHidden/>
          </w:rPr>
          <w:fldChar w:fldCharType="begin"/>
        </w:r>
        <w:r>
          <w:rPr>
            <w:noProof/>
            <w:webHidden/>
          </w:rPr>
          <w:instrText xml:space="preserve"> PAGEREF _Toc43224161 \h </w:instrText>
        </w:r>
        <w:r>
          <w:rPr>
            <w:noProof/>
            <w:webHidden/>
          </w:rPr>
        </w:r>
        <w:r>
          <w:rPr>
            <w:noProof/>
            <w:webHidden/>
          </w:rPr>
          <w:fldChar w:fldCharType="separate"/>
        </w:r>
        <w:r>
          <w:rPr>
            <w:noProof/>
            <w:webHidden/>
          </w:rPr>
          <w:t>15</w:t>
        </w:r>
        <w:r>
          <w:rPr>
            <w:noProof/>
            <w:webHidden/>
          </w:rPr>
          <w:fldChar w:fldCharType="end"/>
        </w:r>
      </w:hyperlink>
    </w:p>
    <w:p w:rsidR="00135552" w:rsidRDefault="004C63B0">
      <w:pPr>
        <w:pStyle w:val="TOC1"/>
        <w:tabs>
          <w:tab w:val="right" w:leader="dot" w:pos="9628"/>
        </w:tabs>
        <w:rPr>
          <w:rFonts w:asciiTheme="minorHAnsi" w:eastAsiaTheme="minorEastAsia" w:hAnsiTheme="minorHAnsi" w:cstheme="minorBidi"/>
          <w:noProof/>
          <w:color w:val="auto"/>
          <w:szCs w:val="22"/>
          <w:lang w:val="de-DE" w:eastAsia="de-DE"/>
        </w:rPr>
      </w:pPr>
      <w:hyperlink w:anchor="_Toc43224162" w:history="1">
        <w:r>
          <w:rPr>
            <w:rStyle w:val="Hyperlink"/>
            <w:noProof/>
            <w:lang w:val="fr-BE"/>
          </w:rPr>
          <w:t>STATEMENT OF FINANCIAL PERFORMANCE</w:t>
        </w:r>
        <w:r>
          <w:rPr>
            <w:noProof/>
            <w:webHidden/>
          </w:rPr>
          <w:tab/>
        </w:r>
        <w:r>
          <w:rPr>
            <w:noProof/>
            <w:webHidden/>
          </w:rPr>
          <w:fldChar w:fldCharType="begin"/>
        </w:r>
        <w:r>
          <w:rPr>
            <w:noProof/>
            <w:webHidden/>
          </w:rPr>
          <w:instrText xml:space="preserve"> PAGEREF _Toc43224162 \h </w:instrText>
        </w:r>
        <w:r>
          <w:rPr>
            <w:noProof/>
            <w:webHidden/>
          </w:rPr>
        </w:r>
        <w:r>
          <w:rPr>
            <w:noProof/>
            <w:webHidden/>
          </w:rPr>
          <w:fldChar w:fldCharType="separate"/>
        </w:r>
        <w:r>
          <w:rPr>
            <w:noProof/>
            <w:webHidden/>
          </w:rPr>
          <w:t>16</w:t>
        </w:r>
        <w:r>
          <w:rPr>
            <w:noProof/>
            <w:webHidden/>
          </w:rPr>
          <w:fldChar w:fldCharType="end"/>
        </w:r>
      </w:hyperlink>
    </w:p>
    <w:p w:rsidR="00135552" w:rsidRDefault="004C63B0">
      <w:pPr>
        <w:pStyle w:val="TOC1"/>
        <w:tabs>
          <w:tab w:val="right" w:leader="dot" w:pos="9628"/>
        </w:tabs>
        <w:rPr>
          <w:rFonts w:asciiTheme="minorHAnsi" w:eastAsiaTheme="minorEastAsia" w:hAnsiTheme="minorHAnsi" w:cstheme="minorBidi"/>
          <w:noProof/>
          <w:color w:val="auto"/>
          <w:szCs w:val="22"/>
          <w:lang w:val="de-DE" w:eastAsia="de-DE"/>
        </w:rPr>
      </w:pPr>
      <w:hyperlink w:anchor="_Toc43224163" w:history="1">
        <w:r>
          <w:rPr>
            <w:rStyle w:val="Hyperlink"/>
            <w:noProof/>
            <w:lang w:val="fr-BE"/>
          </w:rPr>
          <w:t>CASHFLOW STATEMENT</w:t>
        </w:r>
        <w:r>
          <w:rPr>
            <w:noProof/>
            <w:webHidden/>
          </w:rPr>
          <w:tab/>
        </w:r>
        <w:r>
          <w:rPr>
            <w:noProof/>
            <w:webHidden/>
          </w:rPr>
          <w:fldChar w:fldCharType="begin"/>
        </w:r>
        <w:r>
          <w:rPr>
            <w:noProof/>
            <w:webHidden/>
          </w:rPr>
          <w:instrText xml:space="preserve"> PAGEREF _Toc43224163 \h </w:instrText>
        </w:r>
        <w:r>
          <w:rPr>
            <w:noProof/>
            <w:webHidden/>
          </w:rPr>
        </w:r>
        <w:r>
          <w:rPr>
            <w:noProof/>
            <w:webHidden/>
          </w:rPr>
          <w:fldChar w:fldCharType="separate"/>
        </w:r>
        <w:r>
          <w:rPr>
            <w:noProof/>
            <w:webHidden/>
          </w:rPr>
          <w:t>17</w:t>
        </w:r>
        <w:r>
          <w:rPr>
            <w:noProof/>
            <w:webHidden/>
          </w:rPr>
          <w:fldChar w:fldCharType="end"/>
        </w:r>
      </w:hyperlink>
    </w:p>
    <w:p w:rsidR="00135552" w:rsidRDefault="004C63B0">
      <w:pPr>
        <w:pStyle w:val="TOC1"/>
        <w:tabs>
          <w:tab w:val="right" w:leader="dot" w:pos="9628"/>
        </w:tabs>
        <w:rPr>
          <w:rFonts w:asciiTheme="minorHAnsi" w:eastAsiaTheme="minorEastAsia" w:hAnsiTheme="minorHAnsi" w:cstheme="minorBidi"/>
          <w:noProof/>
          <w:color w:val="auto"/>
          <w:szCs w:val="22"/>
          <w:lang w:val="de-DE" w:eastAsia="de-DE"/>
        </w:rPr>
      </w:pPr>
      <w:hyperlink w:anchor="_Toc43224164" w:history="1">
        <w:r>
          <w:rPr>
            <w:rStyle w:val="Hyperlink"/>
            <w:noProof/>
          </w:rPr>
          <w:t>STATEMENT OF CHANGES IN NET ASSETS</w:t>
        </w:r>
        <w:r>
          <w:rPr>
            <w:noProof/>
            <w:webHidden/>
          </w:rPr>
          <w:tab/>
        </w:r>
        <w:r>
          <w:rPr>
            <w:noProof/>
            <w:webHidden/>
          </w:rPr>
          <w:fldChar w:fldCharType="begin"/>
        </w:r>
        <w:r>
          <w:rPr>
            <w:noProof/>
            <w:webHidden/>
          </w:rPr>
          <w:instrText xml:space="preserve"> PAGEREF _Toc43224164 \h </w:instrText>
        </w:r>
        <w:r>
          <w:rPr>
            <w:noProof/>
            <w:webHidden/>
          </w:rPr>
        </w:r>
        <w:r>
          <w:rPr>
            <w:noProof/>
            <w:webHidden/>
          </w:rPr>
          <w:fldChar w:fldCharType="separate"/>
        </w:r>
        <w:r>
          <w:rPr>
            <w:noProof/>
            <w:webHidden/>
          </w:rPr>
          <w:t>18</w:t>
        </w:r>
        <w:r>
          <w:rPr>
            <w:noProof/>
            <w:webHidden/>
          </w:rPr>
          <w:fldChar w:fldCharType="end"/>
        </w:r>
      </w:hyperlink>
    </w:p>
    <w:p w:rsidR="00135552" w:rsidRDefault="004C63B0">
      <w:pPr>
        <w:pStyle w:val="TOC1"/>
        <w:tabs>
          <w:tab w:val="right" w:leader="dot" w:pos="9628"/>
        </w:tabs>
        <w:rPr>
          <w:rFonts w:asciiTheme="minorHAnsi" w:eastAsiaTheme="minorEastAsia" w:hAnsiTheme="minorHAnsi" w:cstheme="minorBidi"/>
          <w:noProof/>
          <w:color w:val="auto"/>
          <w:szCs w:val="22"/>
          <w:lang w:val="de-DE" w:eastAsia="de-DE"/>
        </w:rPr>
      </w:pPr>
      <w:hyperlink w:anchor="_Toc43224165" w:history="1">
        <w:r>
          <w:rPr>
            <w:rStyle w:val="Hyperlink"/>
            <w:rFonts w:eastAsia="Calibri"/>
            <w:noProof/>
            <w:lang w:val="fr-BE"/>
          </w:rPr>
          <w:t>NOTES TO THE FINANCIAL STATEMENTS</w:t>
        </w:r>
        <w:r>
          <w:rPr>
            <w:noProof/>
            <w:webHidden/>
          </w:rPr>
          <w:tab/>
        </w:r>
        <w:r>
          <w:rPr>
            <w:noProof/>
            <w:webHidden/>
          </w:rPr>
          <w:fldChar w:fldCharType="begin"/>
        </w:r>
        <w:r>
          <w:rPr>
            <w:noProof/>
            <w:webHidden/>
          </w:rPr>
          <w:instrText xml:space="preserve"> PAGEREF _Toc43224165 \h </w:instrText>
        </w:r>
        <w:r>
          <w:rPr>
            <w:noProof/>
            <w:webHidden/>
          </w:rPr>
        </w:r>
        <w:r>
          <w:rPr>
            <w:noProof/>
            <w:webHidden/>
          </w:rPr>
          <w:fldChar w:fldCharType="separate"/>
        </w:r>
        <w:r>
          <w:rPr>
            <w:noProof/>
            <w:webHidden/>
          </w:rPr>
          <w:t>19</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66" w:history="1">
        <w:r>
          <w:rPr>
            <w:rStyle w:val="Hyperlink"/>
            <w:noProof/>
            <w:lang w:val="fr-BE"/>
          </w:rPr>
          <w:t>1.</w:t>
        </w:r>
        <w:r>
          <w:rPr>
            <w:rFonts w:asciiTheme="minorHAnsi" w:eastAsiaTheme="minorEastAsia" w:hAnsiTheme="minorHAnsi" w:cstheme="minorBidi"/>
            <w:noProof/>
            <w:color w:val="auto"/>
            <w:szCs w:val="22"/>
            <w:lang w:val="de-DE" w:eastAsia="de-DE"/>
          </w:rPr>
          <w:tab/>
        </w:r>
        <w:r>
          <w:rPr>
            <w:rStyle w:val="Hyperlink"/>
            <w:noProof/>
          </w:rPr>
          <w:t>SIGNIFICANT</w:t>
        </w:r>
        <w:r>
          <w:rPr>
            <w:rStyle w:val="Hyperlink"/>
            <w:noProof/>
            <w:lang w:val="fr-BE"/>
          </w:rPr>
          <w:t xml:space="preserve"> ACCOUNTING POLICIES</w:t>
        </w:r>
        <w:r>
          <w:rPr>
            <w:noProof/>
            <w:webHidden/>
          </w:rPr>
          <w:tab/>
        </w:r>
        <w:r>
          <w:rPr>
            <w:noProof/>
            <w:webHidden/>
          </w:rPr>
          <w:fldChar w:fldCharType="begin"/>
        </w:r>
        <w:r>
          <w:rPr>
            <w:noProof/>
            <w:webHidden/>
          </w:rPr>
          <w:instrText xml:space="preserve"> PAGEREF _Toc43224166 \h </w:instrText>
        </w:r>
        <w:r>
          <w:rPr>
            <w:noProof/>
            <w:webHidden/>
          </w:rPr>
        </w:r>
        <w:r>
          <w:rPr>
            <w:noProof/>
            <w:webHidden/>
          </w:rPr>
          <w:fldChar w:fldCharType="separate"/>
        </w:r>
        <w:r>
          <w:rPr>
            <w:noProof/>
            <w:webHidden/>
          </w:rPr>
          <w:t>20</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67" w:history="1">
        <w:r>
          <w:rPr>
            <w:rStyle w:val="Hyperlink"/>
            <w:noProof/>
            <w:lang w:val="fr-BE"/>
          </w:rPr>
          <w:t>2.</w:t>
        </w:r>
        <w:r>
          <w:rPr>
            <w:rFonts w:asciiTheme="minorHAnsi" w:eastAsiaTheme="minorEastAsia" w:hAnsiTheme="minorHAnsi" w:cstheme="minorBidi"/>
            <w:noProof/>
            <w:color w:val="auto"/>
            <w:szCs w:val="22"/>
            <w:lang w:val="de-DE" w:eastAsia="de-DE"/>
          </w:rPr>
          <w:tab/>
        </w:r>
        <w:r>
          <w:rPr>
            <w:rStyle w:val="Hyperlink"/>
            <w:noProof/>
            <w:lang w:val="fr-BE"/>
          </w:rPr>
          <w:t>NOTES TO THE BALANCE SHEET</w:t>
        </w:r>
        <w:r>
          <w:rPr>
            <w:noProof/>
            <w:webHidden/>
          </w:rPr>
          <w:tab/>
        </w:r>
        <w:r>
          <w:rPr>
            <w:noProof/>
            <w:webHidden/>
          </w:rPr>
          <w:fldChar w:fldCharType="begin"/>
        </w:r>
        <w:r>
          <w:rPr>
            <w:noProof/>
            <w:webHidden/>
          </w:rPr>
          <w:instrText xml:space="preserve"> PAGEREF _Toc43224167 \h </w:instrText>
        </w:r>
        <w:r>
          <w:rPr>
            <w:noProof/>
            <w:webHidden/>
          </w:rPr>
        </w:r>
        <w:r>
          <w:rPr>
            <w:noProof/>
            <w:webHidden/>
          </w:rPr>
          <w:fldChar w:fldCharType="separate"/>
        </w:r>
        <w:r>
          <w:rPr>
            <w:noProof/>
            <w:webHidden/>
          </w:rPr>
          <w:t>35</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68" w:history="1">
        <w:r>
          <w:rPr>
            <w:rStyle w:val="Hyperlink"/>
            <w:noProof/>
          </w:rPr>
          <w:t>3.</w:t>
        </w:r>
        <w:r>
          <w:rPr>
            <w:rFonts w:asciiTheme="minorHAnsi" w:eastAsiaTheme="minorEastAsia" w:hAnsiTheme="minorHAnsi" w:cstheme="minorBidi"/>
            <w:noProof/>
            <w:color w:val="auto"/>
            <w:szCs w:val="22"/>
            <w:lang w:val="de-DE" w:eastAsia="de-DE"/>
          </w:rPr>
          <w:tab/>
        </w:r>
        <w:r>
          <w:rPr>
            <w:rStyle w:val="Hyperlink"/>
            <w:noProof/>
          </w:rPr>
          <w:t>N</w:t>
        </w:r>
        <w:r>
          <w:rPr>
            <w:rStyle w:val="Hyperlink"/>
            <w:noProof/>
          </w:rPr>
          <w:t>OTES TO THE STATEMENT OF FINANCIAL PERFORMANCE</w:t>
        </w:r>
        <w:r>
          <w:rPr>
            <w:noProof/>
            <w:webHidden/>
          </w:rPr>
          <w:tab/>
        </w:r>
        <w:r>
          <w:rPr>
            <w:noProof/>
            <w:webHidden/>
          </w:rPr>
          <w:fldChar w:fldCharType="begin"/>
        </w:r>
        <w:r>
          <w:rPr>
            <w:noProof/>
            <w:webHidden/>
          </w:rPr>
          <w:instrText xml:space="preserve"> PAGEREF _Toc43224168 \h </w:instrText>
        </w:r>
        <w:r>
          <w:rPr>
            <w:noProof/>
            <w:webHidden/>
          </w:rPr>
        </w:r>
        <w:r>
          <w:rPr>
            <w:noProof/>
            <w:webHidden/>
          </w:rPr>
          <w:fldChar w:fldCharType="separate"/>
        </w:r>
        <w:r>
          <w:rPr>
            <w:noProof/>
            <w:webHidden/>
          </w:rPr>
          <w:t>63</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69" w:history="1">
        <w:r>
          <w:rPr>
            <w:rStyle w:val="Hyperlink"/>
            <w:noProof/>
          </w:rPr>
          <w:t>4.</w:t>
        </w:r>
        <w:r>
          <w:rPr>
            <w:rFonts w:asciiTheme="minorHAnsi" w:eastAsiaTheme="minorEastAsia" w:hAnsiTheme="minorHAnsi" w:cstheme="minorBidi"/>
            <w:noProof/>
            <w:color w:val="auto"/>
            <w:szCs w:val="22"/>
            <w:lang w:val="de-DE" w:eastAsia="de-DE"/>
          </w:rPr>
          <w:tab/>
        </w:r>
        <w:r>
          <w:rPr>
            <w:rStyle w:val="Hyperlink"/>
            <w:noProof/>
          </w:rPr>
          <w:t>CONTINGENT LIABILITIES AND ASSETS</w:t>
        </w:r>
        <w:r>
          <w:rPr>
            <w:noProof/>
            <w:webHidden/>
          </w:rPr>
          <w:tab/>
        </w:r>
        <w:r>
          <w:rPr>
            <w:noProof/>
            <w:webHidden/>
          </w:rPr>
          <w:fldChar w:fldCharType="begin"/>
        </w:r>
        <w:r>
          <w:rPr>
            <w:noProof/>
            <w:webHidden/>
          </w:rPr>
          <w:instrText xml:space="preserve"> PAGEREF _Toc43224169 \h </w:instrText>
        </w:r>
        <w:r>
          <w:rPr>
            <w:noProof/>
            <w:webHidden/>
          </w:rPr>
        </w:r>
        <w:r>
          <w:rPr>
            <w:noProof/>
            <w:webHidden/>
          </w:rPr>
          <w:fldChar w:fldCharType="separate"/>
        </w:r>
        <w:r>
          <w:rPr>
            <w:noProof/>
            <w:webHidden/>
          </w:rPr>
          <w:t>70</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70" w:history="1">
        <w:r>
          <w:rPr>
            <w:rStyle w:val="Hyperlink"/>
            <w:noProof/>
          </w:rPr>
          <w:t>5.</w:t>
        </w:r>
        <w:r>
          <w:rPr>
            <w:rFonts w:asciiTheme="minorHAnsi" w:eastAsiaTheme="minorEastAsia" w:hAnsiTheme="minorHAnsi" w:cstheme="minorBidi"/>
            <w:noProof/>
            <w:color w:val="auto"/>
            <w:szCs w:val="22"/>
            <w:lang w:val="de-DE" w:eastAsia="de-DE"/>
          </w:rPr>
          <w:tab/>
        </w:r>
        <w:r>
          <w:rPr>
            <w:rStyle w:val="Hyperlink"/>
            <w:noProof/>
          </w:rPr>
          <w:t>BUDGETARY AND LEGAL COMMITMENTS</w:t>
        </w:r>
        <w:r>
          <w:rPr>
            <w:noProof/>
            <w:webHidden/>
          </w:rPr>
          <w:tab/>
        </w:r>
        <w:r>
          <w:rPr>
            <w:noProof/>
            <w:webHidden/>
          </w:rPr>
          <w:fldChar w:fldCharType="begin"/>
        </w:r>
        <w:r>
          <w:rPr>
            <w:noProof/>
            <w:webHidden/>
          </w:rPr>
          <w:instrText xml:space="preserve"> PAGEREF _Toc43224170 \h </w:instrText>
        </w:r>
        <w:r>
          <w:rPr>
            <w:noProof/>
            <w:webHidden/>
          </w:rPr>
        </w:r>
        <w:r>
          <w:rPr>
            <w:noProof/>
            <w:webHidden/>
          </w:rPr>
          <w:fldChar w:fldCharType="separate"/>
        </w:r>
        <w:r>
          <w:rPr>
            <w:noProof/>
            <w:webHidden/>
          </w:rPr>
          <w:t>74</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71" w:history="1">
        <w:r>
          <w:rPr>
            <w:rStyle w:val="Hyperlink"/>
            <w:noProof/>
          </w:rPr>
          <w:t>6.</w:t>
        </w:r>
        <w:r>
          <w:rPr>
            <w:rFonts w:asciiTheme="minorHAnsi" w:eastAsiaTheme="minorEastAsia" w:hAnsiTheme="minorHAnsi" w:cstheme="minorBidi"/>
            <w:noProof/>
            <w:color w:val="auto"/>
            <w:szCs w:val="22"/>
            <w:lang w:val="de-DE" w:eastAsia="de-DE"/>
          </w:rPr>
          <w:tab/>
        </w:r>
        <w:r>
          <w:rPr>
            <w:rStyle w:val="Hyperlink"/>
            <w:noProof/>
          </w:rPr>
          <w:t>FINANCIAL</w:t>
        </w:r>
        <w:r>
          <w:rPr>
            <w:rStyle w:val="Hyperlink"/>
            <w:noProof/>
          </w:rPr>
          <w:t xml:space="preserve"> RISK MANAGEMENT</w:t>
        </w:r>
        <w:r>
          <w:rPr>
            <w:noProof/>
            <w:webHidden/>
          </w:rPr>
          <w:tab/>
        </w:r>
        <w:r>
          <w:rPr>
            <w:noProof/>
            <w:webHidden/>
          </w:rPr>
          <w:fldChar w:fldCharType="begin"/>
        </w:r>
        <w:r>
          <w:rPr>
            <w:noProof/>
            <w:webHidden/>
          </w:rPr>
          <w:instrText xml:space="preserve"> PAGEREF _Toc43224171 \h </w:instrText>
        </w:r>
        <w:r>
          <w:rPr>
            <w:noProof/>
            <w:webHidden/>
          </w:rPr>
        </w:r>
        <w:r>
          <w:rPr>
            <w:noProof/>
            <w:webHidden/>
          </w:rPr>
          <w:fldChar w:fldCharType="separate"/>
        </w:r>
        <w:r>
          <w:rPr>
            <w:noProof/>
            <w:webHidden/>
          </w:rPr>
          <w:t>78</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72" w:history="1">
        <w:r>
          <w:rPr>
            <w:rStyle w:val="Hyperlink"/>
            <w:noProof/>
          </w:rPr>
          <w:t>7.</w:t>
        </w:r>
        <w:r>
          <w:rPr>
            <w:rFonts w:asciiTheme="minorHAnsi" w:eastAsiaTheme="minorEastAsia" w:hAnsiTheme="minorHAnsi" w:cstheme="minorBidi"/>
            <w:noProof/>
            <w:color w:val="auto"/>
            <w:szCs w:val="22"/>
            <w:lang w:val="de-DE" w:eastAsia="de-DE"/>
          </w:rPr>
          <w:tab/>
        </w:r>
        <w:r>
          <w:rPr>
            <w:rStyle w:val="Hyperlink"/>
            <w:noProof/>
          </w:rPr>
          <w:t>RELATED PARTY DISCLOSURES</w:t>
        </w:r>
        <w:r>
          <w:rPr>
            <w:noProof/>
            <w:webHidden/>
          </w:rPr>
          <w:tab/>
        </w:r>
        <w:r>
          <w:rPr>
            <w:noProof/>
            <w:webHidden/>
          </w:rPr>
          <w:fldChar w:fldCharType="begin"/>
        </w:r>
        <w:r>
          <w:rPr>
            <w:noProof/>
            <w:webHidden/>
          </w:rPr>
          <w:instrText xml:space="preserve"> PAGEREF _Toc43224172 \h </w:instrText>
        </w:r>
        <w:r>
          <w:rPr>
            <w:noProof/>
            <w:webHidden/>
          </w:rPr>
        </w:r>
        <w:r>
          <w:rPr>
            <w:noProof/>
            <w:webHidden/>
          </w:rPr>
          <w:fldChar w:fldCharType="separate"/>
        </w:r>
        <w:r>
          <w:rPr>
            <w:noProof/>
            <w:webHidden/>
          </w:rPr>
          <w:t>90</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73" w:history="1">
        <w:r>
          <w:rPr>
            <w:rStyle w:val="Hyperlink"/>
            <w:rFonts w:eastAsia="Calibri"/>
            <w:noProof/>
          </w:rPr>
          <w:t>8.</w:t>
        </w:r>
        <w:r>
          <w:rPr>
            <w:rFonts w:asciiTheme="minorHAnsi" w:eastAsiaTheme="minorEastAsia" w:hAnsiTheme="minorHAnsi" w:cstheme="minorBidi"/>
            <w:noProof/>
            <w:color w:val="auto"/>
            <w:szCs w:val="22"/>
            <w:lang w:val="de-DE" w:eastAsia="de-DE"/>
          </w:rPr>
          <w:tab/>
        </w:r>
        <w:r>
          <w:rPr>
            <w:rStyle w:val="Hyperlink"/>
            <w:rFonts w:eastAsia="Calibri"/>
            <w:noProof/>
          </w:rPr>
          <w:t>EVENTS AFTER THE BALANCE SHEET DATE</w:t>
        </w:r>
        <w:r>
          <w:rPr>
            <w:noProof/>
            <w:webHidden/>
          </w:rPr>
          <w:tab/>
        </w:r>
        <w:r>
          <w:rPr>
            <w:noProof/>
            <w:webHidden/>
          </w:rPr>
          <w:fldChar w:fldCharType="begin"/>
        </w:r>
        <w:r>
          <w:rPr>
            <w:noProof/>
            <w:webHidden/>
          </w:rPr>
          <w:instrText xml:space="preserve"> PAGEREF _Toc43224173 \h </w:instrText>
        </w:r>
        <w:r>
          <w:rPr>
            <w:noProof/>
            <w:webHidden/>
          </w:rPr>
        </w:r>
        <w:r>
          <w:rPr>
            <w:noProof/>
            <w:webHidden/>
          </w:rPr>
          <w:fldChar w:fldCharType="separate"/>
        </w:r>
        <w:r>
          <w:rPr>
            <w:noProof/>
            <w:webHidden/>
          </w:rPr>
          <w:t>92</w:t>
        </w:r>
        <w:r>
          <w:rPr>
            <w:noProof/>
            <w:webHidden/>
          </w:rPr>
          <w:fldChar w:fldCharType="end"/>
        </w:r>
      </w:hyperlink>
    </w:p>
    <w:p w:rsidR="00135552" w:rsidRDefault="004C63B0">
      <w:pPr>
        <w:pStyle w:val="TOC2"/>
        <w:tabs>
          <w:tab w:val="left" w:pos="880"/>
          <w:tab w:val="right" w:leader="dot" w:pos="9628"/>
        </w:tabs>
        <w:rPr>
          <w:rFonts w:asciiTheme="minorHAnsi" w:eastAsiaTheme="minorEastAsia" w:hAnsiTheme="minorHAnsi" w:cstheme="minorBidi"/>
          <w:noProof/>
          <w:color w:val="auto"/>
          <w:szCs w:val="22"/>
          <w:lang w:val="de-DE" w:eastAsia="de-DE"/>
        </w:rPr>
      </w:pPr>
      <w:hyperlink w:anchor="_Toc43224174" w:history="1">
        <w:r>
          <w:rPr>
            <w:rStyle w:val="Hyperlink"/>
            <w:rFonts w:eastAsia="Calibri"/>
            <w:noProof/>
          </w:rPr>
          <w:t>9.</w:t>
        </w:r>
        <w:r>
          <w:rPr>
            <w:rFonts w:asciiTheme="minorHAnsi" w:eastAsiaTheme="minorEastAsia" w:hAnsiTheme="minorHAnsi" w:cstheme="minorBidi"/>
            <w:noProof/>
            <w:color w:val="auto"/>
            <w:szCs w:val="22"/>
            <w:lang w:val="de-DE" w:eastAsia="de-DE"/>
          </w:rPr>
          <w:tab/>
        </w:r>
        <w:r>
          <w:rPr>
            <w:rStyle w:val="Hyperlink"/>
            <w:rFonts w:eastAsia="Calibri"/>
            <w:noProof/>
          </w:rPr>
          <w:t>SCOPE OF CONSOLIDATION</w:t>
        </w:r>
        <w:r>
          <w:rPr>
            <w:noProof/>
            <w:webHidden/>
          </w:rPr>
          <w:tab/>
        </w:r>
        <w:r>
          <w:rPr>
            <w:noProof/>
            <w:webHidden/>
          </w:rPr>
          <w:fldChar w:fldCharType="begin"/>
        </w:r>
        <w:r>
          <w:rPr>
            <w:noProof/>
            <w:webHidden/>
          </w:rPr>
          <w:instrText xml:space="preserve"> PAGEREF _Toc4322417</w:instrText>
        </w:r>
        <w:r>
          <w:rPr>
            <w:noProof/>
            <w:webHidden/>
          </w:rPr>
          <w:instrText xml:space="preserve">4 \h </w:instrText>
        </w:r>
        <w:r>
          <w:rPr>
            <w:noProof/>
            <w:webHidden/>
          </w:rPr>
        </w:r>
        <w:r>
          <w:rPr>
            <w:noProof/>
            <w:webHidden/>
          </w:rPr>
          <w:fldChar w:fldCharType="separate"/>
        </w:r>
        <w:r>
          <w:rPr>
            <w:noProof/>
            <w:webHidden/>
          </w:rPr>
          <w:t>94</w:t>
        </w:r>
        <w:r>
          <w:rPr>
            <w:noProof/>
            <w:webHidden/>
          </w:rPr>
          <w:fldChar w:fldCharType="end"/>
        </w:r>
      </w:hyperlink>
    </w:p>
    <w:p w:rsidR="00135552" w:rsidRDefault="004C63B0">
      <w:pPr>
        <w:pStyle w:val="Textstand-alone"/>
        <w:sectPr w:rsidR="00135552">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4"/>
    </w:p>
    <w:p w:rsidR="00135552" w:rsidRDefault="004C63B0">
      <w:pPr>
        <w:pStyle w:val="HEADERTITLE1"/>
        <w:spacing w:after="0"/>
        <w:rPr>
          <w:lang w:val="fr-BE"/>
        </w:rPr>
      </w:pPr>
      <w:bookmarkStart w:id="15" w:name="_Toc43224152"/>
      <w:bookmarkStart w:id="16" w:name="_Toc43224161"/>
      <w:bookmarkStart w:id="17" w:name="_DMBM_17158"/>
      <w:r>
        <w:rPr>
          <w:lang w:val="fr-BE"/>
        </w:rPr>
        <w:t>BALANCE SHEET</w:t>
      </w:r>
      <w:bookmarkEnd w:id="15"/>
      <w:bookmarkEnd w:id="16"/>
    </w:p>
    <w:p w:rsidR="00135552" w:rsidRDefault="00135552">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1363"/>
        <w:gridCol w:w="1363"/>
        <w:gridCol w:w="1363"/>
      </w:tblGrid>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FFFFFF"/>
                <w:sz w:val="16"/>
                <w:lang w:bidi="en-GB"/>
              </w:rPr>
            </w:pPr>
            <w:bookmarkStart w:id="18" w:name="DOC_TBL00001_1_1"/>
            <w:bookmarkEnd w:id="18"/>
          </w:p>
        </w:tc>
        <w:tc>
          <w:tcPr>
            <w:tcW w:w="136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3BIPB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EUR million</w:t>
            </w:r>
          </w:p>
        </w:tc>
      </w:tr>
      <w:tr w:rsidR="00135552">
        <w:trPr>
          <w:trHeight w:val="255"/>
        </w:trPr>
        <w:tc>
          <w:tcPr>
            <w:tcW w:w="566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3BIPBS"/>
              <w:rPr>
                <w:rFonts w:ascii="Verdana" w:eastAsia="Verdana" w:hAnsi="Verdana" w:cs="Verdana"/>
                <w:noProof/>
                <w:color w:val="FFFFFF"/>
              </w:rPr>
            </w:pP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3BIPBS"/>
              <w:jc w:val="center"/>
              <w:rPr>
                <w:rFonts w:ascii="Verdana" w:eastAsia="Verdana" w:hAnsi="Verdana" w:cs="Verdana"/>
                <w:noProof/>
                <w:color w:val="FFFFFF"/>
              </w:rPr>
            </w:pPr>
            <w:r>
              <w:rPr>
                <w:rFonts w:ascii="Verdana" w:eastAsia="Verdana" w:hAnsi="Verdana" w:cs="Verdana"/>
                <w:noProof/>
                <w:color w:val="FFFFFF"/>
              </w:rPr>
              <w:t>Note</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3BIPBS"/>
              <w:jc w:val="right"/>
              <w:rPr>
                <w:rFonts w:ascii="Verdana" w:eastAsia="Verdana" w:hAnsi="Verdana" w:cs="Verdana"/>
                <w:noProof/>
                <w:color w:val="FFFFFF"/>
              </w:rPr>
            </w:pPr>
            <w:r>
              <w:rPr>
                <w:rFonts w:ascii="Verdana" w:eastAsia="Verdana" w:hAnsi="Verdana" w:cs="Verdana"/>
                <w:noProof/>
                <w:color w:val="FFFFFF"/>
              </w:rPr>
              <w:t>31.12.2019</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3BIPBS"/>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Arial" w:eastAsia="Arial" w:hAnsi="Arial" w:cs="Arial"/>
                <w:noProof/>
                <w:color w:val="000000"/>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Intangible assets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 xml:space="preserve"> 515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446</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Property, plant and equipment</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11 380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11 185</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Investments accounted for using the equity method</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 xml:space="preserve"> 591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591</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Financial assets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66 714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65 231</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26 240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26 006</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 xml:space="preserve">Exchange receivables and </w:t>
            </w:r>
            <w:r>
              <w:rPr>
                <w:rFonts w:ascii="Verdana" w:eastAsia="Verdana" w:hAnsi="Verdana" w:cs="Verdana"/>
                <w:i/>
                <w:noProof/>
                <w:color w:val="000000"/>
                <w:sz w:val="18"/>
              </w:rPr>
              <w:t>non-exchange recoverables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3 607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416</w:t>
            </w:r>
          </w:p>
        </w:tc>
      </w:tr>
      <w:tr w:rsidR="00135552">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109 047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103 875</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Financial assets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4 514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4 168</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25 206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23 968</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20 367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24 248</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Inventories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 xml:space="preserve"> 68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73</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 xml:space="preserve">Cash and cash equivalents </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19 745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18 113</w:t>
            </w:r>
          </w:p>
        </w:tc>
      </w:tr>
      <w:tr w:rsidR="00135552">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69 900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70 570</w:t>
            </w:r>
          </w:p>
        </w:tc>
      </w:tr>
      <w:tr w:rsidR="00135552">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178 947</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174 444</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NON-CURRENT LIABILITIES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Pension and other employee benefits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(97 659)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(80 456)</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Provisions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(3 710)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(3 281)</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(53 071)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(53 289)</w:t>
            </w:r>
          </w:p>
        </w:tc>
      </w:tr>
      <w:tr w:rsidR="00135552">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(154 440)</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(137 025)</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Provisions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(1 116)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(852)</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(1 446)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(2 617)</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(27 241)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(32 227)</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(67 227)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(63 186)</w:t>
            </w:r>
          </w:p>
        </w:tc>
      </w:tr>
      <w:tr w:rsidR="00135552">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(97 030)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(98 882)</w:t>
            </w:r>
          </w:p>
        </w:tc>
      </w:tr>
      <w:tr w:rsidR="00135552">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 xml:space="preserve">TOTAL </w:t>
            </w:r>
            <w:r>
              <w:rPr>
                <w:rFonts w:ascii="Verdana" w:eastAsia="Verdana" w:hAnsi="Verdana" w:cs="Verdana"/>
                <w:b/>
                <w:noProof/>
                <w:color w:val="000000"/>
                <w:sz w:val="18"/>
              </w:rPr>
              <w:t>LIABILITIES</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(251 470)</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(235 907)</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noProof/>
                <w:color w:val="000000"/>
                <w:sz w:val="18"/>
                <w:lang w:bidi="en-GB"/>
              </w:rPr>
            </w:pPr>
          </w:p>
        </w:tc>
      </w:tr>
      <w:tr w:rsidR="00135552">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lang w:bidi="en-GB"/>
              </w:rPr>
            </w:pPr>
            <w:r>
              <w:rPr>
                <w:rFonts w:ascii="Verdana" w:eastAsia="Verdana" w:hAnsi="Verdana" w:cs="Verdana"/>
                <w:b/>
                <w:noProof/>
                <w:color w:val="000000"/>
                <w:sz w:val="18"/>
              </w:rPr>
              <w:t>(61 463)</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3BIPBS"/>
              <w:jc w:val="right"/>
              <w:rPr>
                <w:rFonts w:ascii="Verdana" w:eastAsia="Verdana" w:hAnsi="Verdana" w:cs="Verdana"/>
                <w:b/>
                <w:noProof/>
                <w:color w:val="000000"/>
                <w:sz w:val="18"/>
                <w:lang w:bidi="en-GB"/>
              </w:rPr>
            </w:pP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Reserves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5 037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4 961</w:t>
            </w:r>
          </w:p>
        </w:tc>
      </w:tr>
      <w:tr w:rsidR="00135552">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rPr>
                <w:rFonts w:ascii="Verdana" w:eastAsia="Verdana" w:hAnsi="Verdana" w:cs="Verdana"/>
                <w:i/>
                <w:noProof/>
                <w:color w:val="000000"/>
                <w:sz w:val="18"/>
              </w:rPr>
            </w:pPr>
            <w:r>
              <w:rPr>
                <w:rFonts w:ascii="Verdana" w:eastAsia="Verdana" w:hAnsi="Verdana" w:cs="Verdana"/>
                <w:i/>
                <w:noProof/>
                <w:color w:val="000000"/>
                <w:sz w:val="18"/>
              </w:rPr>
              <w:t>Amounts to be called from Member States*</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center"/>
              <w:rPr>
                <w:rFonts w:ascii="Verdana" w:eastAsia="Verdana" w:hAnsi="Verdana" w:cs="Verdana"/>
                <w:i/>
                <w:noProof/>
                <w:color w:val="000000"/>
                <w:sz w:val="18"/>
              </w:rPr>
            </w:pPr>
            <w:r>
              <w:rPr>
                <w:rFonts w:ascii="Verdana" w:eastAsia="Verdana" w:hAnsi="Verdana" w:cs="Verdana"/>
                <w:i/>
                <w:noProof/>
                <w:color w:val="000000"/>
                <w:sz w:val="18"/>
              </w:rPr>
              <w:t>2.15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rPr>
            </w:pPr>
            <w:r>
              <w:rPr>
                <w:rFonts w:ascii="Verdana" w:eastAsia="Verdana" w:hAnsi="Verdana" w:cs="Verdana"/>
                <w:i/>
                <w:noProof/>
                <w:color w:val="000000"/>
                <w:sz w:val="18"/>
              </w:rPr>
              <w:t>(77 560)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3BIPBS"/>
              <w:jc w:val="right"/>
              <w:rPr>
                <w:rFonts w:ascii="Verdana" w:eastAsia="Verdana" w:hAnsi="Verdana" w:cs="Verdana"/>
                <w:i/>
                <w:noProof/>
                <w:color w:val="000000"/>
                <w:sz w:val="18"/>
                <w:lang w:bidi="en-GB"/>
              </w:rPr>
            </w:pPr>
            <w:r>
              <w:rPr>
                <w:rFonts w:ascii="Verdana" w:eastAsia="Verdana" w:hAnsi="Verdana" w:cs="Verdana"/>
                <w:i/>
                <w:noProof/>
                <w:color w:val="000000"/>
                <w:sz w:val="18"/>
              </w:rPr>
              <w:t>(66 424)</w:t>
            </w:r>
          </w:p>
        </w:tc>
      </w:tr>
      <w:tr w:rsidR="00135552">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3BIPBS"/>
              <w:jc w:val="right"/>
              <w:rPr>
                <w:rFonts w:ascii="Verdana" w:eastAsia="Verdana" w:hAnsi="Verdana" w:cs="Verdana"/>
                <w:b/>
                <w:noProof/>
                <w:color w:val="000000"/>
                <w:sz w:val="18"/>
              </w:rPr>
            </w:pPr>
            <w:r>
              <w:rPr>
                <w:rFonts w:ascii="Verdana" w:eastAsia="Verdana" w:hAnsi="Verdana" w:cs="Verdana"/>
                <w:b/>
                <w:noProof/>
                <w:color w:val="000000"/>
                <w:sz w:val="18"/>
              </w:rPr>
              <w:t>(61 463)</w:t>
            </w:r>
          </w:p>
        </w:tc>
      </w:tr>
    </w:tbl>
    <w:p w:rsidR="00135552" w:rsidRDefault="004C63B0">
      <w:pPr>
        <w:pStyle w:val="Textstand-alone"/>
        <w:tabs>
          <w:tab w:val="left" w:pos="284"/>
        </w:tabs>
        <w:spacing w:before="60"/>
        <w:ind w:left="284" w:hanging="284"/>
        <w:rPr>
          <w:i/>
          <w:sz w:val="14"/>
        </w:rPr>
      </w:pPr>
      <w:r>
        <w:rPr>
          <w:i/>
          <w:sz w:val="14"/>
        </w:rPr>
        <w:t>*</w:t>
      </w:r>
      <w:r>
        <w:rPr>
          <w:i/>
          <w:sz w:val="14"/>
        </w:rPr>
        <w:tab/>
        <w:t xml:space="preserve">The European Parliament adopted a budget on 4 December </w:t>
      </w:r>
      <w:r>
        <w:rPr>
          <w:i/>
          <w:sz w:val="14"/>
        </w:rPr>
        <w:t>2019 which provides for the payment of the Union's short-term liabilities from own resources to be collected by, or called up from, the Member States in 2020. Additionally, under Article 83 of the Staff Regulations (Council Regulation 259/68 of 29 February</w:t>
      </w:r>
      <w:r>
        <w:rPr>
          <w:i/>
          <w:sz w:val="14"/>
        </w:rPr>
        <w:t xml:space="preserve"> 1968 as amended), the Member States shall jointly guarantee the liability for pensions.</w:t>
      </w:r>
    </w:p>
    <w:p w:rsidR="00135552" w:rsidRDefault="004C63B0">
      <w:pPr>
        <w:pStyle w:val="Textstand-alone"/>
        <w:rPr>
          <w:i/>
        </w:rPr>
        <w:sectPr w:rsidR="00135552">
          <w:headerReference w:type="even" r:id="rId83"/>
          <w:headerReference w:type="default" r:id="rId84"/>
          <w:footerReference w:type="even" r:id="rId85"/>
          <w:footerReference w:type="default" r:id="rId86"/>
          <w:headerReference w:type="first" r:id="rId87"/>
          <w:footerReference w:type="first" r:id="rId88"/>
          <w:pgSz w:w="11906" w:h="16838"/>
          <w:pgMar w:top="1134" w:right="1134" w:bottom="1134" w:left="1134" w:header="709" w:footer="709" w:gutter="0"/>
          <w:cols w:space="708"/>
          <w:docGrid w:linePitch="360"/>
        </w:sectPr>
      </w:pPr>
      <w:r>
        <w:rPr>
          <w:i/>
        </w:rPr>
        <w:t xml:space="preserve"> </w:t>
      </w:r>
      <w:bookmarkEnd w:id="17"/>
    </w:p>
    <w:p w:rsidR="00135552" w:rsidRDefault="004C63B0">
      <w:pPr>
        <w:pStyle w:val="HEADERTITLE1"/>
        <w:spacing w:after="0"/>
        <w:rPr>
          <w:lang w:val="fr-BE"/>
        </w:rPr>
      </w:pPr>
      <w:bookmarkStart w:id="19" w:name="_Toc43224153"/>
      <w:bookmarkStart w:id="20" w:name="_Toc43224162"/>
      <w:bookmarkStart w:id="21" w:name="_DMBM_17148"/>
      <w:r>
        <w:rPr>
          <w:lang w:val="fr-BE"/>
        </w:rPr>
        <w:t>STATEMENT OF FINANCIAL PERFORMANCE</w:t>
      </w:r>
      <w:bookmarkEnd w:id="19"/>
      <w:bookmarkEnd w:id="20"/>
    </w:p>
    <w:p w:rsidR="00135552" w:rsidRDefault="00135552">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5"/>
        <w:gridCol w:w="846"/>
        <w:gridCol w:w="1743"/>
        <w:gridCol w:w="1444"/>
      </w:tblGrid>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rPr>
                <w:rFonts w:ascii="Verdana" w:eastAsia="Verdana" w:hAnsi="Verdana" w:cs="Verdana"/>
                <w:i/>
                <w:noProof/>
                <w:color w:val="FFFFFF"/>
                <w:sz w:val="16"/>
                <w:lang w:bidi="en-GB"/>
              </w:rPr>
            </w:pPr>
            <w:bookmarkStart w:id="22" w:name="DOC_TBL00002_1_1"/>
            <w:bookmarkEnd w:id="22"/>
          </w:p>
        </w:tc>
        <w:tc>
          <w:tcPr>
            <w:tcW w:w="84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rPr>
                <w:rFonts w:ascii="Arial" w:eastAsia="Arial" w:hAnsi="Arial" w:cs="Arial"/>
                <w:noProof/>
                <w:color w:val="000000"/>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72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9BIPSOFP"/>
              <w:rPr>
                <w:rFonts w:ascii="Verdana" w:eastAsia="Verdana" w:hAnsi="Verdana" w:cs="Verdana"/>
                <w:noProof/>
                <w:color w:val="FFFFFF"/>
              </w:rPr>
            </w:pPr>
          </w:p>
        </w:tc>
        <w:tc>
          <w:tcPr>
            <w:tcW w:w="84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9BIPSOFP"/>
              <w:jc w:val="center"/>
              <w:rPr>
                <w:rFonts w:ascii="Verdana" w:eastAsia="Verdana" w:hAnsi="Verdana" w:cs="Verdana"/>
                <w:noProof/>
                <w:color w:val="FFFFFF"/>
              </w:rPr>
            </w:pPr>
            <w:r>
              <w:rPr>
                <w:rFonts w:ascii="Verdana" w:eastAsia="Verdana" w:hAnsi="Verdana" w:cs="Verdana"/>
                <w:noProof/>
                <w:color w:val="FFFFFF"/>
              </w:rPr>
              <w:t>Note</w:t>
            </w:r>
          </w:p>
        </w:tc>
        <w:tc>
          <w:tcPr>
            <w:tcW w:w="17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9BIPSOFP"/>
              <w:jc w:val="right"/>
              <w:rPr>
                <w:rFonts w:ascii="Verdana" w:eastAsia="Verdana" w:hAnsi="Verdana" w:cs="Verdana"/>
                <w:noProof/>
                <w:color w:val="FFFFFF"/>
              </w:rPr>
            </w:pPr>
            <w:r>
              <w:rPr>
                <w:rFonts w:ascii="Verdana" w:eastAsia="Verdana" w:hAnsi="Verdana" w:cs="Verdana"/>
                <w:noProof/>
                <w:color w:val="FFFFFF"/>
              </w:rPr>
              <w:t>2019</w:t>
            </w:r>
          </w:p>
        </w:tc>
        <w:tc>
          <w:tcPr>
            <w:tcW w:w="14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9BIPSOFP"/>
              <w:jc w:val="right"/>
              <w:rPr>
                <w:rFonts w:ascii="Verdana" w:eastAsia="Verdana" w:hAnsi="Verdana" w:cs="Verdana"/>
                <w:noProof/>
                <w:color w:val="FFFFFF"/>
                <w:lang w:bidi="en-GB"/>
              </w:rPr>
            </w:pPr>
            <w:r>
              <w:rPr>
                <w:rFonts w:ascii="Verdana" w:eastAsia="Verdana" w:hAnsi="Verdana" w:cs="Verdana"/>
                <w:noProof/>
                <w:color w:val="FFFFFF"/>
              </w:rPr>
              <w:t xml:space="preserve">2018     </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REVENUE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Arial" w:eastAsia="Arial" w:hAnsi="Arial" w:cs="Arial"/>
                <w:noProof/>
                <w:color w:val="000000"/>
                <w:lang w:bidi="en-GB"/>
              </w:rPr>
            </w:pP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lang w:bidi="en-GB"/>
              </w:rPr>
            </w:pP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GNI resources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108 820</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105 780</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Traditional own resources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3.2</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21 235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22 767</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VAT resources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3.3</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18 128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17 624</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Fines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3.4</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4 291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6 740</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Recovery of expenses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3.5</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2 627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2 215</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Other</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3.6</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2 072</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3 312</w:t>
            </w:r>
          </w:p>
        </w:tc>
      </w:tr>
      <w:tr w:rsidR="00135552">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157 174</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lang w:bidi="en-GB"/>
              </w:rPr>
            </w:pPr>
            <w:r>
              <w:rPr>
                <w:rFonts w:ascii="Verdana" w:eastAsia="Verdana" w:hAnsi="Verdana" w:cs="Verdana"/>
                <w:b/>
                <w:noProof/>
                <w:color w:val="000000"/>
                <w:sz w:val="18"/>
              </w:rPr>
              <w:t>158 438</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lang w:bidi="en-GB"/>
              </w:rPr>
            </w:pP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3.7</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1 817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3 115</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Other</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3.8</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1 298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1 379</w:t>
            </w:r>
          </w:p>
        </w:tc>
      </w:tr>
      <w:tr w:rsidR="00135552">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3 116</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lang w:bidi="en-GB"/>
              </w:rPr>
            </w:pPr>
            <w:r>
              <w:rPr>
                <w:rFonts w:ascii="Verdana" w:eastAsia="Verdana" w:hAnsi="Verdana" w:cs="Verdana"/>
                <w:b/>
                <w:noProof/>
                <w:color w:val="000000"/>
                <w:sz w:val="18"/>
              </w:rPr>
              <w:t>4 494</w:t>
            </w:r>
          </w:p>
        </w:tc>
      </w:tr>
      <w:tr w:rsidR="00135552">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160 289</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lang w:bidi="en-GB"/>
              </w:rPr>
            </w:pPr>
            <w:r>
              <w:rPr>
                <w:rFonts w:ascii="Verdana" w:eastAsia="Verdana" w:hAnsi="Verdana" w:cs="Verdana"/>
                <w:b/>
                <w:noProof/>
                <w:color w:val="000000"/>
                <w:sz w:val="18"/>
              </w:rPr>
              <w:t>162 932</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EXPENSES</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b/>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b/>
                <w:noProof/>
                <w:color w:val="000000"/>
                <w:sz w:val="18"/>
                <w:lang w:bidi="en-GB"/>
              </w:rPr>
            </w:pP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Implemented by Member States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3.9</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9BIPSOFP"/>
              <w:jc w:val="right"/>
              <w:rPr>
                <w:rFonts w:ascii="Verdana" w:eastAsia="Verdana" w:hAnsi="Verdana" w:cs="Verdana"/>
                <w:i/>
                <w:noProof/>
                <w:color w:val="000000"/>
                <w:sz w:val="18"/>
                <w:lang w:bidi="en-GB"/>
              </w:rPr>
            </w:pP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European Agricultural Guarantee Fund</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(43 951)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(43 527)</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European Agricultural Fund for Rural Development and</w:t>
            </w:r>
          </w:p>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other rural development instruments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(13 541)</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(13 149)</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European Regional Development Fund and Cohesion Fund</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(35 178)</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(30 </w:t>
            </w:r>
            <w:r>
              <w:rPr>
                <w:rFonts w:ascii="Verdana" w:eastAsia="Verdana" w:hAnsi="Verdana" w:cs="Verdana"/>
                <w:i/>
                <w:noProof/>
                <w:color w:val="000000"/>
                <w:sz w:val="18"/>
              </w:rPr>
              <w:t>230)</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European Social Fund</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(11 218)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(11 935)</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     Other</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(2 608)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(2 826)</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Implemented by the Commission, executive agencies and trust funds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3.10</w:t>
            </w:r>
          </w:p>
        </w:tc>
        <w:tc>
          <w:tcPr>
            <w:tcW w:w="17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(18 942)</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(17 551)</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Implemented by other EU agencies and bodies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(3 131)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(3 396)</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 xml:space="preserve">Implemented by </w:t>
            </w:r>
            <w:r>
              <w:rPr>
                <w:rFonts w:ascii="Verdana" w:eastAsia="Verdana" w:hAnsi="Verdana" w:cs="Verdana"/>
                <w:i/>
                <w:noProof/>
                <w:color w:val="000000"/>
                <w:sz w:val="18"/>
              </w:rPr>
              <w:t>third countries and international organisations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(4 085)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(4 016)</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Implemented by other entities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(2 875)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(3 569)</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Staff and pension costs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(11 366)</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(10 929)</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Finance costs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3.13</w:t>
            </w: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(1 491)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(1 677)</w:t>
            </w:r>
          </w:p>
        </w:tc>
      </w:tr>
      <w:tr w:rsidR="00135552">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9BIPSOFP"/>
              <w:jc w:val="center"/>
              <w:rPr>
                <w:rFonts w:ascii="Verdana" w:eastAsia="Verdana" w:hAnsi="Verdana" w:cs="Verdana"/>
                <w:i/>
                <w:noProof/>
                <w:color w:val="000000"/>
                <w:sz w:val="18"/>
              </w:rPr>
            </w:pPr>
            <w:r>
              <w:rPr>
                <w:rFonts w:ascii="Verdana" w:eastAsia="Verdana" w:hAnsi="Verdana" w:cs="Verdana"/>
                <w:i/>
                <w:noProof/>
                <w:color w:val="000000"/>
                <w:sz w:val="18"/>
              </w:rPr>
              <w:t>3.14</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rPr>
            </w:pPr>
            <w:r>
              <w:rPr>
                <w:rFonts w:ascii="Verdana" w:eastAsia="Verdana" w:hAnsi="Verdana" w:cs="Verdana"/>
                <w:i/>
                <w:noProof/>
                <w:color w:val="000000"/>
                <w:sz w:val="18"/>
              </w:rPr>
              <w:t>(7 109)</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i/>
                <w:noProof/>
                <w:color w:val="000000"/>
                <w:sz w:val="18"/>
                <w:lang w:bidi="en-GB"/>
              </w:rPr>
            </w:pPr>
            <w:r>
              <w:rPr>
                <w:rFonts w:ascii="Verdana" w:eastAsia="Verdana" w:hAnsi="Verdana" w:cs="Verdana"/>
                <w:i/>
                <w:noProof/>
                <w:color w:val="000000"/>
                <w:sz w:val="18"/>
              </w:rPr>
              <w:t>(6 208)</w:t>
            </w:r>
          </w:p>
        </w:tc>
      </w:tr>
      <w:tr w:rsidR="00135552">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 xml:space="preserve">Total </w:t>
            </w:r>
            <w:r>
              <w:rPr>
                <w:rFonts w:ascii="Verdana" w:eastAsia="Verdana" w:hAnsi="Verdana" w:cs="Verdana"/>
                <w:b/>
                <w:noProof/>
                <w:color w:val="000000"/>
                <w:sz w:val="18"/>
              </w:rPr>
              <w:t>Expenses</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(155 493)</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lang w:bidi="en-GB"/>
              </w:rPr>
            </w:pPr>
            <w:r>
              <w:rPr>
                <w:rFonts w:ascii="Verdana" w:eastAsia="Verdana" w:hAnsi="Verdana" w:cs="Verdana"/>
                <w:b/>
                <w:noProof/>
                <w:color w:val="000000"/>
                <w:sz w:val="18"/>
              </w:rPr>
              <w:t>(149 014)</w:t>
            </w:r>
          </w:p>
        </w:tc>
      </w:tr>
      <w:tr w:rsidR="00135552">
        <w:trPr>
          <w:trHeight w:val="255"/>
        </w:trPr>
        <w:tc>
          <w:tcPr>
            <w:tcW w:w="572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9BIPSOFP"/>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84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4 796</w:t>
            </w:r>
          </w:p>
        </w:tc>
        <w:tc>
          <w:tcPr>
            <w:tcW w:w="1444"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29BIPSOFP"/>
              <w:jc w:val="right"/>
              <w:rPr>
                <w:rFonts w:ascii="Verdana" w:eastAsia="Verdana" w:hAnsi="Verdana" w:cs="Verdana"/>
                <w:b/>
                <w:noProof/>
                <w:color w:val="000000"/>
                <w:sz w:val="18"/>
              </w:rPr>
            </w:pPr>
            <w:r>
              <w:rPr>
                <w:rFonts w:ascii="Verdana" w:eastAsia="Verdana" w:hAnsi="Verdana" w:cs="Verdana"/>
                <w:b/>
                <w:noProof/>
                <w:color w:val="000000"/>
                <w:sz w:val="18"/>
              </w:rPr>
              <w:t>13 918</w:t>
            </w:r>
          </w:p>
        </w:tc>
      </w:tr>
    </w:tbl>
    <w:p w:rsidR="00135552" w:rsidRDefault="00135552">
      <w:pPr>
        <w:pStyle w:val="Textstand-alone"/>
        <w:rPr>
          <w:lang w:bidi="en-GB"/>
        </w:rPr>
      </w:pPr>
    </w:p>
    <w:p w:rsidR="00135552" w:rsidRDefault="004C63B0">
      <w:pPr>
        <w:pStyle w:val="Text9pItalicLeft3p"/>
        <w:rPr>
          <w:lang w:bidi="en-GB"/>
        </w:rPr>
        <w:sectPr w:rsidR="00135552">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rPr>
          <w:lang w:bidi="en-GB"/>
        </w:rPr>
        <w:t xml:space="preserve"> </w:t>
      </w:r>
      <w:bookmarkEnd w:id="21"/>
    </w:p>
    <w:p w:rsidR="00135552" w:rsidRDefault="004C63B0">
      <w:pPr>
        <w:pStyle w:val="HEADERTITLE1"/>
        <w:spacing w:after="0"/>
        <w:rPr>
          <w:lang w:val="fr-BE"/>
        </w:rPr>
      </w:pPr>
      <w:bookmarkStart w:id="23" w:name="_Toc43224154"/>
      <w:bookmarkStart w:id="24" w:name="_Toc43224163"/>
      <w:bookmarkStart w:id="25" w:name="_DMBM_17183"/>
      <w:r>
        <w:rPr>
          <w:lang w:val="fr-BE"/>
        </w:rPr>
        <w:t>CASHFLOW STATEMENT</w:t>
      </w:r>
      <w:bookmarkEnd w:id="23"/>
      <w:bookmarkEnd w:id="24"/>
    </w:p>
    <w:p w:rsidR="00135552" w:rsidRDefault="00135552">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2"/>
        <w:gridCol w:w="1488"/>
        <w:gridCol w:w="1488"/>
      </w:tblGrid>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rPr>
                <w:rFonts w:ascii="Verdana" w:eastAsia="Verdana" w:hAnsi="Verdana" w:cs="Verdana"/>
                <w:i/>
                <w:noProof/>
                <w:color w:val="FFFFFF"/>
                <w:sz w:val="16"/>
                <w:lang w:bidi="en-GB"/>
              </w:rPr>
            </w:pPr>
            <w:bookmarkStart w:id="26" w:name="DOC_TBL00003_1_1"/>
            <w:bookmarkEnd w:id="26"/>
          </w:p>
        </w:tc>
        <w:tc>
          <w:tcPr>
            <w:tcW w:w="148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30BIPCF"/>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78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0BIPCF"/>
              <w:rPr>
                <w:rFonts w:ascii="Verdana" w:eastAsia="Verdana" w:hAnsi="Verdana" w:cs="Verdana"/>
                <w:noProof/>
                <w:color w:val="FFFFFF"/>
              </w:rPr>
            </w:pP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0BIPCF"/>
              <w:jc w:val="right"/>
              <w:rPr>
                <w:rFonts w:ascii="Verdana" w:eastAsia="Verdana" w:hAnsi="Verdana" w:cs="Verdana"/>
                <w:noProof/>
                <w:color w:val="FFFFFF"/>
              </w:rPr>
            </w:pPr>
            <w:r>
              <w:rPr>
                <w:rFonts w:ascii="Verdana" w:eastAsia="Verdana" w:hAnsi="Verdana" w:cs="Verdana"/>
                <w:noProof/>
                <w:color w:val="FFFFFF"/>
              </w:rPr>
              <w:t>2019</w:t>
            </w: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0BIPCF"/>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4 796</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13 918</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b/>
                <w:noProof/>
                <w:color w:val="000000"/>
                <w:sz w:val="18"/>
              </w:rPr>
            </w:pPr>
            <w:r>
              <w:rPr>
                <w:rFonts w:ascii="Verdana" w:eastAsia="Verdana" w:hAnsi="Verdana" w:cs="Verdana"/>
                <w:b/>
                <w:noProof/>
                <w:color w:val="000000"/>
                <w:sz w:val="18"/>
              </w:rPr>
              <w:t>Operating activities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jc w:val="right"/>
              <w:rPr>
                <w:rFonts w:ascii="Verdana" w:eastAsia="Verdana" w:hAnsi="Verdana" w:cs="Verdana"/>
                <w:i/>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jc w:val="right"/>
              <w:rPr>
                <w:rFonts w:ascii="Verdana" w:eastAsia="Verdana" w:hAnsi="Verdana" w:cs="Verdana"/>
                <w:i/>
                <w:noProof/>
                <w:color w:val="000000"/>
                <w:sz w:val="18"/>
                <w:lang w:bidi="en-GB"/>
              </w:rPr>
            </w:pP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Amortisation</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107</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104</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Depreciation</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1 022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998</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loans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1 255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1 041</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pre-financing</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(1 472)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(947)</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exchange receivables and non-exchange recoverables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691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(12 299)</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inventories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222</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pension and other employee benefits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17 203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7 334</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provisions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693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594</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financial liabilities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(1 389)</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(1 007)</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w:t>
            </w:r>
            <w:r>
              <w:rPr>
                <w:rFonts w:ascii="Verdana" w:eastAsia="Verdana" w:hAnsi="Verdana" w:cs="Verdana"/>
                <w:i/>
                <w:noProof/>
                <w:color w:val="000000"/>
                <w:sz w:val="18"/>
              </w:rPr>
              <w:t xml:space="preserve"> payables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(4 985)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(6 821)</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accrued charges and deferred income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4 041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(716)</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Prior year budgetary surplus taken as non-cash revenue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(1 803)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(556)</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 xml:space="preserve">Remeasurement of employee benefits liability (non-cash movement not included in </w:t>
            </w:r>
            <w:r>
              <w:rPr>
                <w:rFonts w:ascii="Verdana" w:eastAsia="Verdana" w:hAnsi="Verdana" w:cs="Verdana"/>
                <w:i/>
                <w:noProof/>
                <w:color w:val="000000"/>
                <w:sz w:val="18"/>
              </w:rPr>
              <w:t>statement of financial performance)</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(14 164)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(4 396)</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Other non-cash movements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111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(71)</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b/>
                <w:noProof/>
                <w:color w:val="000000"/>
                <w:sz w:val="18"/>
              </w:rPr>
            </w:pPr>
            <w:r>
              <w:rPr>
                <w:rFonts w:ascii="Verdana" w:eastAsia="Verdana" w:hAnsi="Verdana" w:cs="Verdana"/>
                <w:b/>
                <w:noProof/>
                <w:color w:val="000000"/>
                <w:sz w:val="18"/>
              </w:rPr>
              <w:t>Investing activities</w:t>
            </w:r>
          </w:p>
        </w:tc>
        <w:tc>
          <w:tcPr>
            <w:tcW w:w="148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0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jc w:val="right"/>
              <w:rPr>
                <w:rFonts w:ascii="Verdana" w:eastAsia="Verdana" w:hAnsi="Verdana" w:cs="Verdana"/>
                <w:i/>
                <w:noProof/>
                <w:color w:val="000000"/>
                <w:sz w:val="18"/>
                <w:lang w:bidi="en-GB"/>
              </w:rPr>
            </w:pP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 xml:space="preserve">(Increase)/decrease in intangible assets and property, plant and equipment </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(1 392)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(1 583)</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investments accounted for</w:t>
            </w:r>
            <w:r>
              <w:rPr>
                <w:rFonts w:ascii="Verdana" w:eastAsia="Verdana" w:hAnsi="Verdana" w:cs="Verdana"/>
                <w:i/>
                <w:noProof/>
                <w:color w:val="000000"/>
                <w:sz w:val="18"/>
              </w:rPr>
              <w:t xml:space="preserve"> using the equity method</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available for sale financial assets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(2 964)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(1 811)</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(Increase)/decrease in financial assets at fair value through surplus or deficit</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 xml:space="preserve"> (121)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rsidR="00135552">
        <w:trPr>
          <w:trHeight w:val="255"/>
        </w:trPr>
        <w:tc>
          <w:tcPr>
            <w:tcW w:w="67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0BIPCF"/>
              <w:rPr>
                <w:rFonts w:ascii="Verdana" w:eastAsia="Verdana" w:hAnsi="Verdana" w:cs="Verdana"/>
                <w:b/>
                <w:noProof/>
                <w:color w:val="000000"/>
                <w:sz w:val="18"/>
              </w:rPr>
            </w:pPr>
            <w:r>
              <w:rPr>
                <w:rFonts w:ascii="Verdana" w:eastAsia="Verdana" w:hAnsi="Verdana" w:cs="Verdana"/>
                <w:b/>
                <w:noProof/>
                <w:color w:val="000000"/>
                <w:sz w:val="18"/>
              </w:rPr>
              <w:t>NET CASHFLOW</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0BIPCF"/>
              <w:jc w:val="right"/>
              <w:rPr>
                <w:rFonts w:ascii="Verdana" w:eastAsia="Verdana" w:hAnsi="Verdana" w:cs="Verdana"/>
                <w:b/>
                <w:noProof/>
                <w:color w:val="000000"/>
                <w:sz w:val="18"/>
              </w:rPr>
            </w:pPr>
            <w:r>
              <w:rPr>
                <w:rFonts w:ascii="Verdana" w:eastAsia="Verdana" w:hAnsi="Verdana" w:cs="Verdana"/>
                <w:b/>
                <w:noProof/>
                <w:color w:val="000000"/>
                <w:sz w:val="18"/>
              </w:rPr>
              <w:t>1 633</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0BIPCF"/>
              <w:jc w:val="right"/>
              <w:rPr>
                <w:rFonts w:ascii="Verdana" w:eastAsia="Verdana" w:hAnsi="Verdana" w:cs="Verdana"/>
                <w:b/>
                <w:noProof/>
                <w:color w:val="000000"/>
                <w:sz w:val="18"/>
                <w:lang w:bidi="en-GB"/>
              </w:rPr>
            </w:pPr>
            <w:r>
              <w:rPr>
                <w:rFonts w:ascii="Verdana" w:eastAsia="Verdana" w:hAnsi="Verdana" w:cs="Verdana"/>
                <w:b/>
                <w:noProof/>
                <w:color w:val="000000"/>
                <w:sz w:val="18"/>
              </w:rPr>
              <w:t>(5 998)</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0BIPCF"/>
              <w:rPr>
                <w:rFonts w:ascii="Arial" w:eastAsia="Arial" w:hAnsi="Arial" w:cs="Arial"/>
                <w:noProof/>
                <w:color w:val="000000"/>
                <w:lang w:bidi="en-GB"/>
              </w:rPr>
            </w:pP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 xml:space="preserve">Net </w:t>
            </w:r>
            <w:r>
              <w:rPr>
                <w:rFonts w:ascii="Verdana" w:eastAsia="Verdana" w:hAnsi="Verdana" w:cs="Verdana"/>
                <w:i/>
                <w:noProof/>
                <w:color w:val="000000"/>
                <w:sz w:val="18"/>
              </w:rPr>
              <w:t>increase/(decrease) in cash and cash equivalents</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1 633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(5 998)</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Cash and cash equivalents at the beginning of the year</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18 113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lang w:bidi="en-GB"/>
              </w:rPr>
            </w:pPr>
            <w:r>
              <w:rPr>
                <w:rFonts w:ascii="Verdana" w:eastAsia="Verdana" w:hAnsi="Verdana" w:cs="Verdana"/>
                <w:i/>
                <w:noProof/>
                <w:color w:val="000000"/>
                <w:sz w:val="18"/>
              </w:rPr>
              <w:t>24 111</w:t>
            </w:r>
          </w:p>
        </w:tc>
      </w:tr>
      <w:tr w:rsidR="00135552">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rPr>
                <w:rFonts w:ascii="Verdana" w:eastAsia="Verdana" w:hAnsi="Verdana" w:cs="Verdana"/>
                <w:i/>
                <w:noProof/>
                <w:color w:val="000000"/>
                <w:sz w:val="18"/>
              </w:rPr>
            </w:pPr>
            <w:r>
              <w:rPr>
                <w:rFonts w:ascii="Verdana" w:eastAsia="Verdana" w:hAnsi="Verdana" w:cs="Verdana"/>
                <w:i/>
                <w:noProof/>
                <w:color w:val="000000"/>
                <w:sz w:val="18"/>
              </w:rPr>
              <w:t>Cash and cash equivalents at year-end</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19 745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0BIPCF"/>
              <w:jc w:val="right"/>
              <w:rPr>
                <w:rFonts w:ascii="Verdana" w:eastAsia="Verdana" w:hAnsi="Verdana" w:cs="Verdana"/>
                <w:i/>
                <w:noProof/>
                <w:color w:val="000000"/>
                <w:sz w:val="18"/>
              </w:rPr>
            </w:pPr>
            <w:r>
              <w:rPr>
                <w:rFonts w:ascii="Verdana" w:eastAsia="Verdana" w:hAnsi="Verdana" w:cs="Verdana"/>
                <w:i/>
                <w:noProof/>
                <w:color w:val="000000"/>
                <w:sz w:val="18"/>
              </w:rPr>
              <w:t>18 113</w:t>
            </w:r>
          </w:p>
        </w:tc>
      </w:tr>
      <w:bookmarkEnd w:id="25"/>
    </w:tbl>
    <w:p w:rsidR="00135552" w:rsidRDefault="00135552">
      <w:pPr>
        <w:pStyle w:val="HEADERTITLE1"/>
        <w:rPr>
          <w:lang w:val="fr-BE" w:bidi="en-GB"/>
        </w:rPr>
        <w:sectPr w:rsidR="00135552">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9" w:footer="709" w:gutter="0"/>
          <w:cols w:space="708"/>
          <w:docGrid w:linePitch="360"/>
        </w:sectPr>
      </w:pPr>
    </w:p>
    <w:p w:rsidR="00135552" w:rsidRDefault="004C63B0">
      <w:pPr>
        <w:pStyle w:val="HEADERTITLE1"/>
        <w:spacing w:after="0"/>
      </w:pPr>
      <w:bookmarkStart w:id="27" w:name="_Toc43224155"/>
      <w:bookmarkStart w:id="28" w:name="_Toc43224164"/>
      <w:bookmarkStart w:id="29" w:name="_DMBM_17134"/>
      <w:r>
        <w:t>STATEMENT OF CHANGES IN NET ASSETS</w:t>
      </w:r>
      <w:bookmarkEnd w:id="27"/>
      <w:bookmarkEnd w:id="28"/>
    </w:p>
    <w:p w:rsidR="00135552" w:rsidRDefault="00135552">
      <w:pPr>
        <w:pStyle w:val="HEADERTITLE1"/>
        <w:spacing w:after="0"/>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6"/>
        <w:gridCol w:w="4220"/>
        <w:gridCol w:w="1859"/>
        <w:gridCol w:w="1859"/>
        <w:gridCol w:w="1859"/>
      </w:tblGrid>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1BIPSCNA"/>
              <w:rPr>
                <w:rFonts w:ascii="Arial" w:eastAsia="Arial" w:hAnsi="Arial" w:cs="Arial"/>
                <w:noProof/>
                <w:color w:val="000000"/>
                <w:lang w:bidi="en-GB"/>
              </w:rPr>
            </w:pPr>
            <w:bookmarkStart w:id="30" w:name="DOC_TBL00004_1_1"/>
            <w:bookmarkEnd w:id="30"/>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74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01BIPSCNA"/>
              <w:jc w:val="center"/>
              <w:rPr>
                <w:rFonts w:ascii="Verdana" w:eastAsia="Verdana" w:hAnsi="Verdana" w:cs="Verdana"/>
                <w:noProof/>
                <w:color w:val="FFFFFF"/>
                <w:sz w:val="18"/>
              </w:rPr>
            </w:pPr>
          </w:p>
        </w:tc>
        <w:tc>
          <w:tcPr>
            <w:tcW w:w="42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1BIPSCNA"/>
              <w:jc w:val="right"/>
              <w:rPr>
                <w:rFonts w:ascii="Verdana" w:eastAsia="Verdana" w:hAnsi="Verdana" w:cs="Verdana"/>
                <w:noProof/>
                <w:color w:val="FFFFFF"/>
                <w:sz w:val="18"/>
              </w:rPr>
            </w:pPr>
            <w:r>
              <w:rPr>
                <w:rFonts w:ascii="Verdana" w:eastAsia="Verdana" w:hAnsi="Verdana" w:cs="Verdana"/>
                <w:noProof/>
                <w:color w:val="FFFFFF"/>
                <w:sz w:val="18"/>
              </w:rPr>
              <w:t>Amounts to be called from Member States  Accumulated Surplus/(Deficit)</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1BIPSCNA"/>
              <w:jc w:val="right"/>
              <w:rPr>
                <w:rFonts w:ascii="Verdana" w:eastAsia="Verdana" w:hAnsi="Verdana" w:cs="Verdana"/>
                <w:noProof/>
                <w:color w:val="FFFFFF"/>
                <w:sz w:val="18"/>
              </w:rPr>
            </w:pPr>
            <w:r>
              <w:rPr>
                <w:rFonts w:ascii="Verdana" w:eastAsia="Verdana" w:hAnsi="Verdana" w:cs="Verdana"/>
                <w:noProof/>
                <w:color w:val="FFFFFF"/>
                <w:sz w:val="18"/>
              </w:rPr>
              <w:t>Other reserves</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1BIPSCNA"/>
              <w:jc w:val="right"/>
              <w:rPr>
                <w:rFonts w:ascii="Verdana" w:eastAsia="Verdana" w:hAnsi="Verdana" w:cs="Verdana"/>
                <w:noProof/>
                <w:color w:val="FFFFFF"/>
                <w:sz w:val="18"/>
              </w:rPr>
            </w:pPr>
            <w:r>
              <w:rPr>
                <w:rFonts w:ascii="Verdana" w:eastAsia="Verdana" w:hAnsi="Verdana" w:cs="Verdana"/>
                <w:noProof/>
                <w:color w:val="FFFFFF"/>
                <w:sz w:val="18"/>
              </w:rPr>
              <w:t>Fair value reserve</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1BIPSCNA"/>
              <w:jc w:val="right"/>
              <w:rPr>
                <w:rFonts w:ascii="Verdana" w:eastAsia="Verdana" w:hAnsi="Verdana" w:cs="Verdana"/>
                <w:noProof/>
                <w:color w:val="FFFFFF"/>
                <w:sz w:val="18"/>
                <w:lang w:bidi="en-GB"/>
              </w:rPr>
            </w:pPr>
            <w:r>
              <w:rPr>
                <w:rFonts w:ascii="Verdana" w:eastAsia="Verdana" w:hAnsi="Verdana" w:cs="Verdana"/>
                <w:noProof/>
                <w:color w:val="FFFFFF"/>
                <w:sz w:val="18"/>
              </w:rPr>
              <w:t xml:space="preserve">Net Assets </w:t>
            </w:r>
          </w:p>
        </w:tc>
      </w:tr>
      <w:tr w:rsidR="00135552">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(75 234)</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4 598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 xml:space="preserve"> 278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lang w:bidi="en-GB"/>
              </w:rPr>
            </w:pPr>
            <w:r>
              <w:rPr>
                <w:rFonts w:ascii="Verdana" w:eastAsia="Verdana" w:hAnsi="Verdana" w:cs="Verdana"/>
                <w:b/>
                <w:noProof/>
                <w:color w:val="000000"/>
                <w:sz w:val="18"/>
              </w:rPr>
              <w:t>(70 359)</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Movement in Guarantee Fund reserve</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Fair value movements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(47)</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(47)</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Remeasurements in employee benefits liabilities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(4 396)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(4 396)</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Other</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30</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(54)</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2017 budget result credited to Member States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(556)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(556)</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13 918</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13 918</w:t>
            </w:r>
          </w:p>
        </w:tc>
      </w:tr>
      <w:tr w:rsidR="00135552">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(66 424)</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4 730</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 xml:space="preserve"> 231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lang w:bidi="en-GB"/>
              </w:rPr>
            </w:pPr>
            <w:r>
              <w:rPr>
                <w:rFonts w:ascii="Verdana" w:eastAsia="Verdana" w:hAnsi="Verdana" w:cs="Verdana"/>
                <w:b/>
                <w:noProof/>
                <w:color w:val="000000"/>
                <w:sz w:val="18"/>
              </w:rPr>
              <w:t>(61 463)</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Movement in Guarantee Fund reserve</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Fair value movements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160</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160</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Remeasurements in employee benefits liabilities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(14 164)</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(14 164)</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Other</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56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(49)</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2018 budget result credited to Member States</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(1 803)</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(1 803)</w:t>
            </w:r>
          </w:p>
        </w:tc>
      </w:tr>
      <w:tr w:rsidR="00135552">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4 796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1BIPSCNA"/>
              <w:jc w:val="right"/>
              <w:rPr>
                <w:rFonts w:ascii="Verdana" w:eastAsia="Verdana" w:hAnsi="Verdana" w:cs="Verdana"/>
                <w:i/>
                <w:noProof/>
                <w:color w:val="000000"/>
                <w:sz w:val="18"/>
                <w:lang w:bidi="en-GB"/>
              </w:rPr>
            </w:pPr>
            <w:r>
              <w:rPr>
                <w:rFonts w:ascii="Verdana" w:eastAsia="Verdana" w:hAnsi="Verdana" w:cs="Verdana"/>
                <w:i/>
                <w:noProof/>
                <w:color w:val="000000"/>
                <w:sz w:val="18"/>
              </w:rPr>
              <w:t>4 796</w:t>
            </w:r>
          </w:p>
        </w:tc>
      </w:tr>
      <w:tr w:rsidR="00135552">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(77 560)</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4 646</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 xml:space="preserve"> 391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1BIPSCNA"/>
              <w:jc w:val="right"/>
              <w:rPr>
                <w:rFonts w:ascii="Verdana" w:eastAsia="Verdana" w:hAnsi="Verdana" w:cs="Verdana"/>
                <w:b/>
                <w:noProof/>
                <w:color w:val="000000"/>
                <w:sz w:val="18"/>
              </w:rPr>
            </w:pPr>
            <w:r>
              <w:rPr>
                <w:rFonts w:ascii="Verdana" w:eastAsia="Verdana" w:hAnsi="Verdana" w:cs="Verdana"/>
                <w:b/>
                <w:noProof/>
                <w:color w:val="000000"/>
                <w:sz w:val="18"/>
              </w:rPr>
              <w:t>(72 523)</w:t>
            </w:r>
          </w:p>
        </w:tc>
      </w:tr>
    </w:tbl>
    <w:p w:rsidR="00135552" w:rsidRDefault="00135552">
      <w:pPr>
        <w:pStyle w:val="HEADERTITLE1"/>
        <w:spacing w:after="0"/>
        <w:rPr>
          <w:lang w:bidi="en-GB"/>
        </w:rPr>
      </w:pPr>
    </w:p>
    <w:p w:rsidR="00135552" w:rsidRDefault="004C63B0">
      <w:pPr>
        <w:pStyle w:val="DGTextstand-alone"/>
      </w:pPr>
      <w:r>
        <w:t xml:space="preserve"> </w:t>
      </w:r>
    </w:p>
    <w:p w:rsidR="00135552" w:rsidRDefault="004C63B0">
      <w:pPr>
        <w:pStyle w:val="DGTextstand-alone"/>
      </w:pPr>
      <w:r>
        <w:t xml:space="preserve"> </w:t>
      </w:r>
    </w:p>
    <w:bookmarkEnd w:id="29"/>
    <w:p w:rsidR="00135552" w:rsidRDefault="00135552">
      <w:pPr>
        <w:pStyle w:val="DGTextstand-alone"/>
        <w:sectPr w:rsidR="00135552">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p>
    <w:p w:rsidR="00135552" w:rsidRDefault="00135552">
      <w:pPr>
        <w:pStyle w:val="DGTextstand-alone"/>
        <w:rPr>
          <w:lang w:val="fr-BE"/>
        </w:rPr>
      </w:pPr>
      <w:bookmarkStart w:id="31" w:name="_DMBM_17132"/>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4C63B0">
      <w:pPr>
        <w:pStyle w:val="HEADERTITLE1"/>
        <w:rPr>
          <w:rFonts w:eastAsia="Calibri"/>
          <w:lang w:val="fr-BE"/>
        </w:rPr>
      </w:pPr>
      <w:bookmarkStart w:id="32" w:name="_Toc43224156"/>
      <w:bookmarkStart w:id="33" w:name="_Toc43224165"/>
      <w:r>
        <w:rPr>
          <w:rFonts w:eastAsia="Calibri"/>
          <w:lang w:val="fr-BE"/>
        </w:rPr>
        <w:t>NOTES TO THE FINANCIAL STATEMENTS</w:t>
      </w:r>
      <w:bookmarkEnd w:id="32"/>
      <w:bookmarkEnd w:id="33"/>
    </w:p>
    <w:p w:rsidR="00135552" w:rsidRDefault="00135552">
      <w:pPr>
        <w:pStyle w:val="DGTextstand-alone"/>
        <w:rPr>
          <w:lang w:val="fr-BE"/>
        </w:rPr>
      </w:pPr>
    </w:p>
    <w:p w:rsidR="00135552" w:rsidRDefault="00135552">
      <w:pPr>
        <w:pStyle w:val="DGTextstand-alone"/>
        <w:rPr>
          <w:lang w:val="fr-BE"/>
        </w:rPr>
      </w:pPr>
    </w:p>
    <w:p w:rsidR="00135552" w:rsidRDefault="00135552">
      <w:pPr>
        <w:pStyle w:val="DGTextstand-alone"/>
        <w:rPr>
          <w:lang w:val="fr-BE"/>
        </w:rPr>
      </w:pPr>
    </w:p>
    <w:p w:rsidR="00135552" w:rsidRDefault="004C63B0">
      <w:pPr>
        <w:pStyle w:val="DGTextstand-alone"/>
        <w:rPr>
          <w:lang w:val="fr-BE"/>
        </w:rPr>
        <w:sectPr w:rsidR="00135552">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rPr>
          <w:lang w:val="fr-BE"/>
        </w:rPr>
        <w:t xml:space="preserve"> </w:t>
      </w:r>
      <w:bookmarkEnd w:id="31"/>
    </w:p>
    <w:p w:rsidR="00135552" w:rsidRDefault="004C63B0">
      <w:pPr>
        <w:pStyle w:val="HEADER1NOTES"/>
        <w:rPr>
          <w:noProof/>
          <w:lang w:val="fr-BE"/>
        </w:rPr>
      </w:pPr>
      <w:bookmarkStart w:id="34" w:name="_Toc43224166"/>
      <w:bookmarkStart w:id="35" w:name="_DMBM_17261"/>
      <w:r>
        <w:rPr>
          <w:noProof/>
        </w:rPr>
        <w:t>SIGNIFICANT</w:t>
      </w:r>
      <w:r>
        <w:rPr>
          <w:noProof/>
          <w:lang w:val="fr-BE"/>
        </w:rPr>
        <w:t xml:space="preserve"> ACCOUNTING POLICIES</w:t>
      </w:r>
      <w:bookmarkEnd w:id="34"/>
    </w:p>
    <w:p w:rsidR="00135552" w:rsidRDefault="004C63B0">
      <w:pPr>
        <w:pStyle w:val="HEADER2NOTES"/>
        <w:rPr>
          <w:noProof/>
          <w:lang w:val="fr-BE"/>
        </w:rPr>
      </w:pPr>
      <w:r>
        <w:rPr>
          <w:noProof/>
          <w:lang w:val="fr-BE"/>
        </w:rPr>
        <w:t xml:space="preserve">LEGAL </w:t>
      </w:r>
      <w:r>
        <w:rPr>
          <w:noProof/>
        </w:rPr>
        <w:t>BASIS</w:t>
      </w:r>
      <w:r>
        <w:rPr>
          <w:noProof/>
          <w:lang w:val="fr-BE"/>
        </w:rPr>
        <w:t xml:space="preserve"> AND ACCOUNTING RULES</w:t>
      </w:r>
    </w:p>
    <w:p w:rsidR="00135552" w:rsidRDefault="004C63B0">
      <w:pPr>
        <w:pStyle w:val="DGTextstand-alone"/>
      </w:pPr>
      <w:r>
        <w:t>The accounts of the EU are kept in accordance with Regulation (EU, Euratom) No 2018/1046 of the European Parliament and of the Council of 18 July 2018 on the financial rules applicable to the general budget of the Union, amending Regu</w:t>
      </w:r>
      <w:r>
        <w:t xml:space="preserve">lations (EU) No 1296/2013, (EU) No 1301/2013, (EU) No 1303/2013, (EU) No 1304/2013, (EU) No 1309/2013, (EU) No 1316/2013, (EU) No 223/2014, (EU) No 283/2014, and Decision No 541/2014/EU and repealing Regulation (EU, Euratom) No 966/2012 (OJ L 193, 30 July </w:t>
      </w:r>
      <w:r>
        <w:t>2018, p. 1) hereinafter referred to as the ‘Financial Regulation’ (FR).</w:t>
      </w:r>
    </w:p>
    <w:p w:rsidR="00135552" w:rsidRDefault="004C63B0">
      <w:pPr>
        <w:pStyle w:val="DGTextstand-alone"/>
      </w:pPr>
      <w:r>
        <w:t>In accordance with article 80 of the Financial Regulation, the EU prepares its financial statements on the basis of accrual-based accounting rules that are based on International Publi</w:t>
      </w:r>
      <w:r>
        <w:t>c Sector Accounting Standards (IPSAS). These accounting rules, adopted by the Accounting Officer of the Commission, have to be applied by all the institutions and EU bodies falling within the scope of consolidation in order to ensure the internal consisten</w:t>
      </w:r>
      <w:r>
        <w:t>cy of the EU consolidated accounts.</w:t>
      </w:r>
    </w:p>
    <w:p w:rsidR="00135552" w:rsidRDefault="004C63B0">
      <w:pPr>
        <w:pStyle w:val="HEADER5"/>
        <w:rPr>
          <w:noProof/>
        </w:rPr>
      </w:pPr>
      <w:r>
        <w:rPr>
          <w:noProof/>
        </w:rPr>
        <w:t>Application of new and amended European Union Accounting Rules (EAR)</w:t>
      </w:r>
    </w:p>
    <w:p w:rsidR="00135552" w:rsidRDefault="004C63B0">
      <w:pPr>
        <w:pStyle w:val="DGTextstand-alone"/>
        <w:rPr>
          <w:u w:val="single"/>
        </w:rPr>
      </w:pPr>
      <w:r>
        <w:rPr>
          <w:u w:val="single"/>
        </w:rPr>
        <w:t>New EAR which are effective for annual periods beginning on or after 1 January 2019</w:t>
      </w:r>
    </w:p>
    <w:p w:rsidR="00135552" w:rsidRDefault="004C63B0">
      <w:pPr>
        <w:pStyle w:val="DGTextstand-alone"/>
      </w:pPr>
      <w:r>
        <w:t>The following new EAR, adopted by the Accounting Officer of the Com</w:t>
      </w:r>
      <w:r>
        <w:t>mission, became mandatorily effective for annual periods beginning on or after 1 January 2019:</w:t>
      </w:r>
    </w:p>
    <w:p w:rsidR="00135552" w:rsidRDefault="004C63B0">
      <w:pPr>
        <w:pStyle w:val="DGTextstand-alone"/>
        <w:numPr>
          <w:ilvl w:val="0"/>
          <w:numId w:val="23"/>
        </w:numPr>
        <w:rPr>
          <w:u w:val="single"/>
        </w:rPr>
      </w:pPr>
      <w:r>
        <w:t>EAR 20 ‘Public Sector Combinations’, which is based on IPSAS 40 ‘Public Sector Combinations’, establishes the requirements for classifying, recognising and measu</w:t>
      </w:r>
      <w:r>
        <w:t>ring public sector combinations, i.e. the bringing together of separate operations into one public sector entity.</w:t>
      </w:r>
    </w:p>
    <w:p w:rsidR="00135552" w:rsidRDefault="004C63B0">
      <w:pPr>
        <w:pStyle w:val="DGTextstand-alone"/>
        <w:ind w:left="720"/>
      </w:pPr>
      <w:r>
        <w:t xml:space="preserve">The standard distinguishes beween two types of public sector combinations: amalgamations and acquisitions. An amalgamation is a public sector </w:t>
      </w:r>
      <w:r>
        <w:t xml:space="preserve">combination in which either no party to the combination gains control on one or more operations, or, in case one party to the combination does gain control, there is evidence that the combination has the economic substance of an amalgamation (the standard </w:t>
      </w:r>
      <w:r>
        <w:t>provides several indicators relating to the consideration and the decision-making process to allow for that assessment). An acquisition is a public sector combination in which one party to the combination gains control of one or more operations and there i</w:t>
      </w:r>
      <w:r>
        <w:t>s evidence that the combination is not an amalgamation.</w:t>
      </w:r>
    </w:p>
    <w:p w:rsidR="00135552" w:rsidRDefault="004C63B0">
      <w:pPr>
        <w:pStyle w:val="DGTextstand-alone"/>
        <w:ind w:left="720"/>
      </w:pPr>
      <w:r>
        <w:t xml:space="preserve">Public sector combinations which are classified as an amalgamation are accounted for by appliyng the modified pooling-of-interests method, which requires that the resulting entity shall recognise the </w:t>
      </w:r>
      <w:r>
        <w:t>identifiable assets, liabilities and any non-controllling interests subject to the combination at their carrying amount with a corresponding increase or decrease in net assets (i.e. without giving rise to goodwill).</w:t>
      </w:r>
    </w:p>
    <w:p w:rsidR="00135552" w:rsidRDefault="004C63B0">
      <w:pPr>
        <w:pStyle w:val="DGTextstand-alone"/>
        <w:ind w:left="720"/>
      </w:pPr>
      <w:r>
        <w:t>Public sector combinations which are cla</w:t>
      </w:r>
      <w:r>
        <w:t>ssified as acquisitions are accounted for by applying the acquisition method, which requires that the identifiable assets acquired and liabilities assumed are recognised at their acquisition-date fair-values, and any non-controlling interest in the acquire</w:t>
      </w:r>
      <w:r>
        <w:t>d operation is recognised at the proportionate share of the acquired operations’ identifiable net assets. Unlike an amalgamation an acquisition gives rise to goodwill (measured as the excess of the consideration transferred and any non-controlling interest</w:t>
      </w:r>
      <w:r>
        <w:t xml:space="preserve"> over the net of the acquisition-date amounts of the identifiable assets acquired and liabilities assumed).</w:t>
      </w:r>
    </w:p>
    <w:p w:rsidR="00135552" w:rsidRDefault="004C63B0">
      <w:pPr>
        <w:pStyle w:val="DGTextstand-alone"/>
        <w:ind w:left="720"/>
        <w:rPr>
          <w:u w:val="single"/>
        </w:rPr>
      </w:pPr>
      <w:r>
        <w:t>The standard foresees distinct disclosure requirements in order to enable the users of the EU financial statements to evaluate the nature and financ</w:t>
      </w:r>
      <w:r>
        <w:t xml:space="preserve">ial effects of an amalgamation or acquisition, as well as the financial effects of adjustments recognised in the current reporting period relating to such transactions that occurred during the period or previous reporting periods. </w:t>
      </w:r>
    </w:p>
    <w:p w:rsidR="00135552" w:rsidRDefault="004C63B0">
      <w:pPr>
        <w:pStyle w:val="DGTextstand-alone"/>
        <w:ind w:left="720" w:hanging="720"/>
        <w:rPr>
          <w:u w:val="single"/>
        </w:rPr>
      </w:pPr>
      <w:r>
        <w:tab/>
        <w:t>Since there were no pub</w:t>
      </w:r>
      <w:r>
        <w:t>lic sector combinations during the reporting period the new standard has no effect on the 2019 financial statements.</w:t>
      </w:r>
    </w:p>
    <w:p w:rsidR="00135552" w:rsidRDefault="004C63B0">
      <w:pPr>
        <w:pStyle w:val="DGTextstand-alone"/>
        <w:rPr>
          <w:u w:val="single"/>
        </w:rPr>
      </w:pPr>
      <w:r>
        <w:rPr>
          <w:u w:val="single"/>
        </w:rPr>
        <w:t>New EAR adopted but not yet effective at 31 December 2019</w:t>
      </w:r>
    </w:p>
    <w:p w:rsidR="00135552" w:rsidRDefault="004C63B0">
      <w:pPr>
        <w:pStyle w:val="DGTextstand-alone"/>
      </w:pPr>
      <w:r>
        <w:t>There are no new EAR adopted but not yet effective at 31 December 2019.</w:t>
      </w:r>
    </w:p>
    <w:p w:rsidR="00135552" w:rsidRDefault="004C63B0">
      <w:pPr>
        <w:pStyle w:val="HEADER2NOTES"/>
        <w:keepNext/>
        <w:rPr>
          <w:noProof/>
        </w:rPr>
      </w:pPr>
      <w:r>
        <w:rPr>
          <w:noProof/>
        </w:rPr>
        <w:t>ACCOUNTIN</w:t>
      </w:r>
      <w:r>
        <w:rPr>
          <w:noProof/>
        </w:rPr>
        <w:t>G PRINCIPLES</w:t>
      </w:r>
    </w:p>
    <w:p w:rsidR="00135552" w:rsidRDefault="004C63B0">
      <w:pPr>
        <w:pStyle w:val="DGTextstand-alone"/>
      </w:pPr>
      <w:r>
        <w:t>The objective of financial statements is to provide information about the financial position, performance and cashflows of an entity that is useful to a wide range of users. For the EU as a public sector entity, the objectives are more specifi</w:t>
      </w:r>
      <w:r>
        <w:t xml:space="preserve">cally to provide information useful for decision-making, and to demonstrate the accountability of the entity for the resources entrusted to it. It is with these goals in mind that the present document has been drawn up. </w:t>
      </w:r>
    </w:p>
    <w:p w:rsidR="00135552" w:rsidRDefault="004C63B0">
      <w:pPr>
        <w:pStyle w:val="DGTextstand-alone"/>
      </w:pPr>
      <w:r>
        <w:t>The overall considerations (or acco</w:t>
      </w:r>
      <w:r>
        <w:t>unting principles) to be followed when preparing the financial statements are laid down in EU accounting rule 1 ‘Financial Statements’ and are the same as those described in IPSAS 1: fair presentation, accrual basis, going concern, consistency of presentat</w:t>
      </w:r>
      <w:r>
        <w:t>ion, materiality, aggregation, offsetting and comparative information.</w:t>
      </w:r>
    </w:p>
    <w:p w:rsidR="00135552" w:rsidRDefault="004C63B0">
      <w:pPr>
        <w:pStyle w:val="DGTextstand-alone"/>
      </w:pPr>
      <w:r>
        <w:t>The qualitative characteristics of financial reporting are relevance, faithful representation (reliability), understandability, timeliness, comparability and verifiability.</w:t>
      </w:r>
    </w:p>
    <w:p w:rsidR="00135552" w:rsidRDefault="004C63B0">
      <w:pPr>
        <w:pStyle w:val="HEADER2NOTES"/>
        <w:rPr>
          <w:noProof/>
        </w:rPr>
      </w:pPr>
      <w:r>
        <w:rPr>
          <w:noProof/>
        </w:rPr>
        <w:t>CONSOLIDATIO</w:t>
      </w:r>
      <w:r>
        <w:rPr>
          <w:noProof/>
        </w:rPr>
        <w:t>N</w:t>
      </w:r>
    </w:p>
    <w:p w:rsidR="00135552" w:rsidRDefault="004C63B0">
      <w:pPr>
        <w:pStyle w:val="HEADER5"/>
        <w:rPr>
          <w:b/>
          <w:noProof/>
        </w:rPr>
      </w:pPr>
      <w:r>
        <w:rPr>
          <w:noProof/>
        </w:rPr>
        <w:t>Scope of consolidation</w:t>
      </w:r>
    </w:p>
    <w:p w:rsidR="00135552" w:rsidRDefault="004C63B0">
      <w:pPr>
        <w:pStyle w:val="DGTextstand-alone"/>
      </w:pPr>
      <w:r>
        <w:t xml:space="preserve">The consolidated financial statements of the EU comprise all significant controlled entities, joint arrangements and associates. The complete list of consolidated entities can be found in note </w:t>
      </w:r>
      <w:r>
        <w:rPr>
          <w:b/>
        </w:rPr>
        <w:t>9</w:t>
      </w:r>
      <w:r>
        <w:t>. It now comprises 52 controlled enti</w:t>
      </w:r>
      <w:r>
        <w:t>ties and 1 associate. Among the controlled entities are the EU institutions (including the Commission, but not the European Central Bank) and the EU agencies (except those of the former 2</w:t>
      </w:r>
      <w:r>
        <w:rPr>
          <w:vertAlign w:val="superscript"/>
        </w:rPr>
        <w:t>nd</w:t>
      </w:r>
      <w:r>
        <w:t xml:space="preserve"> pillar, i.e. the Common and Foreign Security Policy). The European</w:t>
      </w:r>
      <w:r>
        <w:t xml:space="preserve"> Coal and Steel Community in Liquidation (ECSC i.L.) is also considered as a controlled entity. The EU’s only associate is the European Investment Fund (EIF).</w:t>
      </w:r>
    </w:p>
    <w:p w:rsidR="00135552" w:rsidRDefault="004C63B0">
      <w:pPr>
        <w:pStyle w:val="DGTextstand-alone"/>
      </w:pPr>
      <w:r>
        <w:t>Entities falling under the scope of consolidation but immaterial to the EU consolidated financial</w:t>
      </w:r>
      <w:r>
        <w:t xml:space="preserve"> statements as a whole need not be consolidated or accounted for using the equity method where to do so would result in excessive time or cost to the EU. Those entities are referred to as ‘Minor entities’ and are separately listed in note </w:t>
      </w:r>
      <w:r>
        <w:rPr>
          <w:b/>
        </w:rPr>
        <w:t>9</w:t>
      </w:r>
      <w:r>
        <w:t>. In 2019, 7 ent</w:t>
      </w:r>
      <w:r>
        <w:t>ities have been classified as such minor entities.</w:t>
      </w:r>
    </w:p>
    <w:p w:rsidR="00135552" w:rsidRDefault="004C63B0">
      <w:pPr>
        <w:pStyle w:val="HEADER5"/>
        <w:rPr>
          <w:b/>
          <w:noProof/>
        </w:rPr>
      </w:pPr>
      <w:r>
        <w:rPr>
          <w:noProof/>
        </w:rPr>
        <w:t>Controlled entities</w:t>
      </w:r>
    </w:p>
    <w:p w:rsidR="00135552" w:rsidRDefault="004C63B0">
      <w:pPr>
        <w:pStyle w:val="DGTextstand-alone"/>
        <w:spacing w:after="0"/>
      </w:pPr>
      <w:r>
        <w:t>In order to determine the scope of consolidation the control concept is applied. Controlled entities are entities for which the EU is exposed, or has right, to variable benefits from it</w:t>
      </w:r>
      <w:r>
        <w:t>s involvement and has the ability to affect the nature and amount of those benefits through its power over the other entity. This power must be presently exercisable and must relate to the relevant activities of the entity. Controlled entities are fully co</w:t>
      </w:r>
      <w:r>
        <w:t>nsolidated. The consolidation begins at the first date on which control exists, and ends when such control no longer exists.</w:t>
      </w:r>
    </w:p>
    <w:p w:rsidR="00135552" w:rsidRDefault="004C63B0">
      <w:pPr>
        <w:pStyle w:val="DGTextstand-alone"/>
      </w:pPr>
      <w:r>
        <w:t>The most common indicators of control within the EU are: creation of the entity through founding treaties or secondary legislation,</w:t>
      </w:r>
      <w:r>
        <w:t xml:space="preserve"> financing of the entity from the EU budget, the existence of voting rights in the governing bodies, audit by the European Court of Auditors and discharge by the European Parliament. An individual assessment for each entity is made in order to decide wheth</w:t>
      </w:r>
      <w:r>
        <w:t>er one or all of the criteria listed above are sufficient to result in control.</w:t>
      </w:r>
    </w:p>
    <w:p w:rsidR="00135552" w:rsidRDefault="004C63B0">
      <w:pPr>
        <w:pStyle w:val="DGTextstand-alone"/>
      </w:pPr>
      <w:r>
        <w:t xml:space="preserve">All material inter-entity transactions and balances between EU controlled entities are eliminated, while unrealised gains and losses on such transactions are not material and </w:t>
      </w:r>
      <w:r>
        <w:t>so have not been eliminated.</w:t>
      </w:r>
    </w:p>
    <w:p w:rsidR="00135552" w:rsidRDefault="004C63B0">
      <w:pPr>
        <w:pStyle w:val="HEADER5"/>
        <w:rPr>
          <w:b/>
          <w:noProof/>
        </w:rPr>
      </w:pPr>
      <w:r>
        <w:rPr>
          <w:noProof/>
        </w:rPr>
        <w:t>Joint Arrangements</w:t>
      </w:r>
    </w:p>
    <w:p w:rsidR="00135552" w:rsidRDefault="004C63B0">
      <w:pPr>
        <w:pStyle w:val="DGTextstand-alone"/>
      </w:pPr>
      <w:r>
        <w:t>A joint arrangement is an agreement of which the EU and one or more parties have joint control. Joint control is the agreed sharing of control of an arrangement by way of a binding arrangement, which exists o</w:t>
      </w:r>
      <w:r>
        <w:t>nly when decisions about the relevant activities require the unanimous consent of parties sharing control. Joint agreements can be either joint ventures or joint operations. A joint venture is a joint arrangement that is structured through a separate vehic</w:t>
      </w:r>
      <w:r>
        <w:t xml:space="preserve">le and whereby the parties that have joint control of the arrangement have rights to the net assets of the arrangement. Participations in joint ventures are accounted for using the equity method (see note </w:t>
      </w:r>
      <w:r>
        <w:rPr>
          <w:b/>
        </w:rPr>
        <w:t>1.5.4</w:t>
      </w:r>
      <w:r>
        <w:t>). A joint operation is a joint arrangement wh</w:t>
      </w:r>
      <w:r>
        <w:t>ereby the parties that have joint control of the arrangements have rights to the assets, and obligations for the liabilities, related to the arrangement. Participations in joint operations are accounted for by recognising in the EU’s financial statements i</w:t>
      </w:r>
      <w:r>
        <w:t>ts assets and liabilities, revenue and expense, as well as its share of assets, liabilities, revenue and expense jointly held or incurred.</w:t>
      </w:r>
    </w:p>
    <w:p w:rsidR="00135552" w:rsidRDefault="004C63B0">
      <w:pPr>
        <w:pStyle w:val="HEADER5"/>
        <w:rPr>
          <w:b/>
          <w:noProof/>
        </w:rPr>
      </w:pPr>
      <w:r>
        <w:rPr>
          <w:noProof/>
        </w:rPr>
        <w:t>Associates</w:t>
      </w:r>
    </w:p>
    <w:p w:rsidR="00135552" w:rsidRDefault="004C63B0">
      <w:pPr>
        <w:pStyle w:val="DGTextstand-alone"/>
      </w:pPr>
      <w:r>
        <w:t>Associates are entities over which the EU has, directly or indirectly, significant influence but not exclu</w:t>
      </w:r>
      <w:r>
        <w:t xml:space="preserve">sive or joint control. It is presumed that significant influence exists if the EU holds directly or indirectly 20 % or more of the voting rights. Participations in associates are accounted for using the equity method (see note </w:t>
      </w:r>
      <w:r>
        <w:rPr>
          <w:b/>
        </w:rPr>
        <w:t>1.5.4</w:t>
      </w:r>
      <w:r>
        <w:t>).</w:t>
      </w:r>
    </w:p>
    <w:p w:rsidR="00135552" w:rsidRDefault="004C63B0">
      <w:pPr>
        <w:pStyle w:val="HEADER5"/>
        <w:rPr>
          <w:b/>
          <w:noProof/>
        </w:rPr>
      </w:pPr>
      <w:r>
        <w:rPr>
          <w:noProof/>
        </w:rPr>
        <w:t>Non-consolidated enti</w:t>
      </w:r>
      <w:r>
        <w:rPr>
          <w:noProof/>
        </w:rPr>
        <w:t>ties the funds of which are managed by the Commission</w:t>
      </w:r>
    </w:p>
    <w:p w:rsidR="00135552" w:rsidRDefault="004C63B0">
      <w:pPr>
        <w:pStyle w:val="DGTextstand-alone"/>
      </w:pPr>
      <w:r>
        <w:t>The funds of the Joint Sickness Insurance Scheme for staff of the EU, the European Development Fund and the Participants Guarantee Fund are managed by the Commission on their behalf. However, since thes</w:t>
      </w:r>
      <w:r>
        <w:t>e entities are not controlled by the EU, they are not consolidated in its financial statements.</w:t>
      </w:r>
    </w:p>
    <w:p w:rsidR="00135552" w:rsidRDefault="004C63B0">
      <w:pPr>
        <w:pStyle w:val="HEADER2NOTES"/>
        <w:rPr>
          <w:noProof/>
        </w:rPr>
      </w:pPr>
      <w:r>
        <w:rPr>
          <w:noProof/>
        </w:rPr>
        <w:t>BASIS OF PREPARATION</w:t>
      </w:r>
    </w:p>
    <w:p w:rsidR="00135552" w:rsidRDefault="004C63B0">
      <w:pPr>
        <w:pStyle w:val="DGTextstand-alone"/>
      </w:pPr>
      <w:r>
        <w:t>Financial statements are presented annually. The accounting year begins on 1 January and ends on 31 December.</w:t>
      </w:r>
    </w:p>
    <w:p w:rsidR="00135552" w:rsidRDefault="004C63B0">
      <w:pPr>
        <w:pStyle w:val="HEADER3NOTES"/>
        <w:rPr>
          <w:noProof/>
        </w:rPr>
      </w:pPr>
      <w:r>
        <w:rPr>
          <w:noProof/>
        </w:rPr>
        <w:t xml:space="preserve">Currency and basis for </w:t>
      </w:r>
      <w:r>
        <w:rPr>
          <w:noProof/>
        </w:rPr>
        <w:t>conversion</w:t>
      </w:r>
    </w:p>
    <w:p w:rsidR="00135552" w:rsidRDefault="004C63B0">
      <w:pPr>
        <w:pStyle w:val="HEADER5"/>
        <w:rPr>
          <w:b/>
          <w:noProof/>
        </w:rPr>
      </w:pPr>
      <w:r>
        <w:rPr>
          <w:noProof/>
        </w:rPr>
        <w:t>Functional and reporting currency</w:t>
      </w:r>
    </w:p>
    <w:p w:rsidR="00135552" w:rsidRDefault="004C63B0">
      <w:pPr>
        <w:pStyle w:val="DGTextstand-alone"/>
      </w:pPr>
      <w:r>
        <w:t>The financial statements are presented in millions of euros, unless stated otherwise, the euro being the EU’s functional currency.</w:t>
      </w:r>
    </w:p>
    <w:p w:rsidR="00135552" w:rsidRDefault="004C63B0">
      <w:pPr>
        <w:pStyle w:val="HEADER5"/>
        <w:rPr>
          <w:b/>
          <w:noProof/>
        </w:rPr>
      </w:pPr>
      <w:r>
        <w:rPr>
          <w:noProof/>
        </w:rPr>
        <w:t>Transactions and balances</w:t>
      </w:r>
    </w:p>
    <w:p w:rsidR="00135552" w:rsidRDefault="004C63B0">
      <w:pPr>
        <w:pStyle w:val="DGTextstand-alone"/>
        <w:spacing w:after="0"/>
      </w:pPr>
      <w:r>
        <w:t>Foreign currency transactions are translated into euro</w:t>
      </w:r>
      <w:r>
        <w:t>s using the exchange rates prevailing at the dates of the transactions. Foreign exchange gains and losses resulting from the settlement of foreign currency transactions and from the re-translation at year-end exchange rates of monetary assets and liabiliti</w:t>
      </w:r>
      <w:r>
        <w:t>es denominated in foreign currencies are recognised in the statement of financial performance. Translation differences on non-monetary financial instruments classified as available for sale financial assets are included in the fair value reserve.</w:t>
      </w:r>
    </w:p>
    <w:p w:rsidR="00135552" w:rsidRDefault="004C63B0">
      <w:pPr>
        <w:pStyle w:val="DGTextstand-alone"/>
      </w:pPr>
      <w:r>
        <w:t>Different</w:t>
      </w:r>
      <w:r>
        <w:t xml:space="preserve"> conversion methods apply to property, plant and equipment and intangible assets, which retain their value in euros at the rate that applied at the date when they were purchased.</w:t>
      </w:r>
    </w:p>
    <w:p w:rsidR="00135552" w:rsidRDefault="004C63B0">
      <w:pPr>
        <w:pStyle w:val="DGTextstand-alone"/>
      </w:pPr>
      <w:r>
        <w:t>Year-end balances of monetary assets and liabilities denominated in foreign c</w:t>
      </w:r>
      <w:r>
        <w:t>urrencies are converted into euros on the basis of the European Central Bank (ECB) exchange rates applying on 31 December:</w:t>
      </w:r>
    </w:p>
    <w:p w:rsidR="00135552" w:rsidRDefault="004C63B0">
      <w:pPr>
        <w:pStyle w:val="HEADER5"/>
        <w:spacing w:after="120"/>
        <w:rPr>
          <w:noProof/>
        </w:rPr>
      </w:pPr>
      <w:r>
        <w:rPr>
          <w:noProof/>
        </w:rPr>
        <w:t>Euro exchange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rsidR="00135552">
        <w:trPr>
          <w:trHeight w:val="255"/>
        </w:trPr>
        <w:tc>
          <w:tcPr>
            <w:tcW w:w="130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rPr>
                <w:rFonts w:ascii="Verdana" w:eastAsia="Verdana" w:hAnsi="Verdana" w:cs="Verdana"/>
                <w:noProof/>
                <w:color w:val="FFFFFF"/>
                <w:lang w:bidi="en-GB"/>
              </w:rPr>
            </w:pPr>
            <w:bookmarkStart w:id="36" w:name="DOC_TBL00005_1_1"/>
            <w:bookmarkEnd w:id="36"/>
            <w:r>
              <w:rPr>
                <w:rFonts w:ascii="Verdana" w:eastAsia="Verdana" w:hAnsi="Verdana" w:cs="Verdana"/>
                <w:noProof/>
                <w:color w:val="FFFFFF"/>
                <w:lang w:bidi="en-GB"/>
              </w:rPr>
              <w:t>Currency</w:t>
            </w:r>
          </w:p>
        </w:tc>
        <w:tc>
          <w:tcPr>
            <w:tcW w:w="18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jc w:val="right"/>
              <w:rPr>
                <w:rFonts w:ascii="Verdana" w:eastAsia="Verdana" w:hAnsi="Verdana" w:cs="Verdana"/>
                <w:noProof/>
                <w:color w:val="FFFFFF"/>
              </w:rPr>
            </w:pPr>
            <w:r>
              <w:rPr>
                <w:rFonts w:ascii="Verdana" w:eastAsia="Verdana" w:hAnsi="Verdana" w:cs="Verdana"/>
                <w:noProof/>
                <w:color w:val="FFFFFF"/>
              </w:rPr>
              <w:t>31.12.2019</w:t>
            </w:r>
          </w:p>
        </w:tc>
        <w:tc>
          <w:tcPr>
            <w:tcW w:w="196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jc w:val="right"/>
              <w:rPr>
                <w:rFonts w:ascii="Verdana" w:eastAsia="Verdana" w:hAnsi="Verdana" w:cs="Verdana"/>
                <w:noProof/>
                <w:color w:val="FFFFFF"/>
              </w:rPr>
            </w:pPr>
            <w:r>
              <w:rPr>
                <w:rFonts w:ascii="Verdana" w:eastAsia="Verdana" w:hAnsi="Verdana" w:cs="Verdana"/>
                <w:noProof/>
                <w:color w:val="FFFFFF"/>
              </w:rPr>
              <w:t>31.12.2018</w:t>
            </w:r>
          </w:p>
        </w:tc>
        <w:tc>
          <w:tcPr>
            <w:tcW w:w="130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rPr>
                <w:rFonts w:ascii="Verdana" w:eastAsia="Verdana" w:hAnsi="Verdana" w:cs="Verdana"/>
                <w:noProof/>
                <w:color w:val="FFFFFF"/>
              </w:rPr>
            </w:pPr>
            <w:r>
              <w:rPr>
                <w:rFonts w:ascii="Verdana" w:eastAsia="Verdana" w:hAnsi="Verdana" w:cs="Verdana"/>
                <w:noProof/>
                <w:color w:val="FFFFFF"/>
              </w:rPr>
              <w:t>Currency</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jc w:val="right"/>
              <w:rPr>
                <w:rFonts w:ascii="Verdana" w:eastAsia="Verdana" w:hAnsi="Verdana" w:cs="Verdana"/>
                <w:noProof/>
                <w:color w:val="FFFFFF"/>
              </w:rPr>
            </w:pPr>
            <w:r>
              <w:rPr>
                <w:rFonts w:ascii="Verdana" w:eastAsia="Verdana" w:hAnsi="Verdana" w:cs="Verdana"/>
                <w:noProof/>
                <w:color w:val="FFFFFF"/>
              </w:rPr>
              <w:t>31.12.2019</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CURR"/>
              <w:keepNext/>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BGN</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1.9558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1.9558</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PLN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4.2568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4.3014</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CZK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25.4080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25.7240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RON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4.783</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4.6635</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DKK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7.4715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7.4673</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SEK</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10.4468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10.2548</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GBP</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0.8508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0.8945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CHF</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1.0854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1.1269</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HRK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7.4395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7.4125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JPY</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121.9400</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125.8500</w:t>
            </w:r>
          </w:p>
        </w:tc>
      </w:tr>
      <w:tr w:rsidR="00135552">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HUF</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330.5300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320.9800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CURR"/>
              <w:keepNext/>
              <w:rPr>
                <w:rFonts w:ascii="Verdana" w:eastAsia="Verdana" w:hAnsi="Verdana" w:cs="Verdana"/>
                <w:b/>
                <w:noProof/>
                <w:color w:val="000000"/>
                <w:sz w:val="18"/>
              </w:rPr>
            </w:pPr>
            <w:r>
              <w:rPr>
                <w:rFonts w:ascii="Verdana" w:eastAsia="Verdana" w:hAnsi="Verdana" w:cs="Verdana"/>
                <w:b/>
                <w:noProof/>
                <w:color w:val="000000"/>
                <w:sz w:val="18"/>
              </w:rPr>
              <w:t>USD</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b/>
                <w:noProof/>
                <w:color w:val="000000"/>
                <w:sz w:val="18"/>
              </w:rPr>
            </w:pPr>
            <w:r>
              <w:rPr>
                <w:rFonts w:ascii="Verdana" w:eastAsia="Verdana" w:hAnsi="Verdana" w:cs="Verdana"/>
                <w:b/>
                <w:noProof/>
                <w:color w:val="000000"/>
                <w:sz w:val="18"/>
              </w:rPr>
              <w:t>1.1234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135552" w:rsidRDefault="004C63B0">
            <w:pPr>
              <w:pStyle w:val="DMETW17185BIPCURR"/>
              <w:keepNext/>
              <w:jc w:val="right"/>
              <w:rPr>
                <w:rFonts w:ascii="Verdana" w:eastAsia="Verdana" w:hAnsi="Verdana" w:cs="Verdana"/>
                <w:i/>
                <w:noProof/>
                <w:color w:val="000000"/>
                <w:sz w:val="18"/>
              </w:rPr>
            </w:pPr>
            <w:r>
              <w:rPr>
                <w:rFonts w:ascii="Verdana" w:eastAsia="Verdana" w:hAnsi="Verdana" w:cs="Verdana"/>
                <w:i/>
                <w:noProof/>
                <w:color w:val="000000"/>
                <w:sz w:val="18"/>
              </w:rPr>
              <w:t>1.145</w:t>
            </w:r>
          </w:p>
        </w:tc>
      </w:tr>
    </w:tbl>
    <w:p w:rsidR="00135552" w:rsidRDefault="004C63B0">
      <w:pPr>
        <w:pStyle w:val="HEADER3NOTES"/>
        <w:keepNext/>
        <w:rPr>
          <w:noProof/>
        </w:rPr>
      </w:pPr>
      <w:r>
        <w:rPr>
          <w:noProof/>
        </w:rPr>
        <w:t>Use of estimates</w:t>
      </w:r>
    </w:p>
    <w:p w:rsidR="00135552" w:rsidRDefault="004C63B0">
      <w:pPr>
        <w:pStyle w:val="DGTextstand-alone"/>
      </w:pPr>
      <w:r>
        <w:t xml:space="preserve">In accordance with IPSAS and generally accepted </w:t>
      </w:r>
      <w:r>
        <w:t>accounting principles, the financial statements necessarily include amounts based on estimates and assumptions by management based on the most reliable information available. Significant estimates include, but are not limited to: amounts for employee benef</w:t>
      </w:r>
      <w:r>
        <w:t>it liabilities, financial risk of accounts receivable and the amounts disclosed in the notes concerning financial instruments, accrued revenue and charges, provisions, degree of impairment of intangible assets and property, plant and equipment, net realisa</w:t>
      </w:r>
      <w:r>
        <w:t>ble value of inventories, contingent assets and liabilities. Actual results could differ from those estimates. Changes in estimates are reflected in the period in which they become known, if the change affects the period only, or that period and future per</w:t>
      </w:r>
      <w:r>
        <w:t>iods, if the change affects both.</w:t>
      </w:r>
    </w:p>
    <w:p w:rsidR="00135552" w:rsidRDefault="004C63B0">
      <w:pPr>
        <w:pStyle w:val="HEADER2NOTES"/>
        <w:rPr>
          <w:noProof/>
        </w:rPr>
      </w:pPr>
      <w:r>
        <w:rPr>
          <w:noProof/>
        </w:rPr>
        <w:t>BALANCE SHEET</w:t>
      </w:r>
    </w:p>
    <w:p w:rsidR="00135552" w:rsidRDefault="004C63B0">
      <w:pPr>
        <w:pStyle w:val="HEADER3NOTES"/>
        <w:rPr>
          <w:noProof/>
        </w:rPr>
      </w:pPr>
      <w:r>
        <w:rPr>
          <w:noProof/>
        </w:rPr>
        <w:t>Intangible assets</w:t>
      </w:r>
    </w:p>
    <w:p w:rsidR="00135552" w:rsidRDefault="004C63B0">
      <w:pPr>
        <w:pStyle w:val="DGTextstand-alone"/>
      </w:pPr>
      <w:r>
        <w:t>An intangible asset is an identifiable non-monetary asset without physical substance. An asset is identifiable if it is either separable (i.e. it is capable of being separated or divided fro</w:t>
      </w:r>
      <w:r>
        <w:t>m the entity, e.g. by being sold, transferred, licensed, rented, or exchanged, either individually or together with a related contract, identifiable asset or liability, regardless of whether the entity intends to do so), or arises from binding arrangements</w:t>
      </w:r>
      <w:r>
        <w:t xml:space="preserve"> (including rights from contracts or other legal rights), regardless of whether those rights are transferable or separable from the entity or from other rights and obligations).</w:t>
      </w:r>
    </w:p>
    <w:p w:rsidR="00135552" w:rsidRDefault="004C63B0">
      <w:pPr>
        <w:pStyle w:val="DGTextstand-alone"/>
      </w:pPr>
      <w:r>
        <w:t>Acquired intangible assets are stated at historical cost less accumulated amor</w:t>
      </w:r>
      <w:r>
        <w:t>tisation and impairment losses. Internally developed intangible assets are capitalised when the relevant criteria of the EU Accounting Rules are met and the expenses relate solely to the development phase of the asset. The capitalisable costs include all d</w:t>
      </w:r>
      <w:r>
        <w:t>irectly attributable costs necessary to create, produce, and prepare the asset to be capable of operating in the manner intended by management. Costs associated with research activities, non-capitalisable development costs and maintenance costs are recogni</w:t>
      </w:r>
      <w:r>
        <w:t>sed as expenses as incurred.</w:t>
      </w:r>
    </w:p>
    <w:p w:rsidR="00135552" w:rsidRDefault="004C63B0">
      <w:pPr>
        <w:pStyle w:val="DGTextstand-alone"/>
      </w:pPr>
      <w:r>
        <w:t>Intangible assets are amortised on a straight-line basis over their estimated useful lives (3 to 11 years). The estimated useful lives of intangible assets depend on their specific economic lifetime or legal lifetime determined</w:t>
      </w:r>
      <w:r>
        <w:t xml:space="preserve"> by an agreement.</w:t>
      </w:r>
    </w:p>
    <w:p w:rsidR="00135552" w:rsidRDefault="004C63B0">
      <w:pPr>
        <w:pStyle w:val="HEADER3NOTES"/>
        <w:rPr>
          <w:noProof/>
        </w:rPr>
      </w:pPr>
      <w:r>
        <w:rPr>
          <w:noProof/>
        </w:rPr>
        <w:t>Property, plant and equipment</w:t>
      </w:r>
    </w:p>
    <w:p w:rsidR="00135552" w:rsidRDefault="004C63B0">
      <w:pPr>
        <w:pStyle w:val="DGTextstand-alone"/>
      </w:pPr>
      <w:r>
        <w:t>All property, plant and equipment are stated at historical cost less accumulated depreciation and impairment losses. Cost includes expenditure that is directly attributable to the acquisition, construction or</w:t>
      </w:r>
      <w:r>
        <w:t xml:space="preserve"> transfer of the asset.</w:t>
      </w:r>
    </w:p>
    <w:p w:rsidR="00135552" w:rsidRDefault="004C63B0">
      <w:pPr>
        <w:pStyle w:val="DGTextstand-alone"/>
        <w:spacing w:after="0"/>
      </w:pPr>
      <w:r>
        <w:t>Subsequent costs are included in the asset’s carrying amount or recognised as a separate asset, as appropriate, only when it is probable that future economic benefits or service potential associated with the item will flow to the EU</w:t>
      </w:r>
      <w:r>
        <w:t xml:space="preserve"> and its cost can be measured reliably. Repairs and maintenance costs are charged to the statement of financial performance during the financial period in which they are incurred.</w:t>
      </w:r>
    </w:p>
    <w:p w:rsidR="00135552" w:rsidRDefault="004C63B0">
      <w:pPr>
        <w:pStyle w:val="DGTextstand-alone"/>
      </w:pPr>
      <w:r>
        <w:t>Land is not depreciated as it is deemed to have an indefinite useful life. A</w:t>
      </w:r>
      <w:r>
        <w:t>ssets under construction are not depreciated, as these assets are not yet available for use. Depreciation on other assets is calculated using the straight-line method to allocate their cost less their residual values over their estimated useful lives, as f</w:t>
      </w:r>
      <w:r>
        <w:t>ollows:</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rsidR="00135552">
        <w:trPr>
          <w:trHeight w:hRule="exact" w:val="255"/>
        </w:trPr>
        <w:tc>
          <w:tcPr>
            <w:tcW w:w="45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DR"/>
              <w:rPr>
                <w:rFonts w:ascii="Verdana" w:eastAsia="Verdana" w:hAnsi="Verdana" w:cs="Verdana"/>
                <w:noProof/>
                <w:color w:val="FFFFFF"/>
                <w:lang w:bidi="en-GB"/>
              </w:rPr>
            </w:pPr>
            <w:bookmarkStart w:id="37" w:name="DOC_TBL00006_1_1"/>
            <w:bookmarkEnd w:id="37"/>
            <w:r>
              <w:rPr>
                <w:rFonts w:ascii="Verdana" w:eastAsia="Verdana" w:hAnsi="Verdana" w:cs="Verdana"/>
                <w:noProof/>
                <w:color w:val="FFFFFF"/>
                <w:lang w:bidi="en-GB"/>
              </w:rPr>
              <w:t>Type of asset</w:t>
            </w:r>
          </w:p>
        </w:tc>
        <w:tc>
          <w:tcPr>
            <w:tcW w:w="519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85BIPDR"/>
              <w:jc w:val="center"/>
              <w:rPr>
                <w:rFonts w:ascii="Verdana" w:eastAsia="Verdana" w:hAnsi="Verdana" w:cs="Verdana"/>
                <w:noProof/>
                <w:color w:val="FFFFFF"/>
                <w:lang w:bidi="en-GB"/>
              </w:rPr>
            </w:pPr>
            <w:r>
              <w:rPr>
                <w:rFonts w:ascii="Verdana" w:eastAsia="Verdana" w:hAnsi="Verdana" w:cs="Verdana"/>
                <w:noProof/>
                <w:color w:val="FFFFFF"/>
              </w:rPr>
              <w:t>Straight line depreciation rate</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Buildings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lang w:bidi="en-GB"/>
              </w:rPr>
            </w:pPr>
            <w:r>
              <w:rPr>
                <w:rFonts w:ascii="Verdana" w:eastAsia="Verdana" w:hAnsi="Verdana" w:cs="Verdana"/>
                <w:i/>
                <w:noProof/>
                <w:color w:val="000000"/>
                <w:sz w:val="18"/>
              </w:rPr>
              <w:t>4 % to 10 %</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Space assets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lang w:bidi="en-GB"/>
              </w:rPr>
            </w:pPr>
            <w:r>
              <w:rPr>
                <w:rFonts w:ascii="Verdana" w:eastAsia="Verdana" w:hAnsi="Verdana" w:cs="Verdana"/>
                <w:i/>
                <w:noProof/>
                <w:color w:val="000000"/>
                <w:sz w:val="18"/>
              </w:rPr>
              <w:t>8 % to 25 %</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Plant and equipment</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lang w:bidi="en-GB"/>
              </w:rPr>
            </w:pPr>
            <w:r>
              <w:rPr>
                <w:rFonts w:ascii="Verdana" w:eastAsia="Verdana" w:hAnsi="Verdana" w:cs="Verdana"/>
                <w:i/>
                <w:noProof/>
                <w:color w:val="000000"/>
                <w:sz w:val="18"/>
              </w:rPr>
              <w:t>10 % to 25 %</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Furniture and vehicles</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lang w:bidi="en-GB"/>
              </w:rPr>
            </w:pPr>
            <w:r>
              <w:rPr>
                <w:rFonts w:ascii="Verdana" w:eastAsia="Verdana" w:hAnsi="Verdana" w:cs="Verdana"/>
                <w:i/>
                <w:noProof/>
                <w:color w:val="000000"/>
                <w:sz w:val="18"/>
              </w:rPr>
              <w:t>10 % to 25 %</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Computer hardware</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lang w:bidi="en-GB"/>
              </w:rPr>
            </w:pPr>
            <w:r>
              <w:rPr>
                <w:rFonts w:ascii="Verdana" w:eastAsia="Verdana" w:hAnsi="Verdana" w:cs="Verdana"/>
                <w:i/>
                <w:noProof/>
                <w:color w:val="000000"/>
                <w:sz w:val="18"/>
              </w:rPr>
              <w:t>25 % to 33 %</w:t>
            </w:r>
          </w:p>
        </w:tc>
      </w:tr>
      <w:tr w:rsidR="00135552">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rPr>
                <w:rFonts w:ascii="Verdana" w:eastAsia="Verdana" w:hAnsi="Verdana" w:cs="Verdana"/>
                <w:i/>
                <w:noProof/>
                <w:color w:val="000000"/>
                <w:sz w:val="18"/>
              </w:rPr>
            </w:pPr>
            <w:r>
              <w:rPr>
                <w:rFonts w:ascii="Verdana" w:eastAsia="Verdana" w:hAnsi="Verdana" w:cs="Verdana"/>
                <w:i/>
                <w:noProof/>
                <w:color w:val="000000"/>
                <w:sz w:val="18"/>
              </w:rPr>
              <w:t>Other</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85BIPDR"/>
              <w:jc w:val="center"/>
              <w:rPr>
                <w:rFonts w:ascii="Verdana" w:eastAsia="Verdana" w:hAnsi="Verdana" w:cs="Verdana"/>
                <w:i/>
                <w:noProof/>
                <w:color w:val="000000"/>
                <w:sz w:val="18"/>
              </w:rPr>
            </w:pPr>
            <w:r>
              <w:rPr>
                <w:rFonts w:ascii="Verdana" w:eastAsia="Verdana" w:hAnsi="Verdana" w:cs="Verdana"/>
                <w:i/>
                <w:noProof/>
                <w:color w:val="000000"/>
                <w:sz w:val="18"/>
              </w:rPr>
              <w:t>10 % to 33 %</w:t>
            </w:r>
          </w:p>
        </w:tc>
      </w:tr>
    </w:tbl>
    <w:p w:rsidR="00135552" w:rsidRDefault="004C63B0">
      <w:pPr>
        <w:pStyle w:val="DGTextstand-alone"/>
      </w:pPr>
      <w:r>
        <w:t xml:space="preserve">Gains or losses on disposals </w:t>
      </w:r>
      <w:r>
        <w:t>are determined by comparing proceeds less selling expenses with the carrying amount of the disposed asset and are included in the statement of financial performance.</w:t>
      </w:r>
    </w:p>
    <w:p w:rsidR="00135552" w:rsidRDefault="004C63B0">
      <w:pPr>
        <w:pStyle w:val="HEADER5"/>
        <w:keepNext/>
        <w:rPr>
          <w:b/>
          <w:noProof/>
        </w:rPr>
      </w:pPr>
      <w:r>
        <w:rPr>
          <w:noProof/>
        </w:rPr>
        <w:t>Leases</w:t>
      </w:r>
    </w:p>
    <w:p w:rsidR="00135552" w:rsidRDefault="004C63B0">
      <w:pPr>
        <w:pStyle w:val="DGTextstand-alone"/>
      </w:pPr>
      <w:r>
        <w:t>A lease is an agreement whereby the lessor conveys to the lessee in return for a pa</w:t>
      </w:r>
      <w:r>
        <w:t>yment or series of payments the right to use an asset for an agreed period of time. Leases are classified as either finance leases or operating leases.</w:t>
      </w:r>
    </w:p>
    <w:p w:rsidR="00135552" w:rsidRDefault="004C63B0">
      <w:pPr>
        <w:pStyle w:val="DGTextstand-alone"/>
      </w:pPr>
      <w:r>
        <w:t>Finance leases are leases where substantially all the risks and rewards incidental to ownership are tran</w:t>
      </w:r>
      <w:r>
        <w:t>sferred to the lessee. When entering a finance lease as a lessee, the assets acquired under the finance lease are recognised as assets and the associated lease obligations as liabilities as from the commencement of the lease term. The assets and liabilitie</w:t>
      </w:r>
      <w:r>
        <w:t>s are recognised at amounts equal to the fair value of the leased property or, if lower, the present value of the minimum lease payments, each determined at the inception of the lease. Over the period of the lease term, the assets held under finance leases</w:t>
      </w:r>
      <w:r>
        <w:t xml:space="preserve"> are depreciated over the shorter of the asset’s useful life and the lease term. The minimum lease payments are apportioned between the finance charge (the interest element) and the reduction of the outstanding liability (the capital element). The finance </w:t>
      </w:r>
      <w:r>
        <w:t xml:space="preserve">charge is allocated to each period during the lease term so as to produce a constant periodic rate of interest on the remaining balance of the liability, which is presented as current/non-current, as applicable. Contingent rents are charged as expenses in </w:t>
      </w:r>
      <w:r>
        <w:t xml:space="preserve">the period in which they are incurred. </w:t>
      </w:r>
    </w:p>
    <w:p w:rsidR="00135552" w:rsidRDefault="004C63B0">
      <w:pPr>
        <w:pStyle w:val="DGTextstand-alone"/>
      </w:pPr>
      <w:r>
        <w:t>An operating lease is a lease other than a finance lease, i.e. a lease where the lessor retains substantially all the risks and rewards incidental to ownership of an asset. When entering an operating lease as a lesse</w:t>
      </w:r>
      <w:r>
        <w:t>e, the operating lease payments are recognised as an expense in the statement of financial performance on a straight-line basis over the lease term with neither a leased asset nor a leasing liability presented in the statement of financial position.</w:t>
      </w:r>
    </w:p>
    <w:p w:rsidR="00135552" w:rsidRDefault="004C63B0">
      <w:pPr>
        <w:pStyle w:val="HEADER3NOTES"/>
        <w:rPr>
          <w:noProof/>
        </w:rPr>
      </w:pPr>
      <w:r>
        <w:rPr>
          <w:noProof/>
        </w:rPr>
        <w:t>Impairment of non-financial assets</w:t>
      </w:r>
    </w:p>
    <w:p w:rsidR="00135552" w:rsidRDefault="004C63B0">
      <w:pPr>
        <w:pStyle w:val="DGTextstand-alone"/>
      </w:pPr>
      <w:r>
        <w:t>An impairment is a loss in the future economic benefits or service potential of an asset, over and above the systematic recognition of the loss of the asset's future economic benefits or service potential through amortisa</w:t>
      </w:r>
      <w:r>
        <w:t>tion or depreciation (as applicable). Assets that have an indefinite useful life are not subject to amortisation/depreciation and are tested annually for impairment. Assets that are subject to amortisation/depreciation are tested for impairment whenever th</w:t>
      </w:r>
      <w:r>
        <w:t>ere is an indication at the reporting date that an asset may be impaired. An impairment loss is recognised for the amount by which the asset’s carrying amount exceeds its recoverable (service) amount. The recoverable (service) amount is the higher of an as</w:t>
      </w:r>
      <w:r>
        <w:t>set’s fair value less costs to sell and its value in use.</w:t>
      </w:r>
    </w:p>
    <w:p w:rsidR="00135552" w:rsidRDefault="004C63B0">
      <w:pPr>
        <w:pStyle w:val="DGTextstand-alone"/>
      </w:pPr>
      <w:r>
        <w:t>Intangible assets and property, plant and equipment residual values and useful lives are reviewed, and adjusted if appropriate, at least once per year. If the reasons for impairments recognised in p</w:t>
      </w:r>
      <w:r>
        <w:t>revious years no longer apply, the impairment losses are reversed accordingly.</w:t>
      </w:r>
    </w:p>
    <w:p w:rsidR="00135552" w:rsidRDefault="004C63B0">
      <w:pPr>
        <w:pStyle w:val="HEADER3NOTES"/>
        <w:rPr>
          <w:noProof/>
        </w:rPr>
      </w:pPr>
      <w:r>
        <w:rPr>
          <w:noProof/>
        </w:rPr>
        <w:t>Investments accounted for using the equity method</w:t>
      </w:r>
    </w:p>
    <w:p w:rsidR="00135552" w:rsidRDefault="004C63B0">
      <w:pPr>
        <w:pStyle w:val="HEADER5"/>
        <w:rPr>
          <w:b/>
          <w:noProof/>
        </w:rPr>
      </w:pPr>
      <w:r>
        <w:rPr>
          <w:noProof/>
        </w:rPr>
        <w:t>Participations in associates and joint ventures</w:t>
      </w:r>
    </w:p>
    <w:p w:rsidR="00135552" w:rsidRDefault="004C63B0">
      <w:pPr>
        <w:pStyle w:val="DGTextstand-alone"/>
      </w:pPr>
      <w:r>
        <w:t>Investments accounted for using the equity method are initially recognised at c</w:t>
      </w:r>
      <w:r>
        <w:t>ost, with the initial carrying amount subsequently being increased or decreased to recognise further contributions, the EU’s share of the surplus or deficit of the investee, any impairments and dividends. The initial cost together with all movements give t</w:t>
      </w:r>
      <w:r>
        <w:t>he carrying amount of the investment in the financial statements at the balance sheet date. The EU’s share of the investee’s surplus or deficit is recognised in the statement of financial performance, and its share of investee’s movements in equity is reco</w:t>
      </w:r>
      <w:r>
        <w:t>gnised in the reserves within net assets. Distributions received from the investment reduce the carrying amount of the asset.</w:t>
      </w:r>
    </w:p>
    <w:p w:rsidR="00135552" w:rsidRDefault="004C63B0">
      <w:pPr>
        <w:pStyle w:val="DGTextstand-alone"/>
      </w:pPr>
      <w:r>
        <w:t xml:space="preserve">If the EU's share of deficits of an investment accounted for using the equity method equals or exceeds its interest in the </w:t>
      </w:r>
      <w:r>
        <w:t xml:space="preserve">investment, the EU discontinues recognising its share of further losses (‘unrecognised losses’). After the EU’s interest is reduced to zero, additional losses are provided for and a liability is recognised only to the extent that the EU has incurred legal </w:t>
      </w:r>
      <w:r>
        <w:t>or constructive obligation or made payments on behalf of the entity.</w:t>
      </w:r>
    </w:p>
    <w:p w:rsidR="00135552" w:rsidRDefault="004C63B0">
      <w:pPr>
        <w:pStyle w:val="DGTextstand-alone"/>
      </w:pPr>
      <w:r>
        <w:t xml:space="preserve">If there are indications of impairment, a write-down to the lower recoverable amount is necessary. The recoverable amount is determined as described under note </w:t>
      </w:r>
      <w:r>
        <w:rPr>
          <w:b/>
          <w:bCs/>
        </w:rPr>
        <w:t>1.5.3</w:t>
      </w:r>
      <w:r>
        <w:t>. If the reason for im</w:t>
      </w:r>
      <w:r>
        <w:t>pairment ceases to apply at a later date, the impairment loss is reversed to the carrying amount that would have been determined had no impairment loss been recognised.</w:t>
      </w:r>
    </w:p>
    <w:p w:rsidR="00135552" w:rsidRDefault="004C63B0">
      <w:pPr>
        <w:pStyle w:val="DGTextstand-alone"/>
      </w:pPr>
      <w:r>
        <w:t>In cases where the EU holds 20 % or more of an investment capital fund, it does not see</w:t>
      </w:r>
      <w:r>
        <w:t>k to exert significant influence. Such funds are therefore treated as financial instruments and categorised as available for sale financial assets.</w:t>
      </w:r>
    </w:p>
    <w:p w:rsidR="00135552" w:rsidRDefault="004C63B0">
      <w:pPr>
        <w:pStyle w:val="DGTextstand-alone"/>
      </w:pPr>
      <w:r>
        <w:t xml:space="preserve">Associates and joint ventures classified as minor entities (see note </w:t>
      </w:r>
      <w:r>
        <w:rPr>
          <w:b/>
        </w:rPr>
        <w:t>1.3</w:t>
      </w:r>
      <w:r>
        <w:t>) are not accounted for under the eq</w:t>
      </w:r>
      <w:r>
        <w:t xml:space="preserve">uity method. EU contributions to those entities are accounted for as an expense of the period. </w:t>
      </w:r>
    </w:p>
    <w:p w:rsidR="00135552" w:rsidRDefault="004C63B0">
      <w:pPr>
        <w:pStyle w:val="HEADER3NOTES"/>
        <w:keepNext/>
        <w:rPr>
          <w:noProof/>
        </w:rPr>
      </w:pPr>
      <w:r>
        <w:rPr>
          <w:noProof/>
        </w:rPr>
        <w:t>Financial assets</w:t>
      </w:r>
    </w:p>
    <w:p w:rsidR="00135552" w:rsidRDefault="004C63B0">
      <w:pPr>
        <w:pStyle w:val="HEADER5"/>
        <w:rPr>
          <w:b/>
          <w:noProof/>
        </w:rPr>
      </w:pPr>
      <w:r>
        <w:rPr>
          <w:noProof/>
        </w:rPr>
        <w:t>Classification</w:t>
      </w:r>
    </w:p>
    <w:p w:rsidR="00135552" w:rsidRDefault="004C63B0">
      <w:pPr>
        <w:pStyle w:val="DGTextstand-alone"/>
      </w:pPr>
      <w:r>
        <w:t>The EU classifies their financial assets in the categories ‘financial assets at fair value through surplus or deficit’, ‘loans a</w:t>
      </w:r>
      <w:r>
        <w:t>nd receivables’, ‘held-to-maturity investments’ and ‘available for sale financial assets’. The classification of financial instruments is determined at initial recognition and re-evaluated at each balance sheet date.</w:t>
      </w:r>
    </w:p>
    <w:p w:rsidR="00135552" w:rsidRDefault="004C63B0">
      <w:pPr>
        <w:pStyle w:val="TextSubtitlenumberingRCItalic"/>
        <w:ind w:left="357" w:hanging="357"/>
        <w:rPr>
          <w:noProof/>
        </w:rPr>
      </w:pPr>
      <w:r>
        <w:rPr>
          <w:noProof/>
        </w:rPr>
        <w:t xml:space="preserve">Financial assets at fair value through </w:t>
      </w:r>
      <w:r>
        <w:rPr>
          <w:noProof/>
        </w:rPr>
        <w:t>surplus or deficit</w:t>
      </w:r>
    </w:p>
    <w:p w:rsidR="00135552" w:rsidRDefault="004C63B0">
      <w:pPr>
        <w:pStyle w:val="DGTextstand-alone"/>
      </w:pPr>
      <w:r>
        <w:t>A financial asset is classified in the category ‘fair value through surplus or deficit’ if acquired principally for the purpose of being sold in the short term, or if so designated by the entity. Derivatives are also presented in this ca</w:t>
      </w:r>
      <w:r>
        <w:t>tegory. Assets in this category are classified as current assets if they are expected to be realised within 12 months of the balance sheet date.</w:t>
      </w:r>
    </w:p>
    <w:p w:rsidR="00135552" w:rsidRDefault="004C63B0">
      <w:pPr>
        <w:pStyle w:val="TextSubtitlenumberingRCItalic"/>
        <w:keepNext/>
        <w:ind w:left="357" w:hanging="357"/>
        <w:rPr>
          <w:noProof/>
        </w:rPr>
      </w:pPr>
      <w:r>
        <w:rPr>
          <w:noProof/>
        </w:rPr>
        <w:t>Loans and receivables</w:t>
      </w:r>
    </w:p>
    <w:p w:rsidR="00135552" w:rsidRDefault="004C63B0">
      <w:pPr>
        <w:pStyle w:val="DGTextstand-alone"/>
      </w:pPr>
      <w:r>
        <w:t>Loans and receivables are non-derivative financial assets with fixed or determinable paym</w:t>
      </w:r>
      <w:r>
        <w:t>ents that are not quoted in an active market. They arise when the EU provides money, goods or services directly to a debtor with no intention of trading the receivable, or in case the EU is subrogated to the rights of the original lender following a paymen</w:t>
      </w:r>
      <w:r>
        <w:t>t made by the EU under a guarantee contract. Payments due within 12 months of the balance sheet date are classified as current assets. Payments due after 12 months from the balance sheet date are classified as non-current assets. Loans and receivables incl</w:t>
      </w:r>
      <w:r>
        <w:t>ude term deposits with the original maturity above three months.</w:t>
      </w:r>
    </w:p>
    <w:p w:rsidR="00135552" w:rsidRDefault="004C63B0">
      <w:pPr>
        <w:pStyle w:val="TextSubtitlenumberingRCItalic"/>
        <w:ind w:left="357" w:hanging="357"/>
        <w:rPr>
          <w:noProof/>
        </w:rPr>
      </w:pPr>
      <w:r>
        <w:rPr>
          <w:noProof/>
        </w:rPr>
        <w:t>Held-to-maturity investments</w:t>
      </w:r>
    </w:p>
    <w:p w:rsidR="00135552" w:rsidRDefault="004C63B0">
      <w:pPr>
        <w:pStyle w:val="DGTextstand-alone"/>
      </w:pPr>
      <w:r>
        <w:t>Held-to-maturity investments are non-derivative financial assets with fixed or determinable payments and fixed maturities that the EU has the positive intention a</w:t>
      </w:r>
      <w:r>
        <w:t xml:space="preserve">nd ability to hold to maturity. During this financial year, the EU did not hold any investments in this category. </w:t>
      </w:r>
    </w:p>
    <w:p w:rsidR="00135552" w:rsidRDefault="004C63B0">
      <w:pPr>
        <w:pStyle w:val="TextSubtitlenumberingRCItalic"/>
        <w:ind w:left="357" w:hanging="357"/>
        <w:rPr>
          <w:noProof/>
        </w:rPr>
      </w:pPr>
      <w:r>
        <w:rPr>
          <w:noProof/>
        </w:rPr>
        <w:t>Available for sale financial assets</w:t>
      </w:r>
    </w:p>
    <w:p w:rsidR="00135552" w:rsidRDefault="004C63B0">
      <w:pPr>
        <w:pStyle w:val="DGTextstand-alone"/>
      </w:pPr>
      <w:r>
        <w:t>Available for sale financial assets are non-derivatives that are either designated in this category or no</w:t>
      </w:r>
      <w:r>
        <w:t xml:space="preserve">t classified in any of the other categories. They are classified as either current or non-current assets, depending on the period of time the EU expects to hold them. Investments in entities that are neither consolidated nor accounted for using the equity </w:t>
      </w:r>
      <w:r>
        <w:t>method and other equity-type investments (e.g. Risk Capital Operations) are also classified as available for sale financial assets.</w:t>
      </w:r>
    </w:p>
    <w:p w:rsidR="00135552" w:rsidRDefault="004C63B0">
      <w:pPr>
        <w:pStyle w:val="HEADER5"/>
        <w:rPr>
          <w:b/>
          <w:noProof/>
        </w:rPr>
      </w:pPr>
      <w:r>
        <w:rPr>
          <w:noProof/>
        </w:rPr>
        <w:t>Initial recognition and measurement</w:t>
      </w:r>
    </w:p>
    <w:p w:rsidR="00135552" w:rsidRDefault="004C63B0">
      <w:pPr>
        <w:pStyle w:val="DGTextstand-alone"/>
      </w:pPr>
      <w:r>
        <w:t xml:space="preserve">Purchases and sales of financial assets classified as ‘at fair value through surplus or </w:t>
      </w:r>
      <w:r>
        <w:t>deficit, ‘held-to-maturity’ or ‘available for sale’ are recognised on their trade-date – the date on which the EU commits to purchase or sell the asset. Cash equivalents and loans are recognised when cash is deposited in a financial institution or advanced</w:t>
      </w:r>
      <w:r>
        <w:t xml:space="preserve"> to borrowers. Financial instruments are initially recognised at fair value. For all financial assets not carried at fair value through surplus or deficit, transactions costs are added to the fair value at initial recognition. Financial assets carried at f</w:t>
      </w:r>
      <w:r>
        <w:t>air value through surplus or deficit are initially recognised at fair value and transaction costs are expensed in the statement of financial performance.</w:t>
      </w:r>
    </w:p>
    <w:p w:rsidR="00135552" w:rsidRDefault="004C63B0">
      <w:pPr>
        <w:pStyle w:val="DGTextstand-alone"/>
      </w:pPr>
      <w:r>
        <w:t>The fair value of a financial asset on initial recognition is normally the transaction price (i.e. the</w:t>
      </w:r>
      <w:r>
        <w:t xml:space="preserve"> fair value of the consideration received), unless the fair value of that instrument is evidenced by comparison with other observable current market transactions in the same instrument or based on a valuation technique whose variables include only data fro</w:t>
      </w:r>
      <w:r>
        <w:t>m observable markets (e.g. in case of some derivative contracts). However, when a long-term loan that carries no interest or an interest below market conditions is granted, its fair value can be estimated as the present value of all future cash receipts di</w:t>
      </w:r>
      <w:r>
        <w:t>scounted using the prevailing market rate of interest for a similar instrument with a similar credit rating.</w:t>
      </w:r>
    </w:p>
    <w:p w:rsidR="00135552" w:rsidRDefault="004C63B0">
      <w:pPr>
        <w:pStyle w:val="DGTextstand-alone"/>
      </w:pPr>
      <w:r>
        <w:t>Loans granted are measured at their nominal amount, which is considered to be the fair value of the loan. The reasoning for this is as follows:</w:t>
      </w:r>
    </w:p>
    <w:p w:rsidR="00135552" w:rsidRDefault="004C63B0">
      <w:pPr>
        <w:pStyle w:val="DGTextstand-alone"/>
        <w:numPr>
          <w:ilvl w:val="0"/>
          <w:numId w:val="24"/>
        </w:numPr>
      </w:pPr>
      <w:r>
        <w:t>The</w:t>
      </w:r>
      <w:r>
        <w:t xml:space="preserve"> ‘market environment’ for EU lending is very specific and different from the capital market used to issue commercial or government bonds. As lenders in these markets have the opportunity to choose alternative investments, the opportunity possibility is fac</w:t>
      </w:r>
      <w:r>
        <w:t>tored into market prices. However, this opportunity for alternative investments does not exist for the EU, which is not allowed to invest money on the capital markets; it only borrows funds for the purpose of lending at the same rate. This means that there</w:t>
      </w:r>
      <w:r>
        <w:t xml:space="preserve"> is no alternative lending or investment option available to the EU for the sums borrowed. Thus, there is no opportunity cost and therefore no basis of comparison with market rates. In fact, the EU lending operation itself represents the market. Essentiall</w:t>
      </w:r>
      <w:r>
        <w:t>y, since the opportunity cost ‘option’ is not applicable, the market price does not fairly reflect the substance of the EU lending transactions. Therefore, it is not appropriate to determine the fair value of EU lending with reference to commercial or gove</w:t>
      </w:r>
      <w:r>
        <w:t>rnment bonds.</w:t>
      </w:r>
    </w:p>
    <w:p w:rsidR="00135552" w:rsidRDefault="004C63B0">
      <w:pPr>
        <w:pStyle w:val="DGTextstand-alone"/>
        <w:numPr>
          <w:ilvl w:val="0"/>
          <w:numId w:val="24"/>
        </w:numPr>
      </w:pPr>
      <w:r>
        <w:t>Furthermore, as there is no active market or similar transactions to compare with, the interest rate to be used by the EU for fair valuing its lending operations under the EFSM, BOP and other such loans, should be the interest rate charged.</w:t>
      </w:r>
    </w:p>
    <w:p w:rsidR="00135552" w:rsidRDefault="004C63B0">
      <w:pPr>
        <w:pStyle w:val="DGTextstand-alone"/>
        <w:numPr>
          <w:ilvl w:val="0"/>
          <w:numId w:val="24"/>
        </w:numPr>
      </w:pPr>
      <w:r>
        <w:t>I</w:t>
      </w:r>
      <w:r>
        <w:t>n addition, for these loans, there are compensating effects between loans and borrowings due to their back-to-back character. Thus, the effective interest for the loan equals the effective interest rate for the related borrowings. The transaction costs inc</w:t>
      </w:r>
      <w:r>
        <w:t>urred by the EU and then recharged to the beneficiary of the loan are directly recognised in the statement of financial performance.</w:t>
      </w:r>
    </w:p>
    <w:p w:rsidR="00135552" w:rsidRDefault="004C63B0">
      <w:pPr>
        <w:pStyle w:val="DGTextstand-alone"/>
      </w:pPr>
      <w:r>
        <w:t>Financial instruments are derecognised when the rights to receive cashflows from the investments have expired or the EU has</w:t>
      </w:r>
      <w:r>
        <w:t xml:space="preserve"> transferred substantially all risks and rewards of ownership to another party.</w:t>
      </w:r>
    </w:p>
    <w:p w:rsidR="00135552" w:rsidRDefault="004C63B0">
      <w:pPr>
        <w:pStyle w:val="HEADER5"/>
        <w:rPr>
          <w:noProof/>
        </w:rPr>
      </w:pPr>
      <w:r>
        <w:rPr>
          <w:noProof/>
        </w:rPr>
        <w:t>Subsequent measurement</w:t>
      </w:r>
    </w:p>
    <w:p w:rsidR="00135552" w:rsidRDefault="004C63B0">
      <w:pPr>
        <w:pStyle w:val="DGTextstand-alone"/>
        <w:numPr>
          <w:ilvl w:val="0"/>
          <w:numId w:val="25"/>
        </w:numPr>
      </w:pPr>
      <w:r>
        <w:t>Financial assets at fair value through surplus or deficit are subsequently carried at fair value. Gains and losses arising from changes in the fair value</w:t>
      </w:r>
      <w:r>
        <w:t xml:space="preserve"> of the ‘financial instruments at fair value through surplus or deficit’ category are included in the statement of financial performance in the period in which they arise.</w:t>
      </w:r>
    </w:p>
    <w:p w:rsidR="00135552" w:rsidRDefault="004C63B0">
      <w:pPr>
        <w:pStyle w:val="DGTextstand-alone"/>
        <w:numPr>
          <w:ilvl w:val="0"/>
          <w:numId w:val="25"/>
        </w:numPr>
      </w:pPr>
      <w:r>
        <w:t xml:space="preserve">Loans and receivables are carried at amortised cost using the effective interest </w:t>
      </w:r>
      <w:r>
        <w:t>method. In the case of loans granted on borrowed funds, the same effective interest rate is applied to both the loans and borrowings since these loans have the characteristics of ‘back-to-back operations’ and the differences between the loan and the borrow</w:t>
      </w:r>
      <w:r>
        <w:t>ing conditions and amounts are not material. The transaction costs incurred by the EU and then recharged to the beneficiary of the loan are directly recognised in the statement of financial performance.</w:t>
      </w:r>
    </w:p>
    <w:p w:rsidR="00135552" w:rsidRDefault="004C63B0">
      <w:pPr>
        <w:pStyle w:val="DGTextstand-alone"/>
        <w:numPr>
          <w:ilvl w:val="0"/>
          <w:numId w:val="25"/>
        </w:numPr>
      </w:pPr>
      <w:r>
        <w:t>Held to maturity assets are carried at amortised cost</w:t>
      </w:r>
      <w:r>
        <w:t xml:space="preserve"> using the effective interest method. The EU currently holds no held to maturity investments.</w:t>
      </w:r>
    </w:p>
    <w:p w:rsidR="00135552" w:rsidRDefault="004C63B0">
      <w:pPr>
        <w:pStyle w:val="DGTextstand-alone"/>
        <w:numPr>
          <w:ilvl w:val="0"/>
          <w:numId w:val="25"/>
        </w:numPr>
      </w:pPr>
      <w:r>
        <w:t>Available for sale financial assets are subsequently carried at fair value. Gains and losses arising from changes in the fair value of available for sale financia</w:t>
      </w:r>
      <w:r>
        <w:t>l assets are recognised in the fair value reserve, except for translation differences on monetary assets, which are recognised in the statement of financial performance. When assets classified as available for sale financial assets are derecognised or impa</w:t>
      </w:r>
      <w:r>
        <w:t>ired, the cumulative fair value adjustments previously recognised in the fair value reserve are recognised in the statement of financial performance. Interest on available for sale financial assets calculated using the effective interest method is recognis</w:t>
      </w:r>
      <w:r>
        <w:t>ed in the statement of financial performance. Dividends on available for sale equity instruments are recognised when the EU’s right to receive payment is established.</w:t>
      </w:r>
    </w:p>
    <w:p w:rsidR="00135552" w:rsidRDefault="004C63B0">
      <w:pPr>
        <w:pStyle w:val="DGTextstand-alone"/>
      </w:pPr>
      <w:r>
        <w:t xml:space="preserve">The fair values of quoted investments in active markets are based on current bid prices. </w:t>
      </w:r>
      <w:r>
        <w:t>If the market for a financial asset is not active (and for unlisted securities and over-the–counter derivatives), the EU establishes a fair value by using valuation techniques. These include the use of recent arm’s length transactions, reference to other i</w:t>
      </w:r>
      <w:r>
        <w:t xml:space="preserve">nstruments that are substantially the same, discounted cashflow analysis, option pricing models and other valuation techniques commonly used by market participants. </w:t>
      </w:r>
    </w:p>
    <w:p w:rsidR="00135552" w:rsidRDefault="004C63B0">
      <w:pPr>
        <w:pStyle w:val="DGTextstand-alone"/>
      </w:pPr>
      <w:r>
        <w:t>Investments in Venture Capital Funds, classified as available for sale financial assets, w</w:t>
      </w:r>
      <w:r>
        <w:t>hich do not have a quoted market price in an active market are valued at the attributable net asset value, which is considered as an equivalent of their fair value.</w:t>
      </w:r>
    </w:p>
    <w:p w:rsidR="00135552" w:rsidRDefault="004C63B0">
      <w:pPr>
        <w:pStyle w:val="DGTextstand-alone"/>
      </w:pPr>
      <w:r>
        <w:t>In cases where the fair value of investments in equity instruments that do not have a quote</w:t>
      </w:r>
      <w:r>
        <w:t>d market price in an active market cannot be reliably measured, these investments are valued at cost less impairment losses.</w:t>
      </w:r>
    </w:p>
    <w:p w:rsidR="00135552" w:rsidRDefault="004C63B0">
      <w:pPr>
        <w:pStyle w:val="HEADER5"/>
        <w:rPr>
          <w:b/>
          <w:noProof/>
        </w:rPr>
      </w:pPr>
      <w:r>
        <w:rPr>
          <w:noProof/>
        </w:rPr>
        <w:t>Impairment of financial assets</w:t>
      </w:r>
    </w:p>
    <w:p w:rsidR="00135552" w:rsidRDefault="004C63B0">
      <w:pPr>
        <w:pStyle w:val="DGTextstand-alone"/>
      </w:pPr>
      <w:r>
        <w:t xml:space="preserve">A financial asset is impaired and a loss is recognised if, and only if, there is objective evidence </w:t>
      </w:r>
      <w:r>
        <w:t xml:space="preserve">of impairment as a result of one or more events that occurred after the initial recognition of the asset and that loss event (or events) has an impact on the estimated future cashflows of the financial asset that can be reliably estimated. The EU assesses </w:t>
      </w:r>
      <w:r>
        <w:t>at each reporting date whether there is objective evidence that a financial asset is impaired.</w:t>
      </w:r>
    </w:p>
    <w:p w:rsidR="00135552" w:rsidRDefault="004C63B0">
      <w:pPr>
        <w:pStyle w:val="TextSubtitleItalicnumberinglettera"/>
        <w:ind w:left="0" w:firstLine="0"/>
        <w:rPr>
          <w:noProof/>
        </w:rPr>
      </w:pPr>
      <w:r>
        <w:rPr>
          <w:noProof/>
        </w:rPr>
        <w:t>Assets carried at amortised cost</w:t>
      </w:r>
    </w:p>
    <w:p w:rsidR="00135552" w:rsidRDefault="004C63B0">
      <w:pPr>
        <w:pStyle w:val="DGTextstand-alone"/>
      </w:pPr>
      <w:r>
        <w:t>If there is objective evidence that an impairment loss on loans and receivables or held-to-maturity investments carried at amort</w:t>
      </w:r>
      <w:r>
        <w:t>ised cost has been incurred, the amount of the loss is measured as the difference between the asset’s carrying amount and the present value of estimated future cashflows (excluding future credit losses that have not been incurred) discounted at the financi</w:t>
      </w:r>
      <w:r>
        <w:t>al asset’s original effective interest rate. The carrying amount of the asset is reduced and the amount of the loss is recognised in the statement of financial performance. If a loan or held-to-maturity investment has a variable interest rate, the discount</w:t>
      </w:r>
      <w:r>
        <w:t xml:space="preserve"> rate for measuring any impairment loss is the current effective interest rate determined under the contract. The calculation of the present value of the estimated future cashflows of a collateralised financial asset reflects the cashflows that may result </w:t>
      </w:r>
      <w:r>
        <w:t>from foreclosure less costs for obtaining and selling the collateral, whether or not foreclosure is probable. If, in a subsequent period, the amount of the impairment loss decreases and the decrease can be related objectively to an event occurring after th</w:t>
      </w:r>
      <w:r>
        <w:t>e impairment was recognised, the previously recognised impairment loss is reversed through the statement of financial performance.</w:t>
      </w:r>
    </w:p>
    <w:p w:rsidR="00135552" w:rsidRDefault="004C63B0">
      <w:pPr>
        <w:pStyle w:val="TextSubtitleItalicnumberinglettera"/>
        <w:ind w:left="0" w:firstLine="0"/>
        <w:rPr>
          <w:noProof/>
        </w:rPr>
      </w:pPr>
      <w:r>
        <w:rPr>
          <w:noProof/>
        </w:rPr>
        <w:t>Assets carried at fair value</w:t>
      </w:r>
    </w:p>
    <w:p w:rsidR="00135552" w:rsidRDefault="004C63B0">
      <w:pPr>
        <w:pStyle w:val="DGTextstand-alone"/>
      </w:pPr>
      <w:r>
        <w:t xml:space="preserve">In the case of equity investments classified as available for sale financial assets, a </w:t>
      </w:r>
      <w:r>
        <w:t>significant or permanent (prolonged) decline in the fair value of the security below its cost is considered in determining whether the securities are impaired. If any such evidence exists for available for sale financial assets, the cumulative loss – measu</w:t>
      </w:r>
      <w:r>
        <w:t>red as the difference between the acquisition cost and the current fair value, less any impairment loss on that financial asset previously recognised in the statement of financial performance – is removed from reserves and recognised in the statement of fi</w:t>
      </w:r>
      <w:r>
        <w:t>nancial performance. Impairment losses recognised in the statement of financial performance on equity instruments are not reversed through the statement of financial performance. If, in a subsequent period, the fair value of a debt instrument classified as</w:t>
      </w:r>
      <w:r>
        <w:t xml:space="preserve"> available for sale financial asset increases and the increase can be objectively related to an event occurring after the impairment loss was recognised, the impairment loss is reversed through the statement of financial performance.</w:t>
      </w:r>
    </w:p>
    <w:p w:rsidR="00135552" w:rsidRDefault="004C63B0">
      <w:pPr>
        <w:pStyle w:val="HEADER3NOTES"/>
        <w:rPr>
          <w:noProof/>
        </w:rPr>
      </w:pPr>
      <w:r>
        <w:rPr>
          <w:noProof/>
        </w:rPr>
        <w:t>Inventories</w:t>
      </w:r>
    </w:p>
    <w:p w:rsidR="00135552" w:rsidRDefault="004C63B0">
      <w:pPr>
        <w:pStyle w:val="DGTextstand-alone"/>
        <w:spacing w:after="0"/>
      </w:pPr>
      <w:r>
        <w:t>Inventorie</w:t>
      </w:r>
      <w:r>
        <w:t>s are stated at the lower of cost and net realisable value. Cost is determined using the first-in, first-out (FIFO) method. The cost of finished goods and work in progress comprises raw materials, direct labour, other directly attributable costs and relate</w:t>
      </w:r>
      <w:r>
        <w:t xml:space="preserve">d production overheads (based on normal operating capacity). Net realisable value is the estimated selling price in the ordinary course of business, less the costs of completion and selling expenses. When inventories are held for distribution at no charge </w:t>
      </w:r>
      <w:r>
        <w:t>or for a nominal charge, they are measured at the lower of cost and current replacement cost. Current replacement cost is the cost the EU would incur to acquire the asset on the reporting date.</w:t>
      </w:r>
    </w:p>
    <w:p w:rsidR="00135552" w:rsidRDefault="004C63B0">
      <w:pPr>
        <w:pStyle w:val="HEADER3NOTES"/>
        <w:rPr>
          <w:noProof/>
        </w:rPr>
      </w:pPr>
      <w:r>
        <w:rPr>
          <w:noProof/>
        </w:rPr>
        <w:t>Pre-financing amounts</w:t>
      </w:r>
    </w:p>
    <w:p w:rsidR="00135552" w:rsidRDefault="004C63B0">
      <w:pPr>
        <w:pStyle w:val="DGTextstand-alone"/>
      </w:pPr>
      <w:r>
        <w:t>Pre-financing is a payment intended to p</w:t>
      </w:r>
      <w:r>
        <w:t>rovide the beneficiary with a cash advance, i.e. a float. It may be split into a number of payments over a period defined in the particular contract, decision, agreement or basic legal act. The float or advance is either used for the purpose for which it w</w:t>
      </w:r>
      <w:r>
        <w:t xml:space="preserve">as provided during the period defined in the agreement or it is repaid. If the beneficiary does not incur eligible expenditure, they have the obligation to return the pre-financing advance to the EU. As the EU retains control over the pre-financing and is </w:t>
      </w:r>
      <w:r>
        <w:t xml:space="preserve">entitled to a refund for the ineligible part, the amount is presented as an asset. </w:t>
      </w:r>
    </w:p>
    <w:p w:rsidR="00135552" w:rsidRDefault="004C63B0">
      <w:pPr>
        <w:pStyle w:val="DGTextstand-alone"/>
      </w:pPr>
      <w:r>
        <w:t>Pre-financing is initially recognised on the balance sheet when cash is transferred to the recipient. It is measured at the amount of the consideration given. In subsequent</w:t>
      </w:r>
      <w:r>
        <w:t xml:space="preserve"> periods pre-financing is measured at the amount initially recognised on the balance sheet less the eligible expenses (including estimated amounts where necessary) incurred during the period.</w:t>
      </w:r>
    </w:p>
    <w:p w:rsidR="00135552" w:rsidRDefault="004C63B0">
      <w:pPr>
        <w:pStyle w:val="DGTextstand-alone"/>
      </w:pPr>
      <w:r>
        <w:t>Interest on pre-financing is recognised as it is earned in accor</w:t>
      </w:r>
      <w:r>
        <w:t>dance with the provisions of the relevant agreement. An estimate of the accrued interest revenue, based on the most reliable information, is made at the year-end and included in the balance sheet.</w:t>
      </w:r>
    </w:p>
    <w:p w:rsidR="00135552" w:rsidRDefault="004C63B0">
      <w:pPr>
        <w:pStyle w:val="DGTextstand-alone"/>
      </w:pPr>
      <w:r>
        <w:t>Other advances to Member States which originate from reimbu</w:t>
      </w:r>
      <w:r>
        <w:t xml:space="preserve">rsement by the EU of amounts paid as advances by the Member States to their beneficiaries (including ‘financial instruments under shared management’) are recognised as assets and presented under the heading ‘Pre-financing’. Other advances to Member States </w:t>
      </w:r>
      <w:r>
        <w:t>are subsequently measured at the amount initially recognised on the balance sheet less a best estimate of the eligible expenses incurred by final beneficiaries, calculated on the basis of reasonable and supportable assumptions.</w:t>
      </w:r>
    </w:p>
    <w:p w:rsidR="00135552" w:rsidRDefault="004C63B0">
      <w:pPr>
        <w:pStyle w:val="DGTextstand-alone"/>
      </w:pPr>
      <w:r>
        <w:t xml:space="preserve">The EU contributions to the </w:t>
      </w:r>
      <w:r>
        <w:t>trust funds of the European Development Fund or other unconsolidated entities are also classified as pre-financing since their purpose is to give a float to the trust fund to allow it to finance specific actions defined under the trust fund’s objectives. T</w:t>
      </w:r>
      <w:r>
        <w:t>he EU contributions to trust funds are measured at the initial amount of the EU contribution less eligible expenses, including estimated amounts where necessary, incurred by the trust fund during the reporting period and allocated to the EU contribution in</w:t>
      </w:r>
      <w:r>
        <w:t xml:space="preserve"> accordance with the underlying agreement.</w:t>
      </w:r>
    </w:p>
    <w:p w:rsidR="00135552" w:rsidRDefault="004C63B0">
      <w:pPr>
        <w:pStyle w:val="HEADER3NOTES"/>
        <w:rPr>
          <w:noProof/>
        </w:rPr>
      </w:pPr>
      <w:r>
        <w:rPr>
          <w:noProof/>
        </w:rPr>
        <w:t>Exchange receivables and non-exchange recoverables</w:t>
      </w:r>
    </w:p>
    <w:p w:rsidR="00135552" w:rsidRDefault="004C63B0">
      <w:pPr>
        <w:pStyle w:val="DGTextstand-alone"/>
      </w:pPr>
      <w:r>
        <w:t>The EU Accounting Rules require a separate presentation of exchange and non-exchange transactions. To distinguish between the two categories, the term ‘receivable</w:t>
      </w:r>
      <w:r>
        <w:t>s’ is reserved for exchange transactions, whereas for ‘non-exchange transactions’, i.e. when the EU receives value from another entity without directly giving approximately equal value in exchange, the term ‘recoverables’ is used (e.g. recoverables from Me</w:t>
      </w:r>
      <w:r>
        <w:t>mber States related to own resources).</w:t>
      </w:r>
    </w:p>
    <w:p w:rsidR="00135552" w:rsidRDefault="004C63B0">
      <w:pPr>
        <w:pStyle w:val="DGTextstand-alone"/>
      </w:pPr>
      <w:r>
        <w:t xml:space="preserve">Receivables from exchange transactions meet the definition of financial instruments and are thus classified as loans and receivables and measured accordingly (see note </w:t>
      </w:r>
      <w:r>
        <w:rPr>
          <w:b/>
        </w:rPr>
        <w:t>1.5.5</w:t>
      </w:r>
      <w:r>
        <w:t>). The financial instruments notes disclosur</w:t>
      </w:r>
      <w:r>
        <w:t>es concerning receivables from exchange transactions include accrued revenue and deferred charges from exchange transactions, as they are not material. A general write-down based on past experience is made for outstanding recovery orders not already subjec</w:t>
      </w:r>
      <w:r>
        <w:t>t to a specific write-down.</w:t>
      </w:r>
    </w:p>
    <w:p w:rsidR="00135552" w:rsidRDefault="004C63B0">
      <w:pPr>
        <w:pStyle w:val="DGTextstand-alone"/>
        <w:spacing w:after="0"/>
      </w:pPr>
      <w:r>
        <w:t>Recoverables from non-exchange transactions are carried at fair value as at the date of acquisition (adjusted for interest and penalties) less write-down for impairment. A write-down for impairment of recoverables from non-excha</w:t>
      </w:r>
      <w:r>
        <w:t xml:space="preserve">nge transactions is established when there is objective evidence that the EU will not be able to collect all amounts due according to the original terms of recoverables from non-exchange transactions. The amount of the write-down is the difference between </w:t>
      </w:r>
      <w:r>
        <w:t>the asset’s carrying amount and the recoverable amount. The amount of the write-down is recognised in the statement of financial performance. A general write-down, based on past experience, is also made for outstanding recovery orders not already subject t</w:t>
      </w:r>
      <w:r>
        <w:t xml:space="preserve">o a specific write-down. See note </w:t>
      </w:r>
      <w:r>
        <w:rPr>
          <w:b/>
        </w:rPr>
        <w:t>1.5.14</w:t>
      </w:r>
      <w:r>
        <w:t xml:space="preserve"> concerning the treatment of accrued revenue at year-end. Amounts displayed and disclosed as recoverables from non-exchanges transactions are not financial instruments, as they do not arise from a contract that would</w:t>
      </w:r>
      <w:r>
        <w:t xml:space="preserve"> give rise to a financial liability or equity instrument. However, in the notes to the financial statements recoverables from non-exchange transactions are disclosed together with receivables from exchange transactions where appropriate.</w:t>
      </w:r>
    </w:p>
    <w:p w:rsidR="00135552" w:rsidRDefault="004C63B0">
      <w:pPr>
        <w:pStyle w:val="HEADER3NOTES"/>
        <w:rPr>
          <w:noProof/>
        </w:rPr>
      </w:pPr>
      <w:r>
        <w:rPr>
          <w:noProof/>
        </w:rPr>
        <w:t>Cash and cash equi</w:t>
      </w:r>
      <w:r>
        <w:rPr>
          <w:noProof/>
        </w:rPr>
        <w:t>valents</w:t>
      </w:r>
    </w:p>
    <w:p w:rsidR="00135552" w:rsidRDefault="004C63B0">
      <w:pPr>
        <w:pStyle w:val="DGTextstand-alone"/>
      </w:pPr>
      <w:r>
        <w:t>Cash and cash equivalents are financial instruments and include cash at hand, deposits held at call or at short notice with banks and other short-term highly liquid investments with original maturities of three months or less.</w:t>
      </w:r>
    </w:p>
    <w:p w:rsidR="00135552" w:rsidRDefault="004C63B0">
      <w:pPr>
        <w:rPr>
          <w:rFonts w:ascii="Verdana" w:hAnsi="Verdana"/>
          <w:noProof/>
          <w:color w:val="016794"/>
          <w:sz w:val="20"/>
          <w:szCs w:val="20"/>
        </w:rPr>
      </w:pPr>
      <w:r>
        <w:rPr>
          <w:noProof/>
        </w:rPr>
        <w:br w:type="page"/>
      </w:r>
    </w:p>
    <w:p w:rsidR="00135552" w:rsidRDefault="004C63B0">
      <w:pPr>
        <w:pStyle w:val="HEADER3NOTES"/>
        <w:rPr>
          <w:noProof/>
        </w:rPr>
      </w:pPr>
      <w:r>
        <w:rPr>
          <w:noProof/>
        </w:rPr>
        <w:t>Employee benefits</w:t>
      </w:r>
    </w:p>
    <w:p w:rsidR="00135552" w:rsidRDefault="004C63B0">
      <w:pPr>
        <w:pStyle w:val="DGTextstand-alone"/>
      </w:pPr>
      <w:r>
        <w:t>The EU provides a set of benefits (emoluments and social security) to employees. For accounting purposes these have to be classified into short-term and post-employment benefits.</w:t>
      </w:r>
    </w:p>
    <w:p w:rsidR="00135552" w:rsidRDefault="004C63B0">
      <w:pPr>
        <w:pStyle w:val="HEADER5"/>
        <w:rPr>
          <w:b/>
          <w:noProof/>
        </w:rPr>
      </w:pPr>
      <w:r>
        <w:rPr>
          <w:noProof/>
        </w:rPr>
        <w:t>Short-term employee benefits</w:t>
      </w:r>
    </w:p>
    <w:p w:rsidR="00135552" w:rsidRDefault="004C63B0">
      <w:pPr>
        <w:pStyle w:val="DGTextstand-alone"/>
      </w:pPr>
      <w:r>
        <w:t xml:space="preserve">Short-term employee benefits are those benefits </w:t>
      </w:r>
      <w:r>
        <w:t xml:space="preserve">due to be settled before twelve months after the end of the reporting period in which employees rendered the service, such as salaries, annual and paid sick leaves, and other short-term allowances. Short-term employee benefits are recognised as an expense </w:t>
      </w:r>
      <w:r>
        <w:t>when the related service is provided. A liability is recognised for the amount expected to be paid if the EU has a present legal or constructive obligation to pay as a result of past service provided by the employee and the obligation can be estimated reli</w:t>
      </w:r>
      <w:r>
        <w:t>ably.</w:t>
      </w:r>
    </w:p>
    <w:p w:rsidR="00135552" w:rsidRDefault="004C63B0">
      <w:pPr>
        <w:pStyle w:val="HEADER5"/>
        <w:rPr>
          <w:b/>
          <w:noProof/>
        </w:rPr>
      </w:pPr>
      <w:r>
        <w:rPr>
          <w:noProof/>
        </w:rPr>
        <w:t>Post-employment benefits</w:t>
      </w:r>
    </w:p>
    <w:p w:rsidR="00135552" w:rsidRDefault="004C63B0">
      <w:pPr>
        <w:pStyle w:val="DGTextstand-alone"/>
      </w:pPr>
      <w:r>
        <w:t>The EU grants a set of post-employment benefits to employees, which include retirement, invalidity and survival pensions provided under the Pension Scheme of the European Officials (PSEO), as well as medical coverage provided</w:t>
      </w:r>
      <w:r>
        <w:t xml:space="preserve"> under the Joint Sickness Insurance Scheme (JSIS) (see note </w:t>
      </w:r>
      <w:r>
        <w:rPr>
          <w:b/>
        </w:rPr>
        <w:t>2.9</w:t>
      </w:r>
      <w:r>
        <w:t>). These benefits are provided under a single plan – although split in two schemes – and they must be treated similarly so as to give a fair presentation of the situation and reflect the econom</w:t>
      </w:r>
      <w:r>
        <w:t>ic reality:</w:t>
      </w:r>
    </w:p>
    <w:p w:rsidR="00135552" w:rsidRDefault="004C63B0">
      <w:pPr>
        <w:pStyle w:val="DGTextstand-alone"/>
        <w:numPr>
          <w:ilvl w:val="0"/>
          <w:numId w:val="26"/>
        </w:numPr>
      </w:pPr>
      <w:r>
        <w:t>Pension Scheme of European Officials (PSEO): The benefits granted under this notionally funded</w:t>
      </w:r>
      <w:r>
        <w:rPr>
          <w:rStyle w:val="FootnoteReference"/>
        </w:rPr>
        <w:footnoteReference w:id="12"/>
      </w:r>
      <w:r>
        <w:t xml:space="preserve"> scheme relate to seniority, invalidity and survival, as well as, family allowances, death before retirement to those employees that work or worked i</w:t>
      </w:r>
      <w:r>
        <w:t xml:space="preserve">n the EU Institutions, Agencies and other EU bodies or are survivors of deceased officials or pensioners. Staff contribute one third of the expected cost of these benefits from their salaries. </w:t>
      </w:r>
    </w:p>
    <w:p w:rsidR="00135552" w:rsidRDefault="004C63B0">
      <w:pPr>
        <w:pStyle w:val="DGTextstand-alone"/>
        <w:numPr>
          <w:ilvl w:val="0"/>
          <w:numId w:val="26"/>
        </w:numPr>
      </w:pPr>
      <w:r>
        <w:t>Joint Sickness Insurance Scheme (JSIS): Under this scheme, the</w:t>
      </w:r>
      <w:r>
        <w:t xml:space="preserve"> EU provides health coverage for staff of the European Commission, Institutions, Agencies and other EU bodies through the reimbursement of medical expenses. The benefits granted to the ‘inactives’ of this scheme (i.e. pensioners, orphans, etc.) are classif</w:t>
      </w:r>
      <w:r>
        <w:t>ied as post-employment benefits.</w:t>
      </w:r>
    </w:p>
    <w:p w:rsidR="00135552" w:rsidRDefault="004C63B0">
      <w:pPr>
        <w:pStyle w:val="DGTextstand-alone"/>
      </w:pPr>
      <w:r>
        <w:t>The EU also provides post-employment benefits to members of the EU institutions via separate pension schemes. These are shown under the heading ‘Other retirement benefit schemes’. Under these schemes the EU provides pension</w:t>
      </w:r>
      <w:r>
        <w:t xml:space="preserve"> benefits to members of the Commission, Court of Justice and General Court, Court of Auditors, Council, European Parliament, Ombudsman, Data Protection Supervisor, Civil Service Tribunal. The EU provides health coverage to the members of the EU Institution</w:t>
      </w:r>
      <w:r>
        <w:t xml:space="preserve">s via the JSIS. </w:t>
      </w:r>
    </w:p>
    <w:p w:rsidR="00135552" w:rsidRDefault="004C63B0">
      <w:pPr>
        <w:pStyle w:val="DGTextstand-alone"/>
      </w:pPr>
      <w:r>
        <w:t>The above post-employment benefits qualify as defined benefit obligations of the EU and are calculated at each reporting date by estimating the amount of future benefit that employees have earned in the current and prior periods, discounti</w:t>
      </w:r>
      <w:r>
        <w:t>ng that amount and deducting the fair value of any plan assets. The calculation of defined benefit obligation is performed annually using the projected unit credit method. The present value of the defined benefit obligation is determined by discounting the</w:t>
      </w:r>
      <w:r>
        <w:t xml:space="preserve"> estimated future cash outflows using interest rates of government bonds that are denominated in the currency in which the benefits will be paid, and that have terms to maturity approximating to the terms of the related pension liability.</w:t>
      </w:r>
    </w:p>
    <w:p w:rsidR="00135552" w:rsidRDefault="004C63B0">
      <w:pPr>
        <w:pStyle w:val="DGTextstand-alone"/>
      </w:pPr>
      <w:r>
        <w:t>The post-employme</w:t>
      </w:r>
      <w:r>
        <w:t>nt benefits provided to EU staff are incorporated in a single plan comprising both a pension scheme (PSEO) and a sickness insurance scheme (JSIS), with the right to coverage under the JSIS scheme being dependent on having acquired the right to coverage und</w:t>
      </w:r>
      <w:r>
        <w:t xml:space="preserve">er the PSEO scheme. Under the terms of this single plan, as set out in the Staff Regulation, certain entitlements, such as the right to a deferred and reduced pension under the PSEO scheme, are acquired after 10 years of service. However, the entitlements </w:t>
      </w:r>
      <w:r>
        <w:t xml:space="preserve">acquired under the single plan by the employee’s subsequent service are materially higher than those initial entitlements as reflected by subsequent annually accrued pension rights. </w:t>
      </w:r>
    </w:p>
    <w:p w:rsidR="00135552" w:rsidRDefault="004C63B0">
      <w:pPr>
        <w:pStyle w:val="DGTextstand-alone"/>
      </w:pPr>
      <w:r>
        <w:t>Therefore, in order to depict the economic substance of the underlying tr</w:t>
      </w:r>
      <w:r>
        <w:t>ansaction required by the faithful representation qualitative characteristic of financial reporting as outlined in both EAR 1 and the IPSAS Conceptual Framework, the service cost incurred is accrued on a straight-line basis over staff’s estimated active se</w:t>
      </w:r>
      <w:r>
        <w:t>rvice period, i.e. the period from the date when service by the employee first leads to benefits under the plan (whether or not the benefits are conditional on further service) until the date when further service by the employee will lead to no material am</w:t>
      </w:r>
      <w:r>
        <w:t>ount of further benefits under the plan, other than from further salary increases. This approach is applied consistently to the benefits provided for under the single plan.</w:t>
      </w:r>
    </w:p>
    <w:p w:rsidR="00135552" w:rsidRDefault="004C63B0">
      <w:pPr>
        <w:pStyle w:val="DGTextstand-alone"/>
      </w:pPr>
      <w:r>
        <w:t>Remeasurements of the net defined benefit liability comprise actuarial gains and lo</w:t>
      </w:r>
      <w:r>
        <w:t xml:space="preserve">sses and the return on plan assets, and are recognised immediately in net assets. </w:t>
      </w:r>
    </w:p>
    <w:p w:rsidR="00135552" w:rsidRDefault="004C63B0">
      <w:pPr>
        <w:pStyle w:val="DGTextstand-alone"/>
      </w:pPr>
      <w:r>
        <w:t>The EU recognises the net interest expense (income) and other expenses related to the defined benefit plans in the statement of financial performance within the caption ‘sta</w:t>
      </w:r>
      <w:r>
        <w:t>ff and pension costs’.</w:t>
      </w:r>
    </w:p>
    <w:p w:rsidR="00135552" w:rsidRDefault="004C63B0">
      <w:pPr>
        <w:pStyle w:val="DGTextstand-alone"/>
      </w:pPr>
      <w:r>
        <w:t>When benefits provided are changed or curtailed, the resulting change in benefits that relates to past service or the gain or loss on curtailment is recognised immediately in the statement of financial performance. Gains and losses o</w:t>
      </w:r>
      <w:r>
        <w:t>n settlement are recognised when the settlement occurs. Past service cost is recognised immediately in the statement of financial performance, unless the changes are conditional on the employees remaining in service for a specified period of time.</w:t>
      </w:r>
    </w:p>
    <w:p w:rsidR="00135552" w:rsidRDefault="004C63B0">
      <w:pPr>
        <w:pStyle w:val="HEADER3NOTES"/>
        <w:rPr>
          <w:noProof/>
        </w:rPr>
      </w:pPr>
      <w:r>
        <w:rPr>
          <w:noProof/>
        </w:rPr>
        <w:t>Provisio</w:t>
      </w:r>
      <w:r>
        <w:rPr>
          <w:noProof/>
        </w:rPr>
        <w:t>ns</w:t>
      </w:r>
    </w:p>
    <w:p w:rsidR="00135552" w:rsidRDefault="004C63B0">
      <w:pPr>
        <w:pStyle w:val="DGTextstand-alone"/>
      </w:pPr>
      <w:r>
        <w:t xml:space="preserve">Provisions are recognised when the EU has a present legal or constructive obligation towards third parties as a result of past events, it is more likely than not that an outflow of resources will be required to settle the obligation, and the amount can </w:t>
      </w:r>
      <w:r>
        <w:t xml:space="preserve">be reliably estimated. Provisions are not recognised for future operating losses. The amount of the provision is the best estimate of the expenses expected to be required to settle the present obligation at the reporting date. Where the provision involves </w:t>
      </w:r>
      <w:r>
        <w:t>a large number of items, the obligation is estimated by weighting all possible outcomes by their associated probabilities (‘expected value’ method).</w:t>
      </w:r>
    </w:p>
    <w:p w:rsidR="00135552" w:rsidRDefault="004C63B0">
      <w:pPr>
        <w:pStyle w:val="DGTextstand-alone"/>
      </w:pPr>
      <w:r>
        <w:t>Provisions for onerous contracts are measured at the present value of the lower of the expected cost of ter</w:t>
      </w:r>
      <w:r>
        <w:t>minating the contract and the expected net cost of continuing with the contract.</w:t>
      </w:r>
    </w:p>
    <w:p w:rsidR="00135552" w:rsidRDefault="004C63B0">
      <w:pPr>
        <w:pStyle w:val="HEADER3NOTES"/>
        <w:rPr>
          <w:noProof/>
        </w:rPr>
      </w:pPr>
      <w:r>
        <w:rPr>
          <w:noProof/>
        </w:rPr>
        <w:t>Financial liabilities</w:t>
      </w:r>
    </w:p>
    <w:p w:rsidR="00135552" w:rsidRDefault="004C63B0">
      <w:pPr>
        <w:pStyle w:val="DGTextstand-alone"/>
      </w:pPr>
      <w:r>
        <w:t>Financial liabilities are classified as financial liabilities at fair value through surplus or deficit, financial liabilities carried at amortised cost o</w:t>
      </w:r>
      <w:r>
        <w:t>r as financial guarantee liabilities.</w:t>
      </w:r>
    </w:p>
    <w:p w:rsidR="00135552" w:rsidRDefault="004C63B0">
      <w:pPr>
        <w:pStyle w:val="DGTextstand-alone"/>
      </w:pPr>
      <w:r>
        <w:t xml:space="preserve">Borrowings are composed of borrowings from credit institutions and debts evidenced by certificates. They are recognised initially at fair value, being their issue proceeds (fair value of consideration received) net of </w:t>
      </w:r>
      <w:r>
        <w:t>transaction costs incurred, then subsequently carried at amortised cost using the effective interest method; any difference between proceeds, net of transaction costs, and the redemption value is recognised in the statement of financial performance over th</w:t>
      </w:r>
      <w:r>
        <w:t>e period of the borrowings using the effective interest method. In the case of loans granted on borrowed funds, the effective interest method may not be applied to loans and borrowings, based on materiality considerations. The transaction costs incurred by</w:t>
      </w:r>
      <w:r>
        <w:t xml:space="preserve"> the EU and then recharged to the beneficiary of the loan are directly recognised in the statement of financial performance.</w:t>
      </w:r>
    </w:p>
    <w:p w:rsidR="00135552" w:rsidRDefault="004C63B0">
      <w:pPr>
        <w:pStyle w:val="DGTextstand-alone"/>
      </w:pPr>
      <w:r>
        <w:t>Financial liabilities categorised at fair value through surplus or deficit include derivatives where fair value is negative. They f</w:t>
      </w:r>
      <w:r>
        <w:t xml:space="preserve">ollow the same accounting treatment as financial assets at fair value through surplus or deficit, see note </w:t>
      </w:r>
      <w:r>
        <w:rPr>
          <w:b/>
        </w:rPr>
        <w:t>1.5.5</w:t>
      </w:r>
      <w:r>
        <w:t xml:space="preserve">. </w:t>
      </w:r>
    </w:p>
    <w:p w:rsidR="00135552" w:rsidRDefault="004C63B0">
      <w:pPr>
        <w:pStyle w:val="DGTextstand-alone"/>
      </w:pPr>
      <w:r>
        <w:t>Financial guarantee liabilities are initially recognised at fair value, being the premium received. Subsequently, financial guarantee liabili</w:t>
      </w:r>
      <w:r>
        <w:t>ties are measured at the higher of the best estimate of the expenses expected to be required to settle the financial guarantee liability and the amount initially recognised less, when appropriate, cumulative amortisation. The EU recognises a financial guar</w:t>
      </w:r>
      <w:r>
        <w:t>antee liability when it receives consideration for granting of the guarantee, that is at market terms, or when the fair value of the guarantee can be measured reliably. In case no active market for a directly equivalent guarantee contract exists, the EU di</w:t>
      </w:r>
      <w:r>
        <w:t xml:space="preserve">scloses the guarantee given as a contingent liability (see note </w:t>
      </w:r>
      <w:r>
        <w:rPr>
          <w:b/>
        </w:rPr>
        <w:t>1.7.2</w:t>
      </w:r>
      <w:r>
        <w:t xml:space="preserve">) or – when it is more likely than not that an outflow of resources will be required to settle the obligation – the EU recognises a provision (see note </w:t>
      </w:r>
      <w:r>
        <w:rPr>
          <w:b/>
        </w:rPr>
        <w:t>1.5.11</w:t>
      </w:r>
      <w:r>
        <w:t>).</w:t>
      </w:r>
    </w:p>
    <w:p w:rsidR="00135552" w:rsidRDefault="004C63B0">
      <w:pPr>
        <w:pStyle w:val="DGTextstand-alone"/>
      </w:pPr>
      <w:r>
        <w:t xml:space="preserve">Financial liabilities are </w:t>
      </w:r>
      <w:r>
        <w:t xml:space="preserve">classified as non-current liabilities, except for maturities less than 12 months after the balance sheet date. </w:t>
      </w:r>
    </w:p>
    <w:p w:rsidR="00135552" w:rsidRDefault="004C63B0">
      <w:pPr>
        <w:pStyle w:val="DGTextstand-alone"/>
      </w:pPr>
      <w:r>
        <w:t>EU trust funds that are considered as part of the Commission’s operational activities are accounted for in the Commission accounts and further c</w:t>
      </w:r>
      <w:r>
        <w:t>onsolidated in the EU annual accounts. Therefore, contributions from other donors to the EU trust funds fulfil the criteria of revenues from non-exchange transactions under conditions and they are presented as financial liabilities until the conditions att</w:t>
      </w:r>
      <w:r>
        <w:t>ached to the contributions transferred are met, i.e. eligible costs are incurred by the trust fund. The trust fund is required to finance specific projects and return remaining funds at the time of winding-up. At the balance sheet date the outstanding cont</w:t>
      </w:r>
      <w:r>
        <w:t>ribution liabilities are measured at contributions received less the expenses incurred by the trust fund, including estimated amounts when necessary. For reporting purposes the net expenses are allocated to the contributions of other donors in proportion t</w:t>
      </w:r>
      <w:r>
        <w:t>o net contributions paid as at 31 December. This allocation of contributions is only indicative. When the trust fund is wound up the actual split of remaining resources will be decided by the trust fund board.</w:t>
      </w:r>
    </w:p>
    <w:p w:rsidR="00135552" w:rsidRDefault="004C63B0">
      <w:pPr>
        <w:pStyle w:val="HEADER3NOTES"/>
        <w:rPr>
          <w:noProof/>
        </w:rPr>
      </w:pPr>
      <w:r>
        <w:rPr>
          <w:noProof/>
        </w:rPr>
        <w:t>Payables</w:t>
      </w:r>
    </w:p>
    <w:p w:rsidR="00135552" w:rsidRDefault="004C63B0">
      <w:pPr>
        <w:pStyle w:val="DGTextstand-alone"/>
      </w:pPr>
      <w:r>
        <w:t xml:space="preserve">A significant amount of the payables </w:t>
      </w:r>
      <w:r>
        <w:t>of the EU are unpaid cost claims from beneficiaries of grants or other EU funding (non-exchange transactions). They are recorded as payables for the requested amount when the cost claim is received. Upon verification and acceptance of the eligible costs, t</w:t>
      </w:r>
      <w:r>
        <w:t>he payables are valued at the accepted and eligible amount.</w:t>
      </w:r>
    </w:p>
    <w:p w:rsidR="00135552" w:rsidRDefault="004C63B0">
      <w:pPr>
        <w:pStyle w:val="DGTextstand-alone"/>
      </w:pPr>
      <w:r>
        <w:t xml:space="preserve">Payables arising from the purchase of goods and services are recognised at invoice reception for the original amount and corresponding expenses are entered in the accounts when the supplies or </w:t>
      </w:r>
      <w:r>
        <w:t>services are delivered and accepted by the EU.</w:t>
      </w:r>
    </w:p>
    <w:p w:rsidR="00135552" w:rsidRDefault="004C63B0">
      <w:pPr>
        <w:pStyle w:val="HEADER3NOTES"/>
        <w:keepNext/>
        <w:rPr>
          <w:noProof/>
        </w:rPr>
      </w:pPr>
      <w:r>
        <w:rPr>
          <w:noProof/>
        </w:rPr>
        <w:t>Accrued and deferred revenue and charges</w:t>
      </w:r>
    </w:p>
    <w:p w:rsidR="00135552" w:rsidRDefault="004C63B0">
      <w:pPr>
        <w:pStyle w:val="DGTextstand-alone"/>
      </w:pPr>
      <w:r>
        <w:t xml:space="preserve">Transactions and events are recognised in the financial statements in the period to which they relate. At year-end, if an invoice is not yet issued but the service has </w:t>
      </w:r>
      <w:r>
        <w:t>been rendered, the supplies have been delivered by the EU or a contractual agreement exists (e.g. by reference to a treaty), an accrued revenue will be recognised in the financial statements. In addition, at year-end, if an invoice is issued but the servic</w:t>
      </w:r>
      <w:r>
        <w:t>es have not yet been rendered or the goods supplied have not yet been delivered, the revenue will be deferred and recognised in the subsequent accounting period.</w:t>
      </w:r>
    </w:p>
    <w:p w:rsidR="00135552" w:rsidRDefault="004C63B0">
      <w:pPr>
        <w:pStyle w:val="DGTextstand-alone"/>
      </w:pPr>
      <w:r>
        <w:t>Expenses are also accounted for in the period to which they relate. At the end of the accounti</w:t>
      </w:r>
      <w:r>
        <w:t>ng period, accrued expenses are recognised based on an estimated amount of the transfer obligation of the period. The calculation of accrued expenses is done in accordance with detailed operational and practical guidelines issued by the Commission which ai</w:t>
      </w:r>
      <w:r>
        <w:t xml:space="preserve">m at ensuring that the financial statements provide a faithful representation of the economic and other phenomena they purport to represent. By analogy, if payment has been made in advance for services or goods that have not yet been received, the expense </w:t>
      </w:r>
      <w:r>
        <w:t>will be deferred and recognised in the subsequent accounting period.</w:t>
      </w:r>
    </w:p>
    <w:p w:rsidR="00135552" w:rsidRDefault="004C63B0">
      <w:pPr>
        <w:pStyle w:val="HEADER2NOTES"/>
        <w:rPr>
          <w:noProof/>
        </w:rPr>
      </w:pPr>
      <w:r>
        <w:rPr>
          <w:noProof/>
        </w:rPr>
        <w:t>STATEMENT OF FINANCIAL PERFORMANCE</w:t>
      </w:r>
    </w:p>
    <w:p w:rsidR="00135552" w:rsidRDefault="004C63B0">
      <w:pPr>
        <w:pStyle w:val="HEADER3NOTES"/>
        <w:rPr>
          <w:noProof/>
        </w:rPr>
      </w:pPr>
      <w:r>
        <w:rPr>
          <w:noProof/>
        </w:rPr>
        <w:t>Revenue</w:t>
      </w:r>
    </w:p>
    <w:p w:rsidR="00135552" w:rsidRDefault="004C63B0">
      <w:pPr>
        <w:pStyle w:val="HEADER5"/>
        <w:rPr>
          <w:b/>
          <w:noProof/>
        </w:rPr>
      </w:pPr>
      <w:r>
        <w:rPr>
          <w:noProof/>
        </w:rPr>
        <w:t>REVENUE FROM NON-EXCHANGE TRANSACTIONS</w:t>
      </w:r>
    </w:p>
    <w:p w:rsidR="00135552" w:rsidRDefault="004C63B0">
      <w:pPr>
        <w:pStyle w:val="DGTextstand-alone"/>
      </w:pPr>
      <w:r>
        <w:t>The vast majority of the EU’s revenue relates to non-exchange transactions:</w:t>
      </w:r>
    </w:p>
    <w:p w:rsidR="00135552" w:rsidRDefault="004C63B0">
      <w:pPr>
        <w:pStyle w:val="HEADER5"/>
        <w:rPr>
          <w:b/>
          <w:noProof/>
        </w:rPr>
      </w:pPr>
      <w:r>
        <w:rPr>
          <w:noProof/>
        </w:rPr>
        <w:t>GNI based resources and VAT r</w:t>
      </w:r>
      <w:r>
        <w:rPr>
          <w:noProof/>
        </w:rPr>
        <w:t>esources</w:t>
      </w:r>
    </w:p>
    <w:p w:rsidR="00135552" w:rsidRDefault="004C63B0">
      <w:pPr>
        <w:pStyle w:val="DGTextstand-alone"/>
      </w:pPr>
      <w:r>
        <w:t xml:space="preserve">Revenue is recognised for the period for which the Commission sends out a call for funds to the Member States claiming their contribution. They are measured at their ‘called amount’. As VAT and GNI resources are based on estimates of the data for </w:t>
      </w:r>
      <w:r>
        <w:t>the budgetary year concerned, they may be revised as changes occur until the final data are issued by the Member States. The effect of a change in estimate is included when determining the net surplus or deficit for the period in which the change occurred.</w:t>
      </w:r>
    </w:p>
    <w:p w:rsidR="00135552" w:rsidRDefault="004C63B0">
      <w:pPr>
        <w:rPr>
          <w:rFonts w:ascii="Verdana" w:hAnsi="Verdana"/>
          <w:noProof/>
          <w:color w:val="016794"/>
          <w:sz w:val="18"/>
          <w:szCs w:val="18"/>
        </w:rPr>
      </w:pPr>
      <w:r>
        <w:rPr>
          <w:noProof/>
        </w:rPr>
        <w:br w:type="page"/>
      </w:r>
    </w:p>
    <w:p w:rsidR="00135552" w:rsidRDefault="004C63B0">
      <w:pPr>
        <w:pStyle w:val="HEADER5"/>
        <w:rPr>
          <w:b/>
          <w:noProof/>
        </w:rPr>
      </w:pPr>
      <w:r>
        <w:rPr>
          <w:noProof/>
        </w:rPr>
        <w:t>Traditional own resources</w:t>
      </w:r>
    </w:p>
    <w:p w:rsidR="00135552" w:rsidRDefault="004C63B0">
      <w:pPr>
        <w:pStyle w:val="DGTextstand-alone"/>
      </w:pPr>
      <w:r>
        <w:t>Recoverables from non-exchange transactions and related revenues are recognised when the relevant monthly ‘A’ statements (including duties collected and amounts due that are guaranteed and not contested) are received from the M</w:t>
      </w:r>
      <w:r>
        <w:t>ember States. At the reporting date, revenue collected by the Member States for the period but not yet paid to the Commission is estimated and recognised as accrued revenue. The quarterly ‘B’ statements (including duties neither collected nor guaranteed, a</w:t>
      </w:r>
      <w:r>
        <w:t>s well as guaranteed amounts that have been contested by the debtor) received from the Member States are recognised as revenue less the collection costs to which they are entitled. In addition, a value reduction is recognised for the amount of the estimate</w:t>
      </w:r>
      <w:r>
        <w:t>d recovery gap.</w:t>
      </w:r>
    </w:p>
    <w:p w:rsidR="00135552" w:rsidRDefault="004C63B0">
      <w:pPr>
        <w:pStyle w:val="HEADER5"/>
        <w:rPr>
          <w:b/>
          <w:noProof/>
        </w:rPr>
      </w:pPr>
      <w:r>
        <w:rPr>
          <w:noProof/>
        </w:rPr>
        <w:t>Fines</w:t>
      </w:r>
    </w:p>
    <w:p w:rsidR="00135552" w:rsidRDefault="004C63B0">
      <w:pPr>
        <w:pStyle w:val="DGTextstand-alone"/>
      </w:pPr>
      <w:r>
        <w:t>Revenue from fines is recognised when the EU’s decision imposing a fine has been taken and it is officially notified to the addressee. After the decision to impose a fine, the undertakings have two months from the date of notification</w:t>
      </w:r>
      <w:r>
        <w:t>:</w:t>
      </w:r>
    </w:p>
    <w:p w:rsidR="00135552" w:rsidRDefault="004C63B0">
      <w:pPr>
        <w:pStyle w:val="DGTextstand-alone"/>
        <w:numPr>
          <w:ilvl w:val="0"/>
          <w:numId w:val="27"/>
        </w:numPr>
      </w:pPr>
      <w:r>
        <w:t>either to accept the decision, in which case they must pay the fine within the time limit laid down and the amount is definitively collected by the EU; or</w:t>
      </w:r>
    </w:p>
    <w:p w:rsidR="00135552" w:rsidRDefault="004C63B0">
      <w:pPr>
        <w:pStyle w:val="DGTextstand-alone"/>
        <w:numPr>
          <w:ilvl w:val="0"/>
          <w:numId w:val="27"/>
        </w:numPr>
      </w:pPr>
      <w:r>
        <w:t xml:space="preserve">not to accept the decision, in which case they lodge an appeal under EU law. </w:t>
      </w:r>
    </w:p>
    <w:p w:rsidR="00135552" w:rsidRDefault="004C63B0">
      <w:pPr>
        <w:pStyle w:val="DGTextstand-alone"/>
      </w:pPr>
      <w:r>
        <w:t>Even if appealed, the</w:t>
      </w:r>
      <w:r>
        <w:t xml:space="preserve"> fine must be paid within the time limit of three months laid down as the appeal does not have suspensory effect (Article 278 TFEU). The cash received is used to clear the recoverable. However, subject to the agreement of the Commission’s Accounting Office</w:t>
      </w:r>
      <w:r>
        <w:t xml:space="preserve">r, the undertaking may present a bank guarantee for the amount instead. In that case the fine remains as a recoverable. If neither cash nor a guarantee is received and there are doubts about the undertaking’s solvency, a value reduction on the entitlement </w:t>
      </w:r>
      <w:r>
        <w:t>is recognised.</w:t>
      </w:r>
    </w:p>
    <w:p w:rsidR="00135552" w:rsidRDefault="004C63B0">
      <w:pPr>
        <w:pStyle w:val="DGTextstand-alone"/>
      </w:pPr>
      <w:r>
        <w:t>In case the undertaking appeals against the decision, and has already provisionally paid the fine, the amount is disclosed as a contingent liability, or, if it appears probable that the General Court may not rule in favour of the EU, a provi</w:t>
      </w:r>
      <w:r>
        <w:t>sion is recognised to cover this risk. If a guarantee had been given instead, the outstanding recoverable is written down as required.</w:t>
      </w:r>
    </w:p>
    <w:p w:rsidR="00135552" w:rsidRDefault="004C63B0">
      <w:pPr>
        <w:pStyle w:val="DGTextstand-alone"/>
      </w:pPr>
      <w:r>
        <w:t>The accumulated interest received by the Commission on the bank accounts where received payments are deposited is recogni</w:t>
      </w:r>
      <w:r>
        <w:t>sed as revenue, and any contingent liability is increased accordingly.</w:t>
      </w:r>
    </w:p>
    <w:p w:rsidR="00135552" w:rsidRDefault="004C63B0">
      <w:pPr>
        <w:pStyle w:val="DGTextstand-alone"/>
      </w:pPr>
      <w:r>
        <w:t>Since 2010, all provisionally cashed fines are managed by the Commission in a specifically created fund (BUFI) and invested in financial instruments.</w:t>
      </w:r>
    </w:p>
    <w:p w:rsidR="00135552" w:rsidRDefault="004C63B0">
      <w:pPr>
        <w:pStyle w:val="HEADER5"/>
        <w:rPr>
          <w:b/>
          <w:noProof/>
        </w:rPr>
      </w:pPr>
      <w:r>
        <w:rPr>
          <w:noProof/>
        </w:rPr>
        <w:t>REVENUE FROM EXCHANGE TRANSACTIONS</w:t>
      </w:r>
    </w:p>
    <w:p w:rsidR="00135552" w:rsidRDefault="004C63B0">
      <w:pPr>
        <w:pStyle w:val="DG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w:t>
      </w:r>
      <w:r>
        <w:t xml:space="preserve"> to the stage of completion of the transaction at the reporting date.</w:t>
      </w:r>
    </w:p>
    <w:p w:rsidR="00135552" w:rsidRDefault="004C63B0">
      <w:pPr>
        <w:pStyle w:val="HEADER5"/>
        <w:rPr>
          <w:b/>
          <w:noProof/>
        </w:rPr>
      </w:pPr>
      <w:r>
        <w:rPr>
          <w:noProof/>
        </w:rPr>
        <w:t>Interest revenue and expense</w:t>
      </w:r>
    </w:p>
    <w:p w:rsidR="00135552" w:rsidRDefault="004C63B0">
      <w:pPr>
        <w:pStyle w:val="DGTextstand-alone"/>
      </w:pPr>
      <w:r>
        <w:t>Interest revenue and expense are recognised in the statement of financial performance using the effective interest method. This is a method of calculating th</w:t>
      </w:r>
      <w:r>
        <w:t>e amortised cost of a financial asset or a financial liability and of allocating the interest revenue or interest expense over the relevant period. When calculating the effective interest rate, the EU estimates cashflows considering all contractual terms o</w:t>
      </w:r>
      <w:r>
        <w:t xml:space="preserve">f the financial instrument (for example prepayment options) but does not consider future credit losses. The calculation includes all fees and points paid or received between parties to the contract that are an integral part of the effective interest rate, </w:t>
      </w:r>
      <w:r>
        <w:t>transaction costs and all other premiums or discounts.</w:t>
      </w:r>
    </w:p>
    <w:p w:rsidR="00135552" w:rsidRDefault="004C63B0">
      <w:pPr>
        <w:pStyle w:val="DGTextstand-alone"/>
      </w:pPr>
      <w:r>
        <w:t>Once a financial asset or a group of similar financial assets has been written down as a result of an impairment loss, interest revenue is recognised using the rate of interest to discount the future c</w:t>
      </w:r>
      <w:r>
        <w:t>ashflows for the purpose of measuring the impairment loss.</w:t>
      </w:r>
    </w:p>
    <w:p w:rsidR="00135552" w:rsidRDefault="004C63B0">
      <w:pPr>
        <w:rPr>
          <w:rFonts w:ascii="Verdana" w:hAnsi="Verdana"/>
          <w:noProof/>
          <w:color w:val="016794"/>
          <w:sz w:val="18"/>
          <w:szCs w:val="18"/>
        </w:rPr>
      </w:pPr>
      <w:r>
        <w:rPr>
          <w:noProof/>
        </w:rPr>
        <w:br w:type="page"/>
      </w:r>
    </w:p>
    <w:p w:rsidR="00135552" w:rsidRDefault="004C63B0">
      <w:pPr>
        <w:pStyle w:val="HEADER5"/>
        <w:rPr>
          <w:b/>
          <w:noProof/>
        </w:rPr>
      </w:pPr>
      <w:r>
        <w:rPr>
          <w:noProof/>
        </w:rPr>
        <w:t>Revenue from dividends</w:t>
      </w:r>
    </w:p>
    <w:p w:rsidR="00135552" w:rsidRDefault="004C63B0">
      <w:pPr>
        <w:pStyle w:val="DGTextstand-alone"/>
      </w:pPr>
      <w:r>
        <w:t>Revenue from dividends and similar distributions is recognised when the right to receive payment is established.</w:t>
      </w:r>
    </w:p>
    <w:p w:rsidR="00135552" w:rsidRDefault="004C63B0">
      <w:pPr>
        <w:pStyle w:val="HEADER3NOTES"/>
        <w:rPr>
          <w:noProof/>
        </w:rPr>
      </w:pPr>
      <w:r>
        <w:rPr>
          <w:noProof/>
        </w:rPr>
        <w:t>Expenses</w:t>
      </w:r>
    </w:p>
    <w:p w:rsidR="00135552" w:rsidRDefault="004C63B0">
      <w:pPr>
        <w:pStyle w:val="DGTextstand-alone"/>
      </w:pPr>
      <w:r>
        <w:t xml:space="preserve">Expenses from non-exchange transactions account </w:t>
      </w:r>
      <w:r>
        <w:t>for the majority of the EU’s expenses. They relate to transfers to beneficiaries and can be of three types: entitlements, transfers under agreement and discretionary grants, contributions and donations.</w:t>
      </w:r>
    </w:p>
    <w:p w:rsidR="00135552" w:rsidRDefault="004C63B0">
      <w:pPr>
        <w:pStyle w:val="DGTextstand-alone"/>
      </w:pPr>
      <w:r>
        <w:t xml:space="preserve">Transfers are recognised as expenses in the period </w:t>
      </w:r>
      <w:r>
        <w:t>during which the events giving rise to the transfer occurred, as long as the nature of the transfer is allowed by regulation (Financial Regulation, Staff Regulations, or other regulation) or an agreement has been signed authorising the transfer, any eligib</w:t>
      </w:r>
      <w:r>
        <w:t>ility criteria have been met by the beneficiary, and a reasonable estimate of the amount can be made.</w:t>
      </w:r>
    </w:p>
    <w:p w:rsidR="00135552" w:rsidRDefault="004C63B0">
      <w:pPr>
        <w:pStyle w:val="DGTextstand-alone"/>
      </w:pPr>
      <w:r>
        <w:t>When a request for payment or cost claim is received and meets the recognition criteria, it is recognised as an expense for the eligible amount. At year-e</w:t>
      </w:r>
      <w:r>
        <w:t>nd, incurred eligible expenses due to the beneficiaries but not yet reported are estimated and recorded as accrued expenses.</w:t>
      </w:r>
    </w:p>
    <w:p w:rsidR="00135552" w:rsidRDefault="004C63B0">
      <w:pPr>
        <w:pStyle w:val="DGTextstand-alone"/>
      </w:pPr>
      <w:r>
        <w:t xml:space="preserve">Expenses from exchange transactions arising from the purchase of goods and services are recognised when the supplies are delivered </w:t>
      </w:r>
      <w:r>
        <w:t>and accepted by the EU. They are valued at their original invoice amount. Furthermore, at the balance sheet date expenses related to the service delivered during the period for which an invoice has not yet been received or accepted are estimated and recogn</w:t>
      </w:r>
      <w:r>
        <w:t>ised in the statement of financial performance.</w:t>
      </w:r>
    </w:p>
    <w:p w:rsidR="00135552" w:rsidRDefault="004C63B0">
      <w:pPr>
        <w:pStyle w:val="HEADER2NOTES"/>
        <w:keepNext/>
        <w:rPr>
          <w:noProof/>
        </w:rPr>
      </w:pPr>
      <w:r>
        <w:rPr>
          <w:noProof/>
        </w:rPr>
        <w:t>CONTINGENT ASSETS AND LIABILITIES</w:t>
      </w:r>
    </w:p>
    <w:p w:rsidR="00135552" w:rsidRDefault="004C63B0">
      <w:pPr>
        <w:pStyle w:val="HEADER3NOTES"/>
        <w:keepNext/>
        <w:rPr>
          <w:noProof/>
        </w:rPr>
      </w:pPr>
      <w:r>
        <w:rPr>
          <w:noProof/>
        </w:rPr>
        <w:t>Contingent assets</w:t>
      </w:r>
    </w:p>
    <w:p w:rsidR="00135552" w:rsidRDefault="004C63B0">
      <w:pPr>
        <w:pStyle w:val="DGTextstand-alone"/>
      </w:pPr>
      <w:r>
        <w:t>A contingent asset is a possible asset that arises from past events and of which the existence will be confirmed only by the occurrence or non-occurrence of</w:t>
      </w:r>
      <w:r>
        <w:t xml:space="preserve"> one or more uncertain future events not wholly within the control of the EU. A contingent asset is disclosed when an inflow of economic benefits or service potential is probable.</w:t>
      </w:r>
    </w:p>
    <w:p w:rsidR="00135552" w:rsidRDefault="004C63B0">
      <w:pPr>
        <w:pStyle w:val="HEADER3NOTES"/>
        <w:rPr>
          <w:noProof/>
        </w:rPr>
      </w:pPr>
      <w:r>
        <w:rPr>
          <w:noProof/>
        </w:rPr>
        <w:t>Contingent liabilities</w:t>
      </w:r>
    </w:p>
    <w:p w:rsidR="00135552" w:rsidRDefault="004C63B0">
      <w:pPr>
        <w:pStyle w:val="DGTextstand-alone"/>
      </w:pPr>
      <w:r>
        <w:t xml:space="preserve">A contingent liability is a possible obligation that </w:t>
      </w:r>
      <w:r>
        <w:t>arises from past events and of which the existence will be confirmed only by the occurrence or non-occurrence of one or more uncertain future events not wholly within the control of the EU, or a present obligation that arises from past events but is not re</w:t>
      </w:r>
      <w:r>
        <w:t>cognised either because it is not probable that an outflow of resources embodying economic benefits or service potential will be required to settle the obligation, or in the rare circumstances where the amount of the obligation cannot be measured with suff</w:t>
      </w:r>
      <w:r>
        <w:t>icient reliability. A contingent liability is disclosed unless the possibility of an outflow of resources embodying economic benefits or service potential is remote.</w:t>
      </w:r>
    </w:p>
    <w:p w:rsidR="00135552" w:rsidRDefault="004C63B0">
      <w:pPr>
        <w:pStyle w:val="HEADER2NOTES"/>
        <w:rPr>
          <w:noProof/>
        </w:rPr>
      </w:pPr>
      <w:r>
        <w:rPr>
          <w:noProof/>
        </w:rPr>
        <w:t>CASHFLOW STATEMENT</w:t>
      </w:r>
    </w:p>
    <w:p w:rsidR="00135552" w:rsidRDefault="004C63B0">
      <w:pPr>
        <w:pStyle w:val="DGTextstand-alone"/>
      </w:pPr>
      <w:r>
        <w:t>Cashflow information is used to provide a basis for assessing the abili</w:t>
      </w:r>
      <w:r>
        <w:t>ty of the EU to generate cash and cash equivalents, and its needs to utilise those cashflows.</w:t>
      </w:r>
    </w:p>
    <w:p w:rsidR="00135552" w:rsidRDefault="004C63B0">
      <w:pPr>
        <w:pStyle w:val="DGTextstand-alone"/>
      </w:pPr>
      <w:r>
        <w:t>The cashflow statement is prepared using the indirect method. This means that the economic result for the financial year is adjusted for the effects of transactio</w:t>
      </w:r>
      <w:r>
        <w:t>ns of a non-cash nature, any deferrals or accruals of past or future operating cash receipts or payments, and items of revenue or expense associated with investing cashflows.</w:t>
      </w:r>
    </w:p>
    <w:p w:rsidR="00135552" w:rsidRDefault="004C63B0">
      <w:pPr>
        <w:pStyle w:val="DGTextstand-alone"/>
      </w:pPr>
      <w:r>
        <w:t>Cashflows arising from transactions in a foreign currency are recorded in the EU’</w:t>
      </w:r>
      <w:r>
        <w:t>s reporting currency (Euro), by applying to the foreign currency amount the exchange rate between the euro and the foreign currency at the date of the cashflow.</w:t>
      </w:r>
    </w:p>
    <w:p w:rsidR="00135552" w:rsidRDefault="004C63B0">
      <w:pPr>
        <w:pStyle w:val="DGTextstand-alone"/>
      </w:pPr>
      <w:r>
        <w:t>The cashflow statement reports cashflows during the period classified by operating and investin</w:t>
      </w:r>
      <w:r>
        <w:t>g activities (the EU does not have financing activities).</w:t>
      </w:r>
    </w:p>
    <w:p w:rsidR="00135552" w:rsidRDefault="004C63B0">
      <w:pPr>
        <w:pStyle w:val="DGTextstand-alone"/>
      </w:pPr>
      <w:r>
        <w:t>Operating activities are the activities of the EU that are not investing activities. These are the majority of the activities performed. Loans granted to beneficiaries (and the related borrowings, w</w:t>
      </w:r>
      <w:r>
        <w:t xml:space="preserve">hen applicable) are not considered as investing (or financing) activities as they are part of the general objectives and thus daily operations of the EU. </w:t>
      </w:r>
    </w:p>
    <w:p w:rsidR="00135552" w:rsidRDefault="004C63B0">
      <w:pPr>
        <w:pStyle w:val="DGTextstand-alone"/>
      </w:pPr>
      <w:r>
        <w:t>Investing activities are the acquisition and disposal of intangible assets and property, plant and eq</w:t>
      </w:r>
      <w:r>
        <w:t>uipment and of other investments which are not included in cash equivalents. Investing activities do not include loans granted to beneficiaries. The objective is to show the real investments made by the EU.</w:t>
      </w:r>
    </w:p>
    <w:p w:rsidR="00135552" w:rsidRDefault="00135552">
      <w:pPr>
        <w:pStyle w:val="DGTextstand-alone"/>
      </w:pPr>
    </w:p>
    <w:p w:rsidR="00135552" w:rsidRDefault="00135552">
      <w:pPr>
        <w:pStyle w:val="DGTextstand-alone"/>
      </w:pPr>
    </w:p>
    <w:bookmarkEnd w:id="35"/>
    <w:p w:rsidR="00135552" w:rsidRDefault="00135552">
      <w:pPr>
        <w:pStyle w:val="DGTextstand-alone"/>
        <w:sectPr w:rsidR="00135552">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p>
    <w:p w:rsidR="00135552" w:rsidRDefault="004C63B0">
      <w:pPr>
        <w:pStyle w:val="HEADER1NOTES"/>
        <w:rPr>
          <w:noProof/>
          <w:lang w:val="fr-BE"/>
        </w:rPr>
      </w:pPr>
      <w:bookmarkStart w:id="38" w:name="_Toc43224167"/>
      <w:bookmarkStart w:id="39" w:name="_DMBM_17199"/>
      <w:r>
        <w:rPr>
          <w:noProof/>
          <w:lang w:val="fr-BE"/>
        </w:rPr>
        <w:t>NOTES TO THE BALANCE SHEET</w:t>
      </w:r>
      <w:bookmarkEnd w:id="38"/>
    </w:p>
    <w:bookmarkEnd w:id="39"/>
    <w:p w:rsidR="00135552" w:rsidRDefault="00135552">
      <w:pPr>
        <w:pStyle w:val="HEADER1NOTES"/>
        <w:numPr>
          <w:ilvl w:val="0"/>
          <w:numId w:val="0"/>
        </w:numPr>
        <w:spacing w:after="0"/>
        <w:rPr>
          <w:noProof/>
          <w:lang w:val="fr-BE"/>
        </w:rPr>
        <w:sectPr w:rsidR="00135552">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rsidR="00135552" w:rsidRDefault="004C63B0">
      <w:pPr>
        <w:pStyle w:val="HEADERTABLE"/>
        <w:rPr>
          <w:noProof/>
          <w:lang w:val="fr-BE"/>
        </w:rPr>
      </w:pPr>
      <w:bookmarkStart w:id="40" w:name="_DMBM_17128"/>
      <w:r>
        <w:rPr>
          <w:noProof/>
          <w:lang w:val="fr-BE"/>
        </w:rPr>
        <w:t>ASSETS</w:t>
      </w:r>
    </w:p>
    <w:p w:rsidR="00135552" w:rsidRDefault="004C63B0">
      <w:pPr>
        <w:pStyle w:val="Textstand-alone"/>
        <w:spacing w:before="0" w:after="0"/>
        <w:rPr>
          <w:lang w:val="fr-BE"/>
        </w:rPr>
        <w:sectPr w:rsidR="00135552">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r>
        <w:rPr>
          <w:lang w:val="fr-BE"/>
        </w:rPr>
        <w:t xml:space="preserve"> </w:t>
      </w:r>
      <w:bookmarkEnd w:id="40"/>
    </w:p>
    <w:p w:rsidR="00135552" w:rsidRDefault="004C63B0">
      <w:pPr>
        <w:pStyle w:val="HEADER2NOTES"/>
        <w:spacing w:before="0" w:after="240"/>
        <w:rPr>
          <w:noProof/>
          <w:lang w:val="fr-BE"/>
        </w:rPr>
      </w:pPr>
      <w:bookmarkStart w:id="41" w:name="_DMBM_17162"/>
      <w:r>
        <w:rPr>
          <w:noProof/>
          <w:lang w:val="fr-BE"/>
        </w:rPr>
        <w:t>INTANGIBLE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2"/>
        <w:gridCol w:w="2686"/>
      </w:tblGrid>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02BIPINFA"/>
              <w:rPr>
                <w:rFonts w:ascii="Arial" w:eastAsia="Arial" w:hAnsi="Arial" w:cs="Arial"/>
                <w:noProof/>
                <w:color w:val="000000"/>
                <w:sz w:val="16"/>
                <w:lang w:bidi="en-GB"/>
              </w:rPr>
            </w:pPr>
            <w:bookmarkStart w:id="42" w:name="DOC_TBL00007_1_1"/>
            <w:bookmarkEnd w:id="42"/>
          </w:p>
        </w:tc>
        <w:tc>
          <w:tcPr>
            <w:tcW w:w="26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02BIPINF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707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02BIPINFA"/>
              <w:jc w:val="right"/>
              <w:rPr>
                <w:rFonts w:ascii="Verdana" w:eastAsia="Verdana" w:hAnsi="Verdana" w:cs="Verdana"/>
                <w:noProof/>
                <w:color w:val="FFFFFF"/>
                <w:sz w:val="16"/>
              </w:rPr>
            </w:pPr>
          </w:p>
        </w:tc>
        <w:tc>
          <w:tcPr>
            <w:tcW w:w="268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02BIPINFA"/>
              <w:jc w:val="right"/>
              <w:rPr>
                <w:rFonts w:ascii="Verdana" w:eastAsia="Verdana" w:hAnsi="Verdana" w:cs="Verdana"/>
                <w:noProof/>
                <w:color w:val="FFFFFF"/>
                <w:sz w:val="16"/>
                <w:lang w:bidi="en-GB"/>
              </w:rPr>
            </w:pP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Gross carrying amount at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1 073</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Additions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178</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Disposals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Transfer between asset categories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0</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Other changes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rsidR="00135552">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b/>
                <w:noProof/>
                <w:color w:val="000000"/>
                <w:sz w:val="18"/>
              </w:rPr>
            </w:pPr>
            <w:r>
              <w:rPr>
                <w:rFonts w:ascii="Verdana" w:eastAsia="Verdana" w:hAnsi="Verdana" w:cs="Verdana"/>
                <w:b/>
                <w:noProof/>
                <w:color w:val="000000"/>
                <w:sz w:val="18"/>
              </w:rPr>
              <w:t>Gross carrying amount at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b/>
                <w:noProof/>
                <w:color w:val="000000"/>
                <w:sz w:val="18"/>
                <w:lang w:bidi="en-GB"/>
              </w:rPr>
            </w:pPr>
            <w:r>
              <w:rPr>
                <w:rFonts w:ascii="Verdana" w:eastAsia="Verdana" w:hAnsi="Verdana" w:cs="Verdana"/>
                <w:b/>
                <w:noProof/>
                <w:color w:val="000000"/>
                <w:sz w:val="18"/>
              </w:rPr>
              <w:t>1 230</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 xml:space="preserve">Accumulated </w:t>
            </w:r>
            <w:r>
              <w:rPr>
                <w:rFonts w:ascii="Verdana" w:eastAsia="Verdana" w:hAnsi="Verdana" w:cs="Verdana"/>
                <w:i/>
                <w:noProof/>
                <w:color w:val="000000"/>
                <w:sz w:val="18"/>
              </w:rPr>
              <w:t>amortisation at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(627)</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Amortisation charge for the year</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(107)</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Amortisation written back</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0</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Disposals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19</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Transfer between asset categories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0</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Other changes</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lang w:bidi="en-GB"/>
              </w:rPr>
            </w:pPr>
            <w:r>
              <w:rPr>
                <w:rFonts w:ascii="Verdana" w:eastAsia="Verdana" w:hAnsi="Verdana" w:cs="Verdana"/>
                <w:i/>
                <w:noProof/>
                <w:color w:val="000000"/>
                <w:sz w:val="18"/>
              </w:rPr>
              <w:t>0</w:t>
            </w:r>
          </w:p>
        </w:tc>
      </w:tr>
      <w:tr w:rsidR="00135552">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b/>
                <w:noProof/>
                <w:color w:val="000000"/>
                <w:sz w:val="18"/>
              </w:rPr>
            </w:pPr>
            <w:r>
              <w:rPr>
                <w:rFonts w:ascii="Verdana" w:eastAsia="Verdana" w:hAnsi="Verdana" w:cs="Verdana"/>
                <w:b/>
                <w:noProof/>
                <w:color w:val="000000"/>
                <w:sz w:val="18"/>
              </w:rPr>
              <w:t>Accumulated amortisation at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(715)</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INFA"/>
              <w:rPr>
                <w:rFonts w:ascii="Arial" w:eastAsia="Arial" w:hAnsi="Arial" w:cs="Arial"/>
                <w:noProof/>
                <w:color w:val="000000"/>
                <w:sz w:val="18"/>
              </w:rPr>
            </w:pP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INFA"/>
              <w:rPr>
                <w:rFonts w:ascii="Arial" w:eastAsia="Arial" w:hAnsi="Arial" w:cs="Arial"/>
                <w:noProof/>
                <w:color w:val="000000"/>
                <w:sz w:val="18"/>
                <w:lang w:bidi="en-GB"/>
              </w:rPr>
            </w:pPr>
          </w:p>
        </w:tc>
      </w:tr>
      <w:tr w:rsidR="00135552">
        <w:trPr>
          <w:trHeight w:val="255"/>
        </w:trPr>
        <w:tc>
          <w:tcPr>
            <w:tcW w:w="70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INFA"/>
              <w:rPr>
                <w:rFonts w:ascii="Verdana" w:eastAsia="Verdana" w:hAnsi="Verdana" w:cs="Verdana"/>
                <w:b/>
                <w:noProof/>
                <w:color w:val="000000"/>
                <w:sz w:val="18"/>
              </w:rPr>
            </w:pPr>
            <w:r>
              <w:rPr>
                <w:rFonts w:ascii="Verdana" w:eastAsia="Verdana" w:hAnsi="Verdana" w:cs="Verdana"/>
                <w:b/>
                <w:noProof/>
                <w:color w:val="000000"/>
                <w:sz w:val="18"/>
              </w:rPr>
              <w:t xml:space="preserve">Net carrying amount at </w:t>
            </w:r>
            <w:r>
              <w:rPr>
                <w:rFonts w:ascii="Verdana" w:eastAsia="Verdana" w:hAnsi="Verdana" w:cs="Verdana"/>
                <w:b/>
                <w:noProof/>
                <w:color w:val="000000"/>
                <w:sz w:val="18"/>
              </w:rPr>
              <w:t>31.12.2019</w:t>
            </w:r>
          </w:p>
        </w:tc>
        <w:tc>
          <w:tcPr>
            <w:tcW w:w="26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INF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515</w:t>
            </w:r>
          </w:p>
        </w:tc>
      </w:tr>
      <w:tr w:rsidR="00135552">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rPr>
                <w:rFonts w:ascii="Verdana" w:eastAsia="Verdana" w:hAnsi="Verdana" w:cs="Verdana"/>
                <w:i/>
                <w:noProof/>
                <w:color w:val="000000"/>
                <w:sz w:val="18"/>
              </w:rPr>
            </w:pPr>
            <w:r>
              <w:rPr>
                <w:rFonts w:ascii="Verdana" w:eastAsia="Verdana" w:hAnsi="Verdana" w:cs="Verdana"/>
                <w:i/>
                <w:noProof/>
                <w:color w:val="000000"/>
                <w:sz w:val="18"/>
              </w:rPr>
              <w:t>Net carrying amount at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INFA"/>
              <w:jc w:val="right"/>
              <w:rPr>
                <w:rFonts w:ascii="Verdana" w:eastAsia="Verdana" w:hAnsi="Verdana" w:cs="Verdana"/>
                <w:i/>
                <w:noProof/>
                <w:color w:val="000000"/>
                <w:sz w:val="18"/>
              </w:rPr>
            </w:pPr>
            <w:r>
              <w:rPr>
                <w:rFonts w:ascii="Verdana" w:eastAsia="Verdana" w:hAnsi="Verdana" w:cs="Verdana"/>
                <w:i/>
                <w:noProof/>
                <w:color w:val="000000"/>
                <w:sz w:val="18"/>
              </w:rPr>
              <w:t xml:space="preserve"> 446</w:t>
            </w:r>
          </w:p>
        </w:tc>
      </w:tr>
    </w:tbl>
    <w:p w:rsidR="00135552" w:rsidRDefault="004C63B0">
      <w:pPr>
        <w:pStyle w:val="Textstand-alone"/>
        <w:spacing w:after="0"/>
      </w:pPr>
      <w:r>
        <w:t xml:space="preserve">The above amounts relate primarily to computer software. </w:t>
      </w:r>
    </w:p>
    <w:p w:rsidR="00135552" w:rsidRDefault="004C63B0">
      <w:pPr>
        <w:pStyle w:val="HEADER2NOTES"/>
        <w:tabs>
          <w:tab w:val="clear" w:pos="907"/>
        </w:tabs>
        <w:jc w:val="both"/>
        <w:rPr>
          <w:noProof/>
          <w:lang w:val="fr-BE"/>
        </w:rPr>
      </w:pPr>
      <w:r>
        <w:rPr>
          <w:noProof/>
          <w:lang w:val="fr-BE"/>
        </w:rPr>
        <w:t>PROPERTY, PLANT AND EQUIPMENT</w:t>
      </w:r>
    </w:p>
    <w:p w:rsidR="00135552" w:rsidRDefault="004C63B0">
      <w:pPr>
        <w:pStyle w:val="Textstand-alone"/>
      </w:pPr>
      <w:r>
        <w:t xml:space="preserve">The space assets category covers operational fixed assets related to the two EU space programmes: the Global </w:t>
      </w:r>
      <w:r>
        <w:t>Navigation Satellite Systems (GNSS), i.e. Galileo and EGNOS, and the Copernicus European Earth observation programme, while assets of the space systems which are not yet operational are included under the assets under construction heading.</w:t>
      </w:r>
    </w:p>
    <w:p w:rsidR="00135552" w:rsidRDefault="004C63B0">
      <w:pPr>
        <w:pStyle w:val="Textstand-alone"/>
      </w:pPr>
      <w:r>
        <w:t>For Galileo, the</w:t>
      </w:r>
      <w:r>
        <w:t xml:space="preserve"> four satellites launched in 2018 successfully passed the in-orbit testing.They have been added to the operational constellation in 2019 bringing the total to 26 satellites. The Galileo operational fixed assets, covering both satellites and ground installa</w:t>
      </w:r>
      <w:r>
        <w:t>tions, amounted to EUR 2 489 million at 31 December 2019, net of accumulated depreciation (2018: EUR 2 410 million). The remaining assets under construction total EUR 1 361 million (2018: EUR 1 324 million). The development of the Galileo system will conti</w:t>
      </w:r>
      <w:r>
        <w:t>nue until the system reaches its full operational capacity. When completed, the Galileo constellation will comprise 30 satellites (including 6 spare satellites).</w:t>
      </w:r>
    </w:p>
    <w:p w:rsidR="00135552" w:rsidRDefault="004C63B0">
      <w:pPr>
        <w:pStyle w:val="Textstand-alone"/>
      </w:pPr>
      <w:r>
        <w:t>Regarding Copernicus, no new satellites became operational in 2019. The total value of Coperni</w:t>
      </w:r>
      <w:r>
        <w:t>cus operational fixed assets is EUR 1 153 million (2018: EUR 1 455 million), net of accumulated depreciation. A further EUR 1 453 million related to Copernicus satellites is recognised as assets under construction (2018: EUR 1 207 million).</w:t>
      </w:r>
    </w:p>
    <w:p w:rsidR="00135552" w:rsidRDefault="004C63B0">
      <w:pPr>
        <w:pStyle w:val="Textstand-alone"/>
      </w:pPr>
      <w:r>
        <w:t>Fixed assets re</w:t>
      </w:r>
      <w:r>
        <w:t>lated to the European Geostationary Navigation Overlay System (EGNOS) ground infrastructure of EUR 37 million (2018: EUR 52 million) are also included under the Space assets heading. In addition, EGNOS assets under construction amount to EUR 238 million (2</w:t>
      </w:r>
      <w:r>
        <w:t>018: EUR 130 million).</w:t>
      </w:r>
    </w:p>
    <w:p w:rsidR="00135552" w:rsidRDefault="004C63B0">
      <w:pPr>
        <w:pStyle w:val="Textstand-alone"/>
      </w:pPr>
      <w:r>
        <w:t>The assets related to the EU space programmes are being built with the assistance of the European Space Agency (ESA).</w:t>
      </w:r>
    </w:p>
    <w:p w:rsidR="00135552" w:rsidRDefault="00135552">
      <w:pPr>
        <w:pStyle w:val="HEADERTABLE"/>
        <w:spacing w:before="360" w:after="360"/>
        <w:rPr>
          <w:noProof/>
        </w:rPr>
        <w:sectPr w:rsidR="00135552">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rsidR="00135552" w:rsidRDefault="004C63B0">
      <w:pPr>
        <w:pStyle w:val="HEADERTABLE"/>
        <w:spacing w:before="360" w:after="360"/>
        <w:rPr>
          <w:noProof/>
        </w:rPr>
      </w:pPr>
      <w:r>
        <w:rPr>
          <w:noProof/>
        </w:rPr>
        <w:t>Property, plant</w:t>
      </w:r>
      <w:r>
        <w:rPr>
          <w:noProof/>
        </w:rPr>
        <w:t xml:space="preserve"> and equipment</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042"/>
        <w:gridCol w:w="1038"/>
        <w:gridCol w:w="1053"/>
        <w:gridCol w:w="1293"/>
        <w:gridCol w:w="1053"/>
        <w:gridCol w:w="972"/>
        <w:gridCol w:w="1053"/>
        <w:gridCol w:w="1293"/>
        <w:gridCol w:w="1053"/>
      </w:tblGrid>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02BIPEUPPE"/>
              <w:rPr>
                <w:rFonts w:ascii="Arial" w:eastAsia="Arial" w:hAnsi="Arial" w:cs="Arial"/>
                <w:noProof/>
                <w:color w:val="000000"/>
                <w:lang w:bidi="en-GB"/>
              </w:rPr>
            </w:pPr>
            <w:bookmarkStart w:id="43" w:name="DOC_TBL00008_1_1"/>
            <w:bookmarkEnd w:id="43"/>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cs="Calibri"/>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02BIPEUPPE"/>
              <w:jc w:val="right"/>
              <w:rPr>
                <w:rFonts w:ascii="Verdana" w:eastAsia="Verdana" w:hAnsi="Verdana" w:cs="Verdana"/>
                <w:noProof/>
                <w:color w:val="FFFFFF"/>
                <w:sz w:val="16"/>
              </w:rPr>
            </w:pPr>
          </w:p>
        </w:tc>
        <w:tc>
          <w:tcPr>
            <w:tcW w:w="114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Land and Buildings</w:t>
            </w:r>
          </w:p>
        </w:tc>
        <w:tc>
          <w:tcPr>
            <w:tcW w:w="11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Space assets</w:t>
            </w:r>
          </w:p>
        </w:tc>
        <w:tc>
          <w:tcPr>
            <w:tcW w:w="11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Plant and Equipment</w:t>
            </w:r>
          </w:p>
        </w:tc>
        <w:tc>
          <w:tcPr>
            <w:tcW w:w="141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Furniture and Vehicles</w:t>
            </w:r>
          </w:p>
        </w:tc>
        <w:tc>
          <w:tcPr>
            <w:tcW w:w="11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Computer Hardware</w:t>
            </w:r>
          </w:p>
        </w:tc>
        <w:tc>
          <w:tcPr>
            <w:tcW w:w="10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Other</w:t>
            </w:r>
          </w:p>
        </w:tc>
        <w:tc>
          <w:tcPr>
            <w:tcW w:w="11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Finance leases</w:t>
            </w:r>
          </w:p>
        </w:tc>
        <w:tc>
          <w:tcPr>
            <w:tcW w:w="141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rPr>
            </w:pPr>
            <w:r>
              <w:rPr>
                <w:rFonts w:ascii="Verdana" w:eastAsia="Verdana" w:hAnsi="Verdana" w:cs="Verdana"/>
                <w:noProof/>
                <w:color w:val="FFFFFF"/>
                <w:sz w:val="16"/>
              </w:rPr>
              <w:t xml:space="preserve"> Assets under construction</w:t>
            </w:r>
          </w:p>
        </w:tc>
        <w:tc>
          <w:tcPr>
            <w:tcW w:w="11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2BIPEUPPE"/>
              <w:jc w:val="right"/>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Gross carrying amount at 31.12.2018</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5 626</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5 259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641</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270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634</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327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2 </w:t>
            </w:r>
            <w:r>
              <w:rPr>
                <w:rFonts w:ascii="Verdana" w:eastAsia="Verdana" w:hAnsi="Verdana" w:cs="Verdana"/>
                <w:i/>
                <w:noProof/>
                <w:color w:val="000000"/>
                <w:sz w:val="16"/>
              </w:rPr>
              <w:t>620</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3 199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18 575</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Additions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117</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24</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14</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60</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118</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941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1 306</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Disposals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(117)</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(28)</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(58)</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(236)</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Transfer between asset categories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154</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411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(98)</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(477)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0</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Other changes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(10)</w:t>
            </w:r>
          </w:p>
        </w:tc>
      </w:tr>
      <w:tr w:rsidR="00135552">
        <w:trPr>
          <w:trHeight w:val="255"/>
        </w:trPr>
        <w:tc>
          <w:tcPr>
            <w:tcW w:w="45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b/>
                <w:noProof/>
                <w:color w:val="000000"/>
                <w:sz w:val="16"/>
              </w:rPr>
            </w:pPr>
            <w:r>
              <w:rPr>
                <w:rFonts w:ascii="Verdana" w:eastAsia="Verdana" w:hAnsi="Verdana" w:cs="Verdana"/>
                <w:b/>
                <w:noProof/>
                <w:color w:val="000000"/>
                <w:sz w:val="16"/>
              </w:rPr>
              <w:t>Gross carrying amount at 31.12.2019</w:t>
            </w:r>
          </w:p>
        </w:tc>
        <w:tc>
          <w:tcPr>
            <w:tcW w:w="11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5 895</w:t>
            </w:r>
          </w:p>
        </w:tc>
        <w:tc>
          <w:tcPr>
            <w:tcW w:w="1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5 680</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542</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259</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644</w:t>
            </w:r>
          </w:p>
        </w:tc>
        <w:tc>
          <w:tcPr>
            <w:tcW w:w="10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325</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2 638</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3 653</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lang w:bidi="en-GB"/>
              </w:rPr>
            </w:pPr>
            <w:r>
              <w:rPr>
                <w:rFonts w:ascii="Verdana" w:eastAsia="Verdana" w:hAnsi="Verdana" w:cs="Verdana"/>
                <w:b/>
                <w:noProof/>
                <w:color w:val="000000"/>
                <w:sz w:val="16"/>
              </w:rPr>
              <w:t>19 635</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Accumulated depreciation at 31.12.2018</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(3 279)</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(1 342)</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(540)</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(198)</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(521)</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(255)</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(1 257)</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(7 390)</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Depreciation charge for the year</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(190)</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(659)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(31)</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(64)</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(94)</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(1 083)</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Depreciation written back</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39</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14</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61</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Disposals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67</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43</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26</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157</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Transfer between asset categories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(35)</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(2)</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(5)</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35</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(0)</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Other changes</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i/>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0</w:t>
            </w:r>
          </w:p>
        </w:tc>
      </w:tr>
      <w:tr w:rsidR="00135552">
        <w:trPr>
          <w:trHeight w:val="255"/>
        </w:trPr>
        <w:tc>
          <w:tcPr>
            <w:tcW w:w="45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b/>
                <w:noProof/>
                <w:color w:val="000000"/>
                <w:sz w:val="16"/>
              </w:rPr>
            </w:pPr>
            <w:r>
              <w:rPr>
                <w:rFonts w:ascii="Verdana" w:eastAsia="Verdana" w:hAnsi="Verdana" w:cs="Verdana"/>
                <w:b/>
                <w:noProof/>
                <w:color w:val="000000"/>
                <w:sz w:val="16"/>
              </w:rPr>
              <w:t xml:space="preserve">Accumulated depreciation </w:t>
            </w:r>
            <w:r>
              <w:rPr>
                <w:rFonts w:ascii="Verdana" w:eastAsia="Verdana" w:hAnsi="Verdana" w:cs="Verdana"/>
                <w:b/>
                <w:noProof/>
                <w:color w:val="000000"/>
                <w:sz w:val="16"/>
              </w:rPr>
              <w:t>at 31.12.2019</w:t>
            </w:r>
          </w:p>
        </w:tc>
        <w:tc>
          <w:tcPr>
            <w:tcW w:w="11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(3 503)</w:t>
            </w:r>
          </w:p>
        </w:tc>
        <w:tc>
          <w:tcPr>
            <w:tcW w:w="1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(2 001)</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(457)</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(194)</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(533)</w:t>
            </w:r>
          </w:p>
        </w:tc>
        <w:tc>
          <w:tcPr>
            <w:tcW w:w="10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(255)</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(1 313)</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02BIPEUPPE"/>
              <w:jc w:val="right"/>
              <w:rPr>
                <w:rFonts w:ascii="Verdana" w:eastAsia="Verdana" w:hAnsi="Verdana" w:cs="Verdana"/>
                <w:b/>
                <w:noProof/>
                <w:color w:val="000000"/>
                <w:sz w:val="16"/>
              </w:rPr>
            </w:pP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lang w:bidi="en-GB"/>
              </w:rPr>
            </w:pPr>
            <w:r>
              <w:rPr>
                <w:rFonts w:ascii="Verdana" w:eastAsia="Verdana" w:hAnsi="Verdana" w:cs="Verdana"/>
                <w:b/>
                <w:noProof/>
                <w:color w:val="000000"/>
                <w:sz w:val="16"/>
              </w:rPr>
              <w:t>(8 255)</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02BIPEUPPE"/>
              <w:rPr>
                <w:rFonts w:ascii="Arial" w:eastAsia="Arial" w:hAnsi="Arial" w:cs="Arial"/>
                <w:noProof/>
                <w:color w:val="000000"/>
                <w:sz w:val="16"/>
                <w:lang w:bidi="en-GB"/>
              </w:rPr>
            </w:pPr>
          </w:p>
        </w:tc>
      </w:tr>
      <w:tr w:rsidR="00135552">
        <w:trPr>
          <w:trHeight w:val="255"/>
        </w:trPr>
        <w:tc>
          <w:tcPr>
            <w:tcW w:w="45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rPr>
                <w:rFonts w:ascii="Verdana" w:eastAsia="Verdana" w:hAnsi="Verdana" w:cs="Verdana"/>
                <w:b/>
                <w:noProof/>
                <w:color w:val="000000"/>
                <w:sz w:val="16"/>
              </w:rPr>
            </w:pPr>
            <w:r>
              <w:rPr>
                <w:rFonts w:ascii="Verdana" w:eastAsia="Verdana" w:hAnsi="Verdana" w:cs="Verdana"/>
                <w:b/>
                <w:noProof/>
                <w:color w:val="000000"/>
                <w:sz w:val="16"/>
              </w:rPr>
              <w:t>NET CARRYING AMOUNT AT 31.12.2019</w:t>
            </w:r>
          </w:p>
        </w:tc>
        <w:tc>
          <w:tcPr>
            <w:tcW w:w="114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2 392</w:t>
            </w:r>
          </w:p>
        </w:tc>
        <w:tc>
          <w:tcPr>
            <w:tcW w:w="11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3 679</w:t>
            </w:r>
          </w:p>
        </w:tc>
        <w:tc>
          <w:tcPr>
            <w:tcW w:w="115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85</w:t>
            </w:r>
          </w:p>
        </w:tc>
        <w:tc>
          <w:tcPr>
            <w:tcW w:w="141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65</w:t>
            </w:r>
          </w:p>
        </w:tc>
        <w:tc>
          <w:tcPr>
            <w:tcW w:w="115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110</w:t>
            </w:r>
          </w:p>
        </w:tc>
        <w:tc>
          <w:tcPr>
            <w:tcW w:w="10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 xml:space="preserve"> 70</w:t>
            </w:r>
          </w:p>
        </w:tc>
        <w:tc>
          <w:tcPr>
            <w:tcW w:w="115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1 325</w:t>
            </w:r>
          </w:p>
        </w:tc>
        <w:tc>
          <w:tcPr>
            <w:tcW w:w="141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rPr>
            </w:pPr>
            <w:r>
              <w:rPr>
                <w:rFonts w:ascii="Verdana" w:eastAsia="Verdana" w:hAnsi="Verdana" w:cs="Verdana"/>
                <w:b/>
                <w:noProof/>
                <w:color w:val="000000"/>
                <w:sz w:val="16"/>
              </w:rPr>
              <w:t>3 653</w:t>
            </w:r>
          </w:p>
        </w:tc>
        <w:tc>
          <w:tcPr>
            <w:tcW w:w="115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2BIPEUPPE"/>
              <w:jc w:val="right"/>
              <w:rPr>
                <w:rFonts w:ascii="Verdana" w:eastAsia="Verdana" w:hAnsi="Verdana" w:cs="Verdana"/>
                <w:b/>
                <w:noProof/>
                <w:color w:val="000000"/>
                <w:sz w:val="16"/>
                <w:lang w:bidi="en-GB"/>
              </w:rPr>
            </w:pPr>
            <w:r>
              <w:rPr>
                <w:rFonts w:ascii="Verdana" w:eastAsia="Verdana" w:hAnsi="Verdana" w:cs="Verdana"/>
                <w:b/>
                <w:noProof/>
                <w:color w:val="000000"/>
                <w:sz w:val="16"/>
              </w:rPr>
              <w:t>11 380</w:t>
            </w:r>
          </w:p>
        </w:tc>
      </w:tr>
      <w:tr w:rsidR="00135552">
        <w:trPr>
          <w:trHeight w:val="255"/>
        </w:trPr>
        <w:tc>
          <w:tcPr>
            <w:tcW w:w="45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rPr>
                <w:rFonts w:ascii="Verdana" w:eastAsia="Verdana" w:hAnsi="Verdana" w:cs="Verdana"/>
                <w:i/>
                <w:noProof/>
                <w:color w:val="000000"/>
                <w:sz w:val="16"/>
              </w:rPr>
            </w:pPr>
            <w:r>
              <w:rPr>
                <w:rFonts w:ascii="Verdana" w:eastAsia="Verdana" w:hAnsi="Verdana" w:cs="Verdana"/>
                <w:i/>
                <w:noProof/>
                <w:color w:val="000000"/>
                <w:sz w:val="16"/>
              </w:rPr>
              <w:t>NET CARRYING AMOUNT AT 31.12.2018</w:t>
            </w:r>
          </w:p>
        </w:tc>
        <w:tc>
          <w:tcPr>
            <w:tcW w:w="114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2 347</w:t>
            </w:r>
          </w:p>
        </w:tc>
        <w:tc>
          <w:tcPr>
            <w:tcW w:w="11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3 917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101</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72</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113</w:t>
            </w:r>
          </w:p>
        </w:tc>
        <w:tc>
          <w:tcPr>
            <w:tcW w:w="10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 xml:space="preserve"> 72</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1 363</w:t>
            </w:r>
          </w:p>
        </w:tc>
        <w:tc>
          <w:tcPr>
            <w:tcW w:w="14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3 199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02BIPEUPPE"/>
              <w:jc w:val="right"/>
              <w:rPr>
                <w:rFonts w:ascii="Verdana" w:eastAsia="Verdana" w:hAnsi="Verdana" w:cs="Verdana"/>
                <w:i/>
                <w:noProof/>
                <w:color w:val="000000"/>
                <w:sz w:val="16"/>
              </w:rPr>
            </w:pPr>
            <w:r>
              <w:rPr>
                <w:rFonts w:ascii="Verdana" w:eastAsia="Verdana" w:hAnsi="Verdana" w:cs="Verdana"/>
                <w:i/>
                <w:noProof/>
                <w:color w:val="000000"/>
                <w:sz w:val="16"/>
              </w:rPr>
              <w:t>11 185</w:t>
            </w:r>
          </w:p>
        </w:tc>
      </w:tr>
      <w:bookmarkEnd w:id="41"/>
    </w:tbl>
    <w:p w:rsidR="00135552" w:rsidRDefault="00135552">
      <w:pPr>
        <w:pStyle w:val="Textstand-alone"/>
        <w:spacing w:before="0" w:after="0"/>
        <w:sectPr w:rsidR="00135552">
          <w:headerReference w:type="even" r:id="rId137"/>
          <w:headerReference w:type="default" r:id="rId138"/>
          <w:footerReference w:type="even" r:id="rId139"/>
          <w:footerReference w:type="default" r:id="rId140"/>
          <w:headerReference w:type="first" r:id="rId141"/>
          <w:footerReference w:type="first" r:id="rId142"/>
          <w:pgSz w:w="16838" w:h="11906" w:orient="landscape"/>
          <w:pgMar w:top="1134" w:right="1134" w:bottom="1134" w:left="1134" w:header="708" w:footer="708" w:gutter="0"/>
          <w:cols w:space="708"/>
          <w:docGrid w:linePitch="360"/>
        </w:sectPr>
      </w:pPr>
    </w:p>
    <w:p w:rsidR="00135552" w:rsidRDefault="004C63B0">
      <w:pPr>
        <w:pStyle w:val="HEADER2NOTES"/>
        <w:spacing w:before="0"/>
        <w:rPr>
          <w:noProof/>
        </w:rPr>
      </w:pPr>
      <w:bookmarkStart w:id="44" w:name="_DMBM_17129"/>
      <w:r>
        <w:rPr>
          <w:noProof/>
        </w:rPr>
        <w:t>INVESTMENTS ACCOUNTED FOR USING THE EQUITY METHOD</w:t>
      </w:r>
    </w:p>
    <w:p w:rsidR="00135552" w:rsidRDefault="004C63B0">
      <w:pPr>
        <w:pStyle w:val="DGTextstand-alone"/>
      </w:pPr>
      <w:r>
        <w:t>The participation of the EU, represented by the Commission, in the European Investment Fund (EIF) is treated as an associate using the equity method of accounting. The EIF is the EU's financial institution specialising in providing risk capital and guarant</w:t>
      </w:r>
      <w:r>
        <w:t>ees to Small and Medium-sized Entities (SMEs). The EIF is located in Luxembourg and operates as a private-public partnership, whose members are the European Investment Bank (EIB), the EU and a group of financial institutions. At 31 December 2019, the EU he</w:t>
      </w:r>
      <w:r>
        <w:t xml:space="preserve">ld 29.7 % of </w:t>
      </w:r>
      <w:bookmarkStart w:id="45" w:name="OLE_LINK1"/>
      <w:bookmarkStart w:id="46" w:name="OLE_LINK2"/>
      <w:r>
        <w:t xml:space="preserve">ownership interests </w:t>
      </w:r>
      <w:bookmarkEnd w:id="45"/>
      <w:bookmarkEnd w:id="46"/>
      <w:r>
        <w:t>in the EIF (2018: 29.7 %) and 29.7 % of the voting rights (2018: 29.7 %). In accordance with its statutes, the EIF is required to allocate at least 20 % of its annual net result to a statutory reserve, until the aggregate r</w:t>
      </w:r>
      <w:r>
        <w:t>eserve amounts to 10 % of subscribed capital. This reserve is not available for distribution.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7"/>
        <w:gridCol w:w="2471"/>
      </w:tblGrid>
      <w:tr w:rsidR="00135552">
        <w:trPr>
          <w:trHeight w:val="255"/>
        </w:trPr>
        <w:tc>
          <w:tcPr>
            <w:tcW w:w="728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PARTASS1"/>
              <w:rPr>
                <w:rFonts w:ascii="Arial" w:eastAsia="Arial" w:hAnsi="Arial" w:cs="Arial"/>
                <w:noProof/>
                <w:color w:val="000000"/>
                <w:sz w:val="16"/>
                <w:lang w:bidi="en-GB"/>
              </w:rPr>
            </w:pPr>
            <w:bookmarkStart w:id="47" w:name="DOC_TBL00009_1_1"/>
            <w:bookmarkEnd w:id="47"/>
          </w:p>
        </w:tc>
        <w:tc>
          <w:tcPr>
            <w:tcW w:w="247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1"/>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9758" w:type="dxa"/>
            <w:gridSpan w:val="2"/>
            <w:tcBorders>
              <w:top w:val="nil"/>
              <w:left w:val="nil"/>
              <w:bottom w:val="nil"/>
              <w:right w:val="nil"/>
              <w:tl2br w:val="nil"/>
              <w:tr2bl w:val="nil"/>
            </w:tcBorders>
            <w:shd w:val="solid" w:color="016794" w:fill="FFFFFF"/>
            <w:tcMar>
              <w:left w:w="60" w:type="dxa"/>
              <w:right w:w="60" w:type="dxa"/>
            </w:tcMar>
            <w:vAlign w:val="bottom"/>
          </w:tcPr>
          <w:p w:rsidR="00135552" w:rsidRDefault="004C63B0">
            <w:pPr>
              <w:pStyle w:val="DMETW16570BIPPARTASS1"/>
              <w:jc w:val="right"/>
              <w:rPr>
                <w:rFonts w:ascii="Verdana" w:eastAsia="Verdana" w:hAnsi="Verdana" w:cs="Verdana"/>
                <w:noProof/>
                <w:color w:val="FFFFFF"/>
                <w:lang w:bidi="en-GB"/>
              </w:rPr>
            </w:pPr>
            <w:r>
              <w:rPr>
                <w:rFonts w:ascii="Verdana" w:eastAsia="Verdana" w:hAnsi="Verdana" w:cs="Verdana"/>
                <w:noProof/>
                <w:color w:val="FFFFFF"/>
              </w:rPr>
              <w:t>European Investment Fund</w:t>
            </w:r>
          </w:p>
        </w:tc>
      </w:tr>
      <w:tr w:rsidR="00135552">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70BIPPARTASS1"/>
              <w:rPr>
                <w:rFonts w:ascii="Verdana" w:eastAsia="Verdana" w:hAnsi="Verdana" w:cs="Verdana"/>
                <w:b/>
                <w:noProof/>
                <w:color w:val="000000"/>
                <w:sz w:val="18"/>
              </w:rPr>
            </w:pPr>
            <w:r>
              <w:rPr>
                <w:rFonts w:ascii="Verdana" w:eastAsia="Verdana" w:hAnsi="Verdana" w:cs="Verdana"/>
                <w:b/>
                <w:noProof/>
                <w:color w:val="000000"/>
                <w:sz w:val="18"/>
              </w:rPr>
              <w:t>Participation at 31.12.2018</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70BIPPARTASS1"/>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591</w:t>
            </w:r>
          </w:p>
        </w:tc>
      </w:tr>
      <w:tr w:rsidR="00135552">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1"/>
              <w:rPr>
                <w:rFonts w:ascii="Verdana" w:eastAsia="Verdana" w:hAnsi="Verdana" w:cs="Verdana"/>
                <w:i/>
                <w:noProof/>
                <w:color w:val="000000"/>
                <w:sz w:val="18"/>
              </w:rPr>
            </w:pPr>
            <w:r>
              <w:rPr>
                <w:rFonts w:ascii="Verdana" w:eastAsia="Verdana" w:hAnsi="Verdana" w:cs="Verdana"/>
                <w:i/>
                <w:noProof/>
                <w:color w:val="000000"/>
                <w:sz w:val="18"/>
              </w:rPr>
              <w:t>Contributions</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1"/>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1"/>
              <w:rPr>
                <w:rFonts w:ascii="Verdana" w:eastAsia="Verdana" w:hAnsi="Verdana" w:cs="Verdana"/>
                <w:i/>
                <w:noProof/>
                <w:color w:val="000000"/>
                <w:sz w:val="18"/>
              </w:rPr>
            </w:pPr>
            <w:r>
              <w:rPr>
                <w:rFonts w:ascii="Verdana" w:eastAsia="Verdana" w:hAnsi="Verdana" w:cs="Verdana"/>
                <w:i/>
                <w:noProof/>
                <w:color w:val="000000"/>
                <w:sz w:val="18"/>
              </w:rPr>
              <w:t>Dividends received</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w:t>
            </w:r>
          </w:p>
        </w:tc>
      </w:tr>
      <w:tr w:rsidR="00135552">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1"/>
              <w:rPr>
                <w:rFonts w:ascii="Verdana" w:eastAsia="Verdana" w:hAnsi="Verdana" w:cs="Verdana"/>
                <w:i/>
                <w:noProof/>
                <w:color w:val="000000"/>
                <w:sz w:val="18"/>
              </w:rPr>
            </w:pPr>
            <w:r>
              <w:rPr>
                <w:rFonts w:ascii="Verdana" w:eastAsia="Verdana" w:hAnsi="Verdana" w:cs="Verdana"/>
                <w:i/>
                <w:noProof/>
                <w:color w:val="000000"/>
                <w:sz w:val="18"/>
              </w:rPr>
              <w:t>Share of net result</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53</w:t>
            </w:r>
          </w:p>
        </w:tc>
      </w:tr>
      <w:tr w:rsidR="00135552">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1"/>
              <w:rPr>
                <w:rFonts w:ascii="Verdana" w:eastAsia="Verdana" w:hAnsi="Verdana" w:cs="Verdana"/>
                <w:i/>
                <w:noProof/>
                <w:color w:val="000000"/>
                <w:sz w:val="18"/>
              </w:rPr>
            </w:pPr>
            <w:r>
              <w:rPr>
                <w:rFonts w:ascii="Verdana" w:eastAsia="Verdana" w:hAnsi="Verdana" w:cs="Verdana"/>
                <w:i/>
                <w:noProof/>
                <w:color w:val="000000"/>
                <w:sz w:val="18"/>
              </w:rPr>
              <w:t xml:space="preserve">Share in the net </w:t>
            </w:r>
            <w:r>
              <w:rPr>
                <w:rFonts w:ascii="Verdana" w:eastAsia="Verdana" w:hAnsi="Verdana" w:cs="Verdana"/>
                <w:i/>
                <w:noProof/>
                <w:color w:val="000000"/>
                <w:sz w:val="18"/>
              </w:rPr>
              <w:t>assets</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(49)</w:t>
            </w:r>
          </w:p>
        </w:tc>
      </w:tr>
      <w:tr w:rsidR="00135552">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70BIPPARTASS1"/>
              <w:rPr>
                <w:rFonts w:ascii="Verdana" w:eastAsia="Verdana" w:hAnsi="Verdana" w:cs="Verdana"/>
                <w:b/>
                <w:noProof/>
                <w:color w:val="000000"/>
                <w:sz w:val="18"/>
              </w:rPr>
            </w:pPr>
            <w:r>
              <w:rPr>
                <w:rFonts w:ascii="Verdana" w:eastAsia="Verdana" w:hAnsi="Verdana" w:cs="Verdana"/>
                <w:b/>
                <w:noProof/>
                <w:color w:val="000000"/>
                <w:sz w:val="18"/>
              </w:rPr>
              <w:t>Participation at 31.12.2019</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70BIPPARTASS1"/>
              <w:jc w:val="right"/>
              <w:rPr>
                <w:rFonts w:ascii="Verdana" w:eastAsia="Verdana" w:hAnsi="Verdana" w:cs="Verdana"/>
                <w:b/>
                <w:noProof/>
                <w:color w:val="000000"/>
                <w:sz w:val="18"/>
              </w:rPr>
            </w:pPr>
            <w:r>
              <w:rPr>
                <w:rFonts w:ascii="Verdana" w:eastAsia="Verdana" w:hAnsi="Verdana" w:cs="Verdana"/>
                <w:b/>
                <w:noProof/>
                <w:color w:val="000000"/>
                <w:sz w:val="18"/>
              </w:rPr>
              <w:t xml:space="preserve"> 591</w:t>
            </w:r>
          </w:p>
        </w:tc>
      </w:tr>
    </w:tbl>
    <w:p w:rsidR="00135552" w:rsidRDefault="004C63B0">
      <w:pPr>
        <w:pStyle w:val="DGTextstand-alone"/>
      </w:pPr>
      <w:r>
        <w:t>The following carrying amounts are attributable to the EU based on its percentage of participation: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PARTASS2"/>
              <w:rPr>
                <w:rFonts w:ascii="Arial" w:eastAsia="Arial" w:hAnsi="Arial" w:cs="Arial"/>
                <w:noProof/>
                <w:color w:val="000000"/>
                <w:sz w:val="16"/>
                <w:lang w:bidi="en-GB"/>
              </w:rPr>
            </w:pPr>
            <w:bookmarkStart w:id="48" w:name="DOC_TBL00010_1_1"/>
            <w:bookmarkEnd w:id="48"/>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PARTASS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Arial" w:eastAsia="Arial" w:hAnsi="Arial" w:cs="Arial"/>
                <w:i/>
                <w:noProof/>
                <w:color w:val="000000"/>
                <w:sz w:val="16"/>
                <w:lang w:bidi="en-GB"/>
              </w:rPr>
            </w:pPr>
            <w:r>
              <w:rPr>
                <w:rFonts w:ascii="Arial" w:eastAsia="Arial" w:hAnsi="Arial" w:cs="Arial"/>
                <w:i/>
                <w:noProof/>
                <w:color w:val="000000"/>
                <w:sz w:val="16"/>
              </w:rPr>
              <w:t>EUR million</w:t>
            </w:r>
          </w:p>
        </w:tc>
      </w:tr>
      <w:tr w:rsidR="00135552">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135552" w:rsidRDefault="00135552">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PARTASS2"/>
              <w:jc w:val="right"/>
              <w:rPr>
                <w:rFonts w:ascii="Verdana" w:eastAsia="Verdana" w:hAnsi="Verdana" w:cs="Verdana"/>
                <w:noProof/>
                <w:color w:val="FFFFFF"/>
              </w:rPr>
            </w:pPr>
            <w:r>
              <w:rPr>
                <w:rFonts w:ascii="Verdana" w:eastAsia="Verdana" w:hAnsi="Verdana" w:cs="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PARTASS2"/>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135552" w:rsidRDefault="00135552">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PARTASS2"/>
              <w:jc w:val="right"/>
              <w:rPr>
                <w:rFonts w:ascii="Verdana" w:eastAsia="Verdana" w:hAnsi="Verdana" w:cs="Verdana"/>
                <w:noProof/>
                <w:color w:val="FFFFFF"/>
              </w:rPr>
            </w:pPr>
            <w:r>
              <w:rPr>
                <w:rFonts w:ascii="Verdana" w:eastAsia="Verdana" w:hAnsi="Verdana" w:cs="Verdana"/>
                <w:noProof/>
                <w:color w:val="FFFFFF"/>
              </w:rPr>
              <w:t>Total EIF</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PARTASS2"/>
              <w:jc w:val="right"/>
              <w:rPr>
                <w:rFonts w:ascii="Verdana" w:eastAsia="Verdana" w:hAnsi="Verdana" w:cs="Verdana"/>
                <w:noProof/>
                <w:color w:val="FFFFFF"/>
                <w:lang w:bidi="en-GB"/>
              </w:rPr>
            </w:pPr>
            <w:r>
              <w:rPr>
                <w:rFonts w:ascii="Verdana" w:eastAsia="Verdana" w:hAnsi="Verdana" w:cs="Verdana"/>
                <w:noProof/>
                <w:color w:val="FFFFFF"/>
              </w:rPr>
              <w:t>Total EIF</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2"/>
              <w:rPr>
                <w:rFonts w:ascii="Verdana" w:eastAsia="Verdana" w:hAnsi="Verdana" w:cs="Verdana"/>
                <w:i/>
                <w:noProof/>
                <w:color w:val="000000"/>
                <w:sz w:val="18"/>
              </w:rPr>
            </w:pPr>
            <w:r>
              <w:rPr>
                <w:rFonts w:ascii="Verdana" w:eastAsia="Verdana" w:hAnsi="Verdana" w:cs="Verdana"/>
                <w:i/>
                <w:noProof/>
                <w:color w:val="000000"/>
                <w:sz w:val="18"/>
              </w:rPr>
              <w:t>Assets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2 965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lang w:bidi="en-GB"/>
              </w:rPr>
            </w:pPr>
            <w:r>
              <w:rPr>
                <w:rFonts w:ascii="Verdana" w:eastAsia="Verdana" w:hAnsi="Verdana" w:cs="Verdana"/>
                <w:i/>
                <w:noProof/>
                <w:color w:val="000000"/>
                <w:sz w:val="18"/>
              </w:rPr>
              <w:t>2 662</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2"/>
              <w:rPr>
                <w:rFonts w:ascii="Verdana" w:eastAsia="Verdana" w:hAnsi="Verdana" w:cs="Verdana"/>
                <w:i/>
                <w:noProof/>
                <w:color w:val="000000"/>
                <w:sz w:val="18"/>
              </w:rPr>
            </w:pPr>
            <w:r>
              <w:rPr>
                <w:rFonts w:ascii="Verdana" w:eastAsia="Verdana" w:hAnsi="Verdana" w:cs="Verdana"/>
                <w:i/>
                <w:noProof/>
                <w:color w:val="000000"/>
                <w:sz w:val="18"/>
              </w:rPr>
              <w:t>Liabilities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 xml:space="preserve"> (975)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(674)</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2"/>
              <w:rPr>
                <w:rFonts w:ascii="Verdana" w:eastAsia="Verdana" w:hAnsi="Verdana" w:cs="Verdana"/>
                <w:i/>
                <w:noProof/>
                <w:color w:val="000000"/>
                <w:sz w:val="18"/>
              </w:rPr>
            </w:pPr>
            <w:r>
              <w:rPr>
                <w:rFonts w:ascii="Verdana" w:eastAsia="Verdana" w:hAnsi="Verdana" w:cs="Verdana"/>
                <w:i/>
                <w:noProof/>
                <w:color w:val="000000"/>
                <w:sz w:val="18"/>
              </w:rPr>
              <w:t>Revenue</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 xml:space="preserve"> 337</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291</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2"/>
              <w:rPr>
                <w:rFonts w:ascii="Verdana" w:eastAsia="Verdana" w:hAnsi="Verdana" w:cs="Verdana"/>
                <w:i/>
                <w:noProof/>
                <w:color w:val="000000"/>
                <w:sz w:val="18"/>
              </w:rPr>
            </w:pPr>
            <w:r>
              <w:rPr>
                <w:rFonts w:ascii="Verdana" w:eastAsia="Verdana" w:hAnsi="Verdana" w:cs="Verdana"/>
                <w:i/>
                <w:noProof/>
                <w:color w:val="000000"/>
                <w:sz w:val="18"/>
              </w:rPr>
              <w:t>Expenses</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 xml:space="preserve"> (161)</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(167)</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PARTASS2"/>
              <w:rPr>
                <w:rFonts w:ascii="Verdana" w:eastAsia="Verdana" w:hAnsi="Verdana" w:cs="Verdana"/>
                <w:i/>
                <w:noProof/>
                <w:color w:val="000000"/>
                <w:sz w:val="18"/>
              </w:rPr>
            </w:pPr>
            <w:r>
              <w:rPr>
                <w:rFonts w:ascii="Verdana" w:eastAsia="Verdana" w:hAnsi="Verdana" w:cs="Verdana"/>
                <w:i/>
                <w:noProof/>
                <w:color w:val="000000"/>
                <w:sz w:val="18"/>
              </w:rPr>
              <w:t>Surplus/(deficit)</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 xml:space="preserve"> 176</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PARTASS2"/>
              <w:jc w:val="right"/>
              <w:rPr>
                <w:rFonts w:ascii="Verdana" w:eastAsia="Verdana" w:hAnsi="Verdana" w:cs="Verdana"/>
                <w:i/>
                <w:noProof/>
                <w:color w:val="000000"/>
                <w:sz w:val="18"/>
              </w:rPr>
            </w:pPr>
            <w:r>
              <w:rPr>
                <w:rFonts w:ascii="Verdana" w:eastAsia="Verdana" w:hAnsi="Verdana" w:cs="Verdana"/>
                <w:i/>
                <w:noProof/>
                <w:color w:val="000000"/>
                <w:sz w:val="18"/>
              </w:rPr>
              <w:t xml:space="preserve"> 124</w:t>
            </w:r>
          </w:p>
        </w:tc>
      </w:tr>
    </w:tbl>
    <w:p w:rsidR="00135552" w:rsidRDefault="004C63B0">
      <w:pPr>
        <w:pStyle w:val="DGTextstand-alone"/>
      </w:pPr>
      <w:r>
        <w:t>Reconciliation of the above summarised financial information to the carrying amount of the interest held in the EIF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EIF2"/>
              <w:rPr>
                <w:rFonts w:ascii="Arial" w:eastAsia="Arial" w:hAnsi="Arial" w:cs="Arial"/>
                <w:noProof/>
                <w:color w:val="000000"/>
                <w:sz w:val="16"/>
                <w:lang w:bidi="en-GB"/>
              </w:rPr>
            </w:pPr>
            <w:bookmarkStart w:id="49" w:name="DOC_TBL00011_1_1"/>
            <w:bookmarkEnd w:id="49"/>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EIF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2"/>
              <w:jc w:val="right"/>
              <w:rPr>
                <w:rFonts w:ascii="Arial" w:eastAsia="Arial" w:hAnsi="Arial" w:cs="Arial"/>
                <w:i/>
                <w:noProof/>
                <w:color w:val="000000"/>
                <w:sz w:val="16"/>
                <w:lang w:bidi="en-GB"/>
              </w:rPr>
            </w:pPr>
            <w:r>
              <w:rPr>
                <w:rFonts w:ascii="Arial" w:eastAsia="Arial" w:hAnsi="Arial" w:cs="Arial"/>
                <w:i/>
                <w:noProof/>
                <w:color w:val="000000"/>
                <w:sz w:val="16"/>
              </w:rPr>
              <w:t>EUR million</w:t>
            </w:r>
          </w:p>
        </w:tc>
      </w:tr>
      <w:tr w:rsidR="00135552">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135552" w:rsidRDefault="00135552">
            <w:pPr>
              <w:pStyle w:val="DMETW16570BIPEIF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EIF2"/>
              <w:jc w:val="right"/>
              <w:rPr>
                <w:rFonts w:ascii="Verdana" w:eastAsia="Verdana" w:hAnsi="Verdana" w:cs="Verdana"/>
                <w:noProof/>
                <w:color w:val="FFFFFF"/>
              </w:rPr>
            </w:pPr>
            <w:r>
              <w:rPr>
                <w:rFonts w:ascii="Verdana" w:eastAsia="Verdana" w:hAnsi="Verdana" w:cs="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EIF2"/>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EIF2"/>
              <w:rPr>
                <w:rFonts w:ascii="Verdana" w:eastAsia="Verdana" w:hAnsi="Verdana" w:cs="Verdana"/>
                <w:i/>
                <w:noProof/>
                <w:color w:val="000000"/>
                <w:sz w:val="18"/>
              </w:rPr>
            </w:pPr>
            <w:r>
              <w:rPr>
                <w:rFonts w:ascii="Verdana" w:eastAsia="Verdana" w:hAnsi="Verdana" w:cs="Verdana"/>
                <w:i/>
                <w:noProof/>
                <w:color w:val="000000"/>
                <w:sz w:val="18"/>
              </w:rPr>
              <w:t xml:space="preserve">Net assets of </w:t>
            </w:r>
            <w:r>
              <w:rPr>
                <w:rFonts w:ascii="Verdana" w:eastAsia="Verdana" w:hAnsi="Verdana" w:cs="Verdana"/>
                <w:i/>
                <w:noProof/>
                <w:color w:val="000000"/>
                <w:sz w:val="18"/>
              </w:rPr>
              <w:t>the associate</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2"/>
              <w:jc w:val="right"/>
              <w:rPr>
                <w:rFonts w:ascii="Verdana" w:eastAsia="Verdana" w:hAnsi="Verdana" w:cs="Verdana"/>
                <w:i/>
                <w:noProof/>
                <w:color w:val="000000"/>
                <w:sz w:val="18"/>
              </w:rPr>
            </w:pPr>
            <w:r>
              <w:rPr>
                <w:rFonts w:ascii="Verdana" w:eastAsia="Verdana" w:hAnsi="Verdana" w:cs="Verdana"/>
                <w:i/>
                <w:noProof/>
                <w:color w:val="000000"/>
                <w:sz w:val="18"/>
              </w:rPr>
              <w:t>1 990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2"/>
              <w:jc w:val="right"/>
              <w:rPr>
                <w:rFonts w:ascii="Verdana" w:eastAsia="Verdana" w:hAnsi="Verdana" w:cs="Verdana"/>
                <w:i/>
                <w:noProof/>
                <w:color w:val="000000"/>
                <w:sz w:val="18"/>
                <w:lang w:bidi="en-GB"/>
              </w:rPr>
            </w:pPr>
            <w:r>
              <w:rPr>
                <w:rFonts w:ascii="Verdana" w:eastAsia="Verdana" w:hAnsi="Verdana" w:cs="Verdana"/>
                <w:i/>
                <w:noProof/>
                <w:color w:val="000000"/>
                <w:sz w:val="18"/>
              </w:rPr>
              <w:t>1 988</w:t>
            </w:r>
          </w:p>
        </w:tc>
      </w:tr>
      <w:tr w:rsidR="00135552">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70BIPEIF2"/>
              <w:rPr>
                <w:rFonts w:ascii="Verdana" w:eastAsia="Verdana" w:hAnsi="Verdana" w:cs="Verdana"/>
                <w:b/>
                <w:noProof/>
                <w:color w:val="000000"/>
                <w:sz w:val="18"/>
              </w:rPr>
            </w:pPr>
            <w:r>
              <w:rPr>
                <w:rFonts w:ascii="Verdana" w:eastAsia="Verdana" w:hAnsi="Verdana" w:cs="Verdana"/>
                <w:b/>
                <w:noProof/>
                <w:color w:val="000000"/>
                <w:sz w:val="18"/>
              </w:rPr>
              <w:t>EC ownership interests in EIF</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70BIPEIF2"/>
              <w:jc w:val="right"/>
              <w:rPr>
                <w:rFonts w:ascii="Verdana" w:eastAsia="Verdana" w:hAnsi="Verdana" w:cs="Verdana"/>
                <w:b/>
                <w:noProof/>
                <w:color w:val="000000"/>
                <w:sz w:val="18"/>
              </w:rPr>
            </w:pPr>
            <w:r>
              <w:rPr>
                <w:rFonts w:ascii="Verdana" w:eastAsia="Verdana" w:hAnsi="Verdana" w:cs="Verdana"/>
                <w:b/>
                <w:noProof/>
                <w:color w:val="000000"/>
                <w:sz w:val="18"/>
              </w:rPr>
              <w:t>29.70%</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70BIPEIF2"/>
              <w:jc w:val="right"/>
              <w:rPr>
                <w:rFonts w:ascii="Verdana" w:eastAsia="Verdana" w:hAnsi="Verdana" w:cs="Verdana"/>
                <w:b/>
                <w:noProof/>
                <w:color w:val="000000"/>
                <w:sz w:val="18"/>
                <w:lang w:bidi="en-GB"/>
              </w:rPr>
            </w:pPr>
            <w:r>
              <w:rPr>
                <w:rFonts w:ascii="Verdana" w:eastAsia="Verdana" w:hAnsi="Verdana" w:cs="Verdana"/>
                <w:b/>
                <w:noProof/>
                <w:color w:val="000000"/>
                <w:sz w:val="18"/>
              </w:rPr>
              <w:t>29.70%</w:t>
            </w:r>
          </w:p>
        </w:tc>
      </w:tr>
      <w:tr w:rsidR="00135552">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70BIPEIF2"/>
              <w:rPr>
                <w:rFonts w:ascii="Verdana" w:eastAsia="Verdana" w:hAnsi="Verdana" w:cs="Verdana"/>
                <w:i/>
                <w:noProof/>
                <w:color w:val="000000"/>
                <w:sz w:val="18"/>
              </w:rPr>
            </w:pPr>
            <w:r>
              <w:rPr>
                <w:rFonts w:ascii="Verdana" w:eastAsia="Verdana" w:hAnsi="Verdana" w:cs="Verdana"/>
                <w:i/>
                <w:noProof/>
                <w:color w:val="000000"/>
                <w:sz w:val="18"/>
              </w:rPr>
              <w:t>Carrying amount</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6570BIPEIF2"/>
              <w:jc w:val="right"/>
              <w:rPr>
                <w:rFonts w:ascii="Verdana" w:eastAsia="Verdana" w:hAnsi="Verdana" w:cs="Verdana"/>
                <w:i/>
                <w:noProof/>
                <w:color w:val="000000"/>
                <w:sz w:val="18"/>
              </w:rPr>
            </w:pPr>
            <w:r>
              <w:rPr>
                <w:rFonts w:ascii="Verdana" w:eastAsia="Verdana" w:hAnsi="Verdana" w:cs="Verdana"/>
                <w:i/>
                <w:noProof/>
                <w:color w:val="000000"/>
                <w:sz w:val="18"/>
              </w:rPr>
              <w:t xml:space="preserve"> 591</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6570BIPEIF2"/>
              <w:jc w:val="right"/>
              <w:rPr>
                <w:rFonts w:ascii="Verdana" w:eastAsia="Verdana" w:hAnsi="Verdana" w:cs="Verdana"/>
                <w:i/>
                <w:noProof/>
                <w:color w:val="000000"/>
                <w:sz w:val="18"/>
              </w:rPr>
            </w:pPr>
            <w:r>
              <w:rPr>
                <w:rFonts w:ascii="Verdana" w:eastAsia="Verdana" w:hAnsi="Verdana" w:cs="Verdana"/>
                <w:i/>
                <w:noProof/>
                <w:color w:val="000000"/>
                <w:sz w:val="18"/>
              </w:rPr>
              <w:t xml:space="preserve"> 591</w:t>
            </w:r>
          </w:p>
        </w:tc>
      </w:tr>
    </w:tbl>
    <w:p w:rsidR="00135552" w:rsidRDefault="004C63B0">
      <w:pPr>
        <w:pStyle w:val="DGTextstand-alone"/>
      </w:pPr>
      <w:r>
        <w:t xml:space="preserve">The EU, represented by the Commission, has paid in 20 % of its subscribed shares in the EIF capital at 31 December 2019, the amount uncalled being as </w:t>
      </w:r>
      <w:r>
        <w:t>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EIF1"/>
              <w:rPr>
                <w:rFonts w:ascii="Arial" w:eastAsia="Arial" w:hAnsi="Arial" w:cs="Arial"/>
                <w:noProof/>
                <w:color w:val="000000"/>
                <w:sz w:val="16"/>
                <w:lang w:bidi="en-GB"/>
              </w:rPr>
            </w:pPr>
            <w:bookmarkStart w:id="50" w:name="DOC_TBL00012_1_1"/>
            <w:bookmarkEnd w:id="50"/>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70BIPEIF1"/>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Arial" w:eastAsia="Arial" w:hAnsi="Arial" w:cs="Arial"/>
                <w:i/>
                <w:noProof/>
                <w:color w:val="000000"/>
                <w:sz w:val="16"/>
                <w:lang w:bidi="en-GB"/>
              </w:rPr>
            </w:pPr>
            <w:r>
              <w:rPr>
                <w:rFonts w:ascii="Arial" w:eastAsia="Arial" w:hAnsi="Arial" w:cs="Arial"/>
                <w:i/>
                <w:noProof/>
                <w:color w:val="000000"/>
                <w:sz w:val="16"/>
              </w:rPr>
              <w:t>EUR million</w:t>
            </w:r>
          </w:p>
        </w:tc>
      </w:tr>
      <w:tr w:rsidR="00135552">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135552" w:rsidRDefault="00135552">
            <w:pPr>
              <w:pStyle w:val="DMETW16570BIPEIF1"/>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EIF1"/>
              <w:jc w:val="right"/>
              <w:rPr>
                <w:rFonts w:ascii="Verdana" w:eastAsia="Verdana" w:hAnsi="Verdana" w:cs="Verdana"/>
                <w:noProof/>
                <w:color w:val="FFFFFF"/>
              </w:rPr>
            </w:pPr>
            <w:r>
              <w:rPr>
                <w:rFonts w:ascii="Verdana" w:eastAsia="Verdana" w:hAnsi="Verdana" w:cs="Verdana"/>
                <w:noProof/>
                <w:color w:val="FFFFFF"/>
              </w:rPr>
              <w:t>Total EIF capital</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70BIPEIF1"/>
              <w:jc w:val="right"/>
              <w:rPr>
                <w:rFonts w:ascii="Verdana" w:eastAsia="Verdana" w:hAnsi="Verdana" w:cs="Verdana"/>
                <w:noProof/>
                <w:color w:val="FFFFFF"/>
                <w:lang w:bidi="en-GB"/>
              </w:rPr>
            </w:pPr>
            <w:r>
              <w:rPr>
                <w:rFonts w:ascii="Verdana" w:eastAsia="Verdana" w:hAnsi="Verdana" w:cs="Verdana"/>
                <w:noProof/>
                <w:color w:val="FFFFFF"/>
              </w:rPr>
              <w:t>EU subscription</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EIF1"/>
              <w:rPr>
                <w:rFonts w:ascii="Verdana" w:eastAsia="Verdana" w:hAnsi="Verdana" w:cs="Verdana"/>
                <w:i/>
                <w:noProof/>
                <w:color w:val="000000"/>
                <w:sz w:val="18"/>
              </w:rPr>
            </w:pPr>
            <w:r>
              <w:rPr>
                <w:rFonts w:ascii="Verdana" w:eastAsia="Verdana" w:hAnsi="Verdana" w:cs="Verdana"/>
                <w:i/>
                <w:noProof/>
                <w:color w:val="000000"/>
                <w:sz w:val="18"/>
              </w:rPr>
              <w:t>Total share capital</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i/>
                <w:noProof/>
                <w:color w:val="000000"/>
                <w:sz w:val="18"/>
              </w:rPr>
            </w:pPr>
            <w:r>
              <w:rPr>
                <w:rFonts w:ascii="Verdana" w:eastAsia="Verdana" w:hAnsi="Verdana" w:cs="Verdana"/>
                <w:i/>
                <w:noProof/>
                <w:color w:val="000000"/>
                <w:sz w:val="18"/>
              </w:rPr>
              <w:t>4 500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i/>
                <w:noProof/>
                <w:color w:val="000000"/>
                <w:sz w:val="18"/>
                <w:lang w:bidi="en-GB"/>
              </w:rPr>
            </w:pPr>
            <w:r>
              <w:rPr>
                <w:rFonts w:ascii="Verdana" w:eastAsia="Verdana" w:hAnsi="Verdana" w:cs="Verdana"/>
                <w:i/>
                <w:noProof/>
                <w:color w:val="000000"/>
                <w:sz w:val="18"/>
              </w:rPr>
              <w:t>1 337</w:t>
            </w:r>
          </w:p>
        </w:tc>
      </w:tr>
      <w:tr w:rsidR="00135552">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70BIPEIF1"/>
              <w:rPr>
                <w:rFonts w:ascii="Verdana" w:eastAsia="Verdana" w:hAnsi="Verdana" w:cs="Verdana"/>
                <w:i/>
                <w:noProof/>
                <w:color w:val="000000"/>
                <w:sz w:val="18"/>
              </w:rPr>
            </w:pPr>
            <w:r>
              <w:rPr>
                <w:rFonts w:ascii="Verdana" w:eastAsia="Verdana" w:hAnsi="Verdana" w:cs="Verdana"/>
                <w:i/>
                <w:noProof/>
                <w:color w:val="000000"/>
                <w:sz w:val="18"/>
              </w:rPr>
              <w:t>Paid-in</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i/>
                <w:noProof/>
                <w:color w:val="000000"/>
                <w:sz w:val="18"/>
              </w:rPr>
            </w:pPr>
            <w:r>
              <w:rPr>
                <w:rFonts w:ascii="Verdana" w:eastAsia="Verdana" w:hAnsi="Verdana" w:cs="Verdana"/>
                <w:i/>
                <w:noProof/>
                <w:color w:val="000000"/>
                <w:sz w:val="18"/>
              </w:rPr>
              <w:t xml:space="preserve"> (900)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(267)</w:t>
            </w:r>
          </w:p>
        </w:tc>
      </w:tr>
      <w:tr w:rsidR="00135552">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70BIPEIF1"/>
              <w:rPr>
                <w:rFonts w:ascii="Verdana" w:eastAsia="Verdana" w:hAnsi="Verdana" w:cs="Verdana"/>
                <w:b/>
                <w:noProof/>
                <w:color w:val="000000"/>
                <w:sz w:val="18"/>
              </w:rPr>
            </w:pPr>
            <w:r>
              <w:rPr>
                <w:rFonts w:ascii="Verdana" w:eastAsia="Verdana" w:hAnsi="Verdana" w:cs="Verdana"/>
                <w:b/>
                <w:noProof/>
                <w:color w:val="000000"/>
                <w:sz w:val="18"/>
              </w:rPr>
              <w:t>Uncalled</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b/>
                <w:noProof/>
                <w:color w:val="000000"/>
                <w:sz w:val="18"/>
              </w:rPr>
            </w:pPr>
            <w:r>
              <w:rPr>
                <w:rFonts w:ascii="Verdana" w:eastAsia="Verdana" w:hAnsi="Verdana" w:cs="Verdana"/>
                <w:b/>
                <w:noProof/>
                <w:color w:val="000000"/>
                <w:sz w:val="18"/>
              </w:rPr>
              <w:t>3 600</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6570BIPEIF1"/>
              <w:jc w:val="right"/>
              <w:rPr>
                <w:rFonts w:ascii="Verdana" w:eastAsia="Verdana" w:hAnsi="Verdana" w:cs="Verdana"/>
                <w:b/>
                <w:noProof/>
                <w:color w:val="000000"/>
                <w:sz w:val="18"/>
              </w:rPr>
            </w:pPr>
            <w:r>
              <w:rPr>
                <w:rFonts w:ascii="Verdana" w:eastAsia="Verdana" w:hAnsi="Verdana" w:cs="Verdana"/>
                <w:b/>
                <w:noProof/>
                <w:color w:val="000000"/>
                <w:sz w:val="18"/>
              </w:rPr>
              <w:t>1 070</w:t>
            </w:r>
          </w:p>
        </w:tc>
      </w:tr>
    </w:tbl>
    <w:p w:rsidR="00135552" w:rsidRDefault="004C63B0">
      <w:pPr>
        <w:pStyle w:val="DGTextstand-alone"/>
        <w:spacing w:before="0" w:after="0"/>
        <w:sectPr w:rsidR="00135552">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9" w:footer="709" w:gutter="0"/>
          <w:cols w:space="708"/>
          <w:docGrid w:linePitch="360"/>
        </w:sectPr>
      </w:pPr>
      <w:r>
        <w:t xml:space="preserve"> </w:t>
      </w:r>
      <w:bookmarkEnd w:id="44"/>
    </w:p>
    <w:p w:rsidR="00135552" w:rsidRDefault="004C63B0">
      <w:pPr>
        <w:pStyle w:val="HEADER2NOTES"/>
        <w:spacing w:before="0"/>
        <w:rPr>
          <w:noProof/>
        </w:rPr>
      </w:pPr>
      <w:bookmarkStart w:id="51" w:name="_DMBM_17157"/>
      <w:r>
        <w:rPr>
          <w:noProof/>
        </w:rPr>
        <w:t>FINANCIAL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1554"/>
        <w:gridCol w:w="1555"/>
        <w:gridCol w:w="1555"/>
      </w:tblGrid>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rPr>
                <w:rFonts w:ascii="Verdana" w:eastAsia="Verdana" w:hAnsi="Verdana" w:cs="Verdana"/>
                <w:i/>
                <w:noProof/>
                <w:color w:val="FFFFFF"/>
                <w:sz w:val="16"/>
                <w:lang w:bidi="en-GB"/>
              </w:rPr>
            </w:pPr>
            <w:bookmarkStart w:id="52" w:name="DOC_TBL00013_1_1"/>
            <w:bookmarkEnd w:id="52"/>
          </w:p>
        </w:tc>
        <w:tc>
          <w:tcPr>
            <w:tcW w:w="155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IN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09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FINA"/>
              <w:rPr>
                <w:rFonts w:ascii="Verdana" w:eastAsia="Verdana" w:hAnsi="Verdana" w:cs="Verdana"/>
                <w:noProof/>
                <w:color w:val="FFFFFF"/>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INA"/>
              <w:jc w:val="center"/>
              <w:rPr>
                <w:rFonts w:ascii="Verdana" w:eastAsia="Verdana" w:hAnsi="Verdana" w:cs="Verdana"/>
                <w:noProof/>
                <w:color w:val="FFFFFF"/>
              </w:rPr>
            </w:pPr>
            <w:r>
              <w:rPr>
                <w:rFonts w:ascii="Verdana" w:eastAsia="Verdana" w:hAnsi="Verdana" w:cs="Verdana"/>
                <w:noProof/>
                <w:color w:val="FFFFFF"/>
              </w:rPr>
              <w:t>Note</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INA"/>
              <w:jc w:val="right"/>
              <w:rPr>
                <w:rFonts w:ascii="Verdana" w:eastAsia="Verdana" w:hAnsi="Verdana" w:cs="Verdana"/>
                <w:noProof/>
                <w:color w:val="FFFFFF"/>
              </w:rPr>
            </w:pPr>
            <w:r>
              <w:rPr>
                <w:rFonts w:ascii="Verdana" w:eastAsia="Verdana" w:hAnsi="Verdana" w:cs="Verdana"/>
                <w:noProof/>
                <w:color w:val="FFFFFF"/>
              </w:rPr>
              <w:t>31.12.2019</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INA"/>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rPr>
                <w:rFonts w:ascii="Verdana" w:eastAsia="Verdana" w:hAnsi="Verdana" w:cs="Verdana"/>
                <w:b/>
                <w:noProof/>
                <w:color w:val="000000"/>
                <w:sz w:val="18"/>
                <w:lang w:bidi="en-GB"/>
              </w:rPr>
            </w:pP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Available for sale financial assets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15 211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13 657</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 xml:space="preserve"> 134</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Loans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51 368</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51 560</w:t>
            </w:r>
          </w:p>
        </w:tc>
      </w:tr>
      <w:tr w:rsidR="00135552">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rPr>
            </w:pPr>
            <w:r>
              <w:rPr>
                <w:rFonts w:ascii="Verdana" w:eastAsia="Verdana" w:hAnsi="Verdana" w:cs="Verdana"/>
                <w:b/>
                <w:noProof/>
                <w:color w:val="000000"/>
                <w:sz w:val="18"/>
              </w:rPr>
              <w:t>66 714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lang w:bidi="en-GB"/>
              </w:rPr>
            </w:pPr>
            <w:r>
              <w:rPr>
                <w:rFonts w:ascii="Verdana" w:eastAsia="Verdana" w:hAnsi="Verdana" w:cs="Verdana"/>
                <w:b/>
                <w:noProof/>
                <w:color w:val="000000"/>
                <w:sz w:val="18"/>
              </w:rPr>
              <w:t>65 231</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b/>
                <w:noProof/>
                <w:color w:val="000000"/>
                <w:sz w:val="18"/>
              </w:rPr>
            </w:pPr>
            <w:r>
              <w:rPr>
                <w:rFonts w:ascii="Verdana" w:eastAsia="Verdana" w:hAnsi="Verdana" w:cs="Verdana"/>
                <w:b/>
                <w:noProof/>
                <w:color w:val="000000"/>
                <w:sz w:val="18"/>
              </w:rPr>
              <w:t>Current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FINA"/>
              <w:rPr>
                <w:rFonts w:ascii="Verdana" w:eastAsia="Verdana" w:hAnsi="Verdana" w:cs="Verdana"/>
                <w:b/>
                <w:noProof/>
                <w:color w:val="000000"/>
                <w:sz w:val="18"/>
                <w:lang w:bidi="en-GB"/>
              </w:rPr>
            </w:pP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 xml:space="preserve">Available </w:t>
            </w:r>
            <w:r>
              <w:rPr>
                <w:rFonts w:ascii="Verdana" w:eastAsia="Verdana" w:hAnsi="Verdana" w:cs="Verdana"/>
                <w:i/>
                <w:noProof/>
                <w:color w:val="000000"/>
                <w:sz w:val="18"/>
              </w:rPr>
              <w:t>for sale financial assets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3 196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1 786</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i/>
                <w:noProof/>
                <w:color w:val="000000"/>
                <w:sz w:val="18"/>
              </w:rPr>
            </w:pPr>
            <w:r>
              <w:rPr>
                <w:rFonts w:ascii="Verdana" w:eastAsia="Verdana" w:hAnsi="Verdana" w:cs="Verdana"/>
                <w:i/>
                <w:noProof/>
                <w:color w:val="000000"/>
                <w:sz w:val="18"/>
              </w:rPr>
              <w:t>Loans</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center"/>
              <w:rPr>
                <w:rFonts w:ascii="Verdana" w:eastAsia="Verdana" w:hAnsi="Verdana" w:cs="Verdana"/>
                <w:i/>
                <w:noProof/>
                <w:color w:val="000000"/>
                <w:sz w:val="18"/>
              </w:rPr>
            </w:pPr>
            <w:r>
              <w:rPr>
                <w:rFonts w:ascii="Verdana" w:eastAsia="Verdana" w:hAnsi="Verdana" w:cs="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rPr>
            </w:pPr>
            <w:r>
              <w:rPr>
                <w:rFonts w:ascii="Verdana" w:eastAsia="Verdana" w:hAnsi="Verdana" w:cs="Verdana"/>
                <w:i/>
                <w:noProof/>
                <w:color w:val="000000"/>
                <w:sz w:val="18"/>
              </w:rPr>
              <w:t>1 316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i/>
                <w:noProof/>
                <w:color w:val="000000"/>
                <w:sz w:val="18"/>
                <w:lang w:bidi="en-GB"/>
              </w:rPr>
            </w:pPr>
            <w:r>
              <w:rPr>
                <w:rFonts w:ascii="Verdana" w:eastAsia="Verdana" w:hAnsi="Verdana" w:cs="Verdana"/>
                <w:i/>
                <w:noProof/>
                <w:color w:val="000000"/>
                <w:sz w:val="18"/>
              </w:rPr>
              <w:t>2 380</w:t>
            </w:r>
          </w:p>
        </w:tc>
      </w:tr>
      <w:tr w:rsidR="00135552">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rPr>
            </w:pPr>
            <w:r>
              <w:rPr>
                <w:rFonts w:ascii="Verdana" w:eastAsia="Verdana" w:hAnsi="Verdana" w:cs="Verdana"/>
                <w:b/>
                <w:noProof/>
                <w:color w:val="000000"/>
                <w:sz w:val="18"/>
              </w:rPr>
              <w:t>4 514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lang w:bidi="en-GB"/>
              </w:rPr>
            </w:pPr>
            <w:r>
              <w:rPr>
                <w:rFonts w:ascii="Verdana" w:eastAsia="Verdana" w:hAnsi="Verdana" w:cs="Verdana"/>
                <w:b/>
                <w:noProof/>
                <w:color w:val="000000"/>
                <w:sz w:val="18"/>
              </w:rPr>
              <w:t>4 168</w:t>
            </w:r>
          </w:p>
        </w:tc>
      </w:tr>
      <w:tr w:rsidR="00135552">
        <w:trPr>
          <w:trHeight w:val="255"/>
        </w:trPr>
        <w:tc>
          <w:tcPr>
            <w:tcW w:w="5094"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FINA"/>
              <w:rPr>
                <w:rFonts w:ascii="Verdana" w:eastAsia="Verdana" w:hAnsi="Verdana" w:cs="Verdana"/>
                <w:b/>
                <w:noProof/>
                <w:color w:val="000000"/>
                <w:sz w:val="18"/>
              </w:rPr>
            </w:pPr>
            <w:r>
              <w:rPr>
                <w:rFonts w:ascii="Verdana" w:eastAsia="Verdana" w:hAnsi="Verdana" w:cs="Verdana"/>
                <w:b/>
                <w:noProof/>
                <w:color w:val="000000"/>
                <w:sz w:val="18"/>
              </w:rPr>
              <w:t>Total</w:t>
            </w:r>
          </w:p>
        </w:tc>
        <w:tc>
          <w:tcPr>
            <w:tcW w:w="1554"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0BIPFINA"/>
              <w:jc w:val="center"/>
              <w:rPr>
                <w:rFonts w:ascii="Verdana" w:eastAsia="Verdana" w:hAnsi="Verdana" w:cs="Verdana"/>
                <w:i/>
                <w:noProof/>
                <w:color w:val="000000"/>
                <w:sz w:val="18"/>
              </w:rPr>
            </w:pP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rPr>
            </w:pPr>
            <w:r>
              <w:rPr>
                <w:rFonts w:ascii="Verdana" w:eastAsia="Verdana" w:hAnsi="Verdana" w:cs="Verdana"/>
                <w:b/>
                <w:noProof/>
                <w:color w:val="000000"/>
                <w:sz w:val="18"/>
              </w:rPr>
              <w:t>71 228</w:t>
            </w: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FINA"/>
              <w:jc w:val="right"/>
              <w:rPr>
                <w:rFonts w:ascii="Verdana" w:eastAsia="Verdana" w:hAnsi="Verdana" w:cs="Verdana"/>
                <w:b/>
                <w:noProof/>
                <w:color w:val="000000"/>
                <w:sz w:val="18"/>
              </w:rPr>
            </w:pPr>
            <w:r>
              <w:rPr>
                <w:rFonts w:ascii="Verdana" w:eastAsia="Verdana" w:hAnsi="Verdana" w:cs="Verdana"/>
                <w:b/>
                <w:noProof/>
                <w:color w:val="000000"/>
                <w:sz w:val="18"/>
              </w:rPr>
              <w:t>69 398</w:t>
            </w:r>
          </w:p>
        </w:tc>
      </w:tr>
    </w:tbl>
    <w:p w:rsidR="00135552" w:rsidRDefault="004C63B0">
      <w:pPr>
        <w:pStyle w:val="HEADER3NOTES"/>
        <w:rPr>
          <w:noProof/>
        </w:rPr>
      </w:pPr>
      <w:r>
        <w:rPr>
          <w:noProof/>
        </w:rPr>
        <w:t>Available for sale financial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0BIPAFS"/>
              <w:rPr>
                <w:rFonts w:ascii="Verdana" w:eastAsia="Verdana" w:hAnsi="Verdana" w:cs="Verdana"/>
                <w:i/>
                <w:noProof/>
                <w:color w:val="FFFFFF"/>
                <w:sz w:val="16"/>
                <w:lang w:bidi="en-GB"/>
              </w:rPr>
            </w:pPr>
            <w:bookmarkStart w:id="53" w:name="DOC_TBL00014_1_1"/>
            <w:bookmarkEnd w:id="53"/>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AFS"/>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AFS"/>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AFS"/>
              <w:jc w:val="right"/>
              <w:rPr>
                <w:rFonts w:ascii="Verdana" w:eastAsia="Verdana" w:hAnsi="Verdana" w:cs="Verdana"/>
                <w:noProof/>
                <w:color w:val="FFFFFF"/>
              </w:rPr>
            </w:pPr>
            <w:r>
              <w:rPr>
                <w:rFonts w:ascii="Verdana" w:eastAsia="Verdana" w:hAnsi="Verdana" w:cs="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AFS"/>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BUFI investments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1 863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1 888</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ECSC in Liquidation</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1 459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1 506</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European Bank for Reconstruction and Development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188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188</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EEAS local staff pension plan</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75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rPr>
            </w:pPr>
            <w:r>
              <w:rPr>
                <w:rFonts w:ascii="Verdana" w:eastAsia="Verdana" w:hAnsi="Verdana" w:cs="Verdana"/>
                <w:b/>
                <w:noProof/>
                <w:color w:val="000000"/>
                <w:sz w:val="18"/>
              </w:rPr>
              <w:t>3 585</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lang w:bidi="en-GB"/>
              </w:rPr>
            </w:pPr>
            <w:r>
              <w:rPr>
                <w:rFonts w:ascii="Verdana" w:eastAsia="Verdana" w:hAnsi="Verdana" w:cs="Verdana"/>
                <w:b/>
                <w:noProof/>
                <w:color w:val="000000"/>
                <w:sz w:val="18"/>
              </w:rPr>
              <w:t>3 582</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16794"/>
                <w:sz w:val="18"/>
              </w:rPr>
            </w:pPr>
            <w:r>
              <w:rPr>
                <w:rFonts w:ascii="Verdana" w:eastAsia="Verdana" w:hAnsi="Verdana" w:cs="Verdana"/>
                <w:i/>
                <w:noProof/>
                <w:color w:val="016794"/>
                <w:sz w:val="18"/>
              </w:rPr>
              <w:t>Guarantee Funds for budgetary guarantees: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AFS"/>
              <w:jc w:val="right"/>
              <w:rPr>
                <w:rFonts w:ascii="Verdana" w:eastAsia="Verdana" w:hAnsi="Verdana" w:cs="Verdana"/>
                <w:i/>
                <w:noProof/>
                <w:color w:val="000000"/>
                <w:sz w:val="18"/>
                <w:lang w:bidi="en-GB"/>
              </w:rPr>
            </w:pP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EFSI Guarantee Fund</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6 654</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5 000</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Guarantee Fund for external actions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2 545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2 465</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EFSD Guarantee Fund</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595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w:t>
            </w:r>
          </w:p>
        </w:tc>
      </w:tr>
      <w:tr w:rsidR="00135552">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rPr>
            </w:pPr>
            <w:r>
              <w:rPr>
                <w:rFonts w:ascii="Verdana" w:eastAsia="Verdana" w:hAnsi="Verdana" w:cs="Verdana"/>
                <w:b/>
                <w:noProof/>
                <w:color w:val="000000"/>
                <w:sz w:val="18"/>
              </w:rPr>
              <w:t>9 794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lang w:bidi="en-GB"/>
              </w:rPr>
            </w:pPr>
            <w:r>
              <w:rPr>
                <w:rFonts w:ascii="Verdana" w:eastAsia="Verdana" w:hAnsi="Verdana" w:cs="Verdana"/>
                <w:b/>
                <w:noProof/>
                <w:color w:val="000000"/>
                <w:sz w:val="18"/>
              </w:rPr>
              <w:t>7 474</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16794"/>
                <w:sz w:val="18"/>
              </w:rPr>
            </w:pPr>
            <w:r>
              <w:rPr>
                <w:rFonts w:ascii="Verdana" w:eastAsia="Verdana" w:hAnsi="Verdana" w:cs="Verdana"/>
                <w:i/>
                <w:noProof/>
                <w:color w:val="016794"/>
                <w:sz w:val="18"/>
              </w:rPr>
              <w:t>Financial Instruments financed by the EU budget: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AFS"/>
              <w:jc w:val="right"/>
              <w:rPr>
                <w:rFonts w:ascii="Verdana" w:eastAsia="Verdana" w:hAnsi="Verdana" w:cs="Verdana"/>
                <w:i/>
                <w:noProof/>
                <w:color w:val="000000"/>
                <w:sz w:val="18"/>
                <w:lang w:bidi="en-GB"/>
              </w:rPr>
            </w:pP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Horizon 2020</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2 455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2 031</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Connecting Europe Facility</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699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540</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Risk Sharing Finance Facility</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597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679</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 xml:space="preserve">EU SME </w:t>
            </w:r>
            <w:r>
              <w:rPr>
                <w:rFonts w:ascii="Verdana" w:eastAsia="Verdana" w:hAnsi="Verdana" w:cs="Verdana"/>
                <w:i/>
                <w:noProof/>
                <w:color w:val="000000"/>
                <w:sz w:val="18"/>
              </w:rPr>
              <w:t>Equity Facilities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507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464</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European Fund for South East Europe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166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115</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Risk Capital Operations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112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113</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Energy Efficiency Finance Facility</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105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101</w:t>
            </w:r>
          </w:p>
        </w:tc>
      </w:tr>
      <w:tr w:rsidR="00135552">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00000"/>
                <w:sz w:val="18"/>
              </w:rPr>
            </w:pPr>
            <w:r>
              <w:rPr>
                <w:rFonts w:ascii="Verdana" w:eastAsia="Verdana" w:hAnsi="Verdana" w:cs="Verdana"/>
                <w:i/>
                <w:noProof/>
                <w:color w:val="000000"/>
                <w:sz w:val="18"/>
              </w:rPr>
              <w:t>Other</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rPr>
            </w:pPr>
            <w:r>
              <w:rPr>
                <w:rFonts w:ascii="Verdana" w:eastAsia="Verdana" w:hAnsi="Verdana" w:cs="Verdana"/>
                <w:i/>
                <w:noProof/>
                <w:color w:val="000000"/>
                <w:sz w:val="18"/>
              </w:rPr>
              <w:t xml:space="preserve"> 387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343</w:t>
            </w:r>
          </w:p>
        </w:tc>
      </w:tr>
      <w:tr w:rsidR="00135552">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rPr>
            </w:pPr>
            <w:r>
              <w:rPr>
                <w:rFonts w:ascii="Verdana" w:eastAsia="Verdana" w:hAnsi="Verdana" w:cs="Verdana"/>
                <w:b/>
                <w:noProof/>
                <w:color w:val="000000"/>
                <w:sz w:val="18"/>
              </w:rPr>
              <w:t>5 028</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lang w:bidi="en-GB"/>
              </w:rPr>
            </w:pPr>
            <w:r>
              <w:rPr>
                <w:rFonts w:ascii="Verdana" w:eastAsia="Verdana" w:hAnsi="Verdana" w:cs="Verdana"/>
                <w:b/>
                <w:noProof/>
                <w:color w:val="000000"/>
                <w:sz w:val="18"/>
              </w:rPr>
              <w:t>4 386</w:t>
            </w:r>
          </w:p>
        </w:tc>
      </w:tr>
      <w:tr w:rsidR="00135552">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b/>
                <w:noProof/>
                <w:color w:val="000000"/>
                <w:sz w:val="18"/>
              </w:rPr>
            </w:pPr>
            <w:r>
              <w:rPr>
                <w:rFonts w:ascii="Verdana" w:eastAsia="Verdana" w:hAnsi="Verdana" w:cs="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rPr>
            </w:pPr>
            <w:r>
              <w:rPr>
                <w:rFonts w:ascii="Verdana" w:eastAsia="Verdana" w:hAnsi="Verdana" w:cs="Verdana"/>
                <w:b/>
                <w:noProof/>
                <w:color w:val="000000"/>
                <w:sz w:val="18"/>
              </w:rPr>
              <w:t>18 407</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b/>
                <w:noProof/>
                <w:color w:val="000000"/>
                <w:sz w:val="18"/>
                <w:lang w:bidi="en-GB"/>
              </w:rPr>
            </w:pPr>
            <w:r>
              <w:rPr>
                <w:rFonts w:ascii="Verdana" w:eastAsia="Verdana" w:hAnsi="Verdana" w:cs="Verdana"/>
                <w:b/>
                <w:noProof/>
                <w:color w:val="000000"/>
                <w:sz w:val="18"/>
              </w:rPr>
              <w:t>15 443</w:t>
            </w:r>
          </w:p>
        </w:tc>
      </w:tr>
      <w:tr w:rsidR="00135552">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16794"/>
                <w:sz w:val="18"/>
              </w:rPr>
            </w:pPr>
            <w:r>
              <w:rPr>
                <w:rFonts w:ascii="Verdana" w:eastAsia="Verdana" w:hAnsi="Verdana" w:cs="Verdana"/>
                <w:i/>
                <w:noProof/>
                <w:color w:val="016794"/>
                <w:sz w:val="18"/>
              </w:rPr>
              <w:t>15 211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16794"/>
                <w:sz w:val="18"/>
                <w:lang w:bidi="en-GB"/>
              </w:rPr>
            </w:pPr>
            <w:r>
              <w:rPr>
                <w:rFonts w:ascii="Verdana" w:eastAsia="Verdana" w:hAnsi="Verdana" w:cs="Verdana"/>
                <w:i/>
                <w:noProof/>
                <w:color w:val="016794"/>
                <w:sz w:val="18"/>
              </w:rPr>
              <w:t>13 657</w:t>
            </w:r>
          </w:p>
        </w:tc>
      </w:tr>
      <w:tr w:rsidR="00135552">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AFS"/>
              <w:rPr>
                <w:rFonts w:ascii="Verdana" w:eastAsia="Verdana" w:hAnsi="Verdana" w:cs="Verdana"/>
                <w:i/>
                <w:noProof/>
                <w:color w:val="016794"/>
                <w:sz w:val="18"/>
              </w:rPr>
            </w:pPr>
            <w:r>
              <w:rPr>
                <w:rFonts w:ascii="Verdana" w:eastAsia="Verdana" w:hAnsi="Verdana" w:cs="Verdana"/>
                <w:i/>
                <w:noProof/>
                <w:color w:val="016794"/>
                <w:sz w:val="18"/>
              </w:rPr>
              <w:t>Current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16794"/>
                <w:sz w:val="18"/>
              </w:rPr>
            </w:pPr>
            <w:r>
              <w:rPr>
                <w:rFonts w:ascii="Verdana" w:eastAsia="Verdana" w:hAnsi="Verdana" w:cs="Verdana"/>
                <w:i/>
                <w:noProof/>
                <w:color w:val="016794"/>
                <w:sz w:val="18"/>
              </w:rPr>
              <w:t>3 196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AFS"/>
              <w:jc w:val="right"/>
              <w:rPr>
                <w:rFonts w:ascii="Verdana" w:eastAsia="Verdana" w:hAnsi="Verdana" w:cs="Verdana"/>
                <w:i/>
                <w:noProof/>
                <w:color w:val="016794"/>
                <w:sz w:val="18"/>
              </w:rPr>
            </w:pPr>
            <w:r>
              <w:rPr>
                <w:rFonts w:ascii="Verdana" w:eastAsia="Verdana" w:hAnsi="Verdana" w:cs="Verdana"/>
                <w:i/>
                <w:noProof/>
                <w:color w:val="016794"/>
                <w:sz w:val="18"/>
              </w:rPr>
              <w:t>1 786</w:t>
            </w:r>
          </w:p>
        </w:tc>
      </w:tr>
    </w:tbl>
    <w:p w:rsidR="00135552" w:rsidRDefault="004C63B0">
      <w:pPr>
        <w:pStyle w:val="DGTextstand-alone"/>
        <w:spacing w:after="0"/>
      </w:pPr>
      <w:r>
        <w:t>Out of the total of EUR 18 407 million, the EU holds available for sale financial assets in the form of debt securities (e.g. bonds) of EUR 14 998 million (2018: EUR 13 993 million), equity instruments of EUR 2 801 million (2018: EUR 1 365 million) and in</w:t>
      </w:r>
      <w:r>
        <w:t>vestments in money market funds (such as the EIB Unitary Fund) of EUR 608 million (2018: EUR 85 million).</w:t>
      </w:r>
    </w:p>
    <w:p w:rsidR="00135552" w:rsidRDefault="004C63B0">
      <w:pPr>
        <w:pStyle w:val="HEADER5"/>
        <w:spacing w:before="240" w:after="240"/>
        <w:rPr>
          <w:noProof/>
        </w:rPr>
      </w:pPr>
      <w:r>
        <w:rPr>
          <w:noProof/>
        </w:rPr>
        <w:t>BUFI investments</w:t>
      </w:r>
    </w:p>
    <w:p w:rsidR="00135552" w:rsidRDefault="004C63B0">
      <w:pPr>
        <w:pStyle w:val="DGTextstand-alone"/>
        <w:spacing w:before="120" w:after="0"/>
      </w:pPr>
      <w:r>
        <w:t>Provisionally cashed fines related to competition cases are allocated to a dedicated fund (BUFI Fund – 'Budget Fines' Fund) and inves</w:t>
      </w:r>
      <w:r>
        <w:t>ted by the Commission in debt instruments categorised as available for sale financial assets.</w:t>
      </w:r>
    </w:p>
    <w:p w:rsidR="00135552" w:rsidRDefault="004C63B0">
      <w:pPr>
        <w:rPr>
          <w:rFonts w:ascii="Verdana" w:hAnsi="Verdana"/>
          <w:noProof/>
          <w:color w:val="016794"/>
          <w:sz w:val="18"/>
          <w:szCs w:val="18"/>
        </w:rPr>
      </w:pPr>
      <w:r>
        <w:rPr>
          <w:noProof/>
        </w:rPr>
        <w:br w:type="page"/>
      </w:r>
    </w:p>
    <w:p w:rsidR="00135552" w:rsidRDefault="004C63B0">
      <w:pPr>
        <w:pStyle w:val="HEADER5"/>
        <w:spacing w:before="240" w:after="240"/>
        <w:rPr>
          <w:noProof/>
        </w:rPr>
      </w:pPr>
      <w:r>
        <w:rPr>
          <w:noProof/>
        </w:rPr>
        <w:t>ECSC in Liquidation</w:t>
      </w:r>
    </w:p>
    <w:p w:rsidR="00135552" w:rsidRDefault="004C63B0">
      <w:pPr>
        <w:pStyle w:val="Textstand-alone"/>
      </w:pPr>
      <w:r>
        <w:t xml:space="preserve">Regarding the European Coal and Steel Community in Liquidation (ECSC i.L.), all available for sale financial assets are debt securities </w:t>
      </w:r>
      <w:r>
        <w:t>denominated in EUR and quoted in an active market.</w:t>
      </w:r>
    </w:p>
    <w:p w:rsidR="00135552" w:rsidRDefault="004C63B0">
      <w:pPr>
        <w:pStyle w:val="HEADER5"/>
        <w:spacing w:before="240" w:after="240"/>
        <w:rPr>
          <w:noProof/>
        </w:rPr>
      </w:pPr>
      <w:r>
        <w:rPr>
          <w:noProof/>
        </w:rPr>
        <w:t>European Bank for Reconstruction and Development</w:t>
      </w:r>
    </w:p>
    <w:p w:rsidR="00135552" w:rsidRDefault="004C63B0">
      <w:pPr>
        <w:pStyle w:val="Textstand-alone"/>
        <w:spacing w:after="0"/>
      </w:pPr>
      <w:r>
        <w:t xml:space="preserve">The EU holds a financial investment in the capital of the European Bank for Reconstruction and Development (EBRD), in which the number of shares held at 31 </w:t>
      </w:r>
      <w:r>
        <w:t>December 2019 were 90 044 (2018: 90 044 shares), representing 3 % of the total subscribed share capital. The EU subscribed for a total amount of EUR 900 million of share capital, out of which EUR 713 million is currently uncalled. According to the agreemen</w:t>
      </w:r>
      <w:r>
        <w:t>t establishing the EBRD, the shareholders have some contractual restrictions such as the fact that the shares are not transferable and their redemption is capped at the maximum of the original purchase cost.</w:t>
      </w:r>
    </w:p>
    <w:p w:rsidR="00135552" w:rsidRDefault="004C63B0">
      <w:pPr>
        <w:pStyle w:val="Textstand-alone"/>
        <w:spacing w:after="0"/>
      </w:pPr>
      <w:r>
        <w:t>The EU measures the investment in EBRD at fair v</w:t>
      </w:r>
      <w:r>
        <w:t>alue. The original purchase cost is considered to be the best estimate of the fair value, in particular due to contractual restrictions referred to above. Although EBRD's shares are not quoted on any stock exchange market, there were recent transactions in</w:t>
      </w:r>
      <w:r>
        <w:t xml:space="preserve"> the investee's equity (issuance of capital at par value), indicating that the cost is the best estimate of the fair value in this situation.</w:t>
      </w:r>
    </w:p>
    <w:p w:rsidR="00135552" w:rsidRDefault="004C63B0">
      <w:pPr>
        <w:pStyle w:val="HEADER5"/>
        <w:spacing w:before="240" w:after="240"/>
        <w:rPr>
          <w:noProof/>
        </w:rPr>
      </w:pPr>
      <w:r>
        <w:rPr>
          <w:noProof/>
        </w:rPr>
        <w:t>GUARANTEE FUNDS FOR BUDGETARY GUARANTEES</w:t>
      </w:r>
    </w:p>
    <w:p w:rsidR="00135552" w:rsidRDefault="004C63B0">
      <w:pPr>
        <w:pStyle w:val="HEADER5"/>
        <w:spacing w:before="240" w:after="240"/>
        <w:rPr>
          <w:noProof/>
        </w:rPr>
      </w:pPr>
      <w:r>
        <w:rPr>
          <w:noProof/>
        </w:rPr>
        <w:t>EFSI Guarantee Fund</w:t>
      </w:r>
    </w:p>
    <w:p w:rsidR="00135552" w:rsidRDefault="004C63B0">
      <w:pPr>
        <w:pStyle w:val="DGTextstand-alone"/>
        <w:spacing w:before="120"/>
      </w:pPr>
      <w:r>
        <w:t>Pursuant to the EFSI Regulation (Regulation (EU) 2015</w:t>
      </w:r>
      <w:r>
        <w:t xml:space="preserve">/2017), the EFSI Guarantee Fund has been established to provide a liquidity cushion against potential losses incurred by the EIB in relation to its financing and investment operations eligible for the EFSI EU guarantee under the EFSI Agreement – see note </w:t>
      </w:r>
      <w:r>
        <w:rPr>
          <w:b/>
        </w:rPr>
        <w:t>4</w:t>
      </w:r>
      <w:r>
        <w:rPr>
          <w:b/>
        </w:rPr>
        <w:t>.1.1</w:t>
      </w:r>
      <w:r>
        <w:t>. The EFSI Guarantee Fund is financed by contributions from the EU budget. It is also endowed by returns on guarantee fund resources invested, revenues received by the EU as remuneration for the guarantee under the EFSI Agreement, and amounts recovered</w:t>
      </w:r>
      <w:r>
        <w:t xml:space="preserve"> by the EIB from defaulting debtors in respect of previous guarantee calls. At the end of 2019 the assets of the EFSI guarantee fund totalled EUR 6 688 million (2018: EUR 5 452 million), of which EUR 6 654 million was invested in available for sale financi</w:t>
      </w:r>
      <w:r>
        <w:t xml:space="preserve">al assets (2018: EUR 5 000 million), while another EUR 1 879 million (2018: EUR 2 688 million) have been committed but not yet paid into the fund and is included in the budgetary RAL and also disclosed as outstanding commitments not yet expensed in note </w:t>
      </w:r>
      <w:r>
        <w:rPr>
          <w:b/>
        </w:rPr>
        <w:t>5.</w:t>
      </w:r>
      <w:r>
        <w:rPr>
          <w:b/>
        </w:rPr>
        <w:t>1</w:t>
      </w:r>
      <w:r>
        <w:t>. The fund will be progressively provisioned and will gradually reach EUR 9.1 billion, i.e. 35 % of the total EU EFSI guarantee obligations.</w:t>
      </w:r>
    </w:p>
    <w:p w:rsidR="00135552" w:rsidRDefault="004C63B0">
      <w:pPr>
        <w:pStyle w:val="HEADER5"/>
        <w:spacing w:before="240" w:after="240"/>
        <w:rPr>
          <w:noProof/>
        </w:rPr>
      </w:pPr>
      <w:r>
        <w:rPr>
          <w:noProof/>
        </w:rPr>
        <w:t>Guarantee Fund for external actions</w:t>
      </w:r>
    </w:p>
    <w:p w:rsidR="00135552" w:rsidRDefault="004C63B0">
      <w:pPr>
        <w:pStyle w:val="DGTextstand-alone"/>
        <w:spacing w:before="120"/>
      </w:pPr>
      <w:r>
        <w:t>The Guarantee Fund for external actions covers loans guaranteed by the EU budg</w:t>
      </w:r>
      <w:r>
        <w:t xml:space="preserve">et, in particular EIB lending operations outside the EU, financed from the EIB's own resources and loans under macro-financial assistance (MFA) and Euratom loans outside the EU – see note </w:t>
      </w:r>
      <w:r>
        <w:rPr>
          <w:b/>
        </w:rPr>
        <w:t>4.1.1</w:t>
      </w:r>
      <w:r>
        <w:t>. The fund is managed by the EIB and it is intended to cover an</w:t>
      </w:r>
      <w:r>
        <w:t>y defaulting loans guaranteed by the EU. The fund is endowed by payments from the EU budget, the proceeds from interest on investments made from the fund's assets, and amounts recovered from defaulting debtors for whom the fund has had to activate its guar</w:t>
      </w:r>
      <w:r>
        <w:t>antee. The Guarantee Fund for external actions should be maintained at a target amount corresponding to 9 % of the guaranteed loans outstanding at year-end. The difference between the target amount and the value of the fund's assets at year-end will be cov</w:t>
      </w:r>
      <w:r>
        <w:t>ered from the EU budget in year N+2, while any surplus is paid back to the EU budget.</w:t>
      </w:r>
    </w:p>
    <w:p w:rsidR="00135552" w:rsidRDefault="004C63B0">
      <w:pPr>
        <w:pStyle w:val="HEADER5"/>
        <w:spacing w:before="240" w:after="240"/>
        <w:rPr>
          <w:noProof/>
        </w:rPr>
      </w:pPr>
      <w:r>
        <w:rPr>
          <w:noProof/>
        </w:rPr>
        <w:t>EFSD Guarantee Fund</w:t>
      </w:r>
    </w:p>
    <w:p w:rsidR="00135552" w:rsidRDefault="004C63B0">
      <w:pPr>
        <w:pStyle w:val="DGTextstand-alone"/>
        <w:spacing w:before="120"/>
      </w:pPr>
      <w:r>
        <w:t xml:space="preserve">Pursuant to the EFSD Regulation (Regulation (EU) 2017/1601) the EFSD Guarantee Fund has been established to provide a liquidity cushion to be used in </w:t>
      </w:r>
      <w:r>
        <w:t>the event of a call on the Union guarantee given pursuant to the relevant EFSD guarantee agreements. The EFSD Guarantee Fund is financed by contributions from the EU budget and from contributions from the 11th EDF to the EU budget, along with voluntary con</w:t>
      </w:r>
      <w:r>
        <w:t>tributions from Member States and other contributors. The fund is also endowed by returns on invested resources, amounts recovered from defaulting debtors, revenues and any other payments received by the EU in accordance with the EFSD guarantee agreements.</w:t>
      </w:r>
      <w:r>
        <w:t xml:space="preserve"> Total payments received into the guarantee fund as at 31 December 2019 amounted to EUR 600 million, of which EUR 595 million is invested in available for sale financial assets, while another EUR 95 million (2018: 325 EUR million) has been committed but no</w:t>
      </w:r>
      <w:r>
        <w:t xml:space="preserve">t yet paid and is included in budgetary RAL and also disclosed as outstanding commitments not yet expensed in note </w:t>
      </w:r>
      <w:r>
        <w:rPr>
          <w:b/>
        </w:rPr>
        <w:t>5.1</w:t>
      </w:r>
      <w:r>
        <w:t xml:space="preserve">. The EFSD Guarantee Fund will be progressively provisioned and gradually reach EUR 750 million, i.e. 50 % of total future EFSD guarantee </w:t>
      </w:r>
      <w:r>
        <w:t xml:space="preserve">obligations covered by the EU budget, and will be further increased by other contributions. </w:t>
      </w:r>
    </w:p>
    <w:p w:rsidR="00135552" w:rsidRDefault="004C63B0">
      <w:pPr>
        <w:pStyle w:val="HEADER5"/>
        <w:spacing w:before="240" w:after="240"/>
        <w:rPr>
          <w:noProof/>
        </w:rPr>
      </w:pPr>
      <w:r>
        <w:rPr>
          <w:noProof/>
        </w:rPr>
        <w:t>FINANCIAL INSTRUMENTS FINANCED BY THE EU BUDGET</w:t>
      </w:r>
    </w:p>
    <w:p w:rsidR="00135552" w:rsidRDefault="004C63B0">
      <w:pPr>
        <w:pStyle w:val="HEADER5"/>
        <w:spacing w:before="240" w:after="240"/>
        <w:rPr>
          <w:noProof/>
        </w:rPr>
      </w:pPr>
      <w:r>
        <w:rPr>
          <w:noProof/>
        </w:rPr>
        <w:t>Horizon 2020</w:t>
      </w:r>
    </w:p>
    <w:p w:rsidR="00135552" w:rsidRDefault="004C63B0">
      <w:pPr>
        <w:pStyle w:val="DGTextstand-alone"/>
        <w:spacing w:before="120"/>
      </w:pPr>
      <w:r>
        <w:t>Under the EU Regulation establishing Horizon 2020 – the Framework Programme for Research and Innovatio</w:t>
      </w:r>
      <w:r>
        <w:t xml:space="preserve">n (2014-2020), new financial instruments have been established in order to enhance access to finance to entities engaged in research and innovation (R&amp;I). These instruments are: </w:t>
      </w:r>
      <w:r>
        <w:rPr>
          <w:i/>
        </w:rPr>
        <w:t>the InnovFin Loan and Guarantee Service for R&amp;I</w:t>
      </w:r>
      <w:r>
        <w:t xml:space="preserve"> under which the Commission sha</w:t>
      </w:r>
      <w:r>
        <w:t xml:space="preserve">res the financial risk related to a portfolio of new financing operations entered into by the EIB; </w:t>
      </w:r>
      <w:r>
        <w:rPr>
          <w:i/>
        </w:rPr>
        <w:t xml:space="preserve">the InnovFin SME Guarantee including the SME Initiative Uncapped Guarantee Instrument (SIUGI) </w:t>
      </w:r>
      <w:r>
        <w:t xml:space="preserve">– guarantee facilities managed by the EIF providing guarantees </w:t>
      </w:r>
      <w:r>
        <w:t xml:space="preserve">and counter-guarantees to the financial intermediaries for the new portfolios of loans (under SIUGI the Commission shares the financial risk related to the guarantee given with Member States, EIF and EIB); and </w:t>
      </w:r>
      <w:r>
        <w:rPr>
          <w:i/>
        </w:rPr>
        <w:t>the InnovFin Equity Facility for R&amp;I</w:t>
      </w:r>
      <w:r>
        <w:t xml:space="preserve"> providing</w:t>
      </w:r>
      <w:r>
        <w:t xml:space="preserve"> for investments in venture capital funds which is managed by the EIF. </w:t>
      </w:r>
    </w:p>
    <w:p w:rsidR="00135552" w:rsidRDefault="004C63B0">
      <w:pPr>
        <w:pStyle w:val="HEADER5"/>
        <w:spacing w:before="240" w:after="240"/>
        <w:rPr>
          <w:noProof/>
        </w:rPr>
      </w:pPr>
      <w:r>
        <w:rPr>
          <w:noProof/>
        </w:rPr>
        <w:t>Risk-Sharing Finance Facility</w:t>
      </w:r>
    </w:p>
    <w:p w:rsidR="00135552" w:rsidRDefault="004C63B0">
      <w:pPr>
        <w:pStyle w:val="DGTextstand-alone"/>
        <w:spacing w:before="120"/>
        <w:rPr>
          <w:rFonts w:ascii="Times New Roman" w:hAnsi="Times New Roman"/>
          <w:szCs w:val="20"/>
        </w:rPr>
      </w:pPr>
      <w:r>
        <w:t>The Risk-Sharing Finance Facility (RSFF) is managed by the EIB and the Commission's investment portfolio is used to provision financial risk for loans and</w:t>
      </w:r>
      <w:r>
        <w:t xml:space="preserve"> guarantees given by the EIB to eligible research projects. In total, an EU budget of up to EUR 1 billion was allocated to the RSFF under the 2007-2013 MFF. Under the 2014-2020 MFF, there are no new budget contributions foreseen for the RSFF. Given that th</w:t>
      </w:r>
      <w:r>
        <w:t xml:space="preserve">e significant portion of the RSFF outstanding operations has been already repaid, in 2019 the EIB partially released the EU guarantee, which resulted in a decrease in the EU contingent liability as disclosed in the note </w:t>
      </w:r>
      <w:r>
        <w:rPr>
          <w:b/>
        </w:rPr>
        <w:t>4.1.3</w:t>
      </w:r>
      <w:r>
        <w:t>.</w:t>
      </w:r>
    </w:p>
    <w:p w:rsidR="00135552" w:rsidRDefault="004C63B0">
      <w:pPr>
        <w:pStyle w:val="HEADER5"/>
        <w:spacing w:before="240" w:after="240"/>
        <w:rPr>
          <w:noProof/>
        </w:rPr>
      </w:pPr>
      <w:r>
        <w:rPr>
          <w:noProof/>
        </w:rPr>
        <w:t>Connecting Europe Facility</w:t>
      </w:r>
    </w:p>
    <w:p w:rsidR="00135552" w:rsidRDefault="004C63B0">
      <w:pPr>
        <w:pStyle w:val="DGTextstand-alone"/>
        <w:spacing w:before="120"/>
      </w:pPr>
      <w:r>
        <w:t>Pu</w:t>
      </w:r>
      <w:r>
        <w:t>rsuant to Regulation (EU) No 2013/1316, the Connecting Europe Facility (CEF) debt instrument has been established with the objective to facilitate infrastructure projects’ access to financing in the sectors of transport, telecommunications and energy. It i</w:t>
      </w:r>
      <w:r>
        <w:t>s managed by the EIB under an agreement with the EU. The CEF debt financial instrument is the continuity of the Loan Guarantee Instrument for TEN-T projects (LGTT) and of the pilot phase of the Project Bond Initiative (PBI). It offers risk-sharing for debt</w:t>
      </w:r>
      <w:r>
        <w:t xml:space="preserve"> financing in the form of senior and subordinated debt or guarantee as well as support for project bonds. After 19 June 2019, with the effect of the first amendment of the delegation agreement with the EIB, all CEF operations deployed by the EIB are assign</w:t>
      </w:r>
      <w:r>
        <w:t xml:space="preserve">ed to one of the two portfolios: debt portfolio or non securitisable financing portfolio, for which a new portfolio-based risk sharing approach is introduced. </w:t>
      </w:r>
    </w:p>
    <w:p w:rsidR="00135552" w:rsidRDefault="004C63B0">
      <w:pPr>
        <w:pStyle w:val="HEADER5"/>
        <w:spacing w:before="240" w:after="240"/>
        <w:rPr>
          <w:noProof/>
        </w:rPr>
      </w:pPr>
      <w:r>
        <w:rPr>
          <w:noProof/>
        </w:rPr>
        <w:t>EU SME Equity Facilities</w:t>
      </w:r>
    </w:p>
    <w:p w:rsidR="00135552" w:rsidRDefault="004C63B0">
      <w:pPr>
        <w:pStyle w:val="DGTextstand-alone"/>
        <w:spacing w:before="120"/>
      </w:pPr>
      <w:r>
        <w:t>These are equity instruments financed by the COSME, the CIP and MAP pro</w:t>
      </w:r>
      <w:r>
        <w:t>grammes and the Technology Transfer Pilot Project, under the trusteeship of the EIF, supporting the creation and financing of EU SMEs in their early (start-up) and growth stages by investing in suitable specialised venture capital funds.</w:t>
      </w:r>
    </w:p>
    <w:p w:rsidR="00135552" w:rsidRDefault="004C63B0">
      <w:pPr>
        <w:pStyle w:val="HEADER3NOTES"/>
        <w:rPr>
          <w:noProof/>
        </w:rPr>
      </w:pPr>
      <w:r>
        <w:rPr>
          <w:noProof/>
        </w:rPr>
        <w:t>Financial assets a</w:t>
      </w:r>
      <w:r>
        <w:rPr>
          <w:noProof/>
        </w:rPr>
        <w:t>t fair value through surplus or deficit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1"/>
        <w:gridCol w:w="1641"/>
        <w:gridCol w:w="1566"/>
        <w:gridCol w:w="1305"/>
        <w:gridCol w:w="1255"/>
      </w:tblGrid>
      <w:tr w:rsidR="00135552">
        <w:trPr>
          <w:trHeight w:val="255"/>
        </w:trPr>
        <w:tc>
          <w:tcPr>
            <w:tcW w:w="399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AFVTSD"/>
              <w:rPr>
                <w:rFonts w:ascii="Arial" w:eastAsia="Arial" w:hAnsi="Arial" w:cs="Arial"/>
                <w:noProof/>
                <w:color w:val="000000"/>
                <w:lang w:bidi="en-GB"/>
              </w:rPr>
            </w:pPr>
            <w:bookmarkStart w:id="54" w:name="DOC_TBL00015_1_1"/>
            <w:bookmarkEnd w:id="54"/>
          </w:p>
        </w:tc>
        <w:tc>
          <w:tcPr>
            <w:tcW w:w="164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AFVTSD"/>
              <w:rPr>
                <w:rFonts w:ascii="Arial" w:eastAsia="Arial" w:hAnsi="Arial" w:cs="Arial"/>
                <w:noProof/>
                <w:color w:val="000000"/>
              </w:rPr>
            </w:pPr>
          </w:p>
        </w:tc>
        <w:tc>
          <w:tcPr>
            <w:tcW w:w="156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AFVTSD"/>
              <w:rPr>
                <w:rFonts w:ascii="Arial" w:eastAsia="Arial" w:hAnsi="Arial" w:cs="Arial"/>
                <w:noProof/>
                <w:color w:val="000000"/>
              </w:rPr>
            </w:pPr>
          </w:p>
        </w:tc>
        <w:tc>
          <w:tcPr>
            <w:tcW w:w="130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AFVTSD"/>
              <w:rPr>
                <w:rFonts w:ascii="Arial" w:eastAsia="Arial" w:hAnsi="Arial" w:cs="Arial"/>
                <w:noProof/>
                <w:color w:val="000000"/>
              </w:rPr>
            </w:pPr>
          </w:p>
        </w:tc>
        <w:tc>
          <w:tcPr>
            <w:tcW w:w="12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FAFVTSD"/>
              <w:rPr>
                <w:rFonts w:ascii="Verdana" w:eastAsia="Verdana" w:hAnsi="Verdana" w:cs="Verdana"/>
                <w:noProof/>
                <w:color w:val="FFFFFF"/>
              </w:rPr>
            </w:pPr>
          </w:p>
        </w:tc>
        <w:tc>
          <w:tcPr>
            <w:tcW w:w="1641"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AFVTSD"/>
              <w:jc w:val="center"/>
              <w:rPr>
                <w:rFonts w:ascii="Verdana" w:eastAsia="Verdana" w:hAnsi="Verdana" w:cs="Verdana"/>
                <w:noProof/>
                <w:color w:val="FFFFFF"/>
              </w:rPr>
            </w:pPr>
            <w:r>
              <w:rPr>
                <w:rFonts w:ascii="Verdana" w:eastAsia="Verdana" w:hAnsi="Verdana" w:cs="Verdana"/>
                <w:noProof/>
                <w:color w:val="FFFFFF"/>
              </w:rPr>
              <w:t>31.12.2019</w:t>
            </w:r>
          </w:p>
        </w:tc>
        <w:tc>
          <w:tcPr>
            <w:tcW w:w="1305"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AFVTSD"/>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AFVTSD"/>
              <w:rPr>
                <w:rFonts w:ascii="Verdana" w:eastAsia="Verdana" w:hAnsi="Verdana" w:cs="Verdana"/>
                <w:noProof/>
                <w:color w:val="FFFFFF"/>
              </w:rPr>
            </w:pPr>
            <w:r>
              <w:rPr>
                <w:rFonts w:ascii="Verdana" w:eastAsia="Verdana" w:hAnsi="Verdana" w:cs="Verdana"/>
                <w:noProof/>
                <w:color w:val="FFFFFF"/>
              </w:rPr>
              <w:t>Type of derivative</w:t>
            </w: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0BIPFAFVTSD"/>
              <w:jc w:val="right"/>
              <w:rPr>
                <w:rFonts w:ascii="Verdana" w:eastAsia="Verdana" w:hAnsi="Verdana" w:cs="Verdana"/>
                <w:noProof/>
                <w:color w:val="FFFFFF"/>
              </w:rPr>
            </w:pPr>
            <w:r>
              <w:rPr>
                <w:rFonts w:ascii="Verdana" w:eastAsia="Verdana" w:hAnsi="Verdana" w:cs="Verdana"/>
                <w:noProof/>
                <w:color w:val="FFFFFF"/>
              </w:rPr>
              <w:t xml:space="preserve">Notional amount </w:t>
            </w:r>
          </w:p>
        </w:tc>
        <w:tc>
          <w:tcPr>
            <w:tcW w:w="156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0BIPFAFVTSD"/>
              <w:jc w:val="right"/>
              <w:rPr>
                <w:rFonts w:ascii="Verdana" w:eastAsia="Verdana" w:hAnsi="Verdana" w:cs="Verdana"/>
                <w:noProof/>
                <w:color w:val="FFFFFF"/>
              </w:rPr>
            </w:pPr>
            <w:r>
              <w:rPr>
                <w:rFonts w:ascii="Verdana" w:eastAsia="Verdana" w:hAnsi="Verdana" w:cs="Verdana"/>
                <w:noProof/>
                <w:color w:val="FFFFFF"/>
              </w:rPr>
              <w:t>Fair value</w:t>
            </w:r>
          </w:p>
        </w:tc>
        <w:tc>
          <w:tcPr>
            <w:tcW w:w="130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0BIPFAFVTSD"/>
              <w:jc w:val="right"/>
              <w:rPr>
                <w:rFonts w:ascii="Verdana" w:eastAsia="Verdana" w:hAnsi="Verdana" w:cs="Verdana"/>
                <w:noProof/>
                <w:color w:val="FFFFFF"/>
              </w:rPr>
            </w:pPr>
            <w:r>
              <w:rPr>
                <w:rFonts w:ascii="Verdana" w:eastAsia="Verdana" w:hAnsi="Verdana" w:cs="Verdana"/>
                <w:noProof/>
                <w:color w:val="FFFFFF"/>
              </w:rPr>
              <w:t xml:space="preserve">Notional amount </w:t>
            </w:r>
          </w:p>
        </w:tc>
        <w:tc>
          <w:tcPr>
            <w:tcW w:w="125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0BIPFAFVTSD"/>
              <w:jc w:val="right"/>
              <w:rPr>
                <w:rFonts w:ascii="Verdana" w:eastAsia="Verdana" w:hAnsi="Verdana" w:cs="Verdana"/>
                <w:noProof/>
                <w:color w:val="FFFFFF"/>
                <w:lang w:bidi="en-GB"/>
              </w:rPr>
            </w:pPr>
            <w:r>
              <w:rPr>
                <w:rFonts w:ascii="Verdana" w:eastAsia="Verdana" w:hAnsi="Verdana" w:cs="Verdana"/>
                <w:noProof/>
                <w:color w:val="FFFFFF"/>
              </w:rPr>
              <w:t>Fair value</w:t>
            </w:r>
          </w:p>
        </w:tc>
      </w:tr>
      <w:tr w:rsidR="00135552">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AFVTSD"/>
              <w:rPr>
                <w:rFonts w:ascii="Verdana" w:eastAsia="Verdana" w:hAnsi="Verdana" w:cs="Verdana"/>
                <w:i/>
                <w:noProof/>
                <w:color w:val="000000"/>
                <w:sz w:val="18"/>
              </w:rPr>
            </w:pPr>
            <w:r>
              <w:rPr>
                <w:rFonts w:ascii="Verdana" w:eastAsia="Verdana" w:hAnsi="Verdana" w:cs="Verdana"/>
                <w:i/>
                <w:noProof/>
                <w:color w:val="000000"/>
                <w:sz w:val="18"/>
              </w:rPr>
              <w:t>Foreign currency forward contract</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AFVTSD"/>
              <w:rPr>
                <w:rFonts w:ascii="Verdana" w:eastAsia="Verdana" w:hAnsi="Verdana" w:cs="Verdana"/>
                <w:i/>
                <w:noProof/>
                <w:color w:val="000000"/>
                <w:sz w:val="18"/>
              </w:rPr>
            </w:pPr>
            <w:r>
              <w:rPr>
                <w:rFonts w:ascii="Verdana" w:eastAsia="Verdana" w:hAnsi="Verdana" w:cs="Verdana"/>
                <w:i/>
                <w:noProof/>
                <w:color w:val="000000"/>
                <w:sz w:val="18"/>
              </w:rPr>
              <w:t>Guarantee on equity portfolio</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rPr>
            </w:pPr>
            <w:r>
              <w:rPr>
                <w:rFonts w:ascii="Verdana" w:eastAsia="Verdana" w:hAnsi="Verdana" w:cs="Verdana"/>
                <w:i/>
                <w:noProof/>
                <w:color w:val="000000"/>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w:t>
            </w:r>
          </w:p>
        </w:tc>
      </w:tr>
      <w:tr w:rsidR="00135552">
        <w:trPr>
          <w:trHeight w:val="255"/>
        </w:trPr>
        <w:tc>
          <w:tcPr>
            <w:tcW w:w="39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FAFVTSD"/>
              <w:rPr>
                <w:rFonts w:ascii="Verdana" w:eastAsia="Verdana" w:hAnsi="Verdana" w:cs="Verdana"/>
                <w:b/>
                <w:noProof/>
                <w:color w:val="000000"/>
                <w:sz w:val="18"/>
              </w:rPr>
            </w:pPr>
            <w:r>
              <w:rPr>
                <w:rFonts w:ascii="Verdana" w:eastAsia="Verdana" w:hAnsi="Verdana" w:cs="Verdana"/>
                <w:b/>
                <w:noProof/>
                <w:color w:val="000000"/>
                <w:sz w:val="18"/>
              </w:rPr>
              <w:t>Total</w:t>
            </w: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b/>
                <w:noProof/>
                <w:color w:val="000000"/>
                <w:sz w:val="18"/>
              </w:rPr>
            </w:pPr>
            <w:r>
              <w:rPr>
                <w:rFonts w:ascii="Verdana" w:eastAsia="Verdana" w:hAnsi="Verdana" w:cs="Verdana"/>
                <w:b/>
                <w:noProof/>
                <w:color w:val="000000"/>
                <w:sz w:val="18"/>
              </w:rPr>
              <w:t>1 832</w:t>
            </w:r>
          </w:p>
        </w:tc>
        <w:tc>
          <w:tcPr>
            <w:tcW w:w="15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b/>
                <w:noProof/>
                <w:color w:val="000000"/>
                <w:sz w:val="18"/>
              </w:rPr>
            </w:pPr>
            <w:r>
              <w:rPr>
                <w:rFonts w:ascii="Verdana" w:eastAsia="Verdana" w:hAnsi="Verdana" w:cs="Verdana"/>
                <w:b/>
                <w:noProof/>
                <w:color w:val="000000"/>
                <w:sz w:val="18"/>
              </w:rPr>
              <w:t xml:space="preserve"> 137</w:t>
            </w:r>
          </w:p>
        </w:tc>
        <w:tc>
          <w:tcPr>
            <w:tcW w:w="13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b/>
                <w:noProof/>
                <w:color w:val="000000"/>
                <w:sz w:val="18"/>
              </w:rPr>
            </w:pPr>
            <w:r>
              <w:rPr>
                <w:rFonts w:ascii="Verdana" w:eastAsia="Verdana" w:hAnsi="Verdana" w:cs="Verdana"/>
                <w:b/>
                <w:noProof/>
                <w:color w:val="000000"/>
                <w:sz w:val="18"/>
              </w:rPr>
              <w:t>1 150</w:t>
            </w:r>
          </w:p>
        </w:tc>
        <w:tc>
          <w:tcPr>
            <w:tcW w:w="1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16</w:t>
            </w:r>
          </w:p>
        </w:tc>
      </w:tr>
      <w:tr w:rsidR="00135552">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AFVTSD"/>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lang w:bidi="en-GB"/>
              </w:rPr>
            </w:pPr>
            <w:r>
              <w:rPr>
                <w:rFonts w:ascii="Verdana" w:eastAsia="Verdana" w:hAnsi="Verdana" w:cs="Verdana"/>
                <w:i/>
                <w:noProof/>
                <w:color w:val="016794"/>
                <w:sz w:val="18"/>
              </w:rPr>
              <w:t xml:space="preserve"> 14</w:t>
            </w:r>
          </w:p>
        </w:tc>
      </w:tr>
      <w:tr w:rsidR="00135552">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AFVTSD"/>
              <w:rPr>
                <w:rFonts w:ascii="Verdana" w:eastAsia="Verdana" w:hAnsi="Verdana" w:cs="Verdana"/>
                <w:i/>
                <w:noProof/>
                <w:color w:val="016794"/>
                <w:sz w:val="18"/>
              </w:rPr>
            </w:pPr>
            <w:r>
              <w:rPr>
                <w:rFonts w:ascii="Verdana" w:eastAsia="Verdana" w:hAnsi="Verdana" w:cs="Verdana"/>
                <w:i/>
                <w:noProof/>
                <w:color w:val="016794"/>
                <w:sz w:val="18"/>
              </w:rPr>
              <w:t>Current</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AFVTSD"/>
              <w:jc w:val="right"/>
              <w:rPr>
                <w:rFonts w:ascii="Verdana" w:eastAsia="Verdana" w:hAnsi="Verdana" w:cs="Verdana"/>
                <w:i/>
                <w:noProof/>
                <w:color w:val="016794"/>
                <w:sz w:val="18"/>
              </w:rPr>
            </w:pPr>
            <w:r>
              <w:rPr>
                <w:rFonts w:ascii="Verdana" w:eastAsia="Verdana" w:hAnsi="Verdana" w:cs="Verdana"/>
                <w:i/>
                <w:noProof/>
                <w:color w:val="016794"/>
                <w:sz w:val="18"/>
              </w:rPr>
              <w:t xml:space="preserve"> 2</w:t>
            </w:r>
          </w:p>
        </w:tc>
      </w:tr>
    </w:tbl>
    <w:p w:rsidR="00135552" w:rsidRDefault="004C63B0">
      <w:pPr>
        <w:pStyle w:val="DGTextstand-alone"/>
        <w:rPr>
          <w:lang w:bidi="en-GB"/>
        </w:rPr>
      </w:pPr>
      <w:r>
        <w:rPr>
          <w:lang w:bidi="en-GB"/>
        </w:rPr>
        <w:t>The EU enters into foreign currency forward contracts in order to hedge the foreign currency risk related to USD denominated debt securities held in the EFSI Guarantee Fund. Under the foreign currency forward contracts, the EU delivers the contractually ag</w:t>
      </w:r>
      <w:r>
        <w:rPr>
          <w:lang w:bidi="en-GB"/>
        </w:rPr>
        <w:t>reed notional amount in foreign currency ('pay leg'), as presented in the table above, and will receive the notional amount in EUR ('receive leg') at the maturity date. Such derivative contracts are measured at fair value at the balance sheet date and clas</w:t>
      </w:r>
      <w:r>
        <w:rPr>
          <w:lang w:bidi="en-GB"/>
        </w:rPr>
        <w:t xml:space="preserve">sified as either financial assets or financial liabilities at fair value through surplus or deficit depending on whether their fair value is positive or negative. </w:t>
      </w:r>
    </w:p>
    <w:p w:rsidR="00135552" w:rsidRDefault="004C63B0">
      <w:pPr>
        <w:pStyle w:val="DGTextstand-alone"/>
        <w:spacing w:after="0"/>
        <w:rPr>
          <w:lang w:bidi="en-GB"/>
        </w:rPr>
      </w:pPr>
      <w:r>
        <w:rPr>
          <w:lang w:bidi="en-GB"/>
        </w:rPr>
        <w:t xml:space="preserve">The heading Guarantee on equity portfolio comprises guarantees given by the EU to financial </w:t>
      </w:r>
      <w:r>
        <w:rPr>
          <w:lang w:bidi="en-GB"/>
        </w:rPr>
        <w:t>institutions on portfolios of equity investments that are classified as derivative financial instruments and accounted for as a financial asset or financial liability at fair value through surplus or deficit. The total amount represents mainly the EFSI gua</w:t>
      </w:r>
      <w:r>
        <w:rPr>
          <w:lang w:bidi="en-GB"/>
        </w:rPr>
        <w:t>rantee given by the EU to the EIB Group with underlying equity investments disbursed by the EIB and EIF amounting to EUR 1 420 million (2018: EUR 674 million). The fair value of the EU guarantee on the EFSI equity portfolios totalled EUR 134 million (2018:</w:t>
      </w:r>
      <w:r>
        <w:rPr>
          <w:lang w:bidi="en-GB"/>
        </w:rPr>
        <w:t xml:space="preserve"> EUR 14 million). </w:t>
      </w:r>
    </w:p>
    <w:p w:rsidR="00135552" w:rsidRDefault="004C63B0">
      <w:pPr>
        <w:pStyle w:val="HEADER5"/>
        <w:spacing w:before="360" w:after="240"/>
        <w:rPr>
          <w:noProof/>
        </w:rPr>
      </w:pPr>
      <w:r>
        <w:rPr>
          <w:noProof/>
        </w:rPr>
        <w:t>Fair value hierarchy of financial assets measured at fair value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VH"/>
              <w:rPr>
                <w:rFonts w:ascii="Arial" w:eastAsia="Arial" w:hAnsi="Arial" w:cs="Arial"/>
                <w:noProof/>
                <w:color w:val="000000"/>
                <w:lang w:bidi="en-GB"/>
              </w:rPr>
            </w:pPr>
            <w:bookmarkStart w:id="55" w:name="DOC_TBL00016_1_1"/>
            <w:bookmarkEnd w:id="55"/>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FVH"/>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FVH"/>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FVH"/>
              <w:jc w:val="right"/>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VH"/>
              <w:jc w:val="right"/>
              <w:rPr>
                <w:rFonts w:ascii="Verdana" w:eastAsia="Verdana" w:hAnsi="Verdana" w:cs="Verdana"/>
                <w:noProof/>
                <w:color w:val="FFFFFF"/>
              </w:rPr>
            </w:pPr>
            <w:r>
              <w:rPr>
                <w:rFonts w:ascii="Verdana" w:eastAsia="Verdana" w:hAnsi="Verdana" w:cs="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FVH"/>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rPr>
                <w:rFonts w:ascii="Verdana" w:eastAsia="Verdana" w:hAnsi="Verdana" w:cs="Verdana"/>
                <w:i/>
                <w:noProof/>
                <w:color w:val="000000"/>
                <w:sz w:val="18"/>
              </w:rPr>
            </w:pPr>
            <w:r>
              <w:rPr>
                <w:rFonts w:ascii="Verdana" w:eastAsia="Verdana" w:hAnsi="Verdana" w:cs="Verdana"/>
                <w:i/>
                <w:noProof/>
                <w:color w:val="000000"/>
                <w:sz w:val="18"/>
              </w:rPr>
              <w:t>Level 1: Quoted prices in active markets</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rPr>
            </w:pPr>
            <w:r>
              <w:rPr>
                <w:rFonts w:ascii="Verdana" w:eastAsia="Verdana" w:hAnsi="Verdana" w:cs="Verdana"/>
                <w:i/>
                <w:noProof/>
                <w:color w:val="000000"/>
                <w:sz w:val="18"/>
              </w:rPr>
              <w:t>15 482</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lang w:bidi="en-GB"/>
              </w:rPr>
            </w:pPr>
            <w:r>
              <w:rPr>
                <w:rFonts w:ascii="Verdana" w:eastAsia="Verdana" w:hAnsi="Verdana" w:cs="Verdana"/>
                <w:i/>
                <w:noProof/>
                <w:color w:val="000000"/>
                <w:sz w:val="18"/>
              </w:rPr>
              <w:t>13 993</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rPr>
                <w:rFonts w:ascii="Verdana" w:eastAsia="Verdana" w:hAnsi="Verdana" w:cs="Verdana"/>
                <w:i/>
                <w:noProof/>
                <w:color w:val="000000"/>
                <w:sz w:val="18"/>
              </w:rPr>
            </w:pPr>
            <w:r>
              <w:rPr>
                <w:rFonts w:ascii="Verdana" w:eastAsia="Verdana" w:hAnsi="Verdana" w:cs="Verdana"/>
                <w:i/>
                <w:noProof/>
                <w:color w:val="000000"/>
                <w:sz w:val="18"/>
              </w:rPr>
              <w:t>Level 2: Observable inputs other than quoted prices</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rPr>
            </w:pPr>
            <w:r>
              <w:rPr>
                <w:rFonts w:ascii="Verdana" w:eastAsia="Verdana" w:hAnsi="Verdana" w:cs="Verdana"/>
                <w:i/>
                <w:noProof/>
                <w:color w:val="000000"/>
                <w:sz w:val="18"/>
              </w:rPr>
              <w:t>1 543</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275</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tabs>
                <w:tab w:val="left" w:pos="794"/>
              </w:tabs>
              <w:rPr>
                <w:rFonts w:ascii="Verdana" w:eastAsia="Verdana" w:hAnsi="Verdana" w:cs="Verdana"/>
                <w:i/>
                <w:noProof/>
                <w:color w:val="000000"/>
                <w:sz w:val="18"/>
              </w:rPr>
            </w:pPr>
            <w:r>
              <w:rPr>
                <w:rFonts w:ascii="Verdana" w:eastAsia="Verdana" w:hAnsi="Verdana" w:cs="Verdana"/>
                <w:i/>
                <w:noProof/>
                <w:color w:val="000000"/>
                <w:sz w:val="18"/>
              </w:rPr>
              <w:t xml:space="preserve">Level 3: Valuation techniques with inputs not based on </w:t>
            </w:r>
            <w:r>
              <w:rPr>
                <w:rFonts w:ascii="Verdana" w:eastAsia="Verdana" w:hAnsi="Verdana" w:cs="Verdana"/>
                <w:i/>
                <w:noProof/>
                <w:color w:val="000000"/>
                <w:sz w:val="18"/>
              </w:rPr>
              <w:tab/>
              <w:t>observable market data</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rPr>
            </w:pPr>
            <w:r>
              <w:rPr>
                <w:rFonts w:ascii="Verdana" w:eastAsia="Verdana" w:hAnsi="Verdana" w:cs="Verdana"/>
                <w:i/>
                <w:noProof/>
                <w:color w:val="000000"/>
                <w:sz w:val="18"/>
              </w:rPr>
              <w:t>1 518</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FVH"/>
              <w:jc w:val="right"/>
              <w:rPr>
                <w:rFonts w:ascii="Verdana" w:eastAsia="Verdana" w:hAnsi="Verdana" w:cs="Verdana"/>
                <w:i/>
                <w:noProof/>
                <w:color w:val="000000"/>
                <w:sz w:val="18"/>
                <w:lang w:bidi="en-GB"/>
              </w:rPr>
            </w:pPr>
            <w:r>
              <w:rPr>
                <w:rFonts w:ascii="Verdana" w:eastAsia="Verdana" w:hAnsi="Verdana" w:cs="Verdana"/>
                <w:i/>
                <w:noProof/>
                <w:color w:val="000000"/>
                <w:sz w:val="18"/>
              </w:rPr>
              <w:t>1 191</w:t>
            </w:r>
          </w:p>
        </w:tc>
      </w:tr>
      <w:tr w:rsidR="00135552">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VH"/>
              <w:rPr>
                <w:rFonts w:ascii="Verdana" w:eastAsia="Verdana" w:hAnsi="Verdana" w:cs="Verdana"/>
                <w:b/>
                <w:noProof/>
                <w:color w:val="000000"/>
                <w:sz w:val="18"/>
              </w:rPr>
            </w:pPr>
            <w:r>
              <w:rPr>
                <w:rFonts w:ascii="Verdana" w:eastAsia="Verdana" w:hAnsi="Verdana" w:cs="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VH"/>
              <w:jc w:val="right"/>
              <w:rPr>
                <w:rFonts w:ascii="Verdana" w:eastAsia="Verdana" w:hAnsi="Verdana" w:cs="Verdana"/>
                <w:b/>
                <w:noProof/>
                <w:color w:val="000000"/>
                <w:sz w:val="18"/>
              </w:rPr>
            </w:pPr>
            <w:r>
              <w:rPr>
                <w:rFonts w:ascii="Verdana" w:eastAsia="Verdana" w:hAnsi="Verdana" w:cs="Verdana"/>
                <w:b/>
                <w:noProof/>
                <w:color w:val="000000"/>
                <w:sz w:val="18"/>
              </w:rPr>
              <w:t>18 544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FVH"/>
              <w:jc w:val="right"/>
              <w:rPr>
                <w:rFonts w:ascii="Verdana" w:eastAsia="Verdana" w:hAnsi="Verdana" w:cs="Verdana"/>
                <w:b/>
                <w:noProof/>
                <w:color w:val="000000"/>
                <w:sz w:val="18"/>
              </w:rPr>
            </w:pPr>
            <w:r>
              <w:rPr>
                <w:rFonts w:ascii="Verdana" w:eastAsia="Verdana" w:hAnsi="Verdana" w:cs="Verdana"/>
                <w:b/>
                <w:noProof/>
                <w:color w:val="000000"/>
                <w:sz w:val="18"/>
              </w:rPr>
              <w:t>15 459</w:t>
            </w:r>
          </w:p>
        </w:tc>
      </w:tr>
    </w:tbl>
    <w:p w:rsidR="00135552" w:rsidRDefault="004C63B0">
      <w:pPr>
        <w:pStyle w:val="Textstand-alone"/>
      </w:pPr>
      <w:r>
        <w:t>During the period there were no transfers between level 1 and level 2.</w:t>
      </w:r>
    </w:p>
    <w:p w:rsidR="00135552" w:rsidRDefault="004C63B0">
      <w:pPr>
        <w:pStyle w:val="HEADER5"/>
        <w:spacing w:before="360" w:after="360"/>
        <w:rPr>
          <w:noProof/>
        </w:rPr>
      </w:pPr>
      <w:r>
        <w:rPr>
          <w:noProof/>
        </w:rPr>
        <w:t xml:space="preserve">Reconciliation of financial assets measured using valuation techniques </w:t>
      </w:r>
      <w:r>
        <w:rPr>
          <w:noProof/>
        </w:rPr>
        <w:t>with inputs not based on observable market data (level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6"/>
        <w:gridCol w:w="2342"/>
      </w:tblGrid>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45BIPRECOFINA"/>
              <w:rPr>
                <w:rFonts w:ascii="Arial" w:eastAsia="Arial" w:hAnsi="Arial" w:cs="Arial"/>
                <w:noProof/>
                <w:color w:val="000000"/>
                <w:lang w:bidi="en-GB"/>
              </w:rPr>
            </w:pPr>
            <w:bookmarkStart w:id="56" w:name="DOC_TBL00017_1_1"/>
            <w:bookmarkEnd w:id="56"/>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741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45BIPRECOFINA"/>
              <w:rPr>
                <w:rFonts w:ascii="Verdana" w:eastAsia="Verdana" w:hAnsi="Verdana" w:cs="Verdana"/>
                <w:noProof/>
                <w:color w:val="FFFFFF"/>
              </w:rPr>
            </w:pPr>
          </w:p>
        </w:tc>
        <w:tc>
          <w:tcPr>
            <w:tcW w:w="234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45BIPRECOFINA"/>
              <w:rPr>
                <w:rFonts w:ascii="Verdana" w:eastAsia="Verdana" w:hAnsi="Verdana" w:cs="Verdana"/>
                <w:noProof/>
                <w:color w:val="FFFFFF"/>
                <w:lang w:bidi="en-GB"/>
              </w:rPr>
            </w:pP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Opening balance at 1.1.2019</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1 191</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Purchases, sales, issues and settlements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173</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Gains or losses for the period in financial income or finance costs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90</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 xml:space="preserve">Gains or losses in net </w:t>
            </w:r>
            <w:r>
              <w:rPr>
                <w:rFonts w:ascii="Verdana" w:eastAsia="Verdana" w:hAnsi="Verdana" w:cs="Verdana"/>
                <w:i/>
                <w:noProof/>
                <w:color w:val="000000"/>
                <w:sz w:val="18"/>
              </w:rPr>
              <w:t>assets</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71</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 xml:space="preserve">Transfers into level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 xml:space="preserve">Transfers out of level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i/>
                <w:noProof/>
                <w:color w:val="000000"/>
                <w:sz w:val="18"/>
              </w:rPr>
            </w:pPr>
            <w:r>
              <w:rPr>
                <w:rFonts w:ascii="Verdana" w:eastAsia="Verdana" w:hAnsi="Verdana" w:cs="Verdana"/>
                <w:i/>
                <w:noProof/>
                <w:color w:val="000000"/>
                <w:sz w:val="18"/>
              </w:rPr>
              <w:t>Other</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w:t>
            </w:r>
          </w:p>
        </w:tc>
      </w:tr>
      <w:tr w:rsidR="00135552">
        <w:trPr>
          <w:trHeight w:val="255"/>
        </w:trPr>
        <w:tc>
          <w:tcPr>
            <w:tcW w:w="74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45BIPRECOFINA"/>
              <w:rPr>
                <w:rFonts w:ascii="Verdana" w:eastAsia="Verdana" w:hAnsi="Verdana" w:cs="Verdana"/>
                <w:b/>
                <w:noProof/>
                <w:color w:val="000000"/>
                <w:sz w:val="18"/>
              </w:rPr>
            </w:pPr>
            <w:r>
              <w:rPr>
                <w:rFonts w:ascii="Verdana" w:eastAsia="Verdana" w:hAnsi="Verdana" w:cs="Verdana"/>
                <w:b/>
                <w:noProof/>
                <w:color w:val="000000"/>
                <w:sz w:val="18"/>
              </w:rPr>
              <w:t>Closing balance at 31.12.2019</w:t>
            </w:r>
          </w:p>
        </w:tc>
        <w:tc>
          <w:tcPr>
            <w:tcW w:w="23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6545BIPRECOFINA"/>
              <w:jc w:val="right"/>
              <w:rPr>
                <w:rFonts w:ascii="Verdana" w:eastAsia="Verdana" w:hAnsi="Verdana" w:cs="Verdana"/>
                <w:b/>
                <w:noProof/>
                <w:color w:val="000000"/>
                <w:sz w:val="18"/>
              </w:rPr>
            </w:pPr>
            <w:r>
              <w:rPr>
                <w:rFonts w:ascii="Verdana" w:eastAsia="Verdana" w:hAnsi="Verdana" w:cs="Verdana"/>
                <w:b/>
                <w:noProof/>
                <w:color w:val="000000"/>
                <w:sz w:val="18"/>
              </w:rPr>
              <w:t>1 518</w:t>
            </w:r>
          </w:p>
        </w:tc>
      </w:tr>
    </w:tbl>
    <w:p w:rsidR="00135552" w:rsidRDefault="004C63B0">
      <w:pPr>
        <w:pStyle w:val="HEADER3NOTES"/>
        <w:rPr>
          <w:noProof/>
        </w:rPr>
      </w:pPr>
      <w:r>
        <w:rPr>
          <w:noProof/>
        </w:rPr>
        <w:t>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1878"/>
        <w:gridCol w:w="1791"/>
        <w:gridCol w:w="1489"/>
      </w:tblGrid>
      <w:tr w:rsidR="00135552">
        <w:trPr>
          <w:trHeight w:val="255"/>
        </w:trPr>
        <w:tc>
          <w:tcPr>
            <w:tcW w:w="460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
              <w:rPr>
                <w:rFonts w:ascii="Arial" w:eastAsia="Arial" w:hAnsi="Arial" w:cs="Arial"/>
                <w:noProof/>
                <w:color w:val="000000"/>
                <w:lang w:bidi="en-GB"/>
              </w:rPr>
            </w:pPr>
            <w:bookmarkStart w:id="57" w:name="DOC_TBL00018_1_1"/>
            <w:bookmarkEnd w:id="57"/>
          </w:p>
        </w:tc>
        <w:tc>
          <w:tcPr>
            <w:tcW w:w="18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
              <w:rPr>
                <w:rFonts w:ascii="Arial" w:eastAsia="Arial" w:hAnsi="Arial" w:cs="Arial"/>
                <w:noProof/>
                <w:color w:val="000000"/>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
              <w:rPr>
                <w:rFonts w:ascii="Arial" w:eastAsia="Arial" w:hAnsi="Arial" w:cs="Arial"/>
                <w:noProof/>
                <w:color w:val="000000"/>
              </w:rPr>
            </w:pPr>
          </w:p>
        </w:tc>
        <w:tc>
          <w:tcPr>
            <w:tcW w:w="148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60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LO"/>
              <w:rPr>
                <w:rFonts w:ascii="Verdana" w:eastAsia="Verdana" w:hAnsi="Verdana" w:cs="Verdana"/>
                <w:noProof/>
                <w:color w:val="FFFFFF"/>
              </w:rPr>
            </w:pPr>
          </w:p>
        </w:tc>
        <w:tc>
          <w:tcPr>
            <w:tcW w:w="18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O"/>
              <w:jc w:val="center"/>
              <w:rPr>
                <w:rFonts w:ascii="Verdana" w:eastAsia="Verdana" w:hAnsi="Verdana" w:cs="Verdana"/>
                <w:noProof/>
                <w:color w:val="FFFFFF"/>
              </w:rPr>
            </w:pPr>
            <w:r>
              <w:rPr>
                <w:rFonts w:ascii="Verdana" w:eastAsia="Verdana" w:hAnsi="Verdana" w:cs="Verdana"/>
                <w:noProof/>
                <w:color w:val="FFFFFF"/>
              </w:rPr>
              <w:t>Note</w:t>
            </w:r>
          </w:p>
        </w:tc>
        <w:tc>
          <w:tcPr>
            <w:tcW w:w="179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O"/>
              <w:jc w:val="right"/>
              <w:rPr>
                <w:rFonts w:ascii="Verdana" w:eastAsia="Verdana" w:hAnsi="Verdana" w:cs="Verdana"/>
                <w:noProof/>
                <w:color w:val="FFFFFF"/>
              </w:rPr>
            </w:pPr>
            <w:r>
              <w:rPr>
                <w:rFonts w:ascii="Verdana" w:eastAsia="Verdana" w:hAnsi="Verdana" w:cs="Verdana"/>
                <w:noProof/>
                <w:color w:val="FFFFFF"/>
              </w:rPr>
              <w:t>31.12.2019</w:t>
            </w:r>
          </w:p>
        </w:tc>
        <w:tc>
          <w:tcPr>
            <w:tcW w:w="148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O"/>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rPr>
                <w:rFonts w:ascii="Verdana" w:eastAsia="Verdana" w:hAnsi="Verdana" w:cs="Verdana"/>
                <w:i/>
                <w:noProof/>
                <w:color w:val="000000"/>
                <w:sz w:val="18"/>
              </w:rPr>
            </w:pPr>
            <w:r>
              <w:rPr>
                <w:rFonts w:ascii="Verdana" w:eastAsia="Verdana" w:hAnsi="Verdana" w:cs="Verdana"/>
                <w:i/>
                <w:noProof/>
                <w:color w:val="000000"/>
                <w:sz w:val="18"/>
              </w:rPr>
              <w:t>Loans for financial assistance</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jc w:val="center"/>
              <w:rPr>
                <w:rFonts w:ascii="Verdana" w:eastAsia="Verdana" w:hAnsi="Verdana" w:cs="Verdana"/>
                <w:i/>
                <w:noProof/>
                <w:color w:val="000000"/>
                <w:sz w:val="18"/>
              </w:rPr>
            </w:pPr>
            <w:r>
              <w:rPr>
                <w:rFonts w:ascii="Verdana" w:eastAsia="Verdana" w:hAnsi="Verdana" w:cs="Verdana"/>
                <w:i/>
                <w:noProof/>
                <w:color w:val="000000"/>
                <w:sz w:val="18"/>
              </w:rPr>
              <w:t>2.4.3.1</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00000"/>
                <w:sz w:val="18"/>
              </w:rPr>
            </w:pPr>
            <w:r>
              <w:rPr>
                <w:rFonts w:ascii="Verdana" w:eastAsia="Verdana" w:hAnsi="Verdana" w:cs="Verdana"/>
                <w:i/>
                <w:noProof/>
                <w:color w:val="000000"/>
                <w:sz w:val="18"/>
              </w:rPr>
              <w:t>52 564</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00000"/>
                <w:sz w:val="18"/>
                <w:lang w:bidi="en-GB"/>
              </w:rPr>
            </w:pPr>
            <w:r>
              <w:rPr>
                <w:rFonts w:ascii="Verdana" w:eastAsia="Verdana" w:hAnsi="Verdana" w:cs="Verdana"/>
                <w:i/>
                <w:noProof/>
                <w:color w:val="000000"/>
                <w:sz w:val="18"/>
              </w:rPr>
              <w:t>53 873</w:t>
            </w:r>
          </w:p>
        </w:tc>
      </w:tr>
      <w:tr w:rsidR="00135552">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rPr>
                <w:rFonts w:ascii="Verdana" w:eastAsia="Verdana" w:hAnsi="Verdana" w:cs="Verdana"/>
                <w:i/>
                <w:noProof/>
                <w:color w:val="000000"/>
                <w:sz w:val="18"/>
              </w:rPr>
            </w:pPr>
            <w:r>
              <w:rPr>
                <w:rFonts w:ascii="Verdana" w:eastAsia="Verdana" w:hAnsi="Verdana" w:cs="Verdana"/>
                <w:i/>
                <w:noProof/>
                <w:color w:val="000000"/>
                <w:sz w:val="18"/>
              </w:rPr>
              <w:t>Other loans</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jc w:val="center"/>
              <w:rPr>
                <w:rFonts w:ascii="Verdana" w:eastAsia="Verdana" w:hAnsi="Verdana" w:cs="Verdana"/>
                <w:i/>
                <w:noProof/>
                <w:color w:val="000000"/>
                <w:sz w:val="18"/>
              </w:rPr>
            </w:pPr>
            <w:r>
              <w:rPr>
                <w:rFonts w:ascii="Verdana" w:eastAsia="Verdana" w:hAnsi="Verdana" w:cs="Verdana"/>
                <w:i/>
                <w:noProof/>
                <w:color w:val="000000"/>
                <w:sz w:val="18"/>
              </w:rPr>
              <w:t>2.4.3.2</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00000"/>
                <w:sz w:val="18"/>
              </w:rPr>
            </w:pPr>
            <w:r>
              <w:rPr>
                <w:rFonts w:ascii="Verdana" w:eastAsia="Verdana" w:hAnsi="Verdana" w:cs="Verdana"/>
                <w:i/>
                <w:noProof/>
                <w:color w:val="000000"/>
                <w:sz w:val="18"/>
              </w:rPr>
              <w:t xml:space="preserve"> 121</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67</w:t>
            </w:r>
          </w:p>
        </w:tc>
      </w:tr>
      <w:tr w:rsidR="00135552">
        <w:trPr>
          <w:trHeight w:val="255"/>
        </w:trPr>
        <w:tc>
          <w:tcPr>
            <w:tcW w:w="46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LO"/>
              <w:rPr>
                <w:rFonts w:ascii="Verdana" w:eastAsia="Verdana" w:hAnsi="Verdana" w:cs="Verdana"/>
                <w:b/>
                <w:noProof/>
                <w:color w:val="000000"/>
                <w:sz w:val="18"/>
              </w:rPr>
            </w:pPr>
            <w:r>
              <w:rPr>
                <w:rFonts w:ascii="Verdana" w:eastAsia="Verdana" w:hAnsi="Verdana" w:cs="Verdana"/>
                <w:b/>
                <w:noProof/>
                <w:color w:val="000000"/>
                <w:sz w:val="18"/>
              </w:rPr>
              <w:t>Total</w:t>
            </w:r>
          </w:p>
        </w:tc>
        <w:tc>
          <w:tcPr>
            <w:tcW w:w="1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135552">
            <w:pPr>
              <w:pStyle w:val="DMETW17240BIPLO"/>
              <w:jc w:val="right"/>
              <w:rPr>
                <w:rFonts w:ascii="Verdana" w:eastAsia="Verdana" w:hAnsi="Verdana" w:cs="Verdana"/>
                <w:b/>
                <w:noProof/>
                <w:color w:val="000000"/>
                <w:sz w:val="18"/>
              </w:rPr>
            </w:pPr>
          </w:p>
        </w:tc>
        <w:tc>
          <w:tcPr>
            <w:tcW w:w="17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b/>
                <w:noProof/>
                <w:color w:val="000000"/>
                <w:sz w:val="18"/>
              </w:rPr>
            </w:pPr>
            <w:r>
              <w:rPr>
                <w:rFonts w:ascii="Verdana" w:eastAsia="Verdana" w:hAnsi="Verdana" w:cs="Verdana"/>
                <w:b/>
                <w:noProof/>
                <w:color w:val="000000"/>
                <w:sz w:val="18"/>
              </w:rPr>
              <w:t>52 684</w:t>
            </w:r>
          </w:p>
        </w:tc>
        <w:tc>
          <w:tcPr>
            <w:tcW w:w="14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b/>
                <w:noProof/>
                <w:color w:val="000000"/>
                <w:sz w:val="18"/>
                <w:lang w:bidi="en-GB"/>
              </w:rPr>
            </w:pPr>
            <w:r>
              <w:rPr>
                <w:rFonts w:ascii="Verdana" w:eastAsia="Verdana" w:hAnsi="Verdana" w:cs="Verdana"/>
                <w:b/>
                <w:noProof/>
                <w:color w:val="000000"/>
                <w:sz w:val="18"/>
              </w:rPr>
              <w:t>53 939</w:t>
            </w:r>
          </w:p>
        </w:tc>
      </w:tr>
      <w:tr w:rsidR="00135552">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16794"/>
                <w:sz w:val="18"/>
              </w:rPr>
            </w:pPr>
            <w:r>
              <w:rPr>
                <w:rFonts w:ascii="Verdana" w:eastAsia="Verdana" w:hAnsi="Verdana" w:cs="Verdana"/>
                <w:i/>
                <w:noProof/>
                <w:color w:val="016794"/>
                <w:sz w:val="18"/>
              </w:rPr>
              <w:t>51 368</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16794"/>
                <w:sz w:val="18"/>
                <w:lang w:bidi="en-GB"/>
              </w:rPr>
            </w:pPr>
            <w:r>
              <w:rPr>
                <w:rFonts w:ascii="Verdana" w:eastAsia="Verdana" w:hAnsi="Verdana" w:cs="Verdana"/>
                <w:i/>
                <w:noProof/>
                <w:color w:val="016794"/>
                <w:sz w:val="18"/>
              </w:rPr>
              <w:t>51 560</w:t>
            </w:r>
          </w:p>
        </w:tc>
      </w:tr>
      <w:tr w:rsidR="00135552">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
              <w:rPr>
                <w:rFonts w:ascii="Verdana" w:eastAsia="Verdana" w:hAnsi="Verdana" w:cs="Verdana"/>
                <w:i/>
                <w:noProof/>
                <w:color w:val="016794"/>
                <w:sz w:val="18"/>
              </w:rPr>
            </w:pPr>
            <w:r>
              <w:rPr>
                <w:rFonts w:ascii="Verdana" w:eastAsia="Verdana" w:hAnsi="Verdana" w:cs="Verdana"/>
                <w:i/>
                <w:noProof/>
                <w:color w:val="016794"/>
                <w:sz w:val="18"/>
              </w:rPr>
              <w:t>Current</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16794"/>
                <w:sz w:val="18"/>
              </w:rPr>
            </w:pPr>
            <w:r>
              <w:rPr>
                <w:rFonts w:ascii="Verdana" w:eastAsia="Verdana" w:hAnsi="Verdana" w:cs="Verdana"/>
                <w:i/>
                <w:noProof/>
                <w:color w:val="016794"/>
                <w:sz w:val="18"/>
              </w:rPr>
              <w:t>1 316</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
              <w:jc w:val="right"/>
              <w:rPr>
                <w:rFonts w:ascii="Verdana" w:eastAsia="Verdana" w:hAnsi="Verdana" w:cs="Verdana"/>
                <w:i/>
                <w:noProof/>
                <w:color w:val="016794"/>
                <w:sz w:val="18"/>
              </w:rPr>
            </w:pPr>
            <w:r>
              <w:rPr>
                <w:rFonts w:ascii="Verdana" w:eastAsia="Verdana" w:hAnsi="Verdana" w:cs="Verdana"/>
                <w:i/>
                <w:noProof/>
                <w:color w:val="016794"/>
                <w:sz w:val="18"/>
              </w:rPr>
              <w:t>2 380</w:t>
            </w:r>
          </w:p>
        </w:tc>
      </w:tr>
    </w:tbl>
    <w:p w:rsidR="00135552" w:rsidRDefault="00135552">
      <w:pPr>
        <w:rPr>
          <w:rFonts w:ascii="Verdana" w:hAnsi="Verdana"/>
          <w:noProof/>
          <w:color w:val="016794"/>
          <w:sz w:val="18"/>
          <w:szCs w:val="18"/>
        </w:rPr>
      </w:pPr>
    </w:p>
    <w:p w:rsidR="00135552" w:rsidRDefault="004C63B0">
      <w:pPr>
        <w:rPr>
          <w:rFonts w:ascii="Verdana" w:hAnsi="Verdana"/>
          <w:noProof/>
          <w:color w:val="016794"/>
          <w:sz w:val="18"/>
          <w:szCs w:val="18"/>
        </w:rPr>
      </w:pPr>
      <w:r>
        <w:rPr>
          <w:noProof/>
        </w:rPr>
        <w:br w:type="page"/>
      </w:r>
    </w:p>
    <w:p w:rsidR="00135552" w:rsidRDefault="004C63B0">
      <w:pPr>
        <w:pStyle w:val="HEADER4NOTES"/>
        <w:rPr>
          <w:noProof/>
        </w:rPr>
      </w:pPr>
      <w:r>
        <w:rPr>
          <w:noProof/>
        </w:rPr>
        <w:t>Loans for financial assistance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1243"/>
        <w:gridCol w:w="1188"/>
        <w:gridCol w:w="996"/>
        <w:gridCol w:w="959"/>
        <w:gridCol w:w="1124"/>
        <w:gridCol w:w="1279"/>
      </w:tblGrid>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lang w:bidi="en-GB"/>
              </w:rPr>
            </w:pPr>
            <w:bookmarkStart w:id="58" w:name="DOC_TBL00019_1_1"/>
            <w:bookmarkEnd w:id="58"/>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rPr>
            </w:pP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GFBF"/>
              <w:rPr>
                <w:rFonts w:ascii="Arial" w:eastAsia="Arial" w:hAnsi="Arial" w:cs="Arial"/>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96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LGFBF"/>
              <w:jc w:val="right"/>
              <w:rPr>
                <w:rFonts w:ascii="Verdana" w:eastAsia="Verdana" w:hAnsi="Verdana" w:cs="Verdana"/>
                <w:noProof/>
                <w:color w:val="FFFFFF"/>
              </w:rPr>
            </w:pPr>
          </w:p>
        </w:tc>
        <w:tc>
          <w:tcPr>
            <w:tcW w:w="12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rPr>
            </w:pPr>
            <w:r>
              <w:rPr>
                <w:rFonts w:ascii="Verdana" w:eastAsia="Verdana" w:hAnsi="Verdana" w:cs="Verdana"/>
                <w:noProof/>
                <w:color w:val="FFFFFF"/>
                <w:sz w:val="18"/>
              </w:rPr>
              <w:t>EFSM</w:t>
            </w:r>
          </w:p>
        </w:tc>
        <w:tc>
          <w:tcPr>
            <w:tcW w:w="118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rPr>
            </w:pPr>
            <w:r>
              <w:rPr>
                <w:rFonts w:ascii="Verdana" w:eastAsia="Verdana" w:hAnsi="Verdana" w:cs="Verdana"/>
                <w:noProof/>
                <w:color w:val="FFFFFF"/>
                <w:sz w:val="18"/>
              </w:rPr>
              <w:t>BOP</w:t>
            </w:r>
          </w:p>
        </w:tc>
        <w:tc>
          <w:tcPr>
            <w:tcW w:w="99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rPr>
            </w:pPr>
            <w:r>
              <w:rPr>
                <w:rFonts w:ascii="Verdana" w:eastAsia="Verdana" w:hAnsi="Verdana" w:cs="Verdana"/>
                <w:noProof/>
                <w:color w:val="FFFFFF"/>
                <w:sz w:val="18"/>
              </w:rPr>
              <w:t>MFA</w:t>
            </w:r>
          </w:p>
        </w:tc>
        <w:tc>
          <w:tcPr>
            <w:tcW w:w="9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rPr>
            </w:pPr>
            <w:r>
              <w:rPr>
                <w:rFonts w:ascii="Verdana" w:eastAsia="Verdana" w:hAnsi="Verdana" w:cs="Verdana"/>
                <w:noProof/>
                <w:color w:val="FFFFFF"/>
                <w:sz w:val="18"/>
              </w:rPr>
              <w:t>Euratom</w:t>
            </w:r>
          </w:p>
        </w:tc>
        <w:tc>
          <w:tcPr>
            <w:tcW w:w="112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rPr>
            </w:pPr>
            <w:r>
              <w:rPr>
                <w:rFonts w:ascii="Verdana" w:eastAsia="Verdana" w:hAnsi="Verdana" w:cs="Verdana"/>
                <w:noProof/>
                <w:color w:val="FFFFFF"/>
                <w:sz w:val="18"/>
              </w:rPr>
              <w:t>ECSC in Liquidation</w:t>
            </w:r>
          </w:p>
        </w:tc>
        <w:tc>
          <w:tcPr>
            <w:tcW w:w="12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GFBF"/>
              <w:jc w:val="right"/>
              <w:rPr>
                <w:rFonts w:ascii="Verdana" w:eastAsia="Verdana" w:hAnsi="Verdana" w:cs="Verdana"/>
                <w:noProof/>
                <w:color w:val="FFFFFF"/>
                <w:sz w:val="18"/>
                <w:lang w:bidi="en-GB"/>
              </w:rPr>
            </w:pPr>
            <w:r>
              <w:rPr>
                <w:rFonts w:ascii="Verdana" w:eastAsia="Verdana" w:hAnsi="Verdana" w:cs="Verdana"/>
                <w:noProof/>
                <w:color w:val="FFFFFF"/>
                <w:sz w:val="18"/>
              </w:rPr>
              <w:t>Total</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Total at 31.12.2018</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47 400</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1 734</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4 388</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254</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98</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53 873</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New loans</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420</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420</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Repayments</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(1 500)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(52)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(40)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(97)</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(1 689)</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Exchange differences</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Changes in carrying amount</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(33)</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(45)</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00000"/>
                <w:sz w:val="18"/>
              </w:rPr>
            </w:pPr>
            <w:r>
              <w:rPr>
                <w:rFonts w:ascii="Verdana" w:eastAsia="Verdana" w:hAnsi="Verdana" w:cs="Verdana"/>
                <w:i/>
                <w:noProof/>
                <w:color w:val="000000"/>
                <w:sz w:val="18"/>
              </w:rPr>
              <w:t>Impairment</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29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rPr>
            </w:pPr>
            <w:r>
              <w:rPr>
                <w:rFonts w:ascii="Verdana" w:eastAsia="Verdana" w:hAnsi="Verdana" w:cs="Verdana"/>
                <w:b/>
                <w:noProof/>
                <w:color w:val="000000"/>
                <w:sz w:val="18"/>
              </w:rPr>
              <w:t>47 394</w:t>
            </w:r>
          </w:p>
        </w:tc>
        <w:tc>
          <w:tcPr>
            <w:tcW w:w="1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201</w:t>
            </w:r>
          </w:p>
        </w:tc>
        <w:tc>
          <w:tcPr>
            <w:tcW w:w="9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rPr>
            </w:pPr>
            <w:r>
              <w:rPr>
                <w:rFonts w:ascii="Verdana" w:eastAsia="Verdana" w:hAnsi="Verdana" w:cs="Verdana"/>
                <w:b/>
                <w:noProof/>
                <w:color w:val="000000"/>
                <w:sz w:val="18"/>
              </w:rPr>
              <w:t>4 754</w:t>
            </w:r>
          </w:p>
        </w:tc>
        <w:tc>
          <w:tcPr>
            <w:tcW w:w="9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214</w:t>
            </w:r>
          </w:p>
        </w:tc>
        <w:tc>
          <w:tcPr>
            <w:tcW w:w="11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b/>
                <w:noProof/>
                <w:color w:val="000000"/>
                <w:sz w:val="18"/>
                <w:lang w:bidi="en-GB"/>
              </w:rPr>
            </w:pPr>
            <w:r>
              <w:rPr>
                <w:rFonts w:ascii="Verdana" w:eastAsia="Verdana" w:hAnsi="Verdana" w:cs="Verdana"/>
                <w:b/>
                <w:noProof/>
                <w:color w:val="000000"/>
                <w:sz w:val="18"/>
              </w:rPr>
              <w:t>52 564</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46 800</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200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4 </w:t>
            </w:r>
            <w:r>
              <w:rPr>
                <w:rFonts w:ascii="Verdana" w:eastAsia="Verdana" w:hAnsi="Verdana" w:cs="Verdana"/>
                <w:i/>
                <w:noProof/>
                <w:color w:val="016794"/>
                <w:sz w:val="18"/>
              </w:rPr>
              <w:t>112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178</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lang w:bidi="en-GB"/>
              </w:rPr>
            </w:pPr>
            <w:r>
              <w:rPr>
                <w:rFonts w:ascii="Verdana" w:eastAsia="Verdana" w:hAnsi="Verdana" w:cs="Verdana"/>
                <w:i/>
                <w:noProof/>
                <w:color w:val="016794"/>
                <w:sz w:val="18"/>
              </w:rPr>
              <w:t>51 290</w:t>
            </w:r>
          </w:p>
        </w:tc>
      </w:tr>
      <w:tr w:rsidR="00135552">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GFBF"/>
              <w:rPr>
                <w:rFonts w:ascii="Verdana" w:eastAsia="Verdana" w:hAnsi="Verdana" w:cs="Verdana"/>
                <w:i/>
                <w:noProof/>
                <w:color w:val="016794"/>
                <w:sz w:val="18"/>
              </w:rPr>
            </w:pPr>
            <w:r>
              <w:rPr>
                <w:rFonts w:ascii="Verdana" w:eastAsia="Verdana" w:hAnsi="Verdana" w:cs="Verdana"/>
                <w:i/>
                <w:noProof/>
                <w:color w:val="016794"/>
                <w:sz w:val="18"/>
              </w:rPr>
              <w:t>Current</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594</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1</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643</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GFBF"/>
              <w:jc w:val="right"/>
              <w:rPr>
                <w:rFonts w:ascii="Verdana" w:eastAsia="Verdana" w:hAnsi="Verdana" w:cs="Verdana"/>
                <w:i/>
                <w:noProof/>
                <w:color w:val="016794"/>
                <w:sz w:val="18"/>
              </w:rPr>
            </w:pPr>
            <w:r>
              <w:rPr>
                <w:rFonts w:ascii="Verdana" w:eastAsia="Verdana" w:hAnsi="Verdana" w:cs="Verdana"/>
                <w:i/>
                <w:noProof/>
                <w:color w:val="016794"/>
                <w:sz w:val="18"/>
              </w:rPr>
              <w:t>1 273</w:t>
            </w:r>
          </w:p>
        </w:tc>
      </w:tr>
    </w:tbl>
    <w:p w:rsidR="00135552" w:rsidRDefault="004C63B0">
      <w:pPr>
        <w:pStyle w:val="DGTextstand-alone"/>
        <w:spacing w:before="120" w:after="120"/>
      </w:pPr>
      <w:r>
        <w:t>The nominal value of loans for financial assistance at 31 December 2019 totals EUR 51 941 million (2018: EUR 53 206 million). The change in carrying amount corresponds to the change in accrued interests.</w:t>
      </w:r>
    </w:p>
    <w:p w:rsidR="00135552" w:rsidRDefault="004C63B0">
      <w:pPr>
        <w:pStyle w:val="DGTextstand-alone"/>
        <w:spacing w:before="120" w:after="120"/>
      </w:pPr>
      <w:r>
        <w:t>EFSM enables the granting of financial assistance to a Member State in difficulties, or seriously threatened by severe difficulties caused by exceptional circumstances beyond its control. The assistance may take the form of a loan or credit line. The ECOF</w:t>
      </w:r>
      <w:r>
        <w:t xml:space="preserve">IN Council conclusions of 9 May 2010 restrict the facility to EUR 60 billion but the legal limit restricts the outstanding amount of loans or credit lines to the margin available under the own resources ceiling. Borrowings related to loans disbursed under </w:t>
      </w:r>
      <w:r>
        <w:t>the EFSM are guaranteed by the EU budget. It is not foreseen that the EFSM will engage in new financing programmes or enter into new loan facility agreements.</w:t>
      </w:r>
    </w:p>
    <w:p w:rsidR="00135552" w:rsidRDefault="004C63B0">
      <w:pPr>
        <w:pStyle w:val="DGTextstand-alone"/>
        <w:spacing w:before="120" w:after="120"/>
      </w:pPr>
      <w:r>
        <w:t xml:space="preserve">The BOP facility, a policy-based financial instrument, provides medium-term financial assistance </w:t>
      </w:r>
      <w:r>
        <w:t>to Member States of the EU that have not adopted the Euro. It enables the granting of loans to Member States who are experiencing, or are seriously threatened by, difficulties in their balance of payments or capital movements. The maximum outstanding amoun</w:t>
      </w:r>
      <w:r>
        <w:t>t of loans granted under the instrument is limited to EUR 50 billion. Borrowings related to these BOP loans are guaranteed by the EU budget. During 2019, Romania repaid the remaining EUR 1 billion of its outstanding loan amount and Latvia repaid EUR 500 mi</w:t>
      </w:r>
      <w:r>
        <w:t>llion of its EUR 700 million outstanding amount.</w:t>
      </w:r>
    </w:p>
    <w:p w:rsidR="00135552" w:rsidRDefault="004C63B0">
      <w:pPr>
        <w:pStyle w:val="DGTextstand-alone"/>
        <w:spacing w:before="120" w:after="120"/>
      </w:pPr>
      <w:r>
        <w:t>MFA</w:t>
      </w:r>
      <w:r>
        <w:rPr>
          <w:b/>
        </w:rPr>
        <w:t xml:space="preserve"> </w:t>
      </w:r>
      <w:r>
        <w:t>is a form of financial aid extended by the EU to partner countries experiencing a balance of payment crisis. It takes the form of medium/long term loans or grants or an appropriate combination of both an</w:t>
      </w:r>
      <w:r>
        <w:t>d generally complements financing provided in the context of an IMF-supported adjustment and reform program. These loans are guaranteed by the Guarantee Fund for external actions. During the year ended 31 December 2019, further disbursements of loans under</w:t>
      </w:r>
      <w:r>
        <w:t xml:space="preserve"> MFA for a total amount of EUR 420 million were provided, being EUR 300 million to Tunisia, EUR 100 million to Jordan and EUR 20 million to Moldova – see also note </w:t>
      </w:r>
      <w:r>
        <w:rPr>
          <w:b/>
        </w:rPr>
        <w:t>4.1.2</w:t>
      </w:r>
      <w:r>
        <w:t>.</w:t>
      </w:r>
    </w:p>
    <w:p w:rsidR="00135552" w:rsidRDefault="004C63B0">
      <w:pPr>
        <w:pStyle w:val="DGTextstand-alone"/>
        <w:spacing w:before="120" w:after="120"/>
      </w:pPr>
      <w:r>
        <w:t>The European Atomic Energy Community (Euratom, represented by the Commission) lends m</w:t>
      </w:r>
      <w:r>
        <w:t xml:space="preserve">oney to both Member States and non-Member States, and to entities of both, to finance projects relating to energy installations. Guarantees from third parties of EUR 214 million (2018: EUR 254 million) have been received to cover Euratom loans – see note </w:t>
      </w:r>
      <w:r>
        <w:rPr>
          <w:b/>
        </w:rPr>
        <w:t>4</w:t>
      </w:r>
      <w:r>
        <w:rPr>
          <w:b/>
        </w:rPr>
        <w:t>.1.2</w:t>
      </w:r>
      <w:r>
        <w:t>.</w:t>
      </w:r>
    </w:p>
    <w:p w:rsidR="00135552" w:rsidRDefault="004C63B0">
      <w:pPr>
        <w:pStyle w:val="DGTextstand-alone"/>
      </w:pPr>
      <w:r>
        <w:t xml:space="preserve">ECSC in Liquidation loans are not loans for financial assistance but </w:t>
      </w:r>
      <w:r>
        <w:rPr>
          <w:rFonts w:cs="Verdana"/>
          <w:lang w:eastAsia="en-GB"/>
        </w:rPr>
        <w:t>promissory notes in order to keep the cash flows in parallel with the borrowings</w:t>
      </w:r>
      <w:r>
        <w:t xml:space="preserve">. However, similar to the loans for financial assistance, they were granted on borrowed funds in </w:t>
      </w:r>
      <w:r>
        <w:t>accordance with articles 54 and 56 of the ECSC Treaty for project financing. The last promissory notes were fully reimbursed in 2019.</w:t>
      </w:r>
    </w:p>
    <w:p w:rsidR="00135552" w:rsidRDefault="004C63B0">
      <w:pPr>
        <w:pStyle w:val="HEADER5"/>
        <w:keepNext/>
        <w:spacing w:before="360" w:after="360"/>
        <w:rPr>
          <w:noProof/>
        </w:rPr>
      </w:pPr>
      <w:r>
        <w:rPr>
          <w:noProof/>
        </w:rPr>
        <w:t>Loans effective interest rates (expressed as a range of interest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135552">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BORR2"/>
              <w:keepNext/>
              <w:jc w:val="right"/>
              <w:rPr>
                <w:rFonts w:ascii="Verdana" w:eastAsia="Verdana" w:hAnsi="Verdana" w:cs="Verdana"/>
                <w:noProof/>
                <w:color w:val="FFFFFF"/>
                <w:lang w:bidi="en-GB"/>
              </w:rPr>
            </w:pPr>
            <w:bookmarkStart w:id="59" w:name="DOC_TBL00020_1_1"/>
            <w:bookmarkEnd w:id="59"/>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BORR2"/>
              <w:keepNext/>
              <w:jc w:val="right"/>
              <w:rPr>
                <w:rFonts w:ascii="Verdana" w:eastAsia="Verdana" w:hAnsi="Verdana" w:cs="Verdana"/>
                <w:noProof/>
                <w:color w:val="FFFFFF"/>
              </w:rPr>
            </w:pPr>
            <w:r>
              <w:rPr>
                <w:rFonts w:ascii="Verdana" w:eastAsia="Verdana" w:hAnsi="Verdana" w:cs="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BORR2"/>
              <w:keepNext/>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rPr>
                <w:rFonts w:ascii="Verdana" w:eastAsia="Verdana" w:hAnsi="Verdana" w:cs="Verdana"/>
                <w:i/>
                <w:noProof/>
                <w:color w:val="000000"/>
                <w:sz w:val="18"/>
              </w:rPr>
            </w:pPr>
            <w:r>
              <w:rPr>
                <w:rFonts w:ascii="Verdana" w:eastAsia="Verdana" w:hAnsi="Verdana" w:cs="Verdana"/>
                <w:i/>
                <w:noProof/>
                <w:color w:val="000000"/>
                <w:sz w:val="18"/>
              </w:rPr>
              <w:t>Macro Financial Assistance</w:t>
            </w:r>
            <w:r>
              <w:rPr>
                <w:rFonts w:ascii="Verdana" w:eastAsia="Verdana" w:hAnsi="Verdana" w:cs="Verdana"/>
                <w:i/>
                <w:noProof/>
                <w:color w:val="000000"/>
                <w:sz w:val="18"/>
              </w:rPr>
              <w:t xml:space="preserve"> (MFA)</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0 % - 3.82 %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0 % - 3.82 %</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rPr>
                <w:rFonts w:ascii="Verdana" w:eastAsia="Verdana" w:hAnsi="Verdana" w:cs="Verdana"/>
                <w:i/>
                <w:noProof/>
                <w:color w:val="000000"/>
                <w:sz w:val="18"/>
              </w:rPr>
            </w:pPr>
            <w:r>
              <w:rPr>
                <w:rFonts w:ascii="Verdana" w:eastAsia="Verdana" w:hAnsi="Verdana" w:cs="Verdana"/>
                <w:i/>
                <w:noProof/>
                <w:color w:val="000000"/>
                <w:sz w:val="18"/>
              </w:rPr>
              <w:t>Euratom</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0.08 % - 5.76 %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0.08 % - 5.76 %</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rPr>
                <w:rFonts w:ascii="Verdana" w:eastAsia="Verdana" w:hAnsi="Verdana" w:cs="Verdana"/>
                <w:i/>
                <w:noProof/>
                <w:color w:val="000000"/>
                <w:sz w:val="18"/>
              </w:rPr>
            </w:pPr>
            <w:r>
              <w:rPr>
                <w:rFonts w:ascii="Verdana" w:eastAsia="Verdana" w:hAnsi="Verdana" w:cs="Verdana"/>
                <w:i/>
                <w:noProof/>
                <w:color w:val="000000"/>
                <w:sz w:val="18"/>
              </w:rPr>
              <w:t>Balance of Payment (BOP)</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2.88 %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2.88 % - 3.38 %</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rPr>
                <w:rFonts w:ascii="Verdana" w:eastAsia="Verdana" w:hAnsi="Verdana" w:cs="Verdana"/>
                <w:i/>
                <w:noProof/>
                <w:color w:val="000000"/>
                <w:sz w:val="18"/>
              </w:rPr>
            </w:pPr>
            <w:r>
              <w:rPr>
                <w:rFonts w:ascii="Verdana" w:eastAsia="Verdana" w:hAnsi="Verdana" w:cs="Verdana"/>
                <w:i/>
                <w:noProof/>
                <w:color w:val="000000"/>
                <w:sz w:val="18"/>
              </w:rPr>
              <w:t>European Financial Stability Mechanism (EFSM)</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0.50 % - 3.75 %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lang w:bidi="en-GB"/>
              </w:rPr>
            </w:pPr>
            <w:r>
              <w:rPr>
                <w:rFonts w:ascii="Verdana" w:eastAsia="Verdana" w:hAnsi="Verdana" w:cs="Verdana"/>
                <w:i/>
                <w:noProof/>
                <w:color w:val="000000"/>
                <w:sz w:val="18"/>
              </w:rPr>
              <w:t>0.50 % - 3.75 %</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rPr>
                <w:rFonts w:ascii="Verdana" w:eastAsia="Verdana" w:hAnsi="Verdana" w:cs="Verdana"/>
                <w:i/>
                <w:noProof/>
                <w:color w:val="000000"/>
                <w:sz w:val="18"/>
              </w:rPr>
            </w:pPr>
            <w:r>
              <w:rPr>
                <w:rFonts w:ascii="Verdana" w:eastAsia="Verdana" w:hAnsi="Verdana" w:cs="Verdana"/>
                <w:i/>
                <w:noProof/>
                <w:color w:val="000000"/>
                <w:sz w:val="18"/>
              </w:rPr>
              <w:t>ECSC in Liquidation</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BORR2"/>
              <w:keepNext/>
              <w:jc w:val="right"/>
              <w:rPr>
                <w:rFonts w:ascii="Verdana" w:eastAsia="Verdana" w:hAnsi="Verdana" w:cs="Verdana"/>
                <w:i/>
                <w:noProof/>
                <w:color w:val="000000"/>
                <w:sz w:val="18"/>
              </w:rPr>
            </w:pPr>
            <w:r>
              <w:rPr>
                <w:rFonts w:ascii="Verdana" w:eastAsia="Verdana" w:hAnsi="Verdana" w:cs="Verdana"/>
                <w:i/>
                <w:noProof/>
                <w:color w:val="000000"/>
                <w:sz w:val="18"/>
              </w:rPr>
              <w:t>5.23 % - 5.81 %</w:t>
            </w:r>
          </w:p>
        </w:tc>
      </w:tr>
    </w:tbl>
    <w:p w:rsidR="00135552" w:rsidRDefault="00135552">
      <w:pPr>
        <w:pStyle w:val="HEADER5"/>
        <w:keepNext/>
        <w:rPr>
          <w:noProof/>
        </w:rPr>
      </w:pPr>
    </w:p>
    <w:p w:rsidR="00135552" w:rsidRDefault="004C63B0">
      <w:pPr>
        <w:rPr>
          <w:rFonts w:ascii="Verdana" w:hAnsi="Verdana"/>
          <w:noProof/>
          <w:color w:val="016794"/>
          <w:sz w:val="18"/>
          <w:szCs w:val="18"/>
        </w:rPr>
      </w:pPr>
      <w:r>
        <w:rPr>
          <w:noProof/>
        </w:rPr>
        <w:br w:type="page"/>
      </w:r>
    </w:p>
    <w:p w:rsidR="00135552" w:rsidRDefault="004C63B0">
      <w:pPr>
        <w:pStyle w:val="HEADER4NOTES"/>
        <w:rPr>
          <w:noProof/>
        </w:rPr>
      </w:pPr>
      <w:r>
        <w:rPr>
          <w:noProof/>
        </w:rPr>
        <w:t>Other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BUDG"/>
              <w:rPr>
                <w:rFonts w:ascii="Arial" w:eastAsia="Arial" w:hAnsi="Arial" w:cs="Arial"/>
                <w:noProof/>
                <w:color w:val="000000"/>
                <w:lang w:bidi="en-GB"/>
              </w:rPr>
            </w:pPr>
            <w:bookmarkStart w:id="60" w:name="DOC_TBL00021_1_1"/>
            <w:bookmarkEnd w:id="60"/>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LOBUDG"/>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LOBUDG"/>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OBUDG"/>
              <w:jc w:val="right"/>
              <w:rPr>
                <w:rFonts w:ascii="Verdana" w:eastAsia="Verdana" w:hAnsi="Verdana" w:cs="Verdana"/>
                <w:noProof/>
                <w:color w:val="FFFFFF"/>
              </w:rPr>
            </w:pPr>
            <w:r>
              <w:rPr>
                <w:rFonts w:ascii="Verdana" w:eastAsia="Verdana" w:hAnsi="Verdana" w:cs="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LOBUDG"/>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i/>
                <w:noProof/>
                <w:color w:val="000000"/>
                <w:sz w:val="18"/>
              </w:rPr>
            </w:pPr>
            <w:r>
              <w:rPr>
                <w:rFonts w:ascii="Verdana" w:eastAsia="Verdana" w:hAnsi="Verdana" w:cs="Verdana"/>
                <w:i/>
                <w:noProof/>
                <w:color w:val="000000"/>
                <w:sz w:val="18"/>
              </w:rPr>
              <w:t>Loans with special conditions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rPr>
            </w:pPr>
            <w:r>
              <w:rPr>
                <w:rFonts w:ascii="Verdana" w:eastAsia="Verdana" w:hAnsi="Verdana" w:cs="Verdana"/>
                <w:i/>
                <w:noProof/>
                <w:color w:val="000000"/>
                <w:sz w:val="18"/>
              </w:rPr>
              <w:t xml:space="preserve"> 73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64</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i/>
                <w:noProof/>
                <w:color w:val="000000"/>
                <w:sz w:val="18"/>
              </w:rPr>
            </w:pPr>
            <w:r>
              <w:rPr>
                <w:rFonts w:ascii="Verdana" w:eastAsia="Verdana" w:hAnsi="Verdana" w:cs="Verdana"/>
                <w:i/>
                <w:noProof/>
                <w:color w:val="000000"/>
                <w:sz w:val="18"/>
              </w:rPr>
              <w:t>ECSC in Liquidation housing loans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i/>
                <w:noProof/>
                <w:color w:val="000000"/>
                <w:sz w:val="18"/>
              </w:rPr>
            </w:pPr>
            <w:r>
              <w:rPr>
                <w:rFonts w:ascii="Verdana" w:eastAsia="Verdana" w:hAnsi="Verdana" w:cs="Verdana"/>
                <w:i/>
                <w:noProof/>
                <w:color w:val="000000"/>
                <w:sz w:val="18"/>
              </w:rPr>
              <w:t>Term deposits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rPr>
            </w:pPr>
            <w:r>
              <w:rPr>
                <w:rFonts w:ascii="Verdana" w:eastAsia="Verdana" w:hAnsi="Verdana" w:cs="Verdana"/>
                <w:i/>
                <w:noProof/>
                <w:color w:val="000000"/>
                <w:sz w:val="18"/>
              </w:rPr>
              <w:t xml:space="preserve"> 46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0</w:t>
            </w:r>
          </w:p>
        </w:tc>
      </w:tr>
      <w:tr w:rsidR="00135552">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b/>
                <w:noProof/>
                <w:color w:val="000000"/>
                <w:sz w:val="18"/>
              </w:rPr>
            </w:pPr>
            <w:r>
              <w:rPr>
                <w:rFonts w:ascii="Verdana" w:eastAsia="Verdana" w:hAnsi="Verdana" w:cs="Verdana"/>
                <w:b/>
                <w:noProof/>
                <w:color w:val="000000"/>
                <w:sz w:val="18"/>
              </w:rPr>
              <w:t>Total</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b/>
                <w:noProof/>
                <w:color w:val="000000"/>
                <w:sz w:val="18"/>
              </w:rPr>
            </w:pPr>
            <w:r>
              <w:rPr>
                <w:rFonts w:ascii="Verdana" w:eastAsia="Verdana" w:hAnsi="Verdana" w:cs="Verdana"/>
                <w:b/>
                <w:noProof/>
                <w:color w:val="000000"/>
                <w:sz w:val="18"/>
              </w:rPr>
              <w:t xml:space="preserve"> 121</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67</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16794"/>
                <w:sz w:val="18"/>
              </w:rPr>
            </w:pPr>
            <w:r>
              <w:rPr>
                <w:rFonts w:ascii="Verdana" w:eastAsia="Verdana" w:hAnsi="Verdana" w:cs="Verdana"/>
                <w:i/>
                <w:noProof/>
                <w:color w:val="016794"/>
                <w:sz w:val="18"/>
              </w:rPr>
              <w:t xml:space="preserve"> 78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16794"/>
                <w:sz w:val="18"/>
                <w:lang w:bidi="en-GB"/>
              </w:rPr>
            </w:pPr>
            <w:r>
              <w:rPr>
                <w:rFonts w:ascii="Verdana" w:eastAsia="Verdana" w:hAnsi="Verdana" w:cs="Verdana"/>
                <w:i/>
                <w:noProof/>
                <w:color w:val="016794"/>
                <w:sz w:val="18"/>
              </w:rPr>
              <w:t xml:space="preserve"> 38</w:t>
            </w:r>
          </w:p>
        </w:tc>
      </w:tr>
      <w:tr w:rsidR="00135552">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LOBUDG"/>
              <w:rPr>
                <w:rFonts w:ascii="Verdana" w:eastAsia="Verdana" w:hAnsi="Verdana" w:cs="Verdana"/>
                <w:i/>
                <w:noProof/>
                <w:color w:val="016794"/>
                <w:sz w:val="18"/>
              </w:rPr>
            </w:pPr>
            <w:r>
              <w:rPr>
                <w:rFonts w:ascii="Verdana" w:eastAsia="Verdana" w:hAnsi="Verdana" w:cs="Verdana"/>
                <w:i/>
                <w:noProof/>
                <w:color w:val="016794"/>
                <w:sz w:val="18"/>
              </w:rPr>
              <w:t>Current</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16794"/>
                <w:sz w:val="18"/>
              </w:rPr>
            </w:pPr>
            <w:r>
              <w:rPr>
                <w:rFonts w:ascii="Verdana" w:eastAsia="Verdana" w:hAnsi="Verdana" w:cs="Verdana"/>
                <w:i/>
                <w:noProof/>
                <w:color w:val="016794"/>
                <w:sz w:val="18"/>
              </w:rPr>
              <w:t xml:space="preserve"> 42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LOBUDG"/>
              <w:jc w:val="right"/>
              <w:rPr>
                <w:rFonts w:ascii="Verdana" w:eastAsia="Verdana" w:hAnsi="Verdana" w:cs="Verdana"/>
                <w:i/>
                <w:noProof/>
                <w:color w:val="016794"/>
                <w:sz w:val="18"/>
              </w:rPr>
            </w:pPr>
            <w:r>
              <w:rPr>
                <w:rFonts w:ascii="Verdana" w:eastAsia="Verdana" w:hAnsi="Verdana" w:cs="Verdana"/>
                <w:i/>
                <w:noProof/>
                <w:color w:val="016794"/>
                <w:sz w:val="18"/>
              </w:rPr>
              <w:t xml:space="preserve"> 28</w:t>
            </w:r>
          </w:p>
        </w:tc>
      </w:tr>
    </w:tbl>
    <w:p w:rsidR="00135552" w:rsidRDefault="004C63B0">
      <w:pPr>
        <w:pStyle w:val="DGTextstand-alone"/>
      </w:pPr>
      <w:r>
        <w:t xml:space="preserve">Nominal value of other loans at 31 December 2019 total </w:t>
      </w:r>
      <w:r>
        <w:t>EUR 728 million (2018: EUR 617 million).</w:t>
      </w:r>
    </w:p>
    <w:p w:rsidR="00135552" w:rsidRDefault="004C63B0">
      <w:pPr>
        <w:pStyle w:val="DGTextstand-alone"/>
      </w:pPr>
      <w:r>
        <w:t>Loans with special conditions are granted at preferential rates as part of co-operation with non-Member States.</w:t>
      </w:r>
    </w:p>
    <w:p w:rsidR="00135552" w:rsidRDefault="004C63B0">
      <w:pPr>
        <w:pStyle w:val="DGTextstand-alone"/>
      </w:pPr>
      <w:r>
        <w:t>Term deposits include mainly amounts with maturity between 3 and 12 months that do not meet the definit</w:t>
      </w:r>
      <w:r>
        <w:t>ion of cash equivalents.</w:t>
      </w:r>
    </w:p>
    <w:p w:rsidR="00135552" w:rsidRDefault="004C63B0">
      <w:pPr>
        <w:pStyle w:val="HEADER5"/>
        <w:spacing w:before="360" w:after="360"/>
        <w:rPr>
          <w:noProof/>
        </w:rPr>
      </w:pPr>
      <w:r>
        <w:rPr>
          <w:noProof/>
        </w:rPr>
        <w:t>Impairment on other loans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324"/>
        <w:gridCol w:w="1102"/>
        <w:gridCol w:w="1101"/>
        <w:gridCol w:w="1102"/>
        <w:gridCol w:w="995"/>
        <w:gridCol w:w="1324"/>
      </w:tblGrid>
      <w:tr w:rsidR="00135552">
        <w:trPr>
          <w:trHeight w:val="255"/>
        </w:trPr>
        <w:tc>
          <w:tcPr>
            <w:tcW w:w="281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lang w:bidi="en-GB"/>
              </w:rPr>
            </w:pPr>
            <w:bookmarkStart w:id="61" w:name="DOC_TBL00022_1_1"/>
            <w:bookmarkEnd w:id="61"/>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rPr>
            </w:pPr>
          </w:p>
        </w:tc>
        <w:tc>
          <w:tcPr>
            <w:tcW w:w="110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rPr>
            </w:pPr>
          </w:p>
        </w:tc>
        <w:tc>
          <w:tcPr>
            <w:tcW w:w="99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0BIPIMP"/>
              <w:rPr>
                <w:rFonts w:ascii="Arial" w:eastAsia="Arial" w:hAnsi="Arial" w:cs="Arial"/>
                <w:noProof/>
                <w:color w:val="000000"/>
              </w:rPr>
            </w:pPr>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81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0BIPIMP"/>
              <w:rPr>
                <w:rFonts w:ascii="Verdana" w:eastAsia="Verdana" w:hAnsi="Verdana" w:cs="Verdana"/>
                <w:noProof/>
                <w:color w:val="FFFFFF"/>
                <w:sz w:val="16"/>
              </w:rPr>
            </w:pP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rPr>
            </w:pPr>
            <w:r>
              <w:rPr>
                <w:rFonts w:ascii="Verdana" w:eastAsia="Verdana" w:hAnsi="Verdana" w:cs="Verdana"/>
                <w:noProof/>
                <w:color w:val="FFFFFF"/>
              </w:rPr>
              <w:t>31.12.2018</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rPr>
            </w:pPr>
            <w:r>
              <w:rPr>
                <w:rFonts w:ascii="Verdana" w:eastAsia="Verdana" w:hAnsi="Verdana" w:cs="Verdana"/>
                <w:noProof/>
                <w:color w:val="FFFFFF"/>
              </w:rPr>
              <w:t>Additions</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rPr>
            </w:pPr>
            <w:r>
              <w:rPr>
                <w:rFonts w:ascii="Verdana" w:eastAsia="Verdana" w:hAnsi="Verdana" w:cs="Verdana"/>
                <w:noProof/>
                <w:color w:val="FFFFFF"/>
              </w:rPr>
              <w:t>Reversals</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rPr>
            </w:pPr>
            <w:r>
              <w:rPr>
                <w:rFonts w:ascii="Verdana" w:eastAsia="Verdana" w:hAnsi="Verdana" w:cs="Verdana"/>
                <w:noProof/>
                <w:color w:val="FFFFFF"/>
              </w:rPr>
              <w:t xml:space="preserve">Write-off </w:t>
            </w:r>
          </w:p>
        </w:tc>
        <w:tc>
          <w:tcPr>
            <w:tcW w:w="99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rPr>
            </w:pPr>
            <w:r>
              <w:rPr>
                <w:rFonts w:ascii="Verdana" w:eastAsia="Verdana" w:hAnsi="Verdana" w:cs="Verdana"/>
                <w:noProof/>
                <w:color w:val="FFFFFF"/>
              </w:rPr>
              <w:t>Other</w:t>
            </w: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0BIPIMP"/>
              <w:jc w:val="right"/>
              <w:rPr>
                <w:rFonts w:ascii="Verdana" w:eastAsia="Verdana" w:hAnsi="Verdana" w:cs="Verdana"/>
                <w:noProof/>
                <w:color w:val="FFFFFF"/>
                <w:lang w:bidi="en-GB"/>
              </w:rPr>
            </w:pPr>
            <w:r>
              <w:rPr>
                <w:rFonts w:ascii="Verdana" w:eastAsia="Verdana" w:hAnsi="Verdana" w:cs="Verdana"/>
                <w:noProof/>
                <w:color w:val="FFFFFF"/>
              </w:rPr>
              <w:t>31.12.2019</w:t>
            </w:r>
          </w:p>
        </w:tc>
      </w:tr>
      <w:tr w:rsidR="00135552">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IMP"/>
              <w:rPr>
                <w:rFonts w:ascii="Verdana" w:eastAsia="Verdana" w:hAnsi="Verdana" w:cs="Verdana"/>
                <w:i/>
                <w:noProof/>
                <w:color w:val="000000"/>
                <w:sz w:val="18"/>
              </w:rPr>
            </w:pPr>
            <w:r>
              <w:rPr>
                <w:rFonts w:ascii="Verdana" w:eastAsia="Verdana" w:hAnsi="Verdana" w:cs="Verdana"/>
                <w:i/>
                <w:noProof/>
                <w:color w:val="000000"/>
                <w:sz w:val="18"/>
              </w:rPr>
              <w:t>Loans with special conditions</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w:t>
            </w:r>
          </w:p>
        </w:tc>
      </w:tr>
      <w:tr w:rsidR="00135552">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0BIPIMP"/>
              <w:rPr>
                <w:rFonts w:ascii="Verdana" w:eastAsia="Verdana" w:hAnsi="Verdana" w:cs="Verdana"/>
                <w:i/>
                <w:noProof/>
                <w:color w:val="000000"/>
                <w:sz w:val="18"/>
              </w:rPr>
            </w:pPr>
            <w:r>
              <w:rPr>
                <w:rFonts w:ascii="Verdana" w:eastAsia="Verdana" w:hAnsi="Verdana" w:cs="Verdana"/>
                <w:i/>
                <w:noProof/>
                <w:color w:val="000000"/>
                <w:sz w:val="18"/>
              </w:rPr>
              <w:t>Subrogated loans</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 xml:space="preserve"> 579</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 xml:space="preserve"> 75</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658</w:t>
            </w:r>
          </w:p>
        </w:tc>
      </w:tr>
      <w:tr w:rsidR="00135552">
        <w:trPr>
          <w:trHeight w:val="255"/>
        </w:trPr>
        <w:tc>
          <w:tcPr>
            <w:tcW w:w="28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0BIPIMP"/>
              <w:rPr>
                <w:rFonts w:ascii="Verdana" w:eastAsia="Verdana" w:hAnsi="Verdana" w:cs="Verdana"/>
                <w:b/>
                <w:noProof/>
                <w:color w:val="000000"/>
                <w:sz w:val="18"/>
              </w:rPr>
            </w:pPr>
            <w:r>
              <w:rPr>
                <w:rFonts w:ascii="Verdana" w:eastAsia="Verdana" w:hAnsi="Verdana" w:cs="Verdana"/>
                <w:b/>
                <w:noProof/>
                <w:color w:val="000000"/>
                <w:sz w:val="18"/>
              </w:rPr>
              <w:t>Total</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 xml:space="preserve"> 587</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 xml:space="preserve"> 77</w:t>
            </w:r>
          </w:p>
        </w:tc>
        <w:tc>
          <w:tcPr>
            <w:tcW w:w="1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 xml:space="preserve"> 4</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0BIPIMP"/>
              <w:jc w:val="right"/>
              <w:rPr>
                <w:rFonts w:ascii="Verdana" w:eastAsia="Verdana" w:hAnsi="Verdana" w:cs="Verdana"/>
                <w:b/>
                <w:noProof/>
                <w:color w:val="000000"/>
                <w:sz w:val="18"/>
              </w:rPr>
            </w:pPr>
            <w:r>
              <w:rPr>
                <w:rFonts w:ascii="Verdana" w:eastAsia="Verdana" w:hAnsi="Verdana" w:cs="Verdana"/>
                <w:b/>
                <w:noProof/>
                <w:color w:val="000000"/>
                <w:sz w:val="18"/>
              </w:rPr>
              <w:t xml:space="preserve"> 668</w:t>
            </w:r>
          </w:p>
        </w:tc>
      </w:tr>
    </w:tbl>
    <w:p w:rsidR="00135552" w:rsidRDefault="00135552">
      <w:pPr>
        <w:pStyle w:val="HEADER5"/>
        <w:rPr>
          <w:noProof/>
        </w:rPr>
      </w:pPr>
    </w:p>
    <w:p w:rsidR="00135552" w:rsidRDefault="004C63B0">
      <w:pPr>
        <w:pStyle w:val="DGTextstand-alone"/>
        <w:spacing w:after="0"/>
      </w:pPr>
      <w:r>
        <w:t>Subrogated</w:t>
      </w:r>
      <w:r>
        <w:t xml:space="preserve"> loans are defaulted loans which were granted by the EIB and guaranteed by the EU budget, for which all rights have been subrogated to the EU following the payment from the Guarantee Fund for external actions or from the EFSI Guarantee Fund. These loans ar</w:t>
      </w:r>
      <w:r>
        <w:t>e fully impaired for an amount of EUR 658 million (2018: EUR 579 million). Guarantee calls are partially covered by financial provisions made in previous years. Under the relevant agreements between the EU and the EIB, recovery proceedings are undertaken b</w:t>
      </w:r>
      <w:r>
        <w:t>y the EIB on behalf of the EU with the aim to recover any sums due.</w:t>
      </w:r>
      <w:bookmarkEnd w:id="51"/>
    </w:p>
    <w:p w:rsidR="00135552" w:rsidRDefault="00135552">
      <w:pPr>
        <w:pStyle w:val="DGTextstand-alone"/>
        <w:spacing w:after="0"/>
        <w:sectPr w:rsidR="00135552">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p>
    <w:p w:rsidR="00135552" w:rsidRDefault="004C63B0">
      <w:pPr>
        <w:pStyle w:val="HEADER2NOTES"/>
        <w:rPr>
          <w:noProof/>
        </w:rPr>
      </w:pPr>
      <w:bookmarkStart w:id="62" w:name="_DMBM_17113"/>
      <w:r>
        <w:rPr>
          <w:noProof/>
        </w:rPr>
        <w:t>PRE-FINANCING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767"/>
        <w:gridCol w:w="2396"/>
        <w:gridCol w:w="2396"/>
      </w:tblGrid>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rPr>
                <w:rFonts w:ascii="Verdana" w:eastAsia="Verdana" w:hAnsi="Verdana" w:cs="Verdana"/>
                <w:i/>
                <w:noProof/>
                <w:color w:val="FFFFFF"/>
                <w:sz w:val="16"/>
                <w:lang w:bidi="en-GB"/>
              </w:rPr>
            </w:pPr>
            <w:bookmarkStart w:id="63" w:name="DOC_TBL00023_1_1"/>
            <w:bookmarkEnd w:id="63"/>
          </w:p>
        </w:tc>
        <w:tc>
          <w:tcPr>
            <w:tcW w:w="76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1BIPPF"/>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19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1BIPPF"/>
              <w:rPr>
                <w:rFonts w:ascii="Verdana" w:eastAsia="Verdana" w:hAnsi="Verdana" w:cs="Verdana"/>
                <w:noProof/>
                <w:color w:val="FFFFFF"/>
              </w:rPr>
            </w:pPr>
          </w:p>
        </w:tc>
        <w:tc>
          <w:tcPr>
            <w:tcW w:w="76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
              <w:jc w:val="center"/>
              <w:rPr>
                <w:rFonts w:ascii="Verdana" w:eastAsia="Verdana" w:hAnsi="Verdana" w:cs="Verdana"/>
                <w:noProof/>
                <w:color w:val="FFFFFF"/>
              </w:rPr>
            </w:pPr>
            <w:r>
              <w:rPr>
                <w:rFonts w:ascii="Verdana" w:eastAsia="Verdana" w:hAnsi="Verdana" w:cs="Verdana"/>
                <w:noProof/>
                <w:color w:val="FFFFFF"/>
              </w:rPr>
              <w:t>Note</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
              <w:jc w:val="right"/>
              <w:rPr>
                <w:rFonts w:ascii="Verdana" w:eastAsia="Verdana" w:hAnsi="Verdana" w:cs="Verdana"/>
                <w:noProof/>
                <w:color w:val="FFFFFF"/>
              </w:rPr>
            </w:pPr>
            <w:r>
              <w:rPr>
                <w:rFonts w:ascii="Verdana" w:eastAsia="Verdana" w:hAnsi="Verdana" w:cs="Verdana"/>
                <w:noProof/>
                <w:color w:val="FFFFFF"/>
              </w:rPr>
              <w:t>31.12.2019</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rPr>
                <w:rFonts w:ascii="Arial" w:eastAsia="Arial" w:hAnsi="Arial" w:cs="Arial"/>
                <w:noProof/>
                <w:color w:val="000000"/>
                <w:lang w:bidi="en-GB"/>
              </w:rPr>
            </w:pP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center"/>
              <w:rPr>
                <w:rFonts w:ascii="Verdana" w:eastAsia="Verdana" w:hAnsi="Verdana" w:cs="Verdana"/>
                <w:i/>
                <w:noProof/>
                <w:color w:val="000000"/>
                <w:sz w:val="18"/>
              </w:rPr>
            </w:pPr>
            <w:r>
              <w:rPr>
                <w:rFonts w:ascii="Verdana" w:eastAsia="Verdana" w:hAnsi="Verdana" w:cs="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rPr>
            </w:pPr>
            <w:r>
              <w:rPr>
                <w:rFonts w:ascii="Verdana" w:eastAsia="Verdana" w:hAnsi="Verdana" w:cs="Verdana"/>
                <w:i/>
                <w:noProof/>
                <w:color w:val="000000"/>
                <w:sz w:val="18"/>
              </w:rPr>
              <w:t>22 135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lang w:bidi="en-GB"/>
              </w:rPr>
            </w:pPr>
            <w:r>
              <w:rPr>
                <w:rFonts w:ascii="Verdana" w:eastAsia="Verdana" w:hAnsi="Verdana" w:cs="Verdana"/>
                <w:i/>
                <w:noProof/>
                <w:color w:val="000000"/>
                <w:sz w:val="18"/>
              </w:rPr>
              <w:t>21 814</w:t>
            </w: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i/>
                <w:noProof/>
                <w:color w:val="000000"/>
                <w:sz w:val="18"/>
              </w:rPr>
            </w:pPr>
            <w:r>
              <w:rPr>
                <w:rFonts w:ascii="Verdana" w:eastAsia="Verdana" w:hAnsi="Verdana" w:cs="Verdana"/>
                <w:i/>
                <w:noProof/>
                <w:color w:val="000000"/>
                <w:sz w:val="18"/>
              </w:rPr>
              <w:t>Other advances to Member States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center"/>
              <w:rPr>
                <w:rFonts w:ascii="Verdana" w:eastAsia="Verdana" w:hAnsi="Verdana" w:cs="Verdana"/>
                <w:i/>
                <w:noProof/>
                <w:color w:val="000000"/>
                <w:sz w:val="18"/>
              </w:rPr>
            </w:pPr>
            <w:r>
              <w:rPr>
                <w:rFonts w:ascii="Verdana" w:eastAsia="Verdana" w:hAnsi="Verdana" w:cs="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rPr>
            </w:pPr>
            <w:r>
              <w:rPr>
                <w:rFonts w:ascii="Verdana" w:eastAsia="Verdana" w:hAnsi="Verdana" w:cs="Verdana"/>
                <w:i/>
                <w:noProof/>
                <w:color w:val="000000"/>
                <w:sz w:val="18"/>
              </w:rPr>
              <w:t>4 045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lang w:bidi="en-GB"/>
              </w:rPr>
            </w:pPr>
            <w:r>
              <w:rPr>
                <w:rFonts w:ascii="Verdana" w:eastAsia="Verdana" w:hAnsi="Verdana" w:cs="Verdana"/>
                <w:i/>
                <w:noProof/>
                <w:color w:val="000000"/>
                <w:sz w:val="18"/>
              </w:rPr>
              <w:t>4 122</w:t>
            </w: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i/>
                <w:noProof/>
                <w:color w:val="000000"/>
                <w:sz w:val="18"/>
              </w:rPr>
            </w:pPr>
            <w:r>
              <w:rPr>
                <w:rFonts w:ascii="Verdana" w:eastAsia="Verdana" w:hAnsi="Verdana" w:cs="Verdana"/>
                <w:i/>
                <w:noProof/>
                <w:color w:val="000000"/>
                <w:sz w:val="18"/>
              </w:rPr>
              <w:t>Contribution to Trust Funds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jc w:val="center"/>
              <w:rPr>
                <w:rFonts w:ascii="Verdana" w:eastAsia="Verdana" w:hAnsi="Verdana" w:cs="Verdana"/>
                <w:i/>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rPr>
            </w:pPr>
            <w:r>
              <w:rPr>
                <w:rFonts w:ascii="Verdana" w:eastAsia="Verdana" w:hAnsi="Verdana" w:cs="Verdana"/>
                <w:i/>
                <w:noProof/>
                <w:color w:val="000000"/>
                <w:sz w:val="18"/>
              </w:rPr>
              <w:t xml:space="preserve"> 60</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71</w:t>
            </w:r>
          </w:p>
        </w:tc>
      </w:tr>
      <w:tr w:rsidR="00135552">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1BIPPF"/>
              <w:rPr>
                <w:rFonts w:ascii="Verdana" w:eastAsia="Verdana" w:hAnsi="Verdana" w:cs="Verdana"/>
                <w:b/>
                <w:noProof/>
                <w:color w:val="000000"/>
                <w:sz w:val="18"/>
              </w:rPr>
            </w:pPr>
          </w:p>
        </w:tc>
        <w:tc>
          <w:tcPr>
            <w:tcW w:w="76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1BIPPF"/>
              <w:jc w:val="right"/>
              <w:rPr>
                <w:rFonts w:ascii="Verdana" w:eastAsia="Verdana" w:hAnsi="Verdana" w:cs="Verdana"/>
                <w:b/>
                <w:noProof/>
                <w:color w:val="000000"/>
                <w:sz w:val="18"/>
              </w:rPr>
            </w:pPr>
            <w:r>
              <w:rPr>
                <w:rFonts w:ascii="Verdana" w:eastAsia="Verdana" w:hAnsi="Verdana" w:cs="Verdana"/>
                <w:b/>
                <w:noProof/>
                <w:color w:val="000000"/>
                <w:sz w:val="18"/>
              </w:rPr>
              <w:t>26 240</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1BIPPF"/>
              <w:jc w:val="right"/>
              <w:rPr>
                <w:rFonts w:ascii="Verdana" w:eastAsia="Verdana" w:hAnsi="Verdana" w:cs="Verdana"/>
                <w:b/>
                <w:noProof/>
                <w:color w:val="000000"/>
                <w:sz w:val="18"/>
                <w:lang w:bidi="en-GB"/>
              </w:rPr>
            </w:pPr>
            <w:r>
              <w:rPr>
                <w:rFonts w:ascii="Verdana" w:eastAsia="Verdana" w:hAnsi="Verdana" w:cs="Verdana"/>
                <w:b/>
                <w:noProof/>
                <w:color w:val="000000"/>
                <w:sz w:val="18"/>
              </w:rPr>
              <w:t>26 006</w:t>
            </w: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b/>
                <w:noProof/>
                <w:color w:val="000000"/>
                <w:sz w:val="18"/>
              </w:rPr>
            </w:pPr>
            <w:r>
              <w:rPr>
                <w:rFonts w:ascii="Verdana" w:eastAsia="Verdana" w:hAnsi="Verdana" w:cs="Verdana"/>
                <w:b/>
                <w:noProof/>
                <w:color w:val="000000"/>
                <w:sz w:val="18"/>
              </w:rPr>
              <w:t>Current</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
              <w:rPr>
                <w:rFonts w:ascii="Arial" w:eastAsia="Arial" w:hAnsi="Arial" w:cs="Arial"/>
                <w:noProof/>
                <w:color w:val="000000"/>
                <w:lang w:bidi="en-GB"/>
              </w:rPr>
            </w:pP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center"/>
              <w:rPr>
                <w:rFonts w:ascii="Verdana" w:eastAsia="Verdana" w:hAnsi="Verdana" w:cs="Verdana"/>
                <w:i/>
                <w:noProof/>
                <w:color w:val="000000"/>
                <w:sz w:val="18"/>
              </w:rPr>
            </w:pPr>
            <w:r>
              <w:rPr>
                <w:rFonts w:ascii="Verdana" w:eastAsia="Verdana" w:hAnsi="Verdana" w:cs="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rPr>
            </w:pPr>
            <w:r>
              <w:rPr>
                <w:rFonts w:ascii="Verdana" w:eastAsia="Verdana" w:hAnsi="Verdana" w:cs="Verdana"/>
                <w:i/>
                <w:noProof/>
                <w:color w:val="000000"/>
                <w:sz w:val="18"/>
              </w:rPr>
              <w:t>22 314</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lang w:bidi="en-GB"/>
              </w:rPr>
            </w:pPr>
            <w:r>
              <w:rPr>
                <w:rFonts w:ascii="Verdana" w:eastAsia="Verdana" w:hAnsi="Verdana" w:cs="Verdana"/>
                <w:i/>
                <w:noProof/>
                <w:color w:val="000000"/>
                <w:sz w:val="18"/>
              </w:rPr>
              <w:t>21 572</w:t>
            </w:r>
          </w:p>
        </w:tc>
      </w:tr>
      <w:tr w:rsidR="00135552">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i/>
                <w:noProof/>
                <w:color w:val="000000"/>
                <w:sz w:val="18"/>
              </w:rPr>
            </w:pPr>
            <w:r>
              <w:rPr>
                <w:rFonts w:ascii="Verdana" w:eastAsia="Verdana" w:hAnsi="Verdana" w:cs="Verdana"/>
                <w:i/>
                <w:noProof/>
                <w:color w:val="000000"/>
                <w:sz w:val="18"/>
              </w:rPr>
              <w:t>Other advances to Member States</w:t>
            </w:r>
          </w:p>
        </w:tc>
        <w:tc>
          <w:tcPr>
            <w:tcW w:w="7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center"/>
              <w:rPr>
                <w:rFonts w:ascii="Verdana" w:eastAsia="Verdana" w:hAnsi="Verdana" w:cs="Verdana"/>
                <w:i/>
                <w:noProof/>
                <w:color w:val="000000"/>
                <w:sz w:val="18"/>
              </w:rPr>
            </w:pPr>
            <w:r>
              <w:rPr>
                <w:rFonts w:ascii="Verdana" w:eastAsia="Verdana" w:hAnsi="Verdana" w:cs="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rPr>
            </w:pPr>
            <w:r>
              <w:rPr>
                <w:rFonts w:ascii="Verdana" w:eastAsia="Verdana" w:hAnsi="Verdana" w:cs="Verdana"/>
                <w:i/>
                <w:noProof/>
                <w:color w:val="000000"/>
                <w:sz w:val="18"/>
              </w:rPr>
              <w:t>2 892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i/>
                <w:noProof/>
                <w:color w:val="000000"/>
                <w:sz w:val="18"/>
                <w:lang w:bidi="en-GB"/>
              </w:rPr>
            </w:pPr>
            <w:r>
              <w:rPr>
                <w:rFonts w:ascii="Verdana" w:eastAsia="Verdana" w:hAnsi="Verdana" w:cs="Verdana"/>
                <w:i/>
                <w:noProof/>
                <w:color w:val="000000"/>
                <w:sz w:val="18"/>
              </w:rPr>
              <w:t>2 396</w:t>
            </w:r>
          </w:p>
        </w:tc>
      </w:tr>
      <w:tr w:rsidR="00135552">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1BIPPF"/>
              <w:rPr>
                <w:rFonts w:ascii="Verdana" w:eastAsia="Verdana" w:hAnsi="Verdana" w:cs="Verdana"/>
                <w:b/>
                <w:noProof/>
                <w:color w:val="000000"/>
                <w:sz w:val="18"/>
              </w:rPr>
            </w:pPr>
          </w:p>
        </w:tc>
        <w:tc>
          <w:tcPr>
            <w:tcW w:w="76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1BIPPF"/>
              <w:jc w:val="right"/>
              <w:rPr>
                <w:rFonts w:ascii="Verdana" w:eastAsia="Verdana" w:hAnsi="Verdana" w:cs="Verdana"/>
                <w:b/>
                <w:noProof/>
                <w:color w:val="000000"/>
                <w:sz w:val="18"/>
              </w:rPr>
            </w:pPr>
            <w:r>
              <w:rPr>
                <w:rFonts w:ascii="Verdana" w:eastAsia="Verdana" w:hAnsi="Verdana" w:cs="Verdana"/>
                <w:b/>
                <w:noProof/>
                <w:color w:val="000000"/>
                <w:sz w:val="18"/>
              </w:rPr>
              <w:t>25 206</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1BIPPF"/>
              <w:jc w:val="right"/>
              <w:rPr>
                <w:rFonts w:ascii="Verdana" w:eastAsia="Verdana" w:hAnsi="Verdana" w:cs="Verdana"/>
                <w:b/>
                <w:noProof/>
                <w:color w:val="000000"/>
                <w:sz w:val="18"/>
                <w:lang w:bidi="en-GB"/>
              </w:rPr>
            </w:pPr>
            <w:r>
              <w:rPr>
                <w:rFonts w:ascii="Verdana" w:eastAsia="Verdana" w:hAnsi="Verdana" w:cs="Verdana"/>
                <w:b/>
                <w:noProof/>
                <w:color w:val="000000"/>
                <w:sz w:val="18"/>
              </w:rPr>
              <w:t>23 968</w:t>
            </w:r>
          </w:p>
        </w:tc>
      </w:tr>
      <w:tr w:rsidR="00135552">
        <w:trPr>
          <w:trHeight w:val="255"/>
        </w:trPr>
        <w:tc>
          <w:tcPr>
            <w:tcW w:w="419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
              <w:rPr>
                <w:rFonts w:ascii="Verdana" w:eastAsia="Verdana" w:hAnsi="Verdana" w:cs="Verdana"/>
                <w:b/>
                <w:noProof/>
                <w:color w:val="000000"/>
                <w:sz w:val="18"/>
              </w:rPr>
            </w:pPr>
            <w:r>
              <w:rPr>
                <w:rFonts w:ascii="Verdana" w:eastAsia="Verdana" w:hAnsi="Verdana" w:cs="Verdana"/>
                <w:b/>
                <w:noProof/>
                <w:color w:val="000000"/>
                <w:sz w:val="18"/>
              </w:rPr>
              <w:t>Total</w:t>
            </w:r>
          </w:p>
        </w:tc>
        <w:tc>
          <w:tcPr>
            <w:tcW w:w="767"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1BIPPF"/>
              <w:jc w:val="center"/>
              <w:rPr>
                <w:rFonts w:ascii="Verdana" w:eastAsia="Verdana" w:hAnsi="Verdana" w:cs="Verdana"/>
                <w:noProof/>
                <w:color w:val="000000"/>
                <w:sz w:val="18"/>
              </w:rPr>
            </w:pP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b/>
                <w:noProof/>
                <w:color w:val="000000"/>
                <w:sz w:val="18"/>
              </w:rPr>
            </w:pPr>
            <w:r>
              <w:rPr>
                <w:rFonts w:ascii="Verdana" w:eastAsia="Verdana" w:hAnsi="Verdana" w:cs="Verdana"/>
                <w:b/>
                <w:noProof/>
                <w:color w:val="000000"/>
                <w:sz w:val="18"/>
              </w:rPr>
              <w:t>51 446</w:t>
            </w: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
              <w:jc w:val="right"/>
              <w:rPr>
                <w:rFonts w:ascii="Verdana" w:eastAsia="Verdana" w:hAnsi="Verdana" w:cs="Verdana"/>
                <w:b/>
                <w:noProof/>
                <w:color w:val="000000"/>
                <w:sz w:val="18"/>
              </w:rPr>
            </w:pPr>
            <w:r>
              <w:rPr>
                <w:rFonts w:ascii="Verdana" w:eastAsia="Verdana" w:hAnsi="Verdana" w:cs="Verdana"/>
                <w:b/>
                <w:noProof/>
                <w:color w:val="000000"/>
                <w:sz w:val="18"/>
              </w:rPr>
              <w:t>49 974</w:t>
            </w:r>
          </w:p>
        </w:tc>
      </w:tr>
    </w:tbl>
    <w:p w:rsidR="00135552" w:rsidRDefault="004C63B0">
      <w:pPr>
        <w:pStyle w:val="DGTextstand-alone"/>
      </w:pPr>
      <w:r>
        <w:t xml:space="preserve">The level of pre-financing in the various programmes must be sufficient to ensure the necessary funding for the beneficiary to initiate and advance the project, while also safeguarding the financial interests of the EU and taking into consideration legal, </w:t>
      </w:r>
      <w:r>
        <w:t xml:space="preserve">operational and cost-effectiveness constraints. </w:t>
      </w:r>
    </w:p>
    <w:p w:rsidR="00135552" w:rsidRDefault="004C63B0">
      <w:pPr>
        <w:rPr>
          <w:rFonts w:ascii="Verdana" w:hAnsi="Verdana"/>
          <w:noProof/>
          <w:color w:val="016794"/>
          <w:sz w:val="20"/>
          <w:szCs w:val="20"/>
        </w:rPr>
      </w:pPr>
      <w:r>
        <w:rPr>
          <w:noProof/>
        </w:rPr>
        <w:br w:type="page"/>
      </w:r>
    </w:p>
    <w:p w:rsidR="00135552" w:rsidRDefault="004C63B0">
      <w:pPr>
        <w:pStyle w:val="HEADER3NOTES"/>
        <w:rPr>
          <w:noProof/>
        </w:rPr>
      </w:pPr>
      <w:r>
        <w:rPr>
          <w:noProof/>
        </w:rPr>
        <w:t>Pre-financing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1136"/>
        <w:gridCol w:w="1136"/>
        <w:gridCol w:w="1268"/>
        <w:gridCol w:w="1136"/>
        <w:gridCol w:w="1136"/>
        <w:gridCol w:w="1268"/>
      </w:tblGrid>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lang w:bidi="en-GB"/>
              </w:rPr>
            </w:pPr>
            <w:bookmarkStart w:id="64" w:name="DOC_TBL00024_1_1"/>
            <w:bookmarkEnd w:id="64"/>
          </w:p>
        </w:tc>
        <w:tc>
          <w:tcPr>
            <w:tcW w:w="113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67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1BIPPFD"/>
              <w:jc w:val="right"/>
              <w:rPr>
                <w:rFonts w:ascii="Verdana" w:eastAsia="Verdana" w:hAnsi="Verdana" w:cs="Verdana"/>
                <w:noProof/>
                <w:color w:val="FFFFFF"/>
                <w:sz w:val="16"/>
              </w:rPr>
            </w:pP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rPr>
            </w:pPr>
            <w:r>
              <w:rPr>
                <w:rFonts w:ascii="Verdana" w:eastAsia="Verdana" w:hAnsi="Verdana" w:cs="Verdana"/>
                <w:noProof/>
                <w:color w:val="FFFFFF"/>
                <w:sz w:val="16"/>
              </w:rPr>
              <w:t>Gross amount</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rPr>
            </w:pPr>
            <w:r>
              <w:rPr>
                <w:rFonts w:ascii="Verdana" w:eastAsia="Verdana" w:hAnsi="Verdana" w:cs="Verdana"/>
                <w:noProof/>
                <w:color w:val="FFFFFF"/>
                <w:sz w:val="16"/>
              </w:rPr>
              <w:t>Cleared via accruals</w:t>
            </w:r>
          </w:p>
        </w:tc>
        <w:tc>
          <w:tcPr>
            <w:tcW w:w="126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rPr>
            </w:pPr>
            <w:r>
              <w:rPr>
                <w:rFonts w:ascii="Verdana" w:eastAsia="Verdana" w:hAnsi="Verdana" w:cs="Verdana"/>
                <w:noProof/>
                <w:color w:val="FFFFFF"/>
                <w:sz w:val="16"/>
              </w:rPr>
              <w:t>Net amount at 31.12.2019</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rPr>
            </w:pPr>
            <w:r>
              <w:rPr>
                <w:rFonts w:ascii="Verdana" w:eastAsia="Verdana" w:hAnsi="Verdana" w:cs="Verdana"/>
                <w:noProof/>
                <w:color w:val="FFFFFF"/>
                <w:sz w:val="16"/>
              </w:rPr>
              <w:t>Gross amount</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rPr>
            </w:pPr>
            <w:r>
              <w:rPr>
                <w:rFonts w:ascii="Verdana" w:eastAsia="Verdana" w:hAnsi="Verdana" w:cs="Verdana"/>
                <w:noProof/>
                <w:color w:val="FFFFFF"/>
                <w:sz w:val="16"/>
              </w:rPr>
              <w:t>Cleared via accruals</w:t>
            </w:r>
          </w:p>
        </w:tc>
        <w:tc>
          <w:tcPr>
            <w:tcW w:w="126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1BIPPFD"/>
              <w:jc w:val="right"/>
              <w:rPr>
                <w:rFonts w:ascii="Verdana" w:eastAsia="Verdana" w:hAnsi="Verdana" w:cs="Verdana"/>
                <w:noProof/>
                <w:color w:val="FFFFFF"/>
                <w:sz w:val="16"/>
                <w:lang w:bidi="en-GB"/>
              </w:rPr>
            </w:pPr>
            <w:r>
              <w:rPr>
                <w:rFonts w:ascii="Verdana" w:eastAsia="Verdana" w:hAnsi="Verdana" w:cs="Verdana"/>
                <w:noProof/>
                <w:color w:val="FFFFFF"/>
                <w:sz w:val="16"/>
              </w:rPr>
              <w:t>Net amount at 31.12.2018</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b/>
                <w:noProof/>
                <w:color w:val="000000"/>
                <w:sz w:val="16"/>
              </w:rPr>
            </w:pPr>
            <w:r>
              <w:rPr>
                <w:rFonts w:ascii="Verdana" w:eastAsia="Verdana" w:hAnsi="Verdana" w:cs="Verdana"/>
                <w:b/>
                <w:noProof/>
                <w:color w:val="000000"/>
                <w:sz w:val="16"/>
              </w:rPr>
              <w:t>Shared management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lang w:bidi="en-GB"/>
              </w:rPr>
            </w:pP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EAFRD &amp; other rural </w:t>
            </w:r>
          </w:p>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development instruments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3 743</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3 743</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ERDF &amp; CF</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17 985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(3 540)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14 444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18 088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(3 461)</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14 627</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ESF</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6 830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(1 530)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5 301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6 548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(1 147)</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5 401</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Other</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3 549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(1 463)</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2 086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4 684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(2 498)</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2 186</w:t>
            </w:r>
          </w:p>
        </w:tc>
      </w:tr>
      <w:tr w:rsidR="00135552">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31 557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(6 533)</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25 024</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33 063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 xml:space="preserve">(7 </w:t>
            </w:r>
            <w:r>
              <w:rPr>
                <w:rFonts w:ascii="Verdana" w:eastAsia="Verdana" w:hAnsi="Verdana" w:cs="Verdana"/>
                <w:b/>
                <w:noProof/>
                <w:color w:val="000000"/>
                <w:sz w:val="16"/>
              </w:rPr>
              <w:t>105)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lang w:bidi="en-GB"/>
              </w:rPr>
            </w:pPr>
            <w:r>
              <w:rPr>
                <w:rFonts w:ascii="Verdana" w:eastAsia="Verdana" w:hAnsi="Verdana" w:cs="Verdana"/>
                <w:b/>
                <w:noProof/>
                <w:color w:val="000000"/>
                <w:sz w:val="16"/>
              </w:rPr>
              <w:t>25 958</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b/>
                <w:noProof/>
                <w:color w:val="000000"/>
                <w:sz w:val="16"/>
              </w:rPr>
            </w:pPr>
            <w:r>
              <w:rPr>
                <w:rFonts w:ascii="Verdana" w:eastAsia="Verdana" w:hAnsi="Verdana" w:cs="Verdana"/>
                <w:b/>
                <w:noProof/>
                <w:color w:val="000000"/>
                <w:sz w:val="16"/>
              </w:rPr>
              <w:t>Direct Management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lang w:bidi="en-GB"/>
              </w:rPr>
            </w:pP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Implemented by: </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lang w:bidi="en-GB"/>
              </w:rPr>
            </w:pP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Commission</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12 839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(8 344)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4 495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12 531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(8 262)</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4 269</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EU executive agencies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16 522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(10 339)</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6 184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15 012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(9 540)</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5 472</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Trust funds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858</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(665)</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194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585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(433)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152</w:t>
            </w:r>
          </w:p>
        </w:tc>
      </w:tr>
      <w:tr w:rsidR="00135552">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30 219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 xml:space="preserve">(19 </w:t>
            </w:r>
            <w:r>
              <w:rPr>
                <w:rFonts w:ascii="Verdana" w:eastAsia="Verdana" w:hAnsi="Verdana" w:cs="Verdana"/>
                <w:b/>
                <w:noProof/>
                <w:color w:val="000000"/>
                <w:sz w:val="16"/>
              </w:rPr>
              <w:t>347)</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10 872</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28 127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(18 234)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lang w:bidi="en-GB"/>
              </w:rPr>
            </w:pPr>
            <w:r>
              <w:rPr>
                <w:rFonts w:ascii="Verdana" w:eastAsia="Verdana" w:hAnsi="Verdana" w:cs="Verdana"/>
                <w:b/>
                <w:noProof/>
                <w:color w:val="000000"/>
                <w:sz w:val="16"/>
              </w:rPr>
              <w:t>9 893</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b/>
                <w:noProof/>
                <w:color w:val="000000"/>
                <w:sz w:val="16"/>
              </w:rPr>
            </w:pPr>
            <w:r>
              <w:rPr>
                <w:rFonts w:ascii="Verdana" w:eastAsia="Verdana" w:hAnsi="Verdana" w:cs="Verdana"/>
                <w:b/>
                <w:noProof/>
                <w:color w:val="000000"/>
                <w:sz w:val="16"/>
              </w:rPr>
              <w:t>Indirect Management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b/>
                <w:noProof/>
                <w:color w:val="000000"/>
                <w:sz w:val="16"/>
                <w:lang w:bidi="en-GB"/>
              </w:rPr>
            </w:pP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Implemented by:</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1BIPPFD"/>
              <w:jc w:val="right"/>
              <w:rPr>
                <w:rFonts w:ascii="Verdana" w:eastAsia="Verdana" w:hAnsi="Verdana" w:cs="Verdana"/>
                <w:i/>
                <w:noProof/>
                <w:color w:val="000000"/>
                <w:sz w:val="16"/>
                <w:lang w:bidi="en-GB"/>
              </w:rPr>
            </w:pP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Other EU agencies &amp; bodies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1 162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(678)</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484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762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(207)</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555</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Third countries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1 491</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(861)</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630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1 546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 (879)</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667</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International organisations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8 289</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 xml:space="preserve">(5 </w:t>
            </w:r>
            <w:r>
              <w:rPr>
                <w:rFonts w:ascii="Verdana" w:eastAsia="Verdana" w:hAnsi="Verdana" w:cs="Verdana"/>
                <w:i/>
                <w:noProof/>
                <w:color w:val="000000"/>
                <w:sz w:val="16"/>
              </w:rPr>
              <w:t>317)</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2 972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7 684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(5 053)</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2 631</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00000"/>
                <w:sz w:val="16"/>
              </w:rPr>
            </w:pPr>
            <w:r>
              <w:rPr>
                <w:rFonts w:ascii="Verdana" w:eastAsia="Verdana" w:hAnsi="Verdana" w:cs="Verdana"/>
                <w:i/>
                <w:noProof/>
                <w:color w:val="000000"/>
                <w:sz w:val="16"/>
              </w:rPr>
              <w:t xml:space="preserve">     Other entities</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10 570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(6 104)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4 467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9 107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rPr>
            </w:pPr>
            <w:r>
              <w:rPr>
                <w:rFonts w:ascii="Verdana" w:eastAsia="Verdana" w:hAnsi="Verdana" w:cs="Verdana"/>
                <w:i/>
                <w:noProof/>
                <w:color w:val="000000"/>
                <w:sz w:val="16"/>
              </w:rPr>
              <w:t>(5 426)</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00000"/>
                <w:sz w:val="16"/>
                <w:lang w:bidi="en-GB"/>
              </w:rPr>
            </w:pPr>
            <w:r>
              <w:rPr>
                <w:rFonts w:ascii="Verdana" w:eastAsia="Verdana" w:hAnsi="Verdana" w:cs="Verdana"/>
                <w:i/>
                <w:noProof/>
                <w:color w:val="000000"/>
                <w:sz w:val="16"/>
              </w:rPr>
              <w:t>3 681</w:t>
            </w:r>
          </w:p>
        </w:tc>
      </w:tr>
      <w:tr w:rsidR="00135552">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21 513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(12 960)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8 553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19 099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(11 565)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lang w:bidi="en-GB"/>
              </w:rPr>
            </w:pPr>
            <w:r>
              <w:rPr>
                <w:rFonts w:ascii="Verdana" w:eastAsia="Verdana" w:hAnsi="Verdana" w:cs="Verdana"/>
                <w:b/>
                <w:noProof/>
                <w:color w:val="000000"/>
                <w:sz w:val="16"/>
              </w:rPr>
              <w:t>7 534</w:t>
            </w:r>
          </w:p>
        </w:tc>
      </w:tr>
      <w:tr w:rsidR="00135552">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b/>
                <w:noProof/>
                <w:color w:val="000000"/>
                <w:sz w:val="16"/>
              </w:rPr>
            </w:pPr>
            <w:r>
              <w:rPr>
                <w:rFonts w:ascii="Verdana" w:eastAsia="Verdana" w:hAnsi="Verdana" w:cs="Verdana"/>
                <w:b/>
                <w:noProof/>
                <w:color w:val="000000"/>
                <w:sz w:val="16"/>
              </w:rPr>
              <w:t>Total</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83 289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(38 840)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44 449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80 289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rPr>
            </w:pPr>
            <w:r>
              <w:rPr>
                <w:rFonts w:ascii="Verdana" w:eastAsia="Verdana" w:hAnsi="Verdana" w:cs="Verdana"/>
                <w:b/>
                <w:noProof/>
                <w:color w:val="000000"/>
                <w:sz w:val="16"/>
              </w:rPr>
              <w:t>(36 904)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b/>
                <w:noProof/>
                <w:color w:val="000000"/>
                <w:sz w:val="16"/>
                <w:lang w:bidi="en-GB"/>
              </w:rPr>
            </w:pPr>
            <w:r>
              <w:rPr>
                <w:rFonts w:ascii="Verdana" w:eastAsia="Verdana" w:hAnsi="Verdana" w:cs="Verdana"/>
                <w:b/>
                <w:noProof/>
                <w:color w:val="000000"/>
                <w:sz w:val="16"/>
              </w:rPr>
              <w:t>43 386</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16794"/>
                <w:sz w:val="16"/>
              </w:rPr>
            </w:pPr>
            <w:r>
              <w:rPr>
                <w:rFonts w:ascii="Verdana" w:eastAsia="Verdana" w:hAnsi="Verdana" w:cs="Verdana"/>
                <w:i/>
                <w:noProof/>
                <w:color w:val="016794"/>
                <w:sz w:val="16"/>
              </w:rPr>
              <w:t>Non-current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21 814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lang w:bidi="en-GB"/>
              </w:rPr>
            </w:pPr>
            <w:r>
              <w:rPr>
                <w:rFonts w:ascii="Verdana" w:eastAsia="Verdana" w:hAnsi="Verdana" w:cs="Verdana"/>
                <w:i/>
                <w:noProof/>
                <w:color w:val="016794"/>
                <w:sz w:val="16"/>
              </w:rPr>
              <w:t>21 814</w:t>
            </w:r>
          </w:p>
        </w:tc>
      </w:tr>
      <w:tr w:rsidR="00135552">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rPr>
                <w:rFonts w:ascii="Verdana" w:eastAsia="Verdana" w:hAnsi="Verdana" w:cs="Verdana"/>
                <w:i/>
                <w:noProof/>
                <w:color w:val="016794"/>
                <w:sz w:val="16"/>
              </w:rPr>
            </w:pPr>
            <w:r>
              <w:rPr>
                <w:rFonts w:ascii="Verdana" w:eastAsia="Verdana" w:hAnsi="Verdana" w:cs="Verdana"/>
                <w:i/>
                <w:noProof/>
                <w:color w:val="016794"/>
                <w:sz w:val="16"/>
              </w:rPr>
              <w:t>Current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61 154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(38</w:t>
            </w:r>
            <w:r>
              <w:rPr>
                <w:rFonts w:ascii="Verdana" w:eastAsia="Verdana" w:hAnsi="Verdana" w:cs="Verdana"/>
                <w:i/>
                <w:noProof/>
                <w:color w:val="016794"/>
                <w:sz w:val="16"/>
              </w:rPr>
              <w:t xml:space="preserve"> 840)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22 314</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58 476</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(36 904)</w:t>
            </w:r>
          </w:p>
        </w:tc>
        <w:tc>
          <w:tcPr>
            <w:tcW w:w="12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1BIPPFD"/>
              <w:jc w:val="right"/>
              <w:rPr>
                <w:rFonts w:ascii="Verdana" w:eastAsia="Verdana" w:hAnsi="Verdana" w:cs="Verdana"/>
                <w:i/>
                <w:noProof/>
                <w:color w:val="016794"/>
                <w:sz w:val="16"/>
              </w:rPr>
            </w:pPr>
            <w:r>
              <w:rPr>
                <w:rFonts w:ascii="Verdana" w:eastAsia="Verdana" w:hAnsi="Verdana" w:cs="Verdana"/>
                <w:i/>
                <w:noProof/>
                <w:color w:val="016794"/>
                <w:sz w:val="16"/>
              </w:rPr>
              <w:t>21 572</w:t>
            </w:r>
          </w:p>
        </w:tc>
      </w:tr>
    </w:tbl>
    <w:p w:rsidR="00135552" w:rsidRDefault="004C63B0">
      <w:pPr>
        <w:pStyle w:val="DGTextstand-alone"/>
      </w:pPr>
      <w:r>
        <w:t xml:space="preserve">Pre-financing represents money paid out, and thus the implementation of payment appropriations. As explained in note </w:t>
      </w:r>
      <w:r>
        <w:rPr>
          <w:b/>
        </w:rPr>
        <w:t>1.5.7</w:t>
      </w:r>
      <w:r>
        <w:t xml:space="preserve">, these are advances and so not yet expensed. Thus while pre-financing reduces outstanding RAL (see note </w:t>
      </w:r>
      <w:r>
        <w:rPr>
          <w:b/>
        </w:rPr>
        <w:t>5.1</w:t>
      </w:r>
      <w:r>
        <w:t>) it represents expenses still to be accepted and recognised in the statement of financial performance.</w:t>
      </w:r>
    </w:p>
    <w:p w:rsidR="00135552" w:rsidRDefault="004C63B0">
      <w:pPr>
        <w:pStyle w:val="DGTextstand-alone"/>
      </w:pPr>
      <w:r>
        <w:t>For shared management, almost all pre-financ</w:t>
      </w:r>
      <w:r>
        <w:t>ing relates to the current programming period. There is an initial pre-financing which will not be cleared (i.e. recognised in the statement of financial performance) before the end of the programming period and is shown as a non-current pre-financing. The</w:t>
      </w:r>
      <w:r>
        <w:t>re is also an annual pre-financing which is cleared on an annual basis and is shown as a current pre-financing. EUR 10.5 billion of new pre-financing has been paid in 2019. The shared management pre-financing is stable compared to 2018 except for a decreas</w:t>
      </w:r>
      <w:r>
        <w:t xml:space="preserve">e in the EAFRD which relates to the remaining pre-financing of the previous programming period. This has been cleared during the year. </w:t>
      </w:r>
    </w:p>
    <w:p w:rsidR="00135552" w:rsidRDefault="004C63B0">
      <w:pPr>
        <w:pStyle w:val="DGTextstand-alone"/>
      </w:pPr>
      <w:r>
        <w:t xml:space="preserve">For direct management, the biggest part of pre-financing concerns Research (mainly Horizon 2020, implemented by the </w:t>
      </w:r>
      <w:r>
        <w:t>Commission and EU executive agencies) and amounts to EUR 7.8 billion (2018: EUR 6.8 billion). The increase is a consequence of the agreements entered into during 2019, for which pre-financing payments were made.</w:t>
      </w:r>
    </w:p>
    <w:p w:rsidR="00135552" w:rsidRDefault="004C63B0">
      <w:pPr>
        <w:pStyle w:val="DGTextstand-alone"/>
      </w:pPr>
      <w:r>
        <w:t>For indirect management, the pre-financing c</w:t>
      </w:r>
      <w:r>
        <w:t>overs mainly internal policies programmes like Erasmus, Galileo and EGNOS, but also instruments related to external relations like ENI (European Neighbourhood Instrument), DCI (Development Cooperation Instrument) and IPA (Instrument for Pre-Accession). The</w:t>
      </w:r>
      <w:r>
        <w:t xml:space="preserve"> increase in pre-financing to international organisations concerns mainly the above mentioned external relations instruments. The increase in pre-financing to other entities mainly concerns the Erasmus program implemented by national agencies with new agre</w:t>
      </w:r>
      <w:r>
        <w:t>ements starting in 2019.</w:t>
      </w:r>
    </w:p>
    <w:p w:rsidR="00135552" w:rsidRDefault="004C63B0">
      <w:pPr>
        <w:pStyle w:val="HEADER5"/>
        <w:rPr>
          <w:b/>
          <w:noProof/>
        </w:rPr>
      </w:pPr>
      <w:r>
        <w:rPr>
          <w:noProof/>
        </w:rPr>
        <w:t>Guarantees received in respect of pre-financing</w:t>
      </w:r>
    </w:p>
    <w:p w:rsidR="00135552" w:rsidRDefault="004C63B0">
      <w:pPr>
        <w:pStyle w:val="DGTextstand-alone"/>
      </w:pPr>
      <w:r>
        <w:t>These are guarantees that the Commission requests in certain cases from beneficiaries that are not Member States, when paying out advance payments (pre-financing). There are two value</w:t>
      </w:r>
      <w:r>
        <w:t>s to disclose for this type of guarantee, the ‘nominal’ and the ‘on-going’ values. For the nominal value, the generating event is linked to the existence of the guarantee. For the on-going value, the guarantee’s generating event is the pre-financing paymen</w:t>
      </w:r>
      <w:r>
        <w:t>t made against the guarantee, then reduced by subsequent clearings. At 31 December 2019 the nominal value of guarantees received in respect of pre-financing amounted to EUR 492 million while the on-going value of those guarantees was EUR 406 million (2018:</w:t>
      </w:r>
      <w:r>
        <w:t xml:space="preserve"> EUR 516 million and EUR 420 million respectively).</w:t>
      </w:r>
    </w:p>
    <w:p w:rsidR="00135552" w:rsidRDefault="004C63B0">
      <w:pPr>
        <w:pStyle w:val="DGTextstand-alone"/>
      </w:pPr>
      <w:r>
        <w:t>Certain pre-financing amounts paid out under the 7th Research Framework Programme for research and technological development (FP7) and under Horizon 2020 are effectively covered by a Participants Guarante</w:t>
      </w:r>
      <w:r>
        <w:t>e Fund (PGF). The PGF is a mutual benefit instrument set up to cover the risks relating to non-payment of amounts by the beneficiaries during the implementation of the indirect actions of FP7 and Horizon 2020. All participants of indirect actions receiving</w:t>
      </w:r>
      <w:r>
        <w:t xml:space="preserve"> a grant from the EU contribute 5 % of the total amount received to the PGF's capital.</w:t>
      </w:r>
    </w:p>
    <w:p w:rsidR="00135552" w:rsidRDefault="004C63B0">
      <w:pPr>
        <w:pStyle w:val="DGTextstand-alone"/>
      </w:pPr>
      <w:r>
        <w:t>At 31 December 2019, pre-financing amounts covered by the PGF totalled EUR 2.1 billion (2018: EUR 2 billion). The EU (represented by the Commission) acts as an executive</w:t>
      </w:r>
      <w:r>
        <w:t xml:space="preserve"> agent of the participants of the PGF, but the fund is owned by the participants.</w:t>
      </w:r>
    </w:p>
    <w:p w:rsidR="00135552" w:rsidRDefault="004C63B0">
      <w:pPr>
        <w:pStyle w:val="DGTextstand-alone"/>
      </w:pPr>
      <w:r>
        <w:t>At year-end, the PGF had total assets of EUR 2.2 billion (2018: EUR 2.1 billion). The assets of the PGF also include financial assets that are managed by the Commission. As t</w:t>
      </w:r>
      <w:r>
        <w:t>he PGF is a separate entity the assets of the fund are not consolidated in these EU annual accounts.</w:t>
      </w:r>
    </w:p>
    <w:p w:rsidR="00135552" w:rsidRDefault="004C63B0">
      <w:pPr>
        <w:pStyle w:val="HEADER3NOTES"/>
        <w:rPr>
          <w:noProof/>
        </w:rPr>
      </w:pPr>
      <w:r>
        <w:rPr>
          <w:noProof/>
        </w:rPr>
        <w:t>Other advances to Member States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2102"/>
        <w:gridCol w:w="2103"/>
      </w:tblGrid>
      <w:tr w:rsidR="00135552">
        <w:trPr>
          <w:trHeight w:val="255"/>
        </w:trPr>
        <w:tc>
          <w:tcPr>
            <w:tcW w:w="555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47BIPFEIAS"/>
              <w:rPr>
                <w:rFonts w:ascii="Arial" w:eastAsia="Arial" w:hAnsi="Arial" w:cs="Arial"/>
                <w:noProof/>
                <w:color w:val="000000"/>
                <w:lang w:bidi="en-GB"/>
              </w:rPr>
            </w:pPr>
            <w:bookmarkStart w:id="65" w:name="DOC_TBL00025_1_1"/>
            <w:bookmarkEnd w:id="65"/>
          </w:p>
        </w:tc>
        <w:tc>
          <w:tcPr>
            <w:tcW w:w="21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47BIPFEIAS"/>
              <w:rPr>
                <w:rFonts w:ascii="Arial" w:eastAsia="Arial" w:hAnsi="Arial" w:cs="Arial"/>
                <w:noProof/>
                <w:color w:val="000000"/>
              </w:rPr>
            </w:pPr>
          </w:p>
        </w:tc>
        <w:tc>
          <w:tcPr>
            <w:tcW w:w="210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47BIPFEIA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55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47BIPFEIAS"/>
              <w:jc w:val="center"/>
              <w:rPr>
                <w:rFonts w:ascii="Verdana" w:eastAsia="Verdana" w:hAnsi="Verdana" w:cs="Verdana"/>
                <w:noProof/>
                <w:color w:val="FFFFFF"/>
              </w:rPr>
            </w:pPr>
          </w:p>
        </w:tc>
        <w:tc>
          <w:tcPr>
            <w:tcW w:w="21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47BIPFEIAS"/>
              <w:jc w:val="right"/>
              <w:rPr>
                <w:rFonts w:ascii="Verdana" w:eastAsia="Verdana" w:hAnsi="Verdana" w:cs="Verdana"/>
                <w:noProof/>
                <w:color w:val="FFFFFF"/>
              </w:rPr>
            </w:pPr>
            <w:r>
              <w:rPr>
                <w:rFonts w:ascii="Verdana" w:eastAsia="Verdana" w:hAnsi="Verdana" w:cs="Verdana"/>
                <w:noProof/>
                <w:color w:val="FFFFFF"/>
              </w:rPr>
              <w:t>31.12.2019</w:t>
            </w:r>
          </w:p>
        </w:tc>
        <w:tc>
          <w:tcPr>
            <w:tcW w:w="210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47BIPFEIAS"/>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rPr>
                <w:rFonts w:ascii="Verdana" w:eastAsia="Verdana" w:hAnsi="Verdana" w:cs="Verdana"/>
                <w:i/>
                <w:noProof/>
                <w:color w:val="000000"/>
                <w:sz w:val="18"/>
              </w:rPr>
            </w:pPr>
            <w:r>
              <w:rPr>
                <w:rFonts w:ascii="Verdana" w:eastAsia="Verdana" w:hAnsi="Verdana" w:cs="Verdana"/>
                <w:i/>
                <w:noProof/>
                <w:color w:val="000000"/>
                <w:sz w:val="18"/>
              </w:rPr>
              <w:t>Advances to Member States for financial instruments under shared management</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00000"/>
                <w:sz w:val="18"/>
              </w:rPr>
            </w:pPr>
            <w:r>
              <w:rPr>
                <w:rFonts w:ascii="Verdana" w:eastAsia="Verdana" w:hAnsi="Verdana" w:cs="Verdana"/>
                <w:i/>
                <w:noProof/>
                <w:color w:val="000000"/>
                <w:sz w:val="18"/>
              </w:rPr>
              <w:t>3 304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3 </w:t>
            </w:r>
            <w:r>
              <w:rPr>
                <w:rFonts w:ascii="Verdana" w:eastAsia="Verdana" w:hAnsi="Verdana" w:cs="Verdana"/>
                <w:i/>
                <w:noProof/>
                <w:color w:val="000000"/>
                <w:sz w:val="18"/>
              </w:rPr>
              <w:t>675</w:t>
            </w:r>
          </w:p>
        </w:tc>
      </w:tr>
      <w:tr w:rsidR="00135552">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rPr>
                <w:rFonts w:ascii="Verdana" w:eastAsia="Verdana" w:hAnsi="Verdana" w:cs="Verdana"/>
                <w:i/>
                <w:noProof/>
                <w:color w:val="000000"/>
                <w:sz w:val="18"/>
              </w:rPr>
            </w:pPr>
            <w:r>
              <w:rPr>
                <w:rFonts w:ascii="Verdana" w:eastAsia="Verdana" w:hAnsi="Verdana" w:cs="Verdana"/>
                <w:i/>
                <w:noProof/>
                <w:color w:val="000000"/>
                <w:sz w:val="18"/>
              </w:rPr>
              <w:t>Aid Schemes</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00000"/>
                <w:sz w:val="18"/>
              </w:rPr>
            </w:pPr>
            <w:r>
              <w:rPr>
                <w:rFonts w:ascii="Verdana" w:eastAsia="Verdana" w:hAnsi="Verdana" w:cs="Verdana"/>
                <w:i/>
                <w:noProof/>
                <w:color w:val="000000"/>
                <w:sz w:val="18"/>
              </w:rPr>
              <w:t>3 634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00000"/>
                <w:sz w:val="18"/>
                <w:lang w:bidi="en-GB"/>
              </w:rPr>
            </w:pPr>
            <w:r>
              <w:rPr>
                <w:rFonts w:ascii="Verdana" w:eastAsia="Verdana" w:hAnsi="Verdana" w:cs="Verdana"/>
                <w:i/>
                <w:noProof/>
                <w:color w:val="000000"/>
                <w:sz w:val="18"/>
              </w:rPr>
              <w:t>2 843</w:t>
            </w:r>
          </w:p>
        </w:tc>
      </w:tr>
      <w:tr w:rsidR="00135552">
        <w:trPr>
          <w:trHeight w:val="255"/>
        </w:trPr>
        <w:tc>
          <w:tcPr>
            <w:tcW w:w="55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47BIPFEIAS"/>
              <w:rPr>
                <w:rFonts w:ascii="Verdana" w:eastAsia="Verdana" w:hAnsi="Verdana" w:cs="Verdana"/>
                <w:b/>
                <w:noProof/>
                <w:color w:val="000000"/>
                <w:sz w:val="18"/>
              </w:rPr>
            </w:pPr>
            <w:r>
              <w:rPr>
                <w:rFonts w:ascii="Verdana" w:eastAsia="Verdana" w:hAnsi="Verdana" w:cs="Verdana"/>
                <w:b/>
                <w:noProof/>
                <w:color w:val="000000"/>
                <w:sz w:val="18"/>
              </w:rPr>
              <w:t>Total</w:t>
            </w:r>
          </w:p>
        </w:tc>
        <w:tc>
          <w:tcPr>
            <w:tcW w:w="2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b/>
                <w:noProof/>
                <w:color w:val="000000"/>
                <w:sz w:val="18"/>
              </w:rPr>
            </w:pPr>
            <w:r>
              <w:rPr>
                <w:rFonts w:ascii="Verdana" w:eastAsia="Verdana" w:hAnsi="Verdana" w:cs="Verdana"/>
                <w:b/>
                <w:noProof/>
                <w:color w:val="000000"/>
                <w:sz w:val="18"/>
              </w:rPr>
              <w:t>6 937</w:t>
            </w:r>
          </w:p>
        </w:tc>
        <w:tc>
          <w:tcPr>
            <w:tcW w:w="21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b/>
                <w:noProof/>
                <w:color w:val="000000"/>
                <w:sz w:val="18"/>
                <w:lang w:bidi="en-GB"/>
              </w:rPr>
            </w:pPr>
            <w:r>
              <w:rPr>
                <w:rFonts w:ascii="Verdana" w:eastAsia="Verdana" w:hAnsi="Verdana" w:cs="Verdana"/>
                <w:b/>
                <w:noProof/>
                <w:color w:val="000000"/>
                <w:sz w:val="18"/>
              </w:rPr>
              <w:t>6 518</w:t>
            </w:r>
          </w:p>
        </w:tc>
      </w:tr>
      <w:tr w:rsidR="00135552">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16794"/>
                <w:sz w:val="18"/>
              </w:rPr>
            </w:pPr>
            <w:r>
              <w:rPr>
                <w:rFonts w:ascii="Verdana" w:eastAsia="Verdana" w:hAnsi="Verdana" w:cs="Verdana"/>
                <w:i/>
                <w:noProof/>
                <w:color w:val="016794"/>
                <w:sz w:val="18"/>
              </w:rPr>
              <w:t>4 045</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16794"/>
                <w:sz w:val="18"/>
                <w:lang w:bidi="en-GB"/>
              </w:rPr>
            </w:pPr>
            <w:r>
              <w:rPr>
                <w:rFonts w:ascii="Verdana" w:eastAsia="Verdana" w:hAnsi="Verdana" w:cs="Verdana"/>
                <w:i/>
                <w:noProof/>
                <w:color w:val="016794"/>
                <w:sz w:val="18"/>
              </w:rPr>
              <w:t>4 122</w:t>
            </w:r>
          </w:p>
        </w:tc>
      </w:tr>
      <w:tr w:rsidR="00135552">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rPr>
                <w:rFonts w:ascii="Verdana" w:eastAsia="Verdana" w:hAnsi="Verdana" w:cs="Verdana"/>
                <w:i/>
                <w:noProof/>
                <w:color w:val="016794"/>
                <w:sz w:val="18"/>
              </w:rPr>
            </w:pPr>
            <w:r>
              <w:rPr>
                <w:rFonts w:ascii="Verdana" w:eastAsia="Verdana" w:hAnsi="Verdana" w:cs="Verdana"/>
                <w:i/>
                <w:noProof/>
                <w:color w:val="016794"/>
                <w:sz w:val="18"/>
              </w:rPr>
              <w:t>Current</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16794"/>
                <w:sz w:val="18"/>
              </w:rPr>
            </w:pPr>
            <w:r>
              <w:rPr>
                <w:rFonts w:ascii="Verdana" w:eastAsia="Verdana" w:hAnsi="Verdana" w:cs="Verdana"/>
                <w:i/>
                <w:noProof/>
                <w:color w:val="016794"/>
                <w:sz w:val="18"/>
              </w:rPr>
              <w:t>2 892</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47BIPFEIAS"/>
              <w:jc w:val="right"/>
              <w:rPr>
                <w:rFonts w:ascii="Verdana" w:eastAsia="Verdana" w:hAnsi="Verdana" w:cs="Verdana"/>
                <w:i/>
                <w:noProof/>
                <w:color w:val="016794"/>
                <w:sz w:val="18"/>
              </w:rPr>
            </w:pPr>
            <w:r>
              <w:rPr>
                <w:rFonts w:ascii="Verdana" w:eastAsia="Verdana" w:hAnsi="Verdana" w:cs="Verdana"/>
                <w:i/>
                <w:noProof/>
                <w:color w:val="016794"/>
                <w:sz w:val="18"/>
              </w:rPr>
              <w:t>2 396</w:t>
            </w:r>
          </w:p>
        </w:tc>
      </w:tr>
    </w:tbl>
    <w:p w:rsidR="00135552" w:rsidRDefault="00135552">
      <w:pPr>
        <w:pStyle w:val="Heading8pNormalCentered"/>
        <w:jc w:val="both"/>
        <w:rPr>
          <w:lang w:bidi="en-GB"/>
        </w:rPr>
      </w:pPr>
    </w:p>
    <w:p w:rsidR="00135552" w:rsidRDefault="004C63B0">
      <w:pPr>
        <w:pStyle w:val="HEADER5"/>
        <w:spacing w:before="240" w:after="240"/>
        <w:rPr>
          <w:noProof/>
        </w:rPr>
      </w:pPr>
      <w:r>
        <w:rPr>
          <w:noProof/>
        </w:rPr>
        <w:t>Advances to Member States for financial instruments under shared management</w:t>
      </w:r>
    </w:p>
    <w:p w:rsidR="00135552" w:rsidRDefault="004C63B0">
      <w:pPr>
        <w:pStyle w:val="Textstand-alone"/>
      </w:pPr>
      <w:r>
        <w:t xml:space="preserve">Under the framework of the European Structural and Investment Funds (ESIF) </w:t>
      </w:r>
      <w:r>
        <w:t xml:space="preserve">programmes, it is possible to make advance payments from the EU budget to Member States so as to allow them to contribute to financial instruments (i.e. loans, equity investments or guarantees). These financial instruments are set up and managed under the </w:t>
      </w:r>
      <w:r>
        <w:t>responsibility of the Member States, not the Commission. Nevertheless, monies that are unused by these instruments at year-end are the property of the EU (as with all pre-financing) and are thus treated as an asset on the EU’s balance sheet.</w:t>
      </w:r>
    </w:p>
    <w:p w:rsidR="00135552" w:rsidRDefault="004C63B0">
      <w:pPr>
        <w:pStyle w:val="Textstand-alone"/>
        <w:spacing w:before="0"/>
        <w:rPr>
          <w:i/>
        </w:rPr>
      </w:pPr>
      <w:r>
        <w:rPr>
          <w:i/>
        </w:rPr>
        <w:t>2014-2020 Peri</w:t>
      </w:r>
      <w:r>
        <w:rPr>
          <w:i/>
        </w:rPr>
        <w:t>od:</w:t>
      </w:r>
    </w:p>
    <w:p w:rsidR="00135552" w:rsidRDefault="004C63B0">
      <w:pPr>
        <w:pStyle w:val="DGTextstand-alone"/>
      </w:pPr>
      <w:r>
        <w:t>Under cohesion policy, out of EUR 7 146 million paid, it is estimated that EUR 3 247 million were unused at 31 December 2019. This includes the contribution of the Member States to the SME Initiative, an instrument aimed at stimulating additional lendi</w:t>
      </w:r>
      <w:r>
        <w:t>ng by the banking sector to SMEs (EUR 1 198 million paid excluding amounts still in pre-financing, out of which EUR 324 million is estimated as unused).</w:t>
      </w:r>
    </w:p>
    <w:p w:rsidR="00135552" w:rsidRDefault="004C63B0">
      <w:pPr>
        <w:pStyle w:val="DGTextstand-alone"/>
      </w:pPr>
      <w:r>
        <w:t>For rural development, EUR 54 million remained unused at year-end.</w:t>
      </w:r>
    </w:p>
    <w:p w:rsidR="00135552" w:rsidRDefault="004C63B0">
      <w:pPr>
        <w:pStyle w:val="Textstand-alone"/>
        <w:spacing w:before="0"/>
        <w:rPr>
          <w:i/>
        </w:rPr>
      </w:pPr>
      <w:r>
        <w:rPr>
          <w:i/>
        </w:rPr>
        <w:t xml:space="preserve">2007-2013 Period: </w:t>
      </w:r>
    </w:p>
    <w:p w:rsidR="00135552" w:rsidRDefault="004C63B0">
      <w:pPr>
        <w:pStyle w:val="DGTextstand-alone"/>
      </w:pPr>
      <w:r>
        <w:t xml:space="preserve">All amounts related to the cohesion policy </w:t>
      </w:r>
      <w:r>
        <w:rPr>
          <w:bdr w:val="none" w:sz="0" w:space="0" w:color="auto" w:frame="1"/>
        </w:rPr>
        <w:t xml:space="preserve">are considered to </w:t>
      </w:r>
      <w:r>
        <w:t xml:space="preserve">have been either implemented or re-allocated to other measures, therefore </w:t>
      </w:r>
      <w:r>
        <w:rPr>
          <w:bdr w:val="none" w:sz="0" w:space="0" w:color="auto" w:frame="1"/>
        </w:rPr>
        <w:t xml:space="preserve">no assets remain on the balance sheet </w:t>
      </w:r>
      <w:r>
        <w:t xml:space="preserve">at 31 December 2019. </w:t>
      </w:r>
      <w:r>
        <w:rPr>
          <w:bdr w:val="none" w:sz="0" w:space="0" w:color="auto" w:frame="1"/>
        </w:rPr>
        <w:t xml:space="preserve">It should be noted that the actual implementation by the </w:t>
      </w:r>
      <w:r>
        <w:rPr>
          <w:bdr w:val="none" w:sz="0" w:space="0" w:color="auto" w:frame="1"/>
        </w:rPr>
        <w:t>various instruments will be reviewed as part of the closure process of the programmes in the coming years.</w:t>
      </w:r>
    </w:p>
    <w:p w:rsidR="00135552" w:rsidRDefault="004C63B0">
      <w:pPr>
        <w:pStyle w:val="HEADER5"/>
        <w:rPr>
          <w:b/>
          <w:noProof/>
        </w:rPr>
      </w:pPr>
      <w:r>
        <w:rPr>
          <w:noProof/>
        </w:rPr>
        <w:t>Aid Schemes</w:t>
      </w:r>
    </w:p>
    <w:p w:rsidR="00135552" w:rsidRDefault="004C63B0">
      <w:pPr>
        <w:pStyle w:val="Textstand-alone"/>
      </w:pPr>
      <w:r>
        <w:t>Similar to the above, advances paid by the Member States for various aid schemes (state aid, market measures of EAGF or investment measur</w:t>
      </w:r>
      <w:r>
        <w:t>es of EAFRD) that were not used at year-end are recorded as assets (advances) on the EU's balance sheet. The Commission has estimated the value of these advances based on information provided by the Member States; the resulting amounts are included under t</w:t>
      </w:r>
      <w:r>
        <w:t>he Aid Schemes sub-heading above.</w:t>
      </w:r>
    </w:p>
    <w:p w:rsidR="00135552" w:rsidRDefault="004C63B0">
      <w:pPr>
        <w:pStyle w:val="Textstand-alone"/>
        <w:spacing w:before="0"/>
        <w:rPr>
          <w:i/>
        </w:rPr>
      </w:pPr>
      <w:r>
        <w:rPr>
          <w:i/>
        </w:rPr>
        <w:t>2014-2020 Period:</w:t>
      </w:r>
    </w:p>
    <w:p w:rsidR="00135552" w:rsidRDefault="004C63B0">
      <w:pPr>
        <w:pStyle w:val="Textstand-alone"/>
        <w:spacing w:before="0"/>
      </w:pPr>
      <w:r>
        <w:t>The unused amounts at year-end were estimated at EUR 2 044 million for cohesion policy and EUR 1 460 million for agriculture and rural development.</w:t>
      </w:r>
    </w:p>
    <w:p w:rsidR="00135552" w:rsidRDefault="004C63B0">
      <w:pPr>
        <w:pStyle w:val="Textstand-alone"/>
        <w:spacing w:before="0"/>
        <w:rPr>
          <w:i/>
        </w:rPr>
      </w:pPr>
      <w:r>
        <w:rPr>
          <w:i/>
        </w:rPr>
        <w:t>2007-2013 Period:</w:t>
      </w:r>
    </w:p>
    <w:p w:rsidR="00135552" w:rsidRDefault="004C63B0">
      <w:pPr>
        <w:pStyle w:val="Textstand-alone"/>
        <w:spacing w:before="0" w:after="0"/>
      </w:pPr>
      <w:r>
        <w:t>It is estimated that EUR 130 million p</w:t>
      </w:r>
      <w:r>
        <w:t>aid in the context of rural development remains unused at the end of 2019.</w:t>
      </w:r>
    </w:p>
    <w:p w:rsidR="00135552" w:rsidRDefault="004C63B0">
      <w:pPr>
        <w:pStyle w:val="Textstand-alone"/>
        <w:spacing w:before="0" w:after="0"/>
        <w:sectPr w:rsidR="00135552">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62"/>
    </w:p>
    <w:p w:rsidR="00135552" w:rsidRDefault="004C63B0">
      <w:pPr>
        <w:pStyle w:val="HEADER2NOTES"/>
        <w:rPr>
          <w:noProof/>
        </w:rPr>
      </w:pPr>
      <w:bookmarkStart w:id="66" w:name="_DMBM_17188"/>
      <w:r>
        <w:rPr>
          <w:noProof/>
        </w:rPr>
        <w:t>EXCHANGE RECEIVABLES AND NON-EXCHANGE RECOVERABLES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rPr>
                <w:rFonts w:ascii="Verdana" w:eastAsia="Verdana" w:hAnsi="Verdana" w:cs="Verdana"/>
                <w:i/>
                <w:noProof/>
                <w:color w:val="FFFFFF"/>
                <w:sz w:val="16"/>
                <w:lang w:bidi="en-GB"/>
              </w:rPr>
            </w:pPr>
            <w:bookmarkStart w:id="67" w:name="DOC_TBL00026_1_1"/>
            <w:bookmarkEnd w:id="67"/>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7BIPERNER"/>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ERNER"/>
              <w:jc w:val="center"/>
              <w:rPr>
                <w:rFonts w:ascii="Verdana" w:eastAsia="Verdana" w:hAnsi="Verdana" w:cs="Verdana"/>
                <w:noProof/>
                <w:color w:val="FFFFFF"/>
              </w:rPr>
            </w:pPr>
            <w:r>
              <w:rPr>
                <w:rFonts w:ascii="Verdana" w:eastAsia="Verdana" w:hAnsi="Verdana" w:cs="Verdana"/>
                <w:noProof/>
                <w:color w:val="FFFFFF"/>
              </w:rPr>
              <w:t>Note</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ERNER"/>
              <w:jc w:val="right"/>
              <w:rPr>
                <w:rFonts w:ascii="Verdana" w:eastAsia="Verdana" w:hAnsi="Verdana" w:cs="Verdana"/>
                <w:noProof/>
                <w:color w:val="FFFFFF"/>
              </w:rPr>
            </w:pPr>
            <w:r>
              <w:rPr>
                <w:rFonts w:ascii="Verdana" w:eastAsia="Verdana" w:hAnsi="Verdana" w:cs="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ERNER"/>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rPr>
                <w:rFonts w:ascii="Verdana" w:eastAsia="Verdana" w:hAnsi="Verdana" w:cs="Verdana"/>
                <w:b/>
                <w:noProof/>
                <w:color w:val="000000"/>
                <w:sz w:val="18"/>
                <w:lang w:bidi="en-GB"/>
              </w:rPr>
            </w:pP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i/>
                <w:noProof/>
                <w:color w:val="000000"/>
                <w:sz w:val="18"/>
              </w:rPr>
            </w:pPr>
            <w:r>
              <w:rPr>
                <w:rFonts w:ascii="Verdana" w:eastAsia="Verdana" w:hAnsi="Verdana" w:cs="Verdana"/>
                <w:i/>
                <w:noProof/>
                <w:color w:val="000000"/>
                <w:sz w:val="18"/>
              </w:rPr>
              <w:t>Recoverables from non-exchange transactions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jc w:val="center"/>
              <w:rPr>
                <w:rFonts w:ascii="Verdana" w:eastAsia="Verdana" w:hAnsi="Verdana" w:cs="Verdana"/>
                <w:i/>
                <w:noProof/>
                <w:color w:val="000000"/>
                <w:sz w:val="18"/>
              </w:rPr>
            </w:pPr>
            <w:r>
              <w:rPr>
                <w:rFonts w:ascii="Verdana" w:eastAsia="Verdana" w:hAnsi="Verdana" w:cs="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rPr>
            </w:pPr>
            <w:r>
              <w:rPr>
                <w:rFonts w:ascii="Verdana" w:eastAsia="Verdana" w:hAnsi="Verdana" w:cs="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397</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i/>
                <w:noProof/>
                <w:color w:val="000000"/>
                <w:sz w:val="18"/>
              </w:rPr>
            </w:pPr>
            <w:r>
              <w:rPr>
                <w:rFonts w:ascii="Verdana" w:eastAsia="Verdana" w:hAnsi="Verdana" w:cs="Verdana"/>
                <w:i/>
                <w:noProof/>
                <w:color w:val="000000"/>
                <w:sz w:val="18"/>
              </w:rPr>
              <w:t>Receivables from exchange transactions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jc w:val="center"/>
              <w:rPr>
                <w:rFonts w:ascii="Verdana" w:eastAsia="Verdana" w:hAnsi="Verdana" w:cs="Verdana"/>
                <w:i/>
                <w:noProof/>
                <w:color w:val="000000"/>
                <w:sz w:val="18"/>
              </w:rPr>
            </w:pPr>
            <w:r>
              <w:rPr>
                <w:rFonts w:ascii="Verdana" w:eastAsia="Verdana" w:hAnsi="Verdana" w:cs="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rPr>
            </w:pPr>
            <w:r>
              <w:rPr>
                <w:rFonts w:ascii="Verdana" w:eastAsia="Verdana" w:hAnsi="Verdana" w:cs="Verdana"/>
                <w:i/>
                <w:noProof/>
                <w:color w:val="000000"/>
                <w:sz w:val="18"/>
              </w:rPr>
              <w:t>1 185</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19</w:t>
            </w:r>
          </w:p>
        </w:tc>
      </w:tr>
      <w:tr w:rsidR="00135552">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7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rPr>
            </w:pPr>
            <w:r>
              <w:rPr>
                <w:rFonts w:ascii="Verdana" w:eastAsia="Verdana" w:hAnsi="Verdana" w:cs="Verdana"/>
                <w:b/>
                <w:noProof/>
                <w:color w:val="000000"/>
                <w:sz w:val="18"/>
              </w:rPr>
              <w:t>3 607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416</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b/>
                <w:noProof/>
                <w:color w:val="000000"/>
                <w:sz w:val="18"/>
              </w:rPr>
            </w:pPr>
            <w:r>
              <w:rPr>
                <w:rFonts w:ascii="Verdana" w:eastAsia="Verdana" w:hAnsi="Verdana" w:cs="Verdana"/>
                <w:b/>
                <w:noProof/>
                <w:color w:val="000000"/>
                <w:sz w:val="18"/>
              </w:rPr>
              <w:t>Current</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ERNER"/>
              <w:rPr>
                <w:rFonts w:ascii="Verdana" w:eastAsia="Verdana" w:hAnsi="Verdana" w:cs="Verdana"/>
                <w:b/>
                <w:noProof/>
                <w:color w:val="000000"/>
                <w:sz w:val="18"/>
                <w:lang w:bidi="en-GB"/>
              </w:rPr>
            </w:pP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i/>
                <w:noProof/>
                <w:color w:val="000000"/>
                <w:sz w:val="18"/>
              </w:rPr>
            </w:pPr>
            <w:r>
              <w:rPr>
                <w:rFonts w:ascii="Verdana" w:eastAsia="Verdana" w:hAnsi="Verdana" w:cs="Verdana"/>
                <w:i/>
                <w:noProof/>
                <w:color w:val="000000"/>
                <w:sz w:val="18"/>
              </w:rPr>
              <w:t>Recoverables from non-exchange transactions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jc w:val="center"/>
              <w:rPr>
                <w:rFonts w:ascii="Verdana" w:eastAsia="Verdana" w:hAnsi="Verdana" w:cs="Verdana"/>
                <w:i/>
                <w:noProof/>
                <w:color w:val="000000"/>
                <w:sz w:val="18"/>
              </w:rPr>
            </w:pPr>
            <w:r>
              <w:rPr>
                <w:rFonts w:ascii="Verdana" w:eastAsia="Verdana" w:hAnsi="Verdana" w:cs="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rPr>
            </w:pPr>
            <w:r>
              <w:rPr>
                <w:rFonts w:ascii="Verdana" w:eastAsia="Verdana" w:hAnsi="Verdana" w:cs="Verdana"/>
                <w:i/>
                <w:noProof/>
                <w:color w:val="000000"/>
                <w:sz w:val="18"/>
              </w:rPr>
              <w:t>19 328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lang w:bidi="en-GB"/>
              </w:rPr>
            </w:pPr>
            <w:r>
              <w:rPr>
                <w:rFonts w:ascii="Verdana" w:eastAsia="Verdana" w:hAnsi="Verdana" w:cs="Verdana"/>
                <w:i/>
                <w:noProof/>
                <w:color w:val="000000"/>
                <w:sz w:val="18"/>
              </w:rPr>
              <w:t>22 212</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i/>
                <w:noProof/>
                <w:color w:val="000000"/>
                <w:sz w:val="18"/>
              </w:rPr>
            </w:pPr>
            <w:r>
              <w:rPr>
                <w:rFonts w:ascii="Verdana" w:eastAsia="Verdana" w:hAnsi="Verdana" w:cs="Verdana"/>
                <w:i/>
                <w:noProof/>
                <w:color w:val="000000"/>
                <w:sz w:val="18"/>
              </w:rPr>
              <w:t>Receivables from exchange transactions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ERNER"/>
              <w:jc w:val="center"/>
              <w:rPr>
                <w:rFonts w:ascii="Verdana" w:eastAsia="Verdana" w:hAnsi="Verdana" w:cs="Verdana"/>
                <w:i/>
                <w:noProof/>
                <w:color w:val="000000"/>
                <w:sz w:val="18"/>
              </w:rPr>
            </w:pPr>
            <w:r>
              <w:rPr>
                <w:rFonts w:ascii="Verdana" w:eastAsia="Verdana" w:hAnsi="Verdana" w:cs="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rPr>
            </w:pPr>
            <w:r>
              <w:rPr>
                <w:rFonts w:ascii="Verdana" w:eastAsia="Verdana" w:hAnsi="Verdana" w:cs="Verdana"/>
                <w:i/>
                <w:noProof/>
                <w:color w:val="000000"/>
                <w:sz w:val="18"/>
              </w:rPr>
              <w:t>1 038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i/>
                <w:noProof/>
                <w:color w:val="000000"/>
                <w:sz w:val="18"/>
                <w:lang w:bidi="en-GB"/>
              </w:rPr>
            </w:pPr>
            <w:r>
              <w:rPr>
                <w:rFonts w:ascii="Verdana" w:eastAsia="Verdana" w:hAnsi="Verdana" w:cs="Verdana"/>
                <w:i/>
                <w:noProof/>
                <w:color w:val="000000"/>
                <w:sz w:val="18"/>
              </w:rPr>
              <w:t>2 036</w:t>
            </w:r>
          </w:p>
        </w:tc>
      </w:tr>
      <w:tr w:rsidR="00135552">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7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7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rPr>
            </w:pPr>
            <w:r>
              <w:rPr>
                <w:rFonts w:ascii="Verdana" w:eastAsia="Verdana" w:hAnsi="Verdana" w:cs="Verdana"/>
                <w:b/>
                <w:noProof/>
                <w:color w:val="000000"/>
                <w:sz w:val="18"/>
              </w:rPr>
              <w:t>20 367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lang w:bidi="en-GB"/>
              </w:rPr>
            </w:pPr>
            <w:r>
              <w:rPr>
                <w:rFonts w:ascii="Verdana" w:eastAsia="Verdana" w:hAnsi="Verdana" w:cs="Verdana"/>
                <w:b/>
                <w:noProof/>
                <w:color w:val="000000"/>
                <w:sz w:val="18"/>
              </w:rPr>
              <w:t>24 248</w:t>
            </w:r>
          </w:p>
        </w:tc>
      </w:tr>
      <w:tr w:rsidR="00135552">
        <w:trPr>
          <w:trHeigh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7BIPERNER"/>
              <w:rPr>
                <w:rFonts w:ascii="Verdana" w:eastAsia="Verdana" w:hAnsi="Verdana" w:cs="Verdana"/>
                <w:b/>
                <w:noProof/>
                <w:color w:val="000000"/>
                <w:sz w:val="18"/>
              </w:rPr>
            </w:pPr>
            <w:r>
              <w:rPr>
                <w:rFonts w:ascii="Verdana" w:eastAsia="Verdana" w:hAnsi="Verdana" w:cs="Verdana"/>
                <w:b/>
                <w:noProof/>
                <w:color w:val="000000"/>
                <w:sz w:val="18"/>
              </w:rPr>
              <w:t>Total</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ERNER"/>
              <w:jc w:val="center"/>
              <w:rPr>
                <w:rFonts w:ascii="Verdana" w:eastAsia="Verdana" w:hAnsi="Verdana" w:cs="Verdana"/>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rPr>
            </w:pPr>
            <w:r>
              <w:rPr>
                <w:rFonts w:ascii="Verdana" w:eastAsia="Verdana" w:hAnsi="Verdana" w:cs="Verdana"/>
                <w:b/>
                <w:noProof/>
                <w:color w:val="000000"/>
                <w:sz w:val="18"/>
              </w:rPr>
              <w:t>23 974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ERNER"/>
              <w:jc w:val="right"/>
              <w:rPr>
                <w:rFonts w:ascii="Verdana" w:eastAsia="Verdana" w:hAnsi="Verdana" w:cs="Verdana"/>
                <w:b/>
                <w:noProof/>
                <w:color w:val="000000"/>
                <w:sz w:val="18"/>
              </w:rPr>
            </w:pPr>
            <w:r>
              <w:rPr>
                <w:rFonts w:ascii="Verdana" w:eastAsia="Verdana" w:hAnsi="Verdana" w:cs="Verdana"/>
                <w:b/>
                <w:noProof/>
                <w:color w:val="000000"/>
                <w:sz w:val="18"/>
              </w:rPr>
              <w:t>24 664</w:t>
            </w:r>
          </w:p>
        </w:tc>
      </w:tr>
    </w:tbl>
    <w:p w:rsidR="00135552" w:rsidRDefault="004C63B0">
      <w:pPr>
        <w:pStyle w:val="HEADER3NOTES"/>
        <w:rPr>
          <w:noProof/>
        </w:rPr>
      </w:pPr>
      <w:r>
        <w:rPr>
          <w:noProof/>
        </w:rPr>
        <w:t>Recoverables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i/>
                <w:noProof/>
                <w:color w:val="FFFFFF"/>
                <w:sz w:val="16"/>
                <w:lang w:bidi="en-GB"/>
              </w:rPr>
            </w:pPr>
            <w:bookmarkStart w:id="68" w:name="DOC_TBL00027_1_1"/>
            <w:bookmarkEnd w:id="68"/>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7BIPRNET"/>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RNET"/>
              <w:jc w:val="center"/>
              <w:rPr>
                <w:rFonts w:ascii="Verdana" w:eastAsia="Verdana" w:hAnsi="Verdana" w:cs="Verdana"/>
                <w:noProof/>
                <w:color w:val="FFFFFF"/>
              </w:rPr>
            </w:pPr>
            <w:r>
              <w:rPr>
                <w:rFonts w:ascii="Verdana" w:eastAsia="Verdana" w:hAnsi="Verdana" w:cs="Verdana"/>
                <w:noProof/>
                <w:color w:val="FFFFFF"/>
              </w:rPr>
              <w:t>Note</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RNET"/>
              <w:jc w:val="right"/>
              <w:rPr>
                <w:rFonts w:ascii="Verdana" w:eastAsia="Verdana" w:hAnsi="Verdana" w:cs="Verdana"/>
                <w:noProof/>
                <w:color w:val="FFFFFF"/>
              </w:rPr>
            </w:pPr>
            <w:r>
              <w:rPr>
                <w:rFonts w:ascii="Verdana" w:eastAsia="Verdana" w:hAnsi="Verdana" w:cs="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RNET"/>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b/>
                <w:noProof/>
                <w:color w:val="000000"/>
                <w:sz w:val="18"/>
                <w:lang w:bidi="en-GB"/>
              </w:rPr>
            </w:pP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i/>
                <w:noProof/>
                <w:color w:val="000000"/>
                <w:sz w:val="18"/>
              </w:rPr>
            </w:pPr>
            <w:r>
              <w:rPr>
                <w:rFonts w:ascii="Verdana" w:eastAsia="Verdana" w:hAnsi="Verdana" w:cs="Verdana"/>
                <w:i/>
                <w:noProof/>
                <w:color w:val="000000"/>
                <w:sz w:val="18"/>
              </w:rPr>
              <w:t>Member States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jc w:val="center"/>
              <w:rPr>
                <w:rFonts w:ascii="Verdana" w:eastAsia="Verdana" w:hAnsi="Verdana" w:cs="Verdana"/>
                <w:i/>
                <w:noProof/>
                <w:color w:val="000000"/>
                <w:sz w:val="18"/>
              </w:rPr>
            </w:pPr>
            <w:r>
              <w:rPr>
                <w:rFonts w:ascii="Verdana" w:eastAsia="Verdana" w:hAnsi="Verdana" w:cs="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rPr>
            </w:pPr>
            <w:r>
              <w:rPr>
                <w:rFonts w:ascii="Verdana" w:eastAsia="Verdana" w:hAnsi="Verdana" w:cs="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397</w:t>
            </w:r>
          </w:p>
        </w:tc>
      </w:tr>
      <w:tr w:rsidR="00135552">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rPr>
            </w:pPr>
            <w:r>
              <w:rPr>
                <w:rFonts w:ascii="Verdana" w:eastAsia="Verdana" w:hAnsi="Verdana" w:cs="Verdana"/>
                <w:b/>
                <w:noProof/>
                <w:color w:val="000000"/>
                <w:sz w:val="18"/>
              </w:rPr>
              <w:t>2 422</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397</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b/>
                <w:noProof/>
                <w:color w:val="000000"/>
                <w:sz w:val="18"/>
              </w:rPr>
            </w:pPr>
            <w:r>
              <w:rPr>
                <w:rFonts w:ascii="Verdana" w:eastAsia="Verdana" w:hAnsi="Verdana" w:cs="Verdana"/>
                <w:b/>
                <w:noProof/>
                <w:color w:val="000000"/>
                <w:sz w:val="18"/>
              </w:rPr>
              <w:t>Current</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b/>
                <w:noProof/>
                <w:color w:val="000000"/>
                <w:sz w:val="18"/>
                <w:lang w:bidi="en-GB"/>
              </w:rPr>
            </w:pP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i/>
                <w:noProof/>
                <w:color w:val="000000"/>
                <w:sz w:val="18"/>
              </w:rPr>
            </w:pPr>
            <w:r>
              <w:rPr>
                <w:rFonts w:ascii="Verdana" w:eastAsia="Verdana" w:hAnsi="Verdana" w:cs="Verdana"/>
                <w:i/>
                <w:noProof/>
                <w:color w:val="000000"/>
                <w:sz w:val="18"/>
              </w:rPr>
              <w:t>Member States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jc w:val="center"/>
              <w:rPr>
                <w:rFonts w:ascii="Verdana" w:eastAsia="Verdana" w:hAnsi="Verdana" w:cs="Verdana"/>
                <w:i/>
                <w:noProof/>
                <w:color w:val="000000"/>
                <w:sz w:val="18"/>
              </w:rPr>
            </w:pPr>
            <w:r>
              <w:rPr>
                <w:rFonts w:ascii="Verdana" w:eastAsia="Verdana" w:hAnsi="Verdana" w:cs="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rPr>
            </w:pPr>
            <w:r>
              <w:rPr>
                <w:rFonts w:ascii="Verdana" w:eastAsia="Verdana" w:hAnsi="Verdana" w:cs="Verdana"/>
                <w:i/>
                <w:noProof/>
                <w:color w:val="000000"/>
                <w:sz w:val="18"/>
              </w:rPr>
              <w:t>6 180</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lang w:bidi="en-GB"/>
              </w:rPr>
            </w:pPr>
            <w:r>
              <w:rPr>
                <w:rFonts w:ascii="Verdana" w:eastAsia="Verdana" w:hAnsi="Verdana" w:cs="Verdana"/>
                <w:i/>
                <w:noProof/>
                <w:color w:val="000000"/>
                <w:sz w:val="18"/>
              </w:rPr>
              <w:t>10 900</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i/>
                <w:noProof/>
                <w:color w:val="000000"/>
                <w:sz w:val="18"/>
              </w:rPr>
            </w:pPr>
            <w:r>
              <w:rPr>
                <w:rFonts w:ascii="Verdana" w:eastAsia="Verdana" w:hAnsi="Verdana" w:cs="Verdana"/>
                <w:i/>
                <w:noProof/>
                <w:color w:val="000000"/>
                <w:sz w:val="18"/>
              </w:rPr>
              <w:t>Competition fines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jc w:val="center"/>
              <w:rPr>
                <w:rFonts w:ascii="Verdana" w:eastAsia="Verdana" w:hAnsi="Verdana" w:cs="Verdana"/>
                <w:i/>
                <w:noProof/>
                <w:color w:val="000000"/>
                <w:sz w:val="18"/>
              </w:rPr>
            </w:pPr>
            <w:r>
              <w:rPr>
                <w:rFonts w:ascii="Verdana" w:eastAsia="Verdana" w:hAnsi="Verdana" w:cs="Verdana"/>
                <w:i/>
                <w:noProof/>
                <w:color w:val="000000"/>
                <w:sz w:val="18"/>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rPr>
            </w:pPr>
            <w:r>
              <w:rPr>
                <w:rFonts w:ascii="Verdana" w:eastAsia="Verdana" w:hAnsi="Verdana" w:cs="Verdana"/>
                <w:i/>
                <w:noProof/>
                <w:color w:val="000000"/>
                <w:sz w:val="18"/>
              </w:rPr>
              <w:t>11 301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lang w:bidi="en-GB"/>
              </w:rPr>
            </w:pPr>
            <w:r>
              <w:rPr>
                <w:rFonts w:ascii="Verdana" w:eastAsia="Verdana" w:hAnsi="Verdana" w:cs="Verdana"/>
                <w:i/>
                <w:noProof/>
                <w:color w:val="000000"/>
                <w:sz w:val="18"/>
              </w:rPr>
              <w:t>9 727</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i/>
                <w:noProof/>
                <w:color w:val="000000"/>
                <w:sz w:val="18"/>
              </w:rPr>
            </w:pPr>
            <w:r>
              <w:rPr>
                <w:rFonts w:ascii="Verdana" w:eastAsia="Verdana" w:hAnsi="Verdana" w:cs="Verdana"/>
                <w:i/>
                <w:noProof/>
                <w:color w:val="000000"/>
                <w:sz w:val="18"/>
              </w:rPr>
              <w:t>Accrued income and deferred charges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jc w:val="center"/>
              <w:rPr>
                <w:rFonts w:ascii="Verdana" w:eastAsia="Verdana" w:hAnsi="Verdana" w:cs="Verdana"/>
                <w:i/>
                <w:noProof/>
                <w:color w:val="000000"/>
                <w:sz w:val="18"/>
              </w:rPr>
            </w:pPr>
            <w:r>
              <w:rPr>
                <w:rFonts w:ascii="Verdana" w:eastAsia="Verdana" w:hAnsi="Verdana" w:cs="Verdana"/>
                <w:i/>
                <w:noProof/>
                <w:color w:val="000000"/>
                <w:sz w:val="18"/>
              </w:rPr>
              <w:t>2.6.1.3</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rPr>
            </w:pPr>
            <w:r>
              <w:rPr>
                <w:rFonts w:ascii="Verdana" w:eastAsia="Verdana" w:hAnsi="Verdana" w:cs="Verdana"/>
                <w:i/>
                <w:noProof/>
                <w:color w:val="000000"/>
                <w:sz w:val="18"/>
              </w:rPr>
              <w:t>1 788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lang w:bidi="en-GB"/>
              </w:rPr>
            </w:pPr>
            <w:r>
              <w:rPr>
                <w:rFonts w:ascii="Verdana" w:eastAsia="Verdana" w:hAnsi="Verdana" w:cs="Verdana"/>
                <w:i/>
                <w:noProof/>
                <w:color w:val="000000"/>
                <w:sz w:val="18"/>
              </w:rPr>
              <w:t>1 511</w:t>
            </w:r>
          </w:p>
        </w:tc>
      </w:tr>
      <w:tr w:rsidR="00135552">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i/>
                <w:noProof/>
                <w:color w:val="000000"/>
                <w:sz w:val="18"/>
              </w:rPr>
            </w:pPr>
            <w:r>
              <w:rPr>
                <w:rFonts w:ascii="Verdana" w:eastAsia="Verdana" w:hAnsi="Verdana" w:cs="Verdana"/>
                <w:i/>
                <w:noProof/>
                <w:color w:val="000000"/>
                <w:sz w:val="18"/>
              </w:rPr>
              <w:t>Other recoverables</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rPr>
            </w:pPr>
            <w:r>
              <w:rPr>
                <w:rFonts w:ascii="Verdana" w:eastAsia="Verdana" w:hAnsi="Verdana" w:cs="Verdana"/>
                <w:i/>
                <w:noProof/>
                <w:color w:val="000000"/>
                <w:sz w:val="18"/>
              </w:rPr>
              <w:t xml:space="preserve"> 59</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74</w:t>
            </w:r>
          </w:p>
        </w:tc>
      </w:tr>
      <w:tr w:rsidR="00135552">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rPr>
            </w:pPr>
            <w:r>
              <w:rPr>
                <w:rFonts w:ascii="Verdana" w:eastAsia="Verdana" w:hAnsi="Verdana" w:cs="Verdana"/>
                <w:b/>
                <w:noProof/>
                <w:color w:val="000000"/>
                <w:sz w:val="18"/>
              </w:rPr>
              <w:t>19 328</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lang w:bidi="en-GB"/>
              </w:rPr>
            </w:pPr>
            <w:r>
              <w:rPr>
                <w:rFonts w:ascii="Verdana" w:eastAsia="Verdana" w:hAnsi="Verdana" w:cs="Verdana"/>
                <w:b/>
                <w:noProof/>
                <w:color w:val="000000"/>
                <w:sz w:val="18"/>
              </w:rPr>
              <w:t>22 212</w:t>
            </w:r>
          </w:p>
        </w:tc>
      </w:tr>
      <w:tr w:rsidR="00135552">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7BIPRNET"/>
              <w:rPr>
                <w:rFonts w:ascii="Verdana" w:eastAsia="Verdana" w:hAnsi="Verdana" w:cs="Verdana"/>
                <w:b/>
                <w:noProof/>
                <w:color w:val="000000"/>
                <w:sz w:val="18"/>
              </w:rPr>
            </w:pPr>
            <w:r>
              <w:rPr>
                <w:rFonts w:ascii="Verdana" w:eastAsia="Verdana" w:hAnsi="Verdana" w:cs="Verdana"/>
                <w:b/>
                <w:noProof/>
                <w:color w:val="000000"/>
                <w:sz w:val="18"/>
              </w:rPr>
              <w:t>Total</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rPr>
            </w:pPr>
            <w:r>
              <w:rPr>
                <w:rFonts w:ascii="Verdana" w:eastAsia="Verdana" w:hAnsi="Verdana" w:cs="Verdana"/>
                <w:b/>
                <w:noProof/>
                <w:color w:val="000000"/>
                <w:sz w:val="18"/>
              </w:rPr>
              <w:t>21 750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NET"/>
              <w:jc w:val="right"/>
              <w:rPr>
                <w:rFonts w:ascii="Verdana" w:eastAsia="Verdana" w:hAnsi="Verdana" w:cs="Verdana"/>
                <w:b/>
                <w:noProof/>
                <w:color w:val="000000"/>
                <w:sz w:val="18"/>
              </w:rPr>
            </w:pPr>
            <w:r>
              <w:rPr>
                <w:rFonts w:ascii="Verdana" w:eastAsia="Verdana" w:hAnsi="Verdana" w:cs="Verdana"/>
                <w:b/>
                <w:noProof/>
                <w:color w:val="000000"/>
                <w:sz w:val="18"/>
              </w:rPr>
              <w:t>22 609</w:t>
            </w:r>
          </w:p>
        </w:tc>
      </w:tr>
    </w:tbl>
    <w:p w:rsidR="00135552" w:rsidRDefault="00135552">
      <w:pPr>
        <w:rPr>
          <w:rFonts w:ascii="Verdana" w:hAnsi="Verdana"/>
          <w:noProof/>
          <w:color w:val="016794"/>
          <w:sz w:val="18"/>
          <w:szCs w:val="18"/>
        </w:rPr>
      </w:pPr>
    </w:p>
    <w:p w:rsidR="00135552" w:rsidRDefault="004C63B0">
      <w:pPr>
        <w:rPr>
          <w:rFonts w:ascii="Verdana" w:hAnsi="Verdana"/>
          <w:noProof/>
          <w:color w:val="016794"/>
          <w:sz w:val="18"/>
          <w:szCs w:val="18"/>
        </w:rPr>
      </w:pPr>
      <w:r>
        <w:rPr>
          <w:noProof/>
        </w:rPr>
        <w:br w:type="page"/>
      </w:r>
    </w:p>
    <w:p w:rsidR="00135552" w:rsidRDefault="004C63B0">
      <w:pPr>
        <w:pStyle w:val="HEADER4NOTES"/>
        <w:rPr>
          <w:noProof/>
        </w:rPr>
      </w:pPr>
      <w:r>
        <w:rPr>
          <w:noProof/>
        </w:rPr>
        <w:t>Recoverables from Member States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1815"/>
        <w:gridCol w:w="1815"/>
      </w:tblGrid>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8BIPRMS"/>
              <w:rPr>
                <w:rFonts w:ascii="Arial" w:eastAsia="Arial" w:hAnsi="Arial" w:cs="Arial"/>
                <w:noProof/>
                <w:color w:val="000000"/>
                <w:lang w:bidi="en-GB"/>
              </w:rPr>
            </w:pPr>
            <w:bookmarkStart w:id="69" w:name="DOC_TBL00028_1_1"/>
            <w:bookmarkEnd w:id="69"/>
          </w:p>
        </w:tc>
        <w:tc>
          <w:tcPr>
            <w:tcW w:w="181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8BIPRMS"/>
              <w:rPr>
                <w:rFonts w:ascii="Arial" w:eastAsia="Arial" w:hAnsi="Arial" w:cs="Arial"/>
                <w:noProof/>
                <w:color w:val="000000"/>
              </w:rPr>
            </w:pPr>
          </w:p>
        </w:tc>
        <w:tc>
          <w:tcPr>
            <w:tcW w:w="181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8BIPRM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55"/>
        </w:trPr>
        <w:tc>
          <w:tcPr>
            <w:tcW w:w="612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8BIPRMS"/>
              <w:jc w:val="right"/>
              <w:rPr>
                <w:rFonts w:ascii="Verdana" w:eastAsia="Verdana" w:hAnsi="Verdana" w:cs="Verdana"/>
                <w:noProof/>
                <w:color w:val="FFFFFF"/>
                <w:sz w:val="18"/>
              </w:rPr>
            </w:pP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8BIPRMS"/>
              <w:jc w:val="right"/>
              <w:rPr>
                <w:rFonts w:ascii="Verdana" w:eastAsia="Verdana" w:hAnsi="Verdana" w:cs="Verdana"/>
                <w:noProof/>
                <w:color w:val="FFFFFF"/>
              </w:rPr>
            </w:pPr>
            <w:r>
              <w:rPr>
                <w:rFonts w:ascii="Verdana" w:eastAsia="Verdana" w:hAnsi="Verdana" w:cs="Verdana"/>
                <w:noProof/>
                <w:color w:val="FFFFFF"/>
              </w:rPr>
              <w:t>31.12.2019</w:t>
            </w: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8BIPRMS"/>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TOR A accounts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5 478</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5 609</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TOR separate accounts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1 591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1 612</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Own resources to be received</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2 758</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Impairment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 xml:space="preserve"> (931)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(991)</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Other</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86</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Own resources recoverables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6 145</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9 075</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 xml:space="preserve">European Agricultural Guarantee Fund </w:t>
            </w:r>
            <w:r>
              <w:rPr>
                <w:rFonts w:ascii="Verdana" w:eastAsia="Verdana" w:hAnsi="Verdana" w:cs="Verdana"/>
                <w:i/>
                <w:noProof/>
                <w:color w:val="000000"/>
                <w:sz w:val="18"/>
              </w:rPr>
              <w:t>(EAGF)</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1 722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1 708</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European Agricultural Fund for Rural Development (EAFRD) and other rural development instruments</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 xml:space="preserve"> 879</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954</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00000"/>
                <w:sz w:val="18"/>
              </w:rPr>
            </w:pPr>
            <w:r>
              <w:rPr>
                <w:rFonts w:ascii="Verdana" w:eastAsia="Verdana" w:hAnsi="Verdana" w:cs="Verdana"/>
                <w:i/>
                <w:noProof/>
                <w:color w:val="000000"/>
                <w:sz w:val="18"/>
              </w:rPr>
              <w:t>Impairment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rPr>
            </w:pPr>
            <w:r>
              <w:rPr>
                <w:rFonts w:ascii="Verdana" w:eastAsia="Verdana" w:hAnsi="Verdana" w:cs="Verdana"/>
                <w:i/>
                <w:noProof/>
                <w:color w:val="000000"/>
                <w:sz w:val="18"/>
              </w:rPr>
              <w:t xml:space="preserve"> (822)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(788)</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EAGF and rural development recoverables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1 779</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1 875</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Pre-financing recovery</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 xml:space="preserve"> 443</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145</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 xml:space="preserve">VAT paid and </w:t>
            </w:r>
            <w:r>
              <w:rPr>
                <w:rFonts w:ascii="Verdana" w:eastAsia="Verdana" w:hAnsi="Verdana" w:cs="Verdana"/>
                <w:b/>
                <w:noProof/>
                <w:color w:val="000000"/>
                <w:sz w:val="18"/>
              </w:rPr>
              <w:t>recoverable</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 xml:space="preserve"> 44</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45</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Other recoverables from Member States</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 xml:space="preserve"> 191</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158</w:t>
            </w:r>
          </w:p>
        </w:tc>
      </w:tr>
      <w:tr w:rsidR="00135552">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b/>
                <w:noProof/>
                <w:color w:val="000000"/>
                <w:sz w:val="18"/>
              </w:rPr>
            </w:pPr>
            <w:r>
              <w:rPr>
                <w:rFonts w:ascii="Verdana" w:eastAsia="Verdana" w:hAnsi="Verdana" w:cs="Verdana"/>
                <w:b/>
                <w:noProof/>
                <w:color w:val="000000"/>
                <w:sz w:val="18"/>
              </w:rPr>
              <w:t>Total</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rPr>
            </w:pPr>
            <w:r>
              <w:rPr>
                <w:rFonts w:ascii="Verdana" w:eastAsia="Verdana" w:hAnsi="Verdana" w:cs="Verdana"/>
                <w:b/>
                <w:noProof/>
                <w:color w:val="000000"/>
                <w:sz w:val="18"/>
              </w:rPr>
              <w:t>8 602</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b/>
                <w:noProof/>
                <w:color w:val="000000"/>
                <w:sz w:val="18"/>
                <w:lang w:bidi="en-GB"/>
              </w:rPr>
            </w:pPr>
            <w:r>
              <w:rPr>
                <w:rFonts w:ascii="Verdana" w:eastAsia="Verdana" w:hAnsi="Verdana" w:cs="Verdana"/>
                <w:b/>
                <w:noProof/>
                <w:color w:val="000000"/>
                <w:sz w:val="18"/>
              </w:rPr>
              <w:t>11 297</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16794"/>
                <w:sz w:val="18"/>
              </w:rPr>
            </w:pPr>
            <w:r>
              <w:rPr>
                <w:rFonts w:ascii="Verdana" w:eastAsia="Verdana" w:hAnsi="Verdana" w:cs="Verdana"/>
                <w:i/>
                <w:noProof/>
                <w:color w:val="016794"/>
                <w:sz w:val="18"/>
              </w:rPr>
              <w:t>2 422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16794"/>
                <w:sz w:val="18"/>
                <w:lang w:bidi="en-GB"/>
              </w:rPr>
            </w:pPr>
            <w:r>
              <w:rPr>
                <w:rFonts w:ascii="Verdana" w:eastAsia="Verdana" w:hAnsi="Verdana" w:cs="Verdana"/>
                <w:i/>
                <w:noProof/>
                <w:color w:val="016794"/>
                <w:sz w:val="18"/>
              </w:rPr>
              <w:t xml:space="preserve"> 397</w:t>
            </w:r>
          </w:p>
        </w:tc>
      </w:tr>
      <w:tr w:rsidR="00135552">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rPr>
                <w:rFonts w:ascii="Verdana" w:eastAsia="Verdana" w:hAnsi="Verdana" w:cs="Verdana"/>
                <w:i/>
                <w:noProof/>
                <w:color w:val="016794"/>
                <w:sz w:val="18"/>
              </w:rPr>
            </w:pPr>
            <w:r>
              <w:rPr>
                <w:rFonts w:ascii="Verdana" w:eastAsia="Verdana" w:hAnsi="Verdana" w:cs="Verdana"/>
                <w:i/>
                <w:noProof/>
                <w:color w:val="016794"/>
                <w:sz w:val="18"/>
              </w:rPr>
              <w:t>Current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16794"/>
                <w:sz w:val="18"/>
              </w:rPr>
            </w:pPr>
            <w:r>
              <w:rPr>
                <w:rFonts w:ascii="Verdana" w:eastAsia="Verdana" w:hAnsi="Verdana" w:cs="Verdana"/>
                <w:i/>
                <w:noProof/>
                <w:color w:val="016794"/>
                <w:sz w:val="18"/>
              </w:rPr>
              <w:t>6 180</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8BIPRMS"/>
              <w:jc w:val="right"/>
              <w:rPr>
                <w:rFonts w:ascii="Verdana" w:eastAsia="Verdana" w:hAnsi="Verdana" w:cs="Verdana"/>
                <w:i/>
                <w:noProof/>
                <w:color w:val="016794"/>
                <w:sz w:val="18"/>
              </w:rPr>
            </w:pPr>
            <w:r>
              <w:rPr>
                <w:rFonts w:ascii="Verdana" w:eastAsia="Verdana" w:hAnsi="Verdana" w:cs="Verdana"/>
                <w:i/>
                <w:noProof/>
                <w:color w:val="016794"/>
                <w:sz w:val="18"/>
              </w:rPr>
              <w:t>10 900</w:t>
            </w:r>
          </w:p>
        </w:tc>
      </w:tr>
    </w:tbl>
    <w:p w:rsidR="00135552" w:rsidRDefault="004C63B0">
      <w:pPr>
        <w:pStyle w:val="Textstand-alone"/>
        <w:rPr>
          <w:rFonts w:eastAsia="Calibri"/>
        </w:rPr>
      </w:pPr>
      <w:r>
        <w:rPr>
          <w:rFonts w:eastAsia="Calibri"/>
        </w:rPr>
        <w:t>The largest amount included under non-current relates to amounts due from Member States, and the large increase concerns</w:t>
      </w:r>
      <w:r>
        <w:rPr>
          <w:rFonts w:eastAsia="Calibri"/>
        </w:rPr>
        <w:t xml:space="preserve"> the United Kingdom (UK) infringement case (explained below) – in the previous year this amount, EUR 2.1 billion, had been shown under current. Also included as non-current, as in previous years, are amounts relating to non-executed conformity clearance de</w:t>
      </w:r>
      <w:r>
        <w:rPr>
          <w:rFonts w:eastAsia="Calibri"/>
        </w:rPr>
        <w:t>cisions for the European Agricultural Guarantee Fund (EAGF) as well as for the European Agricultural Fund for Rural Development (EAFRD). The amounts related to these decisions are being recovered in annual instalments.</w:t>
      </w:r>
    </w:p>
    <w:p w:rsidR="00135552" w:rsidRDefault="004C63B0">
      <w:pPr>
        <w:pStyle w:val="Textstand-alone"/>
        <w:rPr>
          <w:rFonts w:eastAsia="Calibri"/>
        </w:rPr>
      </w:pPr>
      <w:r>
        <w:rPr>
          <w:rFonts w:eastAsia="Calibri"/>
        </w:rPr>
        <w:t>The above mentioned move from current</w:t>
      </w:r>
      <w:r>
        <w:rPr>
          <w:rFonts w:eastAsia="Calibri"/>
        </w:rPr>
        <w:t xml:space="preserve"> to non-current also explains the large decrease in current amounts due from Member States. The decrease is also due to there being no own resources to be received linked to an amending budget in 2019 as compared to 2018 – see below.</w:t>
      </w:r>
    </w:p>
    <w:p w:rsidR="00135552" w:rsidRDefault="004C63B0">
      <w:pPr>
        <w:pStyle w:val="Textstand-alone"/>
        <w:rPr>
          <w:b/>
        </w:rPr>
      </w:pPr>
      <w:r>
        <w:rPr>
          <w:color w:val="016794"/>
        </w:rPr>
        <w:t xml:space="preserve">Own resources </w:t>
      </w:r>
      <w:r>
        <w:rPr>
          <w:color w:val="016794"/>
        </w:rPr>
        <w:t>recoverables</w:t>
      </w:r>
    </w:p>
    <w:p w:rsidR="00135552" w:rsidRDefault="004C63B0">
      <w:pPr>
        <w:pStyle w:val="DGTextstand-alone"/>
      </w:pPr>
      <w:r>
        <w:t>'A accounts' refers to the monthly statements where the Member States communicate the established Traditional Own Resources (TOR) entitlements to the Commission, not yet recovered. TOR are composed of customs duties and sugar levies, collected</w:t>
      </w:r>
      <w:r>
        <w:t xml:space="preserve"> by Member States on behalf of the Commission.</w:t>
      </w:r>
    </w:p>
    <w:p w:rsidR="00135552" w:rsidRDefault="004C63B0">
      <w:pPr>
        <w:pStyle w:val="DGTextstand-alone"/>
      </w:pPr>
      <w:r>
        <w:t>The ‘A accounts’ have tended to have a level of approximately EUR 3 billion at year-end, however, in both 2018 and 2019 the balance includes additional TOR amounts related to the UK infringement case (explaine</w:t>
      </w:r>
      <w:r>
        <w:t xml:space="preserve">d below) and other TOR inspection reports. As late payment interest of EUR 1.2 billion is applicable (2018: EUR 1.3 billion), those amounts are therefore also reported in these annual accounts (see notes </w:t>
      </w:r>
      <w:r>
        <w:rPr>
          <w:b/>
        </w:rPr>
        <w:t>2.6.2</w:t>
      </w:r>
      <w:r>
        <w:t xml:space="preserve"> and </w:t>
      </w:r>
      <w:r>
        <w:rPr>
          <w:b/>
        </w:rPr>
        <w:t>3.7</w:t>
      </w:r>
      <w:r>
        <w:t>).</w:t>
      </w:r>
    </w:p>
    <w:p w:rsidR="00135552" w:rsidRDefault="004C63B0">
      <w:pPr>
        <w:pStyle w:val="DGTextstand-alone"/>
      </w:pPr>
      <w:r>
        <w:t>Concerning the infringement case, on</w:t>
      </w:r>
      <w:r>
        <w:t xml:space="preserve"> 8 March 2018, the Commission sent a letter of formal notice (Infringement No 2018/2008) to the UK because it failed to make the correct amount of traditional own resources available to the EU budget, as required by EU law. As the UK did not provide a sati</w:t>
      </w:r>
      <w:r>
        <w:t xml:space="preserve">sfactory reply, neither to the letter of formal notice nor to the reasoned opinion sent on 24 September 2018, the Commission confirmed on 6 March 2019 its decision to refer the infringement to the Court of Justice of the EU and lodged its application on 7 </w:t>
      </w:r>
      <w:r>
        <w:t>March 2019. The case originated in a 2017 OLAF report, that found that importers in the UK evaded a large amount of customs duties by using fictitious and false invoices and incorrect customs value declarations at importation. Based on a methodology develo</w:t>
      </w:r>
      <w:r>
        <w:t>ped by OLAF and JRC and on the information available, the Commission estimates that the infringement of EU legislation by the UK resulted, during the period November 2011 to October 2017, in losses to the EU budget amounting to EUR 2.1 billion (net, i.e. a</w:t>
      </w:r>
      <w:r>
        <w:t>fter deducting the collection costs to be retained by the UK from the gross amount of EUR 2.7 billion). The UK does not agree with the methodology used by the Commission to estimate the above losses. The ongoing Court proceedings and the information availa</w:t>
      </w:r>
      <w:r>
        <w:t>ble to date are indicative of a long-term process. Therefore, both the principal of EUR 2.1 billion and the estimated late payment interest of EUR 1.1 billion accrued until end 2019 (compared to EUR 0.7 billion interest accrued and recognised until end 201</w:t>
      </w:r>
      <w:r>
        <w:t xml:space="preserve">8) have been classified as long-term assets. </w:t>
      </w:r>
    </w:p>
    <w:p w:rsidR="00135552" w:rsidRDefault="004C63B0">
      <w:pPr>
        <w:pStyle w:val="DGTextstand-alone"/>
      </w:pPr>
      <w:r>
        <w:t>In addition, the Commission included in the accounts a receivable of EUR 0.2 billion for established customs duties and late payment interest which is based on the latest available information. The amount of EU</w:t>
      </w:r>
      <w:r>
        <w:t xml:space="preserve">R 0.7 billion initially recognised in 2018 has been adjusted downwards following new information that the UK authorities provided in 2019 (see notes </w:t>
      </w:r>
      <w:r>
        <w:rPr>
          <w:b/>
        </w:rPr>
        <w:t xml:space="preserve">2.6.2 </w:t>
      </w:r>
      <w:r>
        <w:t>and</w:t>
      </w:r>
      <w:r>
        <w:rPr>
          <w:b/>
        </w:rPr>
        <w:t xml:space="preserve"> 3.7</w:t>
      </w:r>
      <w:r>
        <w:t>).</w:t>
      </w:r>
    </w:p>
    <w:p w:rsidR="00135552" w:rsidRDefault="004C63B0">
      <w:pPr>
        <w:pStyle w:val="DGTextstand-alone"/>
      </w:pPr>
      <w:r>
        <w:t>‘Separate accounts’ refers to established entitlements that have not been included in the '</w:t>
      </w:r>
      <w:r>
        <w:t xml:space="preserve">A accounts', because they have not been recovered by Member States and no security has been provided (or if security has been provided but the amounts are contested). These entitlements are subject to impairment based on information provided every year by </w:t>
      </w:r>
      <w:r>
        <w:t>the Member States. These amounts are generally at a similar level at each year-end, as seen above.</w:t>
      </w:r>
    </w:p>
    <w:p w:rsidR="00135552" w:rsidRDefault="004C63B0">
      <w:pPr>
        <w:pStyle w:val="DGTextstand-alone"/>
      </w:pPr>
      <w:r>
        <w:t>‘Own resources to be received’ in 2018 refer to recoverables as a result of the amending budget No 6/2018 adopted on 12 December 2018. The amounts were enter</w:t>
      </w:r>
      <w:r>
        <w:t>ed by Member States on the first working day of January 2019. There is no such amount relating to 2019.</w:t>
      </w:r>
    </w:p>
    <w:p w:rsidR="00135552" w:rsidRDefault="004C63B0">
      <w:pPr>
        <w:pStyle w:val="Textstand-alone"/>
        <w:rPr>
          <w:b/>
        </w:rPr>
      </w:pPr>
      <w:r>
        <w:rPr>
          <w:color w:val="016794"/>
        </w:rPr>
        <w:t>EAGF and Rural Development recoverables</w:t>
      </w:r>
    </w:p>
    <w:p w:rsidR="00135552" w:rsidRDefault="004C63B0">
      <w:pPr>
        <w:pStyle w:val="DGTextstand-alone"/>
      </w:pPr>
      <w:r>
        <w:t xml:space="preserve">This item primarily covers the amounts owed by Member States at 31 December 2019, as declared and certified by </w:t>
      </w:r>
      <w:r>
        <w:t>the Member States as at 15 October 2019. An estimation is made for the recoverables arising after this declaration and up to 31 December 2019. The Commission also estimates a write-down for the amounts owed by beneficiaries that are unlikely to be recovere</w:t>
      </w:r>
      <w:r>
        <w:t>d. The fact that such an adjustment is made does not mean that the Commission is waiving future recovery of these amounts. A deduction of 20 % is also included in the adjustment and corresponds to what Member States are allowed to retain to cover administr</w:t>
      </w:r>
      <w:r>
        <w:t>ative costs.</w:t>
      </w:r>
    </w:p>
    <w:p w:rsidR="00135552" w:rsidRDefault="004C63B0">
      <w:pPr>
        <w:pStyle w:val="HEADER4NOTES"/>
        <w:rPr>
          <w:noProof/>
        </w:rPr>
      </w:pPr>
      <w:r>
        <w:rPr>
          <w:noProof/>
        </w:rPr>
        <w:t>Recoverables from competition fines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FINES"/>
              <w:rPr>
                <w:rFonts w:ascii="Arial" w:eastAsia="Arial" w:hAnsi="Arial" w:cs="Arial"/>
                <w:noProof/>
                <w:color w:val="000000"/>
                <w:lang w:bidi="en-GB"/>
              </w:rPr>
            </w:pPr>
            <w:bookmarkStart w:id="70" w:name="DOC_TBL00029_1_1"/>
            <w:bookmarkEnd w:id="70"/>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7BIPFINES"/>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FINES"/>
              <w:jc w:val="right"/>
              <w:rPr>
                <w:rFonts w:ascii="Verdana" w:eastAsia="Verdana" w:hAnsi="Verdana" w:cs="Verdana"/>
                <w:noProof/>
                <w:color w:val="FFFFFF"/>
              </w:rPr>
            </w:pPr>
            <w:r>
              <w:rPr>
                <w:rFonts w:ascii="Verdana" w:eastAsia="Verdana" w:hAnsi="Verdana" w:cs="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FINES"/>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i/>
                <w:noProof/>
                <w:color w:val="000000"/>
                <w:sz w:val="18"/>
              </w:rPr>
            </w:pPr>
            <w:r>
              <w:rPr>
                <w:rFonts w:ascii="Verdana" w:eastAsia="Verdana" w:hAnsi="Verdana" w:cs="Verdana"/>
                <w:i/>
                <w:noProof/>
                <w:color w:val="000000"/>
                <w:sz w:val="18"/>
              </w:rPr>
              <w:t>Recoverable from fines gross amount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rPr>
            </w:pPr>
            <w:r>
              <w:rPr>
                <w:rFonts w:ascii="Verdana" w:eastAsia="Verdana" w:hAnsi="Verdana" w:cs="Verdana"/>
                <w:i/>
                <w:noProof/>
                <w:color w:val="000000"/>
                <w:sz w:val="18"/>
              </w:rPr>
              <w:t>14 606</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lang w:bidi="en-GB"/>
              </w:rPr>
            </w:pPr>
            <w:r>
              <w:rPr>
                <w:rFonts w:ascii="Verdana" w:eastAsia="Verdana" w:hAnsi="Verdana" w:cs="Verdana"/>
                <w:i/>
                <w:noProof/>
                <w:color w:val="000000"/>
                <w:sz w:val="18"/>
              </w:rPr>
              <w:t>13 022</w:t>
            </w:r>
          </w:p>
        </w:tc>
      </w:tr>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i/>
                <w:noProof/>
                <w:color w:val="000000"/>
                <w:sz w:val="18"/>
              </w:rPr>
            </w:pPr>
            <w:r>
              <w:rPr>
                <w:rFonts w:ascii="Verdana" w:eastAsia="Verdana" w:hAnsi="Verdana" w:cs="Verdana"/>
                <w:i/>
                <w:noProof/>
                <w:color w:val="000000"/>
                <w:sz w:val="18"/>
              </w:rPr>
              <w:t>Provisional payments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rPr>
            </w:pPr>
            <w:r>
              <w:rPr>
                <w:rFonts w:ascii="Verdana" w:eastAsia="Verdana" w:hAnsi="Verdana" w:cs="Verdana"/>
                <w:i/>
                <w:noProof/>
                <w:color w:val="000000"/>
                <w:sz w:val="18"/>
              </w:rPr>
              <w:t>(3 125)</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lang w:bidi="en-GB"/>
              </w:rPr>
            </w:pPr>
            <w:r>
              <w:rPr>
                <w:rFonts w:ascii="Verdana" w:eastAsia="Verdana" w:hAnsi="Verdana" w:cs="Verdana"/>
                <w:i/>
                <w:noProof/>
                <w:color w:val="000000"/>
                <w:sz w:val="18"/>
              </w:rPr>
              <w:t>(3 131)</w:t>
            </w:r>
          </w:p>
        </w:tc>
      </w:tr>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i/>
                <w:noProof/>
                <w:color w:val="000000"/>
                <w:sz w:val="18"/>
              </w:rPr>
            </w:pPr>
            <w:r>
              <w:rPr>
                <w:rFonts w:ascii="Verdana" w:eastAsia="Verdana" w:hAnsi="Verdana" w:cs="Verdana"/>
                <w:i/>
                <w:noProof/>
                <w:color w:val="000000"/>
                <w:sz w:val="18"/>
              </w:rPr>
              <w:t>Impairment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rPr>
            </w:pPr>
            <w:r>
              <w:rPr>
                <w:rFonts w:ascii="Verdana" w:eastAsia="Verdana" w:hAnsi="Verdana" w:cs="Verdana"/>
                <w:i/>
                <w:noProof/>
                <w:color w:val="000000"/>
                <w:sz w:val="18"/>
              </w:rPr>
              <w:t xml:space="preserve"> (180)</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(164)</w:t>
            </w:r>
          </w:p>
        </w:tc>
      </w:tr>
      <w:tr w:rsidR="00135552">
        <w:trPr>
          <w:trHeigh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b/>
                <w:noProof/>
                <w:color w:val="000000"/>
                <w:sz w:val="18"/>
              </w:rPr>
            </w:pPr>
            <w:r>
              <w:rPr>
                <w:rFonts w:ascii="Verdana" w:eastAsia="Verdana" w:hAnsi="Verdana" w:cs="Verdana"/>
                <w:b/>
                <w:noProof/>
                <w:color w:val="000000"/>
                <w:sz w:val="18"/>
              </w:rPr>
              <w:t>Total</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b/>
                <w:noProof/>
                <w:color w:val="000000"/>
                <w:sz w:val="18"/>
              </w:rPr>
            </w:pPr>
            <w:r>
              <w:rPr>
                <w:rFonts w:ascii="Verdana" w:eastAsia="Verdana" w:hAnsi="Verdana" w:cs="Verdana"/>
                <w:b/>
                <w:noProof/>
                <w:color w:val="000000"/>
                <w:sz w:val="18"/>
              </w:rPr>
              <w:t>11 301</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b/>
                <w:noProof/>
                <w:color w:val="000000"/>
                <w:sz w:val="18"/>
                <w:lang w:bidi="en-GB"/>
              </w:rPr>
            </w:pPr>
            <w:r>
              <w:rPr>
                <w:rFonts w:ascii="Verdana" w:eastAsia="Verdana" w:hAnsi="Verdana" w:cs="Verdana"/>
                <w:b/>
                <w:noProof/>
                <w:color w:val="000000"/>
                <w:sz w:val="18"/>
              </w:rPr>
              <w:t>9 727</w:t>
            </w:r>
          </w:p>
        </w:tc>
      </w:tr>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16794"/>
                <w:sz w:val="18"/>
                <w:lang w:bidi="en-GB"/>
              </w:rPr>
            </w:pPr>
            <w:r>
              <w:rPr>
                <w:rFonts w:ascii="Verdana" w:eastAsia="Verdana" w:hAnsi="Verdana" w:cs="Verdana"/>
                <w:i/>
                <w:noProof/>
                <w:color w:val="016794"/>
                <w:sz w:val="18"/>
              </w:rPr>
              <w:t>–</w:t>
            </w:r>
          </w:p>
        </w:tc>
      </w:tr>
      <w:tr w:rsidR="00135552">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FINES"/>
              <w:rPr>
                <w:rFonts w:ascii="Verdana" w:eastAsia="Verdana" w:hAnsi="Verdana" w:cs="Verdana"/>
                <w:i/>
                <w:noProof/>
                <w:color w:val="016794"/>
                <w:sz w:val="18"/>
              </w:rPr>
            </w:pPr>
            <w:r>
              <w:rPr>
                <w:rFonts w:ascii="Verdana" w:eastAsia="Verdana" w:hAnsi="Verdana" w:cs="Verdana"/>
                <w:i/>
                <w:noProof/>
                <w:color w:val="016794"/>
                <w:sz w:val="18"/>
              </w:rPr>
              <w:t>Current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16794"/>
                <w:sz w:val="18"/>
              </w:rPr>
            </w:pPr>
            <w:r>
              <w:rPr>
                <w:rFonts w:ascii="Verdana" w:eastAsia="Verdana" w:hAnsi="Verdana" w:cs="Verdana"/>
                <w:i/>
                <w:noProof/>
                <w:color w:val="016794"/>
                <w:sz w:val="18"/>
              </w:rPr>
              <w:t>11 301</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FINES"/>
              <w:jc w:val="right"/>
              <w:rPr>
                <w:rFonts w:ascii="Verdana" w:eastAsia="Verdana" w:hAnsi="Verdana" w:cs="Verdana"/>
                <w:i/>
                <w:noProof/>
                <w:color w:val="016794"/>
                <w:sz w:val="18"/>
              </w:rPr>
            </w:pPr>
            <w:r>
              <w:rPr>
                <w:rFonts w:ascii="Verdana" w:eastAsia="Verdana" w:hAnsi="Verdana" w:cs="Verdana"/>
                <w:i/>
                <w:noProof/>
                <w:color w:val="016794"/>
                <w:sz w:val="18"/>
              </w:rPr>
              <w:t>9</w:t>
            </w:r>
            <w:r>
              <w:rPr>
                <w:rFonts w:ascii="Verdana" w:eastAsia="Verdana" w:hAnsi="Verdana" w:cs="Verdana"/>
                <w:i/>
                <w:noProof/>
                <w:color w:val="016794"/>
                <w:sz w:val="18"/>
              </w:rPr>
              <w:t xml:space="preserve"> 727</w:t>
            </w:r>
          </w:p>
        </w:tc>
      </w:tr>
    </w:tbl>
    <w:p w:rsidR="00135552" w:rsidRDefault="004C63B0">
      <w:pPr>
        <w:pStyle w:val="DGTextstand-alone"/>
      </w:pPr>
      <w:r>
        <w:t>The provisional payments mainly relate to cash receipts from companies that have nevertheless initiated an appeal or still have the option to appeal against the fine decisions at EU courts. A contingent liability is disclosed for the possibility of h</w:t>
      </w:r>
      <w:r>
        <w:t xml:space="preserve">aving to pay back these amounts to the fined companies (see note </w:t>
      </w:r>
      <w:r>
        <w:rPr>
          <w:b/>
        </w:rPr>
        <w:t>4.1.4</w:t>
      </w:r>
      <w:r>
        <w:t>).</w:t>
      </w:r>
    </w:p>
    <w:p w:rsidR="00135552" w:rsidRDefault="004C63B0">
      <w:pPr>
        <w:pStyle w:val="DGTextstand-alone"/>
        <w:rPr>
          <w:lang w:val="en-US"/>
        </w:rPr>
      </w:pPr>
      <w:r>
        <w:t>Fined companies who have launched or are planning to launch an appeal have an option to either make provisional payments or to provide bank guarantees to the Commission. For EUR 11 13</w:t>
      </w:r>
      <w:r>
        <w:t xml:space="preserve">3 million (2018: EUR 9 354 million) of fines not paid at year-end, the Commission has accepted financial guarantees. </w:t>
      </w:r>
    </w:p>
    <w:p w:rsidR="00135552" w:rsidRDefault="004C63B0">
      <w:pPr>
        <w:pStyle w:val="DGTextstand-alone"/>
      </w:pPr>
      <w:r>
        <w:t>The amounts written down due to impairment reflect the Commission's case-by-case assessment of fines amounts not cashed or not covered wit</w:t>
      </w:r>
      <w:r>
        <w:t>h a guarantee, which the Commission expects not to recover.</w:t>
      </w:r>
    </w:p>
    <w:p w:rsidR="00135552" w:rsidRDefault="004C63B0">
      <w:pPr>
        <w:pStyle w:val="DGTextstand-alone"/>
      </w:pPr>
      <w:r>
        <w:t xml:space="preserve">The increase in recoverables from competition fines is mainly due to one significant fine </w:t>
      </w:r>
      <w:r>
        <w:br/>
        <w:t>(EUR 1 494 million) where the company concerned covered the fine with a bank guarantee accepted by the Co</w:t>
      </w:r>
      <w:r>
        <w:t xml:space="preserve">mmission. The remaining increase due to other competition fines raised in the year (EUR 2 597  million) was largely offset by fines which were definitively cashed in 2019 (see note </w:t>
      </w:r>
      <w:r>
        <w:rPr>
          <w:b/>
        </w:rPr>
        <w:t>2.8.1</w:t>
      </w:r>
      <w:r>
        <w:t>).</w:t>
      </w:r>
    </w:p>
    <w:p w:rsidR="00135552" w:rsidRDefault="00135552">
      <w:pPr>
        <w:pStyle w:val="DGTextstand-alone"/>
      </w:pPr>
    </w:p>
    <w:p w:rsidR="00135552" w:rsidRDefault="004C63B0">
      <w:pPr>
        <w:rPr>
          <w:rFonts w:ascii="Verdana" w:hAnsi="Verdana"/>
          <w:noProof/>
          <w:color w:val="016794"/>
          <w:sz w:val="18"/>
          <w:szCs w:val="18"/>
        </w:rPr>
      </w:pPr>
      <w:r>
        <w:rPr>
          <w:noProof/>
        </w:rPr>
        <w:br w:type="page"/>
      </w:r>
    </w:p>
    <w:p w:rsidR="00135552" w:rsidRDefault="004C63B0">
      <w:pPr>
        <w:pStyle w:val="HEADER4NOTES"/>
        <w:rPr>
          <w:noProof/>
        </w:rPr>
      </w:pPr>
      <w:r>
        <w:rPr>
          <w:noProof/>
        </w:rPr>
        <w:t>Accrued income and deferred charges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1787"/>
        <w:gridCol w:w="1787"/>
      </w:tblGrid>
      <w:tr w:rsidR="00135552">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9BIPAIDC"/>
              <w:rPr>
                <w:rFonts w:ascii="Arial" w:eastAsia="Arial" w:hAnsi="Arial" w:cs="Arial"/>
                <w:noProof/>
                <w:color w:val="000000"/>
                <w:lang w:bidi="en-GB"/>
              </w:rPr>
            </w:pPr>
            <w:bookmarkStart w:id="71" w:name="DOC_TBL00030_1_1"/>
            <w:bookmarkEnd w:id="71"/>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9BIPAIDC"/>
              <w:rPr>
                <w:rFonts w:ascii="Arial" w:eastAsia="Arial" w:hAnsi="Arial" w:cs="Arial"/>
                <w:noProof/>
                <w:color w:val="000000"/>
              </w:rPr>
            </w:pP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618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9BIPAIDC"/>
              <w:jc w:val="right"/>
              <w:rPr>
                <w:rFonts w:ascii="Verdana" w:eastAsia="Verdana" w:hAnsi="Verdana" w:cs="Verdana"/>
                <w:noProof/>
                <w:color w:val="FFFFFF"/>
                <w:sz w:val="18"/>
              </w:rPr>
            </w:pP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9BIPAIDC"/>
              <w:jc w:val="right"/>
              <w:rPr>
                <w:rFonts w:ascii="Verdana" w:eastAsia="Verdana" w:hAnsi="Verdana" w:cs="Verdana"/>
                <w:noProof/>
                <w:color w:val="FFFFFF"/>
              </w:rPr>
            </w:pPr>
            <w:r>
              <w:rPr>
                <w:rFonts w:ascii="Verdana" w:eastAsia="Verdana" w:hAnsi="Verdana" w:cs="Verdana"/>
                <w:noProof/>
                <w:color w:val="FFFFFF"/>
              </w:rPr>
              <w:t>31.12.2019</w:t>
            </w: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9BIPAIDC"/>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9BIPAIDC"/>
              <w:rPr>
                <w:rFonts w:ascii="Verdana" w:eastAsia="Verdana" w:hAnsi="Verdana" w:cs="Verdana"/>
                <w:i/>
                <w:noProof/>
                <w:color w:val="000000"/>
                <w:sz w:val="18"/>
              </w:rPr>
            </w:pPr>
            <w:r>
              <w:rPr>
                <w:rFonts w:ascii="Verdana" w:eastAsia="Verdana" w:hAnsi="Verdana" w:cs="Verdana"/>
                <w:i/>
                <w:noProof/>
                <w:color w:val="000000"/>
                <w:sz w:val="18"/>
              </w:rPr>
              <w:t>Accrued income</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00000"/>
                <w:sz w:val="18"/>
              </w:rPr>
            </w:pPr>
            <w:r>
              <w:rPr>
                <w:rFonts w:ascii="Verdana" w:eastAsia="Verdana" w:hAnsi="Verdana" w:cs="Verdana"/>
                <w:i/>
                <w:noProof/>
                <w:color w:val="000000"/>
                <w:sz w:val="18"/>
              </w:rPr>
              <w:t>1 502</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00000"/>
                <w:sz w:val="18"/>
                <w:lang w:bidi="en-GB"/>
              </w:rPr>
            </w:pPr>
            <w:r>
              <w:rPr>
                <w:rFonts w:ascii="Verdana" w:eastAsia="Verdana" w:hAnsi="Verdana" w:cs="Verdana"/>
                <w:i/>
                <w:noProof/>
                <w:color w:val="000000"/>
                <w:sz w:val="18"/>
              </w:rPr>
              <w:t>1 240</w:t>
            </w:r>
          </w:p>
        </w:tc>
      </w:tr>
      <w:tr w:rsidR="00135552">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9BIPAIDC"/>
              <w:rPr>
                <w:rFonts w:ascii="Verdana" w:eastAsia="Verdana" w:hAnsi="Verdana" w:cs="Verdana"/>
                <w:i/>
                <w:noProof/>
                <w:color w:val="000000"/>
                <w:sz w:val="18"/>
              </w:rPr>
            </w:pPr>
            <w:r>
              <w:rPr>
                <w:rFonts w:ascii="Verdana" w:eastAsia="Verdana" w:hAnsi="Verdana" w:cs="Verdana"/>
                <w:i/>
                <w:noProof/>
                <w:color w:val="000000"/>
                <w:sz w:val="18"/>
              </w:rPr>
              <w:t>Deferred charges relating to non-exchange transactions</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00000"/>
                <w:sz w:val="18"/>
              </w:rPr>
            </w:pPr>
            <w:r>
              <w:rPr>
                <w:rFonts w:ascii="Verdana" w:eastAsia="Verdana" w:hAnsi="Verdana" w:cs="Verdana"/>
                <w:i/>
                <w:noProof/>
                <w:color w:val="000000"/>
                <w:sz w:val="18"/>
              </w:rPr>
              <w:t xml:space="preserve"> 286</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272</w:t>
            </w:r>
          </w:p>
        </w:tc>
      </w:tr>
      <w:tr w:rsidR="00135552">
        <w:trPr>
          <w:trHeight w:hRule="exact" w:val="255"/>
        </w:trPr>
        <w:tc>
          <w:tcPr>
            <w:tcW w:w="61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9BIPAIDC"/>
              <w:rPr>
                <w:rFonts w:ascii="Verdana" w:eastAsia="Verdana" w:hAnsi="Verdana" w:cs="Verdana"/>
                <w:b/>
                <w:noProof/>
                <w:color w:val="000000"/>
                <w:sz w:val="18"/>
              </w:rPr>
            </w:pPr>
            <w:r>
              <w:rPr>
                <w:rFonts w:ascii="Verdana" w:eastAsia="Verdana" w:hAnsi="Verdana" w:cs="Verdana"/>
                <w:b/>
                <w:noProof/>
                <w:color w:val="000000"/>
                <w:sz w:val="18"/>
              </w:rPr>
              <w:t>Total</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b/>
                <w:noProof/>
                <w:color w:val="000000"/>
                <w:sz w:val="18"/>
              </w:rPr>
            </w:pPr>
            <w:r>
              <w:rPr>
                <w:rFonts w:ascii="Verdana" w:eastAsia="Verdana" w:hAnsi="Verdana" w:cs="Verdana"/>
                <w:b/>
                <w:noProof/>
                <w:color w:val="000000"/>
                <w:sz w:val="18"/>
              </w:rPr>
              <w:t>1 788</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b/>
                <w:noProof/>
                <w:color w:val="000000"/>
                <w:sz w:val="18"/>
                <w:lang w:bidi="en-GB"/>
              </w:rPr>
            </w:pPr>
            <w:r>
              <w:rPr>
                <w:rFonts w:ascii="Verdana" w:eastAsia="Verdana" w:hAnsi="Verdana" w:cs="Verdana"/>
                <w:b/>
                <w:noProof/>
                <w:color w:val="000000"/>
                <w:sz w:val="18"/>
              </w:rPr>
              <w:t>1 511</w:t>
            </w:r>
          </w:p>
        </w:tc>
      </w:tr>
      <w:tr w:rsidR="00135552">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9BIPAIDC"/>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16794"/>
                <w:sz w:val="18"/>
                <w:lang w:bidi="en-GB"/>
              </w:rPr>
            </w:pPr>
            <w:r>
              <w:rPr>
                <w:rFonts w:ascii="Verdana" w:eastAsia="Verdana" w:hAnsi="Verdana" w:cs="Verdana"/>
                <w:i/>
                <w:noProof/>
                <w:color w:val="016794"/>
                <w:sz w:val="18"/>
              </w:rPr>
              <w:t>–</w:t>
            </w:r>
          </w:p>
        </w:tc>
      </w:tr>
      <w:tr w:rsidR="00135552">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9BIPAIDC"/>
              <w:rPr>
                <w:rFonts w:ascii="Verdana" w:eastAsia="Verdana" w:hAnsi="Verdana" w:cs="Verdana"/>
                <w:i/>
                <w:noProof/>
                <w:color w:val="016794"/>
                <w:sz w:val="18"/>
              </w:rPr>
            </w:pPr>
            <w:r>
              <w:rPr>
                <w:rFonts w:ascii="Verdana" w:eastAsia="Verdana" w:hAnsi="Verdana" w:cs="Verdana"/>
                <w:i/>
                <w:noProof/>
                <w:color w:val="016794"/>
                <w:sz w:val="18"/>
              </w:rPr>
              <w:t>Current</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16794"/>
                <w:sz w:val="18"/>
              </w:rPr>
            </w:pPr>
            <w:r>
              <w:rPr>
                <w:rFonts w:ascii="Verdana" w:eastAsia="Verdana" w:hAnsi="Verdana" w:cs="Verdana"/>
                <w:i/>
                <w:noProof/>
                <w:color w:val="016794"/>
                <w:sz w:val="18"/>
              </w:rPr>
              <w:t>1 788</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9BIPAIDC"/>
              <w:jc w:val="right"/>
              <w:rPr>
                <w:rFonts w:ascii="Verdana" w:eastAsia="Verdana" w:hAnsi="Verdana" w:cs="Verdana"/>
                <w:i/>
                <w:noProof/>
                <w:color w:val="016794"/>
                <w:sz w:val="18"/>
              </w:rPr>
            </w:pPr>
            <w:r>
              <w:rPr>
                <w:rFonts w:ascii="Verdana" w:eastAsia="Verdana" w:hAnsi="Verdana" w:cs="Verdana"/>
                <w:i/>
                <w:noProof/>
                <w:color w:val="016794"/>
                <w:sz w:val="18"/>
              </w:rPr>
              <w:t>1 511</w:t>
            </w:r>
          </w:p>
        </w:tc>
      </w:tr>
    </w:tbl>
    <w:p w:rsidR="00135552" w:rsidRDefault="004C63B0">
      <w:pPr>
        <w:pStyle w:val="DGTextstand-alone"/>
        <w:rPr>
          <w:color w:val="000000" w:themeColor="text1"/>
        </w:rPr>
      </w:pPr>
      <w:r>
        <w:rPr>
          <w:color w:val="000000" w:themeColor="text1"/>
        </w:rPr>
        <w:t xml:space="preserve">Accrued income includes EUR 1.4 billion (2018: EUR 1.1 billion) that the Commission expects to recover from the Member States in the area of cohesion. The recovery will be made as a result of the examination and acceptance of the annual accounts submitted </w:t>
      </w:r>
      <w:r>
        <w:rPr>
          <w:color w:val="000000" w:themeColor="text1"/>
        </w:rPr>
        <w:t xml:space="preserve">by the Member States in early 2020. This procedure for the acceptance of Member States' annual accounts was introduced in the cohesion area for the programming period 2014-2020. </w:t>
      </w:r>
    </w:p>
    <w:p w:rsidR="00135552" w:rsidRDefault="004C63B0">
      <w:pPr>
        <w:pStyle w:val="HEADER3NOTES"/>
        <w:rPr>
          <w:noProof/>
        </w:rPr>
      </w:pPr>
      <w:r>
        <w:rPr>
          <w:noProof/>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RET"/>
              <w:rPr>
                <w:rFonts w:ascii="Arial" w:eastAsia="Arial" w:hAnsi="Arial" w:cs="Arial"/>
                <w:noProof/>
                <w:color w:val="000000"/>
                <w:lang w:bidi="en-GB"/>
              </w:rPr>
            </w:pPr>
            <w:bookmarkStart w:id="72" w:name="DOC_TBL00031_1_1"/>
            <w:bookmarkEnd w:id="72"/>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17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7BIPRET"/>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RET"/>
              <w:jc w:val="right"/>
              <w:rPr>
                <w:rFonts w:ascii="Verdana" w:eastAsia="Verdana" w:hAnsi="Verdana" w:cs="Verdana"/>
                <w:noProof/>
                <w:color w:val="FFFFFF"/>
              </w:rPr>
            </w:pPr>
            <w:r>
              <w:rPr>
                <w:rFonts w:ascii="Verdana" w:eastAsia="Verdana" w:hAnsi="Verdana" w:cs="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7BIPRET"/>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ET"/>
              <w:rPr>
                <w:rFonts w:ascii="Verdana" w:eastAsia="Verdana" w:hAnsi="Verdana" w:cs="Verdana"/>
                <w:b/>
                <w:noProof/>
                <w:color w:val="000000"/>
                <w:sz w:val="18"/>
                <w:lang w:bidi="en-GB"/>
              </w:rPr>
            </w:pP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Late payment interest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1 137</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Other receivables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 xml:space="preserve"> 48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19</w:t>
            </w:r>
          </w:p>
        </w:tc>
      </w:tr>
      <w:tr w:rsidR="00135552">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rPr>
            </w:pPr>
            <w:r>
              <w:rPr>
                <w:rFonts w:ascii="Verdana" w:eastAsia="Verdana" w:hAnsi="Verdana" w:cs="Verdana"/>
                <w:b/>
                <w:noProof/>
                <w:color w:val="000000"/>
                <w:sz w:val="18"/>
              </w:rPr>
              <w:t>1 185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19</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b/>
                <w:noProof/>
                <w:color w:val="000000"/>
                <w:sz w:val="18"/>
              </w:rPr>
            </w:pPr>
            <w:r>
              <w:rPr>
                <w:rFonts w:ascii="Verdana" w:eastAsia="Verdana" w:hAnsi="Verdana" w:cs="Verdana"/>
                <w:b/>
                <w:noProof/>
                <w:color w:val="000000"/>
                <w:sz w:val="18"/>
              </w:rPr>
              <w:t>Current</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7BIPRET"/>
              <w:rPr>
                <w:rFonts w:ascii="Verdana" w:eastAsia="Verdana" w:hAnsi="Verdana" w:cs="Verdana"/>
                <w:b/>
                <w:noProof/>
                <w:color w:val="000000"/>
                <w:sz w:val="18"/>
                <w:lang w:bidi="en-GB"/>
              </w:rPr>
            </w:pP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Customers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 xml:space="preserve"> 269</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232</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Impairment on receivables from customers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 xml:space="preserve"> (153)</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(143)</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Deferred charges relating to exchange transactions</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 xml:space="preserve"> 238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243</w:t>
            </w:r>
          </w:p>
        </w:tc>
      </w:tr>
      <w:tr w:rsidR="00135552">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i/>
                <w:noProof/>
                <w:color w:val="000000"/>
                <w:sz w:val="18"/>
              </w:rPr>
            </w:pPr>
            <w:r>
              <w:rPr>
                <w:rFonts w:ascii="Verdana" w:eastAsia="Verdana" w:hAnsi="Verdana" w:cs="Verdana"/>
                <w:i/>
                <w:noProof/>
                <w:color w:val="000000"/>
                <w:sz w:val="18"/>
              </w:rPr>
              <w:t>Other</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rPr>
            </w:pPr>
            <w:r>
              <w:rPr>
                <w:rFonts w:ascii="Verdana" w:eastAsia="Verdana" w:hAnsi="Verdana" w:cs="Verdana"/>
                <w:i/>
                <w:noProof/>
                <w:color w:val="000000"/>
                <w:sz w:val="18"/>
              </w:rPr>
              <w:t xml:space="preserve"> 684</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i/>
                <w:noProof/>
                <w:color w:val="000000"/>
                <w:sz w:val="18"/>
                <w:lang w:bidi="en-GB"/>
              </w:rPr>
            </w:pPr>
            <w:r>
              <w:rPr>
                <w:rFonts w:ascii="Verdana" w:eastAsia="Verdana" w:hAnsi="Verdana" w:cs="Verdana"/>
                <w:i/>
                <w:noProof/>
                <w:color w:val="000000"/>
                <w:sz w:val="18"/>
              </w:rPr>
              <w:t>1 704</w:t>
            </w:r>
          </w:p>
        </w:tc>
      </w:tr>
      <w:tr w:rsidR="00135552">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rPr>
            </w:pPr>
            <w:r>
              <w:rPr>
                <w:rFonts w:ascii="Verdana" w:eastAsia="Verdana" w:hAnsi="Verdana" w:cs="Verdana"/>
                <w:b/>
                <w:noProof/>
                <w:color w:val="000000"/>
                <w:sz w:val="18"/>
              </w:rPr>
              <w:t>1</w:t>
            </w:r>
            <w:r>
              <w:rPr>
                <w:rFonts w:ascii="Verdana" w:eastAsia="Verdana" w:hAnsi="Verdana" w:cs="Verdana"/>
                <w:b/>
                <w:noProof/>
                <w:color w:val="000000"/>
                <w:sz w:val="18"/>
              </w:rPr>
              <w:t xml:space="preserve"> 038</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lang w:bidi="en-GB"/>
              </w:rPr>
            </w:pPr>
            <w:r>
              <w:rPr>
                <w:rFonts w:ascii="Verdana" w:eastAsia="Verdana" w:hAnsi="Verdana" w:cs="Verdana"/>
                <w:b/>
                <w:noProof/>
                <w:color w:val="000000"/>
                <w:sz w:val="18"/>
              </w:rPr>
              <w:t>2 036</w:t>
            </w:r>
          </w:p>
        </w:tc>
      </w:tr>
      <w:tr w:rsidR="00135552">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17BIPRET"/>
              <w:rPr>
                <w:rFonts w:ascii="Verdana" w:eastAsia="Verdana" w:hAnsi="Verdana" w:cs="Verdana"/>
                <w:b/>
                <w:noProof/>
                <w:color w:val="000000"/>
                <w:sz w:val="18"/>
              </w:rPr>
            </w:pPr>
            <w:r>
              <w:rPr>
                <w:rFonts w:ascii="Verdana" w:eastAsia="Verdana" w:hAnsi="Verdana" w:cs="Verdana"/>
                <w:b/>
                <w:noProof/>
                <w:color w:val="000000"/>
                <w:sz w:val="18"/>
              </w:rPr>
              <w:t>Total</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rPr>
            </w:pPr>
            <w:r>
              <w:rPr>
                <w:rFonts w:ascii="Verdana" w:eastAsia="Verdana" w:hAnsi="Verdana" w:cs="Verdana"/>
                <w:b/>
                <w:noProof/>
                <w:color w:val="000000"/>
                <w:sz w:val="18"/>
              </w:rPr>
              <w:t>2 223</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17BIPRET"/>
              <w:jc w:val="right"/>
              <w:rPr>
                <w:rFonts w:ascii="Verdana" w:eastAsia="Verdana" w:hAnsi="Verdana" w:cs="Verdana"/>
                <w:b/>
                <w:noProof/>
                <w:color w:val="000000"/>
                <w:sz w:val="18"/>
              </w:rPr>
            </w:pPr>
            <w:r>
              <w:rPr>
                <w:rFonts w:ascii="Verdana" w:eastAsia="Verdana" w:hAnsi="Verdana" w:cs="Verdana"/>
                <w:b/>
                <w:noProof/>
                <w:color w:val="000000"/>
                <w:sz w:val="18"/>
              </w:rPr>
              <w:t>2 055</w:t>
            </w:r>
          </w:p>
        </w:tc>
      </w:tr>
    </w:tbl>
    <w:p w:rsidR="00135552" w:rsidRDefault="00135552">
      <w:pPr>
        <w:pStyle w:val="DGTextstand-alone"/>
        <w:spacing w:before="0" w:after="0"/>
        <w:rPr>
          <w:lang w:bidi="en-GB"/>
        </w:rPr>
      </w:pPr>
    </w:p>
    <w:p w:rsidR="00135552" w:rsidRDefault="004C63B0">
      <w:pPr>
        <w:pStyle w:val="DGTextstand-alone"/>
        <w:spacing w:before="0" w:after="0"/>
      </w:pPr>
      <w:r>
        <w:t xml:space="preserve">The non-current late payment interest concerns the infringement case mentioned in note </w:t>
      </w:r>
      <w:r>
        <w:rPr>
          <w:b/>
        </w:rPr>
        <w:t>2.6.1.1</w:t>
      </w:r>
      <w:r>
        <w:t>. In 2018 this interest had been shown under current.</w:t>
      </w:r>
    </w:p>
    <w:p w:rsidR="00135552" w:rsidRDefault="00135552">
      <w:pPr>
        <w:pStyle w:val="DGTextstand-alone"/>
        <w:spacing w:before="0" w:after="0"/>
      </w:pPr>
    </w:p>
    <w:p w:rsidR="00135552" w:rsidRDefault="004C63B0">
      <w:pPr>
        <w:rPr>
          <w:rFonts w:ascii="Verdana" w:eastAsia="Calibri" w:hAnsi="Verdana"/>
          <w:noProof/>
          <w:sz w:val="18"/>
          <w:szCs w:val="18"/>
        </w:rPr>
      </w:pPr>
      <w:r>
        <w:rPr>
          <w:rFonts w:ascii="Verdana" w:eastAsia="Calibri" w:hAnsi="Verdana"/>
          <w:noProof/>
          <w:sz w:val="18"/>
          <w:szCs w:val="18"/>
        </w:rPr>
        <w:t>The other current receivables mainly relate to late payment interests. The decrease in 2019 is primarily due to the classification as non-current of the interest relating to the infringment case and the downwards adjustment of TOR inspection reports (see n</w:t>
      </w:r>
      <w:r>
        <w:rPr>
          <w:rFonts w:ascii="Verdana" w:eastAsia="Calibri" w:hAnsi="Verdana"/>
          <w:noProof/>
          <w:sz w:val="18"/>
          <w:szCs w:val="18"/>
        </w:rPr>
        <w:t xml:space="preserve">ote </w:t>
      </w:r>
      <w:r>
        <w:rPr>
          <w:rFonts w:ascii="Verdana" w:eastAsia="Calibri" w:hAnsi="Verdana"/>
          <w:b/>
          <w:noProof/>
          <w:sz w:val="18"/>
          <w:szCs w:val="18"/>
        </w:rPr>
        <w:t>2.6.1.1</w:t>
      </w:r>
      <w:r>
        <w:rPr>
          <w:rFonts w:ascii="Verdana" w:eastAsia="Calibri" w:hAnsi="Verdana"/>
          <w:noProof/>
          <w:sz w:val="18"/>
          <w:szCs w:val="18"/>
        </w:rPr>
        <w:t>).</w:t>
      </w:r>
    </w:p>
    <w:bookmarkEnd w:id="66"/>
    <w:p w:rsidR="00135552" w:rsidRDefault="00135552">
      <w:pPr>
        <w:pStyle w:val="DGTextstand-alone"/>
        <w:spacing w:before="0" w:after="0"/>
        <w:sectPr w:rsidR="00135552">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rsidR="00135552" w:rsidRDefault="004C63B0">
      <w:pPr>
        <w:pStyle w:val="HEADER2NOTES"/>
        <w:rPr>
          <w:noProof/>
          <w:lang w:val="fr-BE"/>
        </w:rPr>
      </w:pPr>
      <w:bookmarkStart w:id="73" w:name="_DMBM_17121"/>
      <w:r>
        <w:rPr>
          <w:noProof/>
          <w:lang w:val="fr-BE"/>
        </w:rPr>
        <w:t xml:space="preserve">INVENTORIES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2392"/>
        <w:gridCol w:w="2392"/>
      </w:tblGrid>
      <w:tr w:rsidR="00135552">
        <w:trPr>
          <w:trHeight w:val="255"/>
        </w:trPr>
        <w:tc>
          <w:tcPr>
            <w:tcW w:w="497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2BIPINV"/>
              <w:rPr>
                <w:rFonts w:ascii="Arial" w:eastAsia="Arial" w:hAnsi="Arial" w:cs="Arial"/>
                <w:noProof/>
                <w:color w:val="000000"/>
                <w:lang w:bidi="en-GB"/>
              </w:rPr>
            </w:pPr>
            <w:bookmarkStart w:id="74" w:name="DOC_TBL00032_1_1"/>
            <w:bookmarkEnd w:id="74"/>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2BIPINV"/>
              <w:rPr>
                <w:rFonts w:ascii="Arial" w:eastAsia="Arial" w:hAnsi="Arial" w:cs="Arial"/>
                <w:noProof/>
                <w:color w:val="000000"/>
              </w:rPr>
            </w:pPr>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2BIPINV"/>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97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2BIPINV"/>
              <w:jc w:val="right"/>
              <w:rPr>
                <w:rFonts w:ascii="Verdana" w:eastAsia="Verdana" w:hAnsi="Verdana" w:cs="Verdana"/>
                <w:noProof/>
                <w:color w:val="FFFFFF"/>
                <w:sz w:val="18"/>
              </w:rPr>
            </w:pP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2BIPINV"/>
              <w:jc w:val="right"/>
              <w:rPr>
                <w:rFonts w:ascii="Verdana" w:eastAsia="Verdana" w:hAnsi="Verdana" w:cs="Verdana"/>
                <w:noProof/>
                <w:color w:val="FFFFFF"/>
              </w:rPr>
            </w:pPr>
            <w:r>
              <w:rPr>
                <w:rFonts w:ascii="Verdana" w:eastAsia="Verdana" w:hAnsi="Verdana" w:cs="Verdana"/>
                <w:noProof/>
                <w:color w:val="FFFFFF"/>
              </w:rPr>
              <w:t>31.12.2019</w:t>
            </w: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2BIPINV"/>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2BIPINV"/>
              <w:rPr>
                <w:rFonts w:ascii="Verdana" w:eastAsia="Verdana" w:hAnsi="Verdana" w:cs="Verdana"/>
                <w:i/>
                <w:noProof/>
                <w:color w:val="000000"/>
                <w:sz w:val="18"/>
              </w:rPr>
            </w:pPr>
            <w:r>
              <w:rPr>
                <w:rFonts w:ascii="Verdana" w:eastAsia="Verdana" w:hAnsi="Verdana" w:cs="Verdana"/>
                <w:i/>
                <w:noProof/>
                <w:color w:val="000000"/>
                <w:sz w:val="18"/>
              </w:rPr>
              <w:t>Scientific materials</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2BIPINV"/>
              <w:jc w:val="right"/>
              <w:rPr>
                <w:rFonts w:ascii="Verdana" w:eastAsia="Verdana" w:hAnsi="Verdana" w:cs="Verdana"/>
                <w:i/>
                <w:noProof/>
                <w:color w:val="000000"/>
                <w:sz w:val="18"/>
              </w:rPr>
            </w:pPr>
            <w:r>
              <w:rPr>
                <w:rFonts w:ascii="Verdana" w:eastAsia="Verdana" w:hAnsi="Verdana" w:cs="Verdana"/>
                <w:i/>
                <w:noProof/>
                <w:color w:val="000000"/>
                <w:sz w:val="18"/>
              </w:rPr>
              <w:t xml:space="preserve"> 47</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2BIPIN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52</w:t>
            </w:r>
          </w:p>
        </w:tc>
      </w:tr>
      <w:tr w:rsidR="00135552">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2BIPINV"/>
              <w:rPr>
                <w:rFonts w:ascii="Verdana" w:eastAsia="Verdana" w:hAnsi="Verdana" w:cs="Verdana"/>
                <w:i/>
                <w:noProof/>
                <w:color w:val="000000"/>
                <w:sz w:val="18"/>
              </w:rPr>
            </w:pPr>
            <w:r>
              <w:rPr>
                <w:rFonts w:ascii="Verdana" w:eastAsia="Verdana" w:hAnsi="Verdana" w:cs="Verdana"/>
                <w:i/>
                <w:noProof/>
                <w:color w:val="000000"/>
                <w:sz w:val="18"/>
              </w:rPr>
              <w:t>Other</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2BIPINV"/>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2BIPIN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21</w:t>
            </w:r>
          </w:p>
        </w:tc>
      </w:tr>
      <w:tr w:rsidR="00135552">
        <w:trPr>
          <w:trHeight w:val="255"/>
        </w:trPr>
        <w:tc>
          <w:tcPr>
            <w:tcW w:w="497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2BIPINV"/>
              <w:rPr>
                <w:rFonts w:ascii="Verdana" w:eastAsia="Verdana" w:hAnsi="Verdana" w:cs="Verdana"/>
                <w:b/>
                <w:noProof/>
                <w:color w:val="000000"/>
                <w:sz w:val="18"/>
              </w:rPr>
            </w:pPr>
            <w:r>
              <w:rPr>
                <w:rFonts w:ascii="Verdana" w:eastAsia="Verdana" w:hAnsi="Verdana" w:cs="Verdana"/>
                <w:b/>
                <w:noProof/>
                <w:color w:val="000000"/>
                <w:sz w:val="18"/>
              </w:rPr>
              <w:t>Total</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2BIPINV"/>
              <w:jc w:val="right"/>
              <w:rPr>
                <w:rFonts w:ascii="Verdana" w:eastAsia="Verdana" w:hAnsi="Verdana" w:cs="Verdana"/>
                <w:b/>
                <w:noProof/>
                <w:color w:val="000000"/>
                <w:sz w:val="18"/>
              </w:rPr>
            </w:pPr>
            <w:r>
              <w:rPr>
                <w:rFonts w:ascii="Verdana" w:eastAsia="Verdana" w:hAnsi="Verdana" w:cs="Verdana"/>
                <w:b/>
                <w:noProof/>
                <w:color w:val="000000"/>
                <w:sz w:val="18"/>
              </w:rPr>
              <w:t xml:space="preserve"> 68</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2BIPINV"/>
              <w:jc w:val="right"/>
              <w:rPr>
                <w:rFonts w:ascii="Verdana" w:eastAsia="Verdana" w:hAnsi="Verdana" w:cs="Verdana"/>
                <w:b/>
                <w:noProof/>
                <w:color w:val="000000"/>
                <w:sz w:val="18"/>
              </w:rPr>
            </w:pPr>
            <w:r>
              <w:rPr>
                <w:rFonts w:ascii="Verdana" w:eastAsia="Verdana" w:hAnsi="Verdana" w:cs="Verdana"/>
                <w:b/>
                <w:noProof/>
                <w:color w:val="000000"/>
                <w:sz w:val="18"/>
              </w:rPr>
              <w:t xml:space="preserve"> 73</w:t>
            </w:r>
          </w:p>
        </w:tc>
      </w:tr>
    </w:tbl>
    <w:p w:rsidR="00135552" w:rsidRDefault="004C63B0">
      <w:pPr>
        <w:pStyle w:val="Textstand-alone"/>
        <w:spacing w:before="0" w:after="0"/>
        <w:rPr>
          <w:lang w:val="fr-BE"/>
        </w:rPr>
        <w:sectPr w:rsidR="00135552">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rPr>
          <w:lang w:val="fr-BE"/>
        </w:rPr>
        <w:t xml:space="preserve"> </w:t>
      </w:r>
      <w:bookmarkEnd w:id="73"/>
    </w:p>
    <w:p w:rsidR="00135552" w:rsidRDefault="004C63B0">
      <w:pPr>
        <w:rPr>
          <w:rFonts w:ascii="Verdana" w:hAnsi="Verdana"/>
          <w:b/>
          <w:noProof/>
          <w:color w:val="016794"/>
          <w:sz w:val="28"/>
          <w:szCs w:val="28"/>
        </w:rPr>
      </w:pPr>
      <w:bookmarkStart w:id="75" w:name="_DMBM_17146"/>
      <w:r>
        <w:rPr>
          <w:noProof/>
        </w:rPr>
        <w:br w:type="page"/>
      </w:r>
    </w:p>
    <w:p w:rsidR="00135552" w:rsidRDefault="004C63B0">
      <w:pPr>
        <w:pStyle w:val="HEADER2NOTES"/>
        <w:rPr>
          <w:noProof/>
        </w:rPr>
      </w:pPr>
      <w:r>
        <w:rPr>
          <w:noProof/>
        </w:rPr>
        <w:t>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6"/>
        <w:gridCol w:w="1226"/>
        <w:gridCol w:w="1288"/>
        <w:gridCol w:w="1288"/>
      </w:tblGrid>
      <w:tr w:rsidR="00135552">
        <w:trPr>
          <w:trHeight w:val="255"/>
        </w:trPr>
        <w:tc>
          <w:tcPr>
            <w:tcW w:w="595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3BIPCCE"/>
              <w:rPr>
                <w:rFonts w:ascii="Arial" w:eastAsia="Arial" w:hAnsi="Arial" w:cs="Arial"/>
                <w:noProof/>
                <w:color w:val="000000"/>
                <w:lang w:bidi="en-GB"/>
              </w:rPr>
            </w:pPr>
            <w:bookmarkStart w:id="76" w:name="DOC_TBL00033_1_1"/>
            <w:bookmarkEnd w:id="76"/>
          </w:p>
        </w:tc>
        <w:tc>
          <w:tcPr>
            <w:tcW w:w="122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3BIPCC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95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3BIPCCE"/>
              <w:jc w:val="right"/>
              <w:rPr>
                <w:rFonts w:ascii="Verdana" w:eastAsia="Verdana" w:hAnsi="Verdana" w:cs="Verdana"/>
                <w:noProof/>
                <w:color w:val="FFFFFF"/>
              </w:rPr>
            </w:pP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3BIPCCE"/>
              <w:jc w:val="center"/>
              <w:rPr>
                <w:rFonts w:ascii="Verdana" w:eastAsia="Verdana" w:hAnsi="Verdana" w:cs="Verdana"/>
                <w:noProof/>
                <w:color w:val="FFFFFF"/>
              </w:rPr>
            </w:pPr>
            <w:r>
              <w:rPr>
                <w:rFonts w:ascii="Verdana" w:eastAsia="Verdana" w:hAnsi="Verdana" w:cs="Verdana"/>
                <w:noProof/>
                <w:color w:val="FFFFFF"/>
              </w:rPr>
              <w:t>Note</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3BIPCCE"/>
              <w:jc w:val="right"/>
              <w:rPr>
                <w:rFonts w:ascii="Verdana" w:eastAsia="Verdana" w:hAnsi="Verdana" w:cs="Verdana"/>
                <w:noProof/>
                <w:color w:val="FFFFFF"/>
              </w:rPr>
            </w:pPr>
            <w:r>
              <w:rPr>
                <w:rFonts w:ascii="Verdana" w:eastAsia="Verdana" w:hAnsi="Verdana" w:cs="Verdana"/>
                <w:noProof/>
                <w:color w:val="FFFFFF"/>
              </w:rPr>
              <w:t>31.12.2019</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3BIPCCE"/>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Accounts with Treasuries and Central Banks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rPr>
            </w:pPr>
            <w:r>
              <w:rPr>
                <w:rFonts w:ascii="Verdana" w:eastAsia="Verdana" w:hAnsi="Verdana" w:cs="Verdana"/>
                <w:i/>
                <w:noProof/>
                <w:color w:val="000000"/>
                <w:sz w:val="18"/>
              </w:rPr>
              <w:t>15 519</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lang w:bidi="en-GB"/>
              </w:rPr>
            </w:pPr>
            <w:r>
              <w:rPr>
                <w:rFonts w:ascii="Verdana" w:eastAsia="Verdana" w:hAnsi="Verdana" w:cs="Verdana"/>
                <w:i/>
                <w:noProof/>
                <w:color w:val="000000"/>
                <w:sz w:val="18"/>
              </w:rPr>
              <w:t>12 932</w:t>
            </w:r>
          </w:p>
        </w:tc>
      </w:tr>
      <w:tr w:rsidR="00135552">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Current accounts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rPr>
            </w:pPr>
            <w:r>
              <w:rPr>
                <w:rFonts w:ascii="Verdana" w:eastAsia="Verdana" w:hAnsi="Verdana" w:cs="Verdana"/>
                <w:i/>
                <w:noProof/>
                <w:color w:val="000000"/>
                <w:sz w:val="18"/>
              </w:rPr>
              <w:t xml:space="preserve"> 91</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79</w:t>
            </w:r>
          </w:p>
        </w:tc>
      </w:tr>
      <w:tr w:rsidR="00135552">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Imprest accounts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w:t>
            </w:r>
          </w:p>
        </w:tc>
      </w:tr>
      <w:tr w:rsidR="00135552">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Transfers (cash in transit)</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0</w:t>
            </w:r>
          </w:p>
        </w:tc>
      </w:tr>
      <w:tr w:rsidR="00135552">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Bank accounts for budget implementation</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center"/>
              <w:rPr>
                <w:rFonts w:ascii="Verdana" w:eastAsia="Verdana" w:hAnsi="Verdana" w:cs="Verdana"/>
                <w:i/>
                <w:noProof/>
                <w:color w:val="000000"/>
                <w:sz w:val="18"/>
              </w:rPr>
            </w:pPr>
            <w:r>
              <w:rPr>
                <w:rFonts w:ascii="Verdana" w:eastAsia="Verdana" w:hAnsi="Verdana" w:cs="Verdana"/>
                <w:i/>
                <w:noProof/>
                <w:color w:val="000000"/>
                <w:sz w:val="18"/>
              </w:rPr>
              <w:t>2.8.1</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15 617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lang w:bidi="en-GB"/>
              </w:rPr>
            </w:pPr>
            <w:r>
              <w:rPr>
                <w:rFonts w:ascii="Verdana" w:eastAsia="Verdana" w:hAnsi="Verdana" w:cs="Verdana"/>
                <w:b/>
                <w:noProof/>
                <w:color w:val="000000"/>
                <w:sz w:val="18"/>
              </w:rPr>
              <w:t>13 017</w:t>
            </w:r>
          </w:p>
        </w:tc>
      </w:tr>
      <w:tr w:rsidR="00135552">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Cash belonging to financial instruments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center"/>
              <w:rPr>
                <w:rFonts w:ascii="Verdana" w:eastAsia="Verdana" w:hAnsi="Verdana" w:cs="Verdana"/>
                <w:i/>
                <w:noProof/>
                <w:color w:val="000000"/>
                <w:sz w:val="18"/>
              </w:rPr>
            </w:pPr>
            <w:r>
              <w:rPr>
                <w:rFonts w:ascii="Verdana" w:eastAsia="Verdana" w:hAnsi="Verdana" w:cs="Verdana"/>
                <w:i/>
                <w:noProof/>
                <w:color w:val="000000"/>
                <w:sz w:val="18"/>
              </w:rPr>
              <w:t>2.8.2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1 567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lang w:bidi="en-GB"/>
              </w:rPr>
            </w:pPr>
            <w:r>
              <w:rPr>
                <w:rFonts w:ascii="Verdana" w:eastAsia="Verdana" w:hAnsi="Verdana" w:cs="Verdana"/>
                <w:b/>
                <w:noProof/>
                <w:color w:val="000000"/>
                <w:sz w:val="18"/>
              </w:rPr>
              <w:t>2 377</w:t>
            </w:r>
          </w:p>
        </w:tc>
      </w:tr>
      <w:tr w:rsidR="00135552">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Cash relating to fines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center"/>
              <w:rPr>
                <w:rFonts w:ascii="Verdana" w:eastAsia="Verdana" w:hAnsi="Verdana" w:cs="Verdana"/>
                <w:i/>
                <w:noProof/>
                <w:color w:val="000000"/>
                <w:sz w:val="18"/>
              </w:rPr>
            </w:pPr>
            <w:r>
              <w:rPr>
                <w:rFonts w:ascii="Verdana" w:eastAsia="Verdana" w:hAnsi="Verdana" w:cs="Verdana"/>
                <w:i/>
                <w:noProof/>
                <w:color w:val="000000"/>
                <w:sz w:val="18"/>
              </w:rPr>
              <w:t>2.8.3</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1 258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lang w:bidi="en-GB"/>
              </w:rPr>
            </w:pPr>
            <w:r>
              <w:rPr>
                <w:rFonts w:ascii="Verdana" w:eastAsia="Verdana" w:hAnsi="Verdana" w:cs="Verdana"/>
                <w:b/>
                <w:noProof/>
                <w:color w:val="000000"/>
                <w:sz w:val="18"/>
              </w:rPr>
              <w:t>1 438</w:t>
            </w:r>
          </w:p>
        </w:tc>
      </w:tr>
      <w:tr w:rsidR="00135552">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 xml:space="preserve">Cash relating to other institutions, agencies and </w:t>
            </w:r>
            <w:r>
              <w:rPr>
                <w:rFonts w:ascii="Verdana" w:eastAsia="Verdana" w:hAnsi="Verdana" w:cs="Verdana"/>
                <w:i/>
                <w:noProof/>
                <w:color w:val="000000"/>
                <w:sz w:val="18"/>
              </w:rPr>
              <w:t>bodies</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1 208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lang w:bidi="en-GB"/>
              </w:rPr>
            </w:pPr>
            <w:r>
              <w:rPr>
                <w:rFonts w:ascii="Verdana" w:eastAsia="Verdana" w:hAnsi="Verdana" w:cs="Verdana"/>
                <w:b/>
                <w:noProof/>
                <w:color w:val="000000"/>
                <w:sz w:val="18"/>
              </w:rPr>
              <w:t>1 167</w:t>
            </w:r>
          </w:p>
        </w:tc>
      </w:tr>
      <w:tr w:rsidR="00135552">
        <w:trPr>
          <w:trHeight w:val="255"/>
        </w:trPr>
        <w:tc>
          <w:tcPr>
            <w:tcW w:w="595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3BIPCCE"/>
              <w:rPr>
                <w:rFonts w:ascii="Verdana" w:eastAsia="Verdana" w:hAnsi="Verdana" w:cs="Verdana"/>
                <w:i/>
                <w:noProof/>
                <w:color w:val="000000"/>
                <w:sz w:val="18"/>
              </w:rPr>
            </w:pPr>
            <w:r>
              <w:rPr>
                <w:rFonts w:ascii="Verdana" w:eastAsia="Verdana" w:hAnsi="Verdana" w:cs="Verdana"/>
                <w:i/>
                <w:noProof/>
                <w:color w:val="000000"/>
                <w:sz w:val="18"/>
              </w:rPr>
              <w:t>Cash relating to trust funds</w:t>
            </w:r>
          </w:p>
        </w:tc>
        <w:tc>
          <w:tcPr>
            <w:tcW w:w="122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 xml:space="preserve"> 97</w:t>
            </w: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114</w:t>
            </w:r>
          </w:p>
        </w:tc>
      </w:tr>
      <w:tr w:rsidR="00135552">
        <w:trPr>
          <w:trHeight w:val="255"/>
        </w:trPr>
        <w:tc>
          <w:tcPr>
            <w:tcW w:w="5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3BIPCCE"/>
              <w:rPr>
                <w:rFonts w:ascii="Verdana" w:eastAsia="Verdana" w:hAnsi="Verdana" w:cs="Verdana"/>
                <w:b/>
                <w:noProof/>
                <w:color w:val="000000"/>
                <w:sz w:val="18"/>
              </w:rPr>
            </w:pPr>
            <w:r>
              <w:rPr>
                <w:rFonts w:ascii="Verdana" w:eastAsia="Verdana" w:hAnsi="Verdana" w:cs="Verdana"/>
                <w:b/>
                <w:noProof/>
                <w:color w:val="000000"/>
                <w:sz w:val="18"/>
              </w:rPr>
              <w:t>Total</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3BIPCCE"/>
              <w:rPr>
                <w:rFonts w:ascii="Verdana" w:eastAsia="Verdana" w:hAnsi="Verdana" w:cs="Verdana"/>
                <w:b/>
                <w:noProof/>
                <w:color w:val="000000"/>
                <w:sz w:val="18"/>
              </w:rPr>
            </w:pP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19 745</w:t>
            </w: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3BIPCCE"/>
              <w:jc w:val="right"/>
              <w:rPr>
                <w:rFonts w:ascii="Verdana" w:eastAsia="Verdana" w:hAnsi="Verdana" w:cs="Verdana"/>
                <w:b/>
                <w:noProof/>
                <w:color w:val="000000"/>
                <w:sz w:val="18"/>
              </w:rPr>
            </w:pPr>
            <w:r>
              <w:rPr>
                <w:rFonts w:ascii="Verdana" w:eastAsia="Verdana" w:hAnsi="Verdana" w:cs="Verdana"/>
                <w:b/>
                <w:noProof/>
                <w:color w:val="000000"/>
                <w:sz w:val="18"/>
              </w:rPr>
              <w:t>18 113</w:t>
            </w:r>
          </w:p>
        </w:tc>
      </w:tr>
    </w:tbl>
    <w:p w:rsidR="00135552" w:rsidRDefault="00135552">
      <w:pPr>
        <w:rPr>
          <w:rFonts w:ascii="Verdana" w:hAnsi="Verdana"/>
          <w:noProof/>
          <w:color w:val="016794"/>
          <w:sz w:val="20"/>
          <w:szCs w:val="20"/>
        </w:rPr>
      </w:pPr>
    </w:p>
    <w:p w:rsidR="00135552" w:rsidRDefault="004C63B0">
      <w:pPr>
        <w:pStyle w:val="HEADER3NOTES"/>
        <w:rPr>
          <w:noProof/>
        </w:rPr>
      </w:pPr>
      <w:r>
        <w:rPr>
          <w:noProof/>
        </w:rPr>
        <w:t>Bank accounts for budget implementation</w:t>
      </w:r>
    </w:p>
    <w:p w:rsidR="00135552" w:rsidRDefault="004C63B0">
      <w:pPr>
        <w:pStyle w:val="DGTextstand-alone"/>
      </w:pPr>
      <w:r>
        <w:t xml:space="preserve">This heading covers the funds which the Commission keeps in its bank accounts in each Member State and EFTA country (treasury or </w:t>
      </w:r>
      <w:r>
        <w:t>central bank), as well as in commercial bank current accounts, imprest accounts and petty cash accounts. The treasury balance at the end of 2019 is driven by the following main elements:</w:t>
      </w:r>
    </w:p>
    <w:p w:rsidR="00135552" w:rsidRDefault="004C63B0">
      <w:pPr>
        <w:pStyle w:val="DGTextstand-alone"/>
        <w:numPr>
          <w:ilvl w:val="0"/>
          <w:numId w:val="28"/>
        </w:numPr>
        <w:rPr>
          <w:sz w:val="16"/>
        </w:rPr>
      </w:pPr>
      <w:r>
        <w:rPr>
          <w:szCs w:val="20"/>
        </w:rPr>
        <w:t xml:space="preserve">An amount of </w:t>
      </w:r>
      <w:r>
        <w:t xml:space="preserve">EUR 2.6 billion of fines, </w:t>
      </w:r>
      <w:r>
        <w:rPr>
          <w:szCs w:val="20"/>
        </w:rPr>
        <w:t xml:space="preserve">imposed by the Commission for </w:t>
      </w:r>
      <w:r>
        <w:rPr>
          <w:szCs w:val="20"/>
        </w:rPr>
        <w:t>breach of competition rules, definitively cashed in 2019 and not yet included in an amending budget, is included in the year-end treasury balance.</w:t>
      </w:r>
    </w:p>
    <w:p w:rsidR="00135552" w:rsidRDefault="004C63B0">
      <w:pPr>
        <w:pStyle w:val="DGTextstand-alone"/>
        <w:numPr>
          <w:ilvl w:val="0"/>
          <w:numId w:val="28"/>
        </w:numPr>
        <w:rPr>
          <w:sz w:val="16"/>
        </w:rPr>
      </w:pPr>
      <w:r>
        <w:rPr>
          <w:szCs w:val="20"/>
        </w:rPr>
        <w:t>The treasury balance also includes not yet used assigned revenue and other payment appropriations of EUR 9.7 </w:t>
      </w:r>
      <w:r>
        <w:rPr>
          <w:szCs w:val="20"/>
        </w:rPr>
        <w:t>billion of the 2019 budget.</w:t>
      </w:r>
    </w:p>
    <w:p w:rsidR="00135552" w:rsidRDefault="004C63B0">
      <w:pPr>
        <w:pStyle w:val="HEADER3NOTES"/>
        <w:rPr>
          <w:noProof/>
        </w:rPr>
      </w:pPr>
      <w:r>
        <w:rPr>
          <w:noProof/>
        </w:rPr>
        <w:t>Cash belonging to financial instruments</w:t>
      </w:r>
    </w:p>
    <w:p w:rsidR="00135552" w:rsidRDefault="004C63B0">
      <w:pPr>
        <w:pStyle w:val="Textstand-alone"/>
      </w:pPr>
      <w:r>
        <w:t>Amounts shown under this heading primarily concern cash equivalents managed by fiduciaries, on behalf of the Commission, for the purpose of implementing particular financial instrument pro</w:t>
      </w:r>
      <w:r>
        <w:t xml:space="preserve">grammes funded by the EU budget and cash and cash equivalents held in the guarantee funds relating to budgetary guarantees (see note </w:t>
      </w:r>
      <w:r>
        <w:rPr>
          <w:b/>
        </w:rPr>
        <w:t>2.4.1</w:t>
      </w:r>
      <w:r>
        <w:t>). The cash belonging to financial instruments and guarantee funds can only be used in the programmes concerned.</w:t>
      </w:r>
    </w:p>
    <w:p w:rsidR="00135552" w:rsidRDefault="004C63B0">
      <w:pPr>
        <w:pStyle w:val="HEADER3NOTES"/>
        <w:rPr>
          <w:noProof/>
        </w:rPr>
      </w:pPr>
      <w:r>
        <w:rPr>
          <w:noProof/>
        </w:rPr>
        <w:t xml:space="preserve">Cash </w:t>
      </w:r>
      <w:r>
        <w:rPr>
          <w:noProof/>
        </w:rPr>
        <w:t>relating to fines</w:t>
      </w:r>
    </w:p>
    <w:p w:rsidR="00135552" w:rsidRDefault="004C63B0">
      <w:pPr>
        <w:pStyle w:val="Textstand-alone"/>
      </w:pPr>
      <w:r>
        <w:t>This is cash received in connection with fines issued by the Commission for which the case is still open. These amounts are kept in specific deposit accounts that are not used for any other activities. Where an appeal has been lodged or w</w:t>
      </w:r>
      <w:r>
        <w:t xml:space="preserve">hen it is unknown if an appeal will be made by the other party, the underlying amount is shown as contingent liability in note </w:t>
      </w:r>
      <w:r>
        <w:rPr>
          <w:b/>
        </w:rPr>
        <w:t>4.1.4</w:t>
      </w:r>
      <w:r>
        <w:t>.</w:t>
      </w:r>
    </w:p>
    <w:p w:rsidR="00135552" w:rsidRDefault="004C63B0">
      <w:pPr>
        <w:pStyle w:val="Textstand-alone"/>
        <w:spacing w:after="0"/>
      </w:pPr>
      <w:r>
        <w:t>Since 2010, all subsequent provisionally cashed fines are managed by the Commission in the BUFI fund and invested in finan</w:t>
      </w:r>
      <w:r>
        <w:t xml:space="preserve">cial instruments categorised as available for sale (see note </w:t>
      </w:r>
      <w:r>
        <w:rPr>
          <w:b/>
        </w:rPr>
        <w:t>2.4.1</w:t>
      </w:r>
      <w:r>
        <w:t>).</w:t>
      </w:r>
      <w:bookmarkEnd w:id="75"/>
    </w:p>
    <w:p w:rsidR="00135552" w:rsidRDefault="00135552">
      <w:pPr>
        <w:pStyle w:val="Textstand-alone"/>
        <w:spacing w:after="0"/>
      </w:pPr>
    </w:p>
    <w:p w:rsidR="00135552" w:rsidRDefault="00135552">
      <w:pPr>
        <w:pStyle w:val="Textstand-alone"/>
        <w:spacing w:after="0"/>
        <w:sectPr w:rsidR="00135552">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rsidR="00135552" w:rsidRDefault="004C63B0">
      <w:pPr>
        <w:pStyle w:val="HEADERTABLE"/>
        <w:spacing w:after="0"/>
        <w:rPr>
          <w:noProof/>
          <w:lang w:val="fr-BE"/>
        </w:rPr>
      </w:pPr>
      <w:bookmarkStart w:id="77" w:name="_DMBM_17102"/>
      <w:r>
        <w:rPr>
          <w:noProof/>
          <w:lang w:val="fr-BE"/>
        </w:rPr>
        <w:t>LIABILITIES</w:t>
      </w:r>
    </w:p>
    <w:p w:rsidR="00135552" w:rsidRDefault="004C63B0">
      <w:pPr>
        <w:pStyle w:val="Textstand-alone"/>
        <w:spacing w:before="0" w:after="0"/>
        <w:rPr>
          <w:lang w:val="fr-BE"/>
        </w:rPr>
        <w:sectPr w:rsidR="00135552">
          <w:headerReference w:type="even" r:id="rId179"/>
          <w:headerReference w:type="default" r:id="rId180"/>
          <w:footerReference w:type="even" r:id="rId181"/>
          <w:footerReference w:type="default" r:id="rId182"/>
          <w:headerReference w:type="first" r:id="rId183"/>
          <w:footerReference w:type="first" r:id="rId184"/>
          <w:pgSz w:w="11906" w:h="16838"/>
          <w:pgMar w:top="1134" w:right="1134" w:bottom="1134" w:left="1134" w:header="709" w:footer="709" w:gutter="0"/>
          <w:cols w:space="708"/>
          <w:docGrid w:linePitch="360"/>
        </w:sectPr>
      </w:pPr>
      <w:r>
        <w:rPr>
          <w:lang w:val="fr-BE"/>
        </w:rPr>
        <w:t xml:space="preserve"> </w:t>
      </w:r>
      <w:bookmarkEnd w:id="77"/>
    </w:p>
    <w:p w:rsidR="00135552" w:rsidRDefault="004C63B0">
      <w:pPr>
        <w:pStyle w:val="HEADER2NOTES"/>
        <w:rPr>
          <w:noProof/>
        </w:rPr>
      </w:pPr>
      <w:bookmarkStart w:id="78" w:name="_DMBM_17190"/>
      <w:r>
        <w:rPr>
          <w:noProof/>
        </w:rPr>
        <w:t>PENSION AND OTHER EMPLOYEE BENEFITS</w:t>
      </w:r>
    </w:p>
    <w:p w:rsidR="00135552" w:rsidRDefault="004C63B0">
      <w:pPr>
        <w:pStyle w:val="HEADER5"/>
        <w:rPr>
          <w:noProof/>
        </w:rPr>
      </w:pPr>
      <w:r>
        <w:rPr>
          <w:noProof/>
        </w:rPr>
        <w:t>Net employee benefit scheme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401"/>
        <w:gridCol w:w="1402"/>
        <w:gridCol w:w="1402"/>
        <w:gridCol w:w="1402"/>
        <w:gridCol w:w="1402"/>
      </w:tblGrid>
      <w:tr w:rsidR="00135552">
        <w:trPr>
          <w:trHeight w:val="255"/>
        </w:trPr>
        <w:tc>
          <w:tcPr>
            <w:tcW w:w="274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
              <w:rPr>
                <w:rFonts w:ascii="Arial" w:eastAsia="Arial" w:hAnsi="Arial" w:cs="Arial"/>
                <w:noProof/>
                <w:color w:val="000000"/>
                <w:lang w:bidi="en-GB"/>
              </w:rPr>
            </w:pPr>
            <w:bookmarkStart w:id="79" w:name="DOC_TBL00034_1_1"/>
            <w:bookmarkEnd w:id="79"/>
          </w:p>
        </w:tc>
        <w:tc>
          <w:tcPr>
            <w:tcW w:w="140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74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
              <w:jc w:val="right"/>
              <w:rPr>
                <w:rFonts w:ascii="Verdana" w:eastAsia="Verdana" w:hAnsi="Verdana" w:cs="Verdana"/>
                <w:noProof/>
                <w:color w:val="FFFFFF"/>
                <w:sz w:val="18"/>
              </w:rPr>
            </w:pPr>
          </w:p>
        </w:tc>
        <w:tc>
          <w:tcPr>
            <w:tcW w:w="1401"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1"/>
              <w:jc w:val="right"/>
              <w:rPr>
                <w:rFonts w:ascii="Verdana" w:eastAsia="Verdana" w:hAnsi="Verdana" w:cs="Verdana"/>
                <w:noProof/>
                <w:color w:val="FFFFFF"/>
                <w:sz w:val="18"/>
              </w:rPr>
            </w:pPr>
            <w:r>
              <w:rPr>
                <w:rFonts w:ascii="Verdana" w:eastAsia="Verdana" w:hAnsi="Verdana" w:cs="Verdana"/>
                <w:noProof/>
                <w:color w:val="FFFFFF"/>
                <w:sz w:val="18"/>
              </w:rPr>
              <w:t>Pension Scheme of European Officials</w:t>
            </w:r>
          </w:p>
        </w:tc>
        <w:tc>
          <w:tcPr>
            <w:tcW w:w="140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1"/>
              <w:jc w:val="right"/>
              <w:rPr>
                <w:rFonts w:ascii="Verdana" w:eastAsia="Verdana" w:hAnsi="Verdana" w:cs="Verdana"/>
                <w:noProof/>
                <w:color w:val="FFFFFF"/>
                <w:sz w:val="18"/>
              </w:rPr>
            </w:pPr>
            <w:r>
              <w:rPr>
                <w:rFonts w:ascii="Verdana" w:eastAsia="Verdana" w:hAnsi="Verdana" w:cs="Verdana"/>
                <w:noProof/>
                <w:color w:val="FFFFFF"/>
                <w:sz w:val="18"/>
              </w:rPr>
              <w:t>Other retirement benefit schemes</w:t>
            </w:r>
          </w:p>
        </w:tc>
        <w:tc>
          <w:tcPr>
            <w:tcW w:w="140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1"/>
              <w:jc w:val="right"/>
              <w:rPr>
                <w:rFonts w:ascii="Verdana" w:eastAsia="Verdana" w:hAnsi="Verdana" w:cs="Verdana"/>
                <w:noProof/>
                <w:color w:val="FFFFFF"/>
                <w:sz w:val="18"/>
              </w:rPr>
            </w:pPr>
            <w:r>
              <w:rPr>
                <w:rFonts w:ascii="Verdana" w:eastAsia="Verdana" w:hAnsi="Verdana" w:cs="Verdana"/>
                <w:noProof/>
                <w:color w:val="FFFFFF"/>
                <w:sz w:val="18"/>
              </w:rPr>
              <w:t>Joint Sickness Insurance Scheme</w:t>
            </w:r>
          </w:p>
        </w:tc>
        <w:tc>
          <w:tcPr>
            <w:tcW w:w="140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1"/>
              <w:jc w:val="right"/>
              <w:rPr>
                <w:rFonts w:ascii="Verdana" w:eastAsia="Verdana" w:hAnsi="Verdana" w:cs="Verdana"/>
                <w:noProof/>
                <w:color w:val="FFFFFF"/>
                <w:sz w:val="18"/>
              </w:rPr>
            </w:pPr>
            <w:r>
              <w:rPr>
                <w:rFonts w:ascii="Verdana" w:eastAsia="Verdana" w:hAnsi="Verdana" w:cs="Verdana"/>
                <w:noProof/>
                <w:color w:val="FFFFFF"/>
                <w:sz w:val="18"/>
              </w:rPr>
              <w:t>31.12.2019  Total</w:t>
            </w:r>
          </w:p>
        </w:tc>
        <w:tc>
          <w:tcPr>
            <w:tcW w:w="140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1"/>
              <w:jc w:val="right"/>
              <w:rPr>
                <w:rFonts w:ascii="Verdana" w:eastAsia="Verdana" w:hAnsi="Verdana" w:cs="Verdana"/>
                <w:noProof/>
                <w:color w:val="FFFFFF"/>
                <w:sz w:val="18"/>
                <w:lang w:bidi="en-GB"/>
              </w:rPr>
            </w:pPr>
            <w:r>
              <w:rPr>
                <w:rFonts w:ascii="Verdana" w:eastAsia="Verdana" w:hAnsi="Verdana" w:cs="Verdana"/>
                <w:noProof/>
                <w:color w:val="FFFFFF"/>
                <w:sz w:val="18"/>
              </w:rPr>
              <w:t>31.12.2018  Total</w:t>
            </w:r>
          </w:p>
        </w:tc>
      </w:tr>
      <w:tr w:rsidR="00135552">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1"/>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83 842</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2 149</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12 071</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98 062</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lang w:bidi="en-GB"/>
              </w:rPr>
            </w:pPr>
            <w:r>
              <w:rPr>
                <w:rFonts w:ascii="Verdana" w:eastAsia="Verdana" w:hAnsi="Verdana" w:cs="Verdana"/>
                <w:i/>
                <w:noProof/>
                <w:color w:val="000000"/>
                <w:sz w:val="18"/>
              </w:rPr>
              <w:t>80 871</w:t>
            </w:r>
          </w:p>
        </w:tc>
      </w:tr>
      <w:tr w:rsidR="00135552">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1"/>
              <w:rPr>
                <w:rFonts w:ascii="Verdana" w:eastAsia="Verdana" w:hAnsi="Verdana" w:cs="Verdana"/>
                <w:i/>
                <w:noProof/>
                <w:color w:val="000000"/>
                <w:sz w:val="18"/>
              </w:rPr>
            </w:pPr>
            <w:r>
              <w:rPr>
                <w:rFonts w:ascii="Verdana" w:eastAsia="Verdana" w:hAnsi="Verdana" w:cs="Verdana"/>
                <w:i/>
                <w:noProof/>
                <w:color w:val="000000"/>
                <w:sz w:val="18"/>
              </w:rPr>
              <w:t>Plan assets</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N/A</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 xml:space="preserve"> (94)</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 xml:space="preserve"> (309)</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rPr>
            </w:pPr>
            <w:r>
              <w:rPr>
                <w:rFonts w:ascii="Verdana" w:eastAsia="Verdana" w:hAnsi="Verdana" w:cs="Verdana"/>
                <w:i/>
                <w:noProof/>
                <w:color w:val="000000"/>
                <w:sz w:val="18"/>
              </w:rPr>
              <w:t xml:space="preserve"> (403)</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(415)</w:t>
            </w:r>
          </w:p>
        </w:tc>
      </w:tr>
      <w:tr w:rsidR="00135552">
        <w:trPr>
          <w:trHeight w:val="255"/>
        </w:trPr>
        <w:tc>
          <w:tcPr>
            <w:tcW w:w="27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4BIPPENS1"/>
              <w:rPr>
                <w:rFonts w:ascii="Verdana" w:eastAsia="Verdana" w:hAnsi="Verdana" w:cs="Verdana"/>
                <w:b/>
                <w:noProof/>
                <w:color w:val="000000"/>
                <w:sz w:val="18"/>
              </w:rPr>
            </w:pPr>
            <w:r>
              <w:rPr>
                <w:rFonts w:ascii="Verdana" w:eastAsia="Verdana" w:hAnsi="Verdana" w:cs="Verdana"/>
                <w:b/>
                <w:noProof/>
                <w:color w:val="000000"/>
                <w:sz w:val="18"/>
              </w:rPr>
              <w:t>Net liability</w:t>
            </w:r>
          </w:p>
        </w:tc>
        <w:tc>
          <w:tcPr>
            <w:tcW w:w="1401"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4BIPPENS1"/>
              <w:jc w:val="right"/>
              <w:rPr>
                <w:rFonts w:ascii="Verdana" w:eastAsia="Verdana" w:hAnsi="Verdana" w:cs="Verdana"/>
                <w:b/>
                <w:noProof/>
                <w:color w:val="000000"/>
                <w:sz w:val="18"/>
              </w:rPr>
            </w:pPr>
            <w:r>
              <w:rPr>
                <w:rFonts w:ascii="Verdana" w:eastAsia="Verdana" w:hAnsi="Verdana" w:cs="Verdana"/>
                <w:b/>
                <w:noProof/>
                <w:color w:val="000000"/>
                <w:sz w:val="18"/>
              </w:rPr>
              <w:t>83 842</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4BIPPENS1"/>
              <w:jc w:val="right"/>
              <w:rPr>
                <w:rFonts w:ascii="Verdana" w:eastAsia="Verdana" w:hAnsi="Verdana" w:cs="Verdana"/>
                <w:b/>
                <w:noProof/>
                <w:color w:val="000000"/>
                <w:sz w:val="18"/>
              </w:rPr>
            </w:pPr>
            <w:r>
              <w:rPr>
                <w:rFonts w:ascii="Verdana" w:eastAsia="Verdana" w:hAnsi="Verdana" w:cs="Verdana"/>
                <w:b/>
                <w:noProof/>
                <w:color w:val="000000"/>
                <w:sz w:val="18"/>
              </w:rPr>
              <w:t>2 055</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4BIPPENS1"/>
              <w:jc w:val="right"/>
              <w:rPr>
                <w:rFonts w:ascii="Verdana" w:eastAsia="Verdana" w:hAnsi="Verdana" w:cs="Verdana"/>
                <w:b/>
                <w:noProof/>
                <w:color w:val="000000"/>
                <w:sz w:val="18"/>
              </w:rPr>
            </w:pPr>
            <w:r>
              <w:rPr>
                <w:rFonts w:ascii="Verdana" w:eastAsia="Verdana" w:hAnsi="Verdana" w:cs="Verdana"/>
                <w:b/>
                <w:noProof/>
                <w:color w:val="000000"/>
                <w:sz w:val="18"/>
              </w:rPr>
              <w:t>11 762</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4BIPPENS1"/>
              <w:jc w:val="right"/>
              <w:rPr>
                <w:rFonts w:ascii="Verdana" w:eastAsia="Verdana" w:hAnsi="Verdana" w:cs="Verdana"/>
                <w:b/>
                <w:noProof/>
                <w:color w:val="000000"/>
                <w:sz w:val="18"/>
              </w:rPr>
            </w:pPr>
            <w:r>
              <w:rPr>
                <w:rFonts w:ascii="Verdana" w:eastAsia="Verdana" w:hAnsi="Verdana" w:cs="Verdana"/>
                <w:b/>
                <w:noProof/>
                <w:color w:val="000000"/>
                <w:sz w:val="18"/>
              </w:rPr>
              <w:t>97 659</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4BIPPENS1"/>
              <w:jc w:val="right"/>
              <w:rPr>
                <w:rFonts w:ascii="Verdana" w:eastAsia="Verdana" w:hAnsi="Verdana" w:cs="Verdana"/>
                <w:b/>
                <w:noProof/>
                <w:color w:val="000000"/>
                <w:sz w:val="18"/>
              </w:rPr>
            </w:pPr>
            <w:r>
              <w:rPr>
                <w:rFonts w:ascii="Verdana" w:eastAsia="Verdana" w:hAnsi="Verdana" w:cs="Verdana"/>
                <w:b/>
                <w:noProof/>
                <w:color w:val="000000"/>
                <w:sz w:val="18"/>
              </w:rPr>
              <w:t>80 456</w:t>
            </w:r>
          </w:p>
        </w:tc>
      </w:tr>
    </w:tbl>
    <w:p w:rsidR="00135552" w:rsidRDefault="00135552">
      <w:pPr>
        <w:pStyle w:val="HEADER5"/>
        <w:rPr>
          <w:noProof/>
        </w:rPr>
      </w:pPr>
    </w:p>
    <w:p w:rsidR="00135552" w:rsidRDefault="004C63B0">
      <w:pPr>
        <w:pStyle w:val="DGTextstand-alone"/>
      </w:pPr>
      <w:r>
        <w:t>The increase in the total employee benefits liability is primarily driven by the increase in the net liability of the Pension Scheme of European Officials (PSEO), the largest scheme in place. This PSEO liability has increased mainly because of the actuaria</w:t>
      </w:r>
      <w:r>
        <w:t>l loss from changes in financial assumptions caused by a sharp decrease in the nominal discount rate. Furthermore, as the nominal discount rate is adjusted for inflation to obtain the real discount rate, this year the real discount rate was for the first t</w:t>
      </w:r>
      <w:r>
        <w:t xml:space="preserve">ime negative – meaning that any given amount is worth more today than in the future: this significantly increases the size of the liability at year-end (see note </w:t>
      </w:r>
      <w:r>
        <w:rPr>
          <w:b/>
        </w:rPr>
        <w:t>2.9.3</w:t>
      </w:r>
      <w:r>
        <w:t>). The lower discount rate has had a similar effect on the other smaller schemes.</w:t>
      </w:r>
    </w:p>
    <w:p w:rsidR="00135552" w:rsidRDefault="004C63B0">
      <w:pPr>
        <w:pStyle w:val="DGTextstand-alone"/>
      </w:pPr>
      <w:r>
        <w:t>Additio</w:t>
      </w:r>
      <w:r>
        <w:t>nally, the rights accrued during the year due to service are higher than the benefits paid out during the year. There is also an increase due to the annual interest cost (unwinding of the liability discounting) as well as actuarial losses from experience.</w:t>
      </w:r>
    </w:p>
    <w:p w:rsidR="00135552" w:rsidRDefault="004C63B0">
      <w:pPr>
        <w:pStyle w:val="HEADER3NOTES"/>
        <w:rPr>
          <w:noProof/>
        </w:rPr>
      </w:pPr>
      <w:r>
        <w:rPr>
          <w:noProof/>
        </w:rPr>
        <w:t>Pension Scheme of European Officials</w:t>
      </w:r>
    </w:p>
    <w:p w:rsidR="00135552" w:rsidRDefault="004C63B0">
      <w:pPr>
        <w:pStyle w:val="DGTextstand-alone"/>
      </w:pPr>
      <w:r>
        <w:t>This defined benefit obligation represents the present value of expected future payments that the EU is required to make so as to settle the pension obligations resulting from employee service in the current and prior p</w:t>
      </w:r>
      <w:r>
        <w:t>eriods. The scheme is ongoing, and as such, all payments required to be made from the scheme on an annual basis are included in the EU budget each year.</w:t>
      </w:r>
    </w:p>
    <w:p w:rsidR="00135552" w:rsidRDefault="004C63B0">
      <w:pPr>
        <w:pStyle w:val="DGTextstand-alone"/>
      </w:pPr>
      <w:r>
        <w:t>In accordance with Article 83 of the Staff Regulations, the payment of the benefits provided for in the</w:t>
      </w:r>
      <w:r>
        <w:t xml:space="preserve"> staff pension scheme constitutes a charge to the EU's budget. The scheme is notionally funded, and the Member States guarantee the payment of these benefits collectively. A compulsory pension contribution is deducted from the basic salaries of active memb</w:t>
      </w:r>
      <w:r>
        <w:t xml:space="preserve">ers, currently 9.7 %. These contributions are treated as budget revenue of the year and contribute to the funding of EU expenditure in general, see also note </w:t>
      </w:r>
      <w:r>
        <w:rPr>
          <w:b/>
        </w:rPr>
        <w:t>3.6</w:t>
      </w:r>
      <w:r>
        <w:t>.</w:t>
      </w:r>
    </w:p>
    <w:p w:rsidR="00135552" w:rsidRDefault="004C63B0">
      <w:pPr>
        <w:pStyle w:val="DGTextstand-alone"/>
      </w:pPr>
      <w:r>
        <w:t xml:space="preserve">The liabilities of the pension scheme were assessed on the basis of the number of PSEO staff </w:t>
      </w:r>
      <w:r>
        <w:t>(active staff, retirees, former active staff now on invalidity and dependants of deceased staff) at 31 December 2019 and on the rules of the Staff Regulations applicable at this date. This valuation was carried out in accordance with the methodology of IPS</w:t>
      </w:r>
      <w:r>
        <w:t>AS 39 (and therefore also EU accounting rule 12).</w:t>
      </w:r>
    </w:p>
    <w:p w:rsidR="00135552" w:rsidRDefault="004C63B0">
      <w:pPr>
        <w:pStyle w:val="HEADER3NOTES"/>
        <w:rPr>
          <w:noProof/>
        </w:rPr>
      </w:pPr>
      <w:r>
        <w:rPr>
          <w:noProof/>
        </w:rPr>
        <w:t>Other retirement benefit schemes</w:t>
      </w:r>
    </w:p>
    <w:p w:rsidR="00135552" w:rsidRDefault="004C63B0">
      <w:pPr>
        <w:pStyle w:val="DGTextstand-alone"/>
      </w:pPr>
      <w:r>
        <w:t>This refers to the liability relating to the pension obligations towards Members and former Members of the Commission, the Court of Justice (and General Court) and the Court</w:t>
      </w:r>
      <w:r>
        <w:t xml:space="preserve"> of Auditors, the Council, the Ombudsman, the European Data Protection Supervisor, and the European Union Civil Service Tribunal. Also included under this heading is a liability relating to the pensions of Members of the European Parliament.</w:t>
      </w:r>
    </w:p>
    <w:p w:rsidR="00135552" w:rsidRDefault="004C63B0">
      <w:pPr>
        <w:rPr>
          <w:rFonts w:ascii="Verdana" w:hAnsi="Verdana"/>
          <w:noProof/>
          <w:color w:val="016794"/>
          <w:sz w:val="20"/>
          <w:szCs w:val="20"/>
        </w:rPr>
      </w:pPr>
      <w:r>
        <w:rPr>
          <w:noProof/>
        </w:rPr>
        <w:br w:type="page"/>
      </w:r>
    </w:p>
    <w:p w:rsidR="00135552" w:rsidRDefault="004C63B0">
      <w:pPr>
        <w:pStyle w:val="HEADER3NOTES"/>
        <w:rPr>
          <w:noProof/>
        </w:rPr>
      </w:pPr>
      <w:r>
        <w:rPr>
          <w:noProof/>
        </w:rPr>
        <w:t xml:space="preserve">Joint </w:t>
      </w:r>
      <w:r>
        <w:rPr>
          <w:noProof/>
        </w:rPr>
        <w:t>Sickness Insurance Scheme</w:t>
      </w:r>
    </w:p>
    <w:p w:rsidR="00135552" w:rsidRDefault="004C63B0">
      <w:pPr>
        <w:pStyle w:val="HEADER5"/>
        <w:jc w:val="both"/>
        <w:rPr>
          <w:rFonts w:eastAsia="Calibri"/>
          <w:noProof/>
          <w:color w:val="auto"/>
          <w:lang w:eastAsia="en-US"/>
        </w:rPr>
      </w:pPr>
      <w:r>
        <w:rPr>
          <w:rFonts w:eastAsia="Calibri"/>
          <w:noProof/>
          <w:color w:val="auto"/>
          <w:lang w:eastAsia="en-US"/>
        </w:rPr>
        <w:t>In addition to the above retirement benefit schemes, a valuation is made for the estimated liability that the EU has regarding the Joint Sickness Insurance Scheme (JSIS) in relation to healthcare costs which must be paid during po</w:t>
      </w:r>
      <w:r>
        <w:rPr>
          <w:rFonts w:eastAsia="Calibri"/>
          <w:noProof/>
          <w:color w:val="auto"/>
          <w:lang w:eastAsia="en-US"/>
        </w:rPr>
        <w:t xml:space="preserve">st-activity periods (net of their contributions). As stated in note </w:t>
      </w:r>
      <w:r>
        <w:rPr>
          <w:rFonts w:eastAsia="Calibri"/>
          <w:b/>
          <w:noProof/>
          <w:color w:val="auto"/>
          <w:lang w:eastAsia="en-US"/>
        </w:rPr>
        <w:t>1.5.10</w:t>
      </w:r>
      <w:r>
        <w:rPr>
          <w:rFonts w:eastAsia="Calibri"/>
          <w:noProof/>
          <w:color w:val="auto"/>
          <w:lang w:eastAsia="en-US"/>
        </w:rPr>
        <w:t xml:space="preserve">, the calculation of this liability takes account of the full active service period, ensuring that both the pension and the sickness insurance schemes of the staff’s post-employment </w:t>
      </w:r>
      <w:r>
        <w:rPr>
          <w:rFonts w:eastAsia="Calibri"/>
          <w:noProof/>
          <w:color w:val="auto"/>
          <w:lang w:eastAsia="en-US"/>
        </w:rPr>
        <w:t>plan are accounted for consistently. Taking into account the obligation to faithfully present the economic substance of the underlying situation as required by both EAR and IPSAS, we have not interpreted IPSAS 39 in a stricter sense when attributing the be</w:t>
      </w:r>
      <w:r>
        <w:rPr>
          <w:rFonts w:eastAsia="Calibri"/>
          <w:noProof/>
          <w:color w:val="auto"/>
          <w:lang w:eastAsia="en-US"/>
        </w:rPr>
        <w:t>nefits to the periods of service. If one were to accrue the service cost for the JSIS scheme fully over 10 years for all officials, as opposed to the period of active service of the employee,</w:t>
      </w:r>
      <w:r>
        <w:rPr>
          <w:rFonts w:eastAsia="Calibri"/>
          <w:noProof/>
          <w:color w:val="auto"/>
          <w:lang w:eastAsia="en-US"/>
        </w:rPr>
        <w:br/>
        <w:t>the impact of such an approach on the defined benefit obligation</w:t>
      </w:r>
      <w:r>
        <w:rPr>
          <w:rFonts w:eastAsia="Calibri"/>
          <w:noProof/>
          <w:color w:val="auto"/>
          <w:lang w:eastAsia="en-US"/>
        </w:rPr>
        <w:t xml:space="preserve"> at year-end would be an increase of </w:t>
      </w:r>
      <w:r>
        <w:rPr>
          <w:rFonts w:eastAsia="Calibri"/>
          <w:noProof/>
          <w:color w:val="auto"/>
          <w:lang w:eastAsia="en-US"/>
        </w:rPr>
        <w:br/>
        <w:t>EUR 4.3 billion. However, as already indicated, this stricter approach would not be compatible with the qualitative characteristic of faithful representation, and thus would not be deemed to provide reliable informatio</w:t>
      </w:r>
      <w:r>
        <w:rPr>
          <w:rFonts w:eastAsia="Calibri"/>
          <w:noProof/>
          <w:color w:val="auto"/>
          <w:lang w:eastAsia="en-US"/>
        </w:rPr>
        <w:t>n in accordance with EAR 1 and the IPSAS Conceptual Framework. This estimate is highly sensitive to the evolution of current staff administrative status (in particular the number of fixed-term contract members assumed to become officials in the future).</w:t>
      </w:r>
    </w:p>
    <w:p w:rsidR="00135552" w:rsidRDefault="004C63B0">
      <w:pPr>
        <w:pStyle w:val="HEADER5"/>
        <w:spacing w:before="240" w:after="240"/>
        <w:jc w:val="both"/>
        <w:rPr>
          <w:b/>
          <w:noProof/>
        </w:rPr>
      </w:pPr>
      <w:r>
        <w:rPr>
          <w:noProof/>
        </w:rPr>
        <w:t>Mo</w:t>
      </w:r>
      <w:r>
        <w:rPr>
          <w:noProof/>
        </w:rPr>
        <w:t>vement in present value of employee benefits defined benefit obligation</w:t>
      </w:r>
    </w:p>
    <w:p w:rsidR="00135552" w:rsidRDefault="004C63B0">
      <w:pPr>
        <w:pStyle w:val="DGTextstand-alone"/>
        <w:rPr>
          <w:lang w:bidi="en-GB"/>
        </w:rPr>
      </w:pPr>
      <w:r>
        <w:rPr>
          <w:lang w:bidi="en-GB"/>
        </w:rPr>
        <w:t>The present value of the defined benefit obligation is the discounted expected future payments required to settle the obligation resulting from employee service in the current and prio</w:t>
      </w:r>
      <w:r>
        <w:rPr>
          <w:lang w:bidi="en-GB"/>
        </w:rPr>
        <w:t>r periods.</w:t>
      </w:r>
    </w:p>
    <w:p w:rsidR="00135552" w:rsidRDefault="004C63B0">
      <w:pPr>
        <w:pStyle w:val="DGTextstand-alone"/>
        <w:spacing w:after="120"/>
        <w:rPr>
          <w:lang w:bidi="en-GB"/>
        </w:rPr>
      </w:pPr>
      <w:r>
        <w:rPr>
          <w:lang w:bidi="en-GB"/>
        </w:rPr>
        <w:t>An analysis of the current year movement in the defined benefit obligation is presented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1615"/>
        <w:gridCol w:w="1615"/>
        <w:gridCol w:w="1616"/>
        <w:gridCol w:w="1152"/>
      </w:tblGrid>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2"/>
              <w:rPr>
                <w:rFonts w:ascii="Arial" w:eastAsia="Arial" w:hAnsi="Arial" w:cs="Arial"/>
                <w:noProof/>
                <w:color w:val="000000"/>
                <w:lang w:bidi="en-GB"/>
              </w:rPr>
            </w:pPr>
            <w:bookmarkStart w:id="80" w:name="DOC_TBL00035_1_1"/>
            <w:bookmarkEnd w:id="80"/>
          </w:p>
        </w:tc>
        <w:tc>
          <w:tcPr>
            <w:tcW w:w="161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2"/>
              <w:rPr>
                <w:rFonts w:ascii="Arial" w:eastAsia="Arial" w:hAnsi="Arial" w:cs="Arial"/>
                <w:noProof/>
                <w:color w:val="000000"/>
              </w:rPr>
            </w:pPr>
          </w:p>
        </w:tc>
        <w:tc>
          <w:tcPr>
            <w:tcW w:w="161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2"/>
              <w:rPr>
                <w:rFonts w:ascii="Arial" w:eastAsia="Arial" w:hAnsi="Arial" w:cs="Arial"/>
                <w:noProof/>
                <w:color w:val="000000"/>
              </w:rPr>
            </w:pPr>
          </w:p>
        </w:tc>
        <w:tc>
          <w:tcPr>
            <w:tcW w:w="161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2"/>
              <w:rPr>
                <w:rFonts w:ascii="Arial" w:eastAsia="Arial" w:hAnsi="Arial" w:cs="Arial"/>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2"/>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76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2"/>
              <w:jc w:val="right"/>
              <w:rPr>
                <w:rFonts w:ascii="Verdana" w:eastAsia="Verdana" w:hAnsi="Verdana" w:cs="Verdana"/>
                <w:noProof/>
                <w:color w:val="FFFFFF"/>
                <w:sz w:val="18"/>
              </w:rPr>
            </w:pPr>
          </w:p>
        </w:tc>
        <w:tc>
          <w:tcPr>
            <w:tcW w:w="1615"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2"/>
              <w:jc w:val="right"/>
              <w:rPr>
                <w:rFonts w:ascii="Verdana" w:eastAsia="Verdana" w:hAnsi="Verdana" w:cs="Verdana"/>
                <w:noProof/>
                <w:color w:val="FFFFFF"/>
                <w:sz w:val="18"/>
              </w:rPr>
            </w:pPr>
            <w:r>
              <w:rPr>
                <w:rFonts w:ascii="Verdana" w:eastAsia="Verdana" w:hAnsi="Verdana" w:cs="Verdana"/>
                <w:noProof/>
                <w:color w:val="FFFFFF"/>
                <w:sz w:val="18"/>
              </w:rPr>
              <w:t xml:space="preserve">Pension Scheme of European Officials </w:t>
            </w:r>
          </w:p>
        </w:tc>
        <w:tc>
          <w:tcPr>
            <w:tcW w:w="1615"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2"/>
              <w:jc w:val="right"/>
              <w:rPr>
                <w:rFonts w:ascii="Verdana" w:eastAsia="Verdana" w:hAnsi="Verdana" w:cs="Verdana"/>
                <w:noProof/>
                <w:color w:val="FFFFFF"/>
                <w:sz w:val="18"/>
              </w:rPr>
            </w:pPr>
            <w:r>
              <w:rPr>
                <w:rFonts w:ascii="Verdana" w:eastAsia="Verdana" w:hAnsi="Verdana" w:cs="Verdana"/>
                <w:noProof/>
                <w:color w:val="FFFFFF"/>
                <w:sz w:val="18"/>
              </w:rPr>
              <w:t>Other retirement benefit schemes</w:t>
            </w:r>
          </w:p>
        </w:tc>
        <w:tc>
          <w:tcPr>
            <w:tcW w:w="1616"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2"/>
              <w:jc w:val="right"/>
              <w:rPr>
                <w:rFonts w:ascii="Verdana" w:eastAsia="Verdana" w:hAnsi="Verdana" w:cs="Verdana"/>
                <w:noProof/>
                <w:color w:val="FFFFFF"/>
                <w:sz w:val="18"/>
              </w:rPr>
            </w:pPr>
            <w:r>
              <w:rPr>
                <w:rFonts w:ascii="Verdana" w:eastAsia="Verdana" w:hAnsi="Verdana" w:cs="Verdana"/>
                <w:noProof/>
                <w:color w:val="FFFFFF"/>
                <w:sz w:val="18"/>
              </w:rPr>
              <w:t>Joint Sickness Insurance Scheme</w:t>
            </w:r>
          </w:p>
        </w:tc>
        <w:tc>
          <w:tcPr>
            <w:tcW w:w="115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2"/>
              <w:jc w:val="right"/>
              <w:rPr>
                <w:rFonts w:ascii="Verdana" w:eastAsia="Verdana" w:hAnsi="Verdana" w:cs="Verdana"/>
                <w:noProof/>
                <w:color w:val="FFFFFF"/>
                <w:sz w:val="18"/>
                <w:lang w:bidi="en-GB"/>
              </w:rPr>
            </w:pPr>
            <w:r>
              <w:rPr>
                <w:rFonts w:ascii="Verdana" w:eastAsia="Verdana" w:hAnsi="Verdana" w:cs="Verdana"/>
                <w:noProof/>
                <w:color w:val="FFFFFF"/>
                <w:sz w:val="18"/>
              </w:rPr>
              <w:t>Total</w:t>
            </w:r>
          </w:p>
        </w:tc>
      </w:tr>
      <w:tr w:rsidR="00135552">
        <w:trPr>
          <w:trHeight w:val="255"/>
        </w:trPr>
        <w:tc>
          <w:tcPr>
            <w:tcW w:w="3760"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b/>
                <w:noProof/>
                <w:color w:val="000000"/>
                <w:sz w:val="18"/>
              </w:rPr>
            </w:pPr>
            <w:r>
              <w:rPr>
                <w:rFonts w:ascii="Verdana" w:eastAsia="Verdana" w:hAnsi="Verdana" w:cs="Verdana"/>
                <w:b/>
                <w:noProof/>
                <w:color w:val="000000"/>
                <w:sz w:val="18"/>
              </w:rPr>
              <w:t xml:space="preserve">Present value as at </w:t>
            </w:r>
            <w:r>
              <w:rPr>
                <w:rFonts w:ascii="Verdana" w:eastAsia="Verdana" w:hAnsi="Verdana" w:cs="Verdana"/>
                <w:b/>
                <w:noProof/>
                <w:color w:val="000000"/>
                <w:sz w:val="18"/>
              </w:rPr>
              <w:t>31.12.2018</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70 017</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1 865</w:t>
            </w:r>
          </w:p>
        </w:tc>
        <w:tc>
          <w:tcPr>
            <w:tcW w:w="1616"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8 990</w:t>
            </w:r>
          </w:p>
        </w:tc>
        <w:tc>
          <w:tcPr>
            <w:tcW w:w="115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lang w:bidi="en-GB"/>
              </w:rPr>
            </w:pPr>
            <w:r>
              <w:rPr>
                <w:rFonts w:ascii="Verdana" w:eastAsia="Verdana" w:hAnsi="Verdana" w:cs="Verdana"/>
                <w:b/>
                <w:noProof/>
                <w:color w:val="000000"/>
                <w:sz w:val="18"/>
              </w:rPr>
              <w:t>80 871</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b/>
                <w:noProof/>
                <w:color w:val="000000"/>
                <w:sz w:val="18"/>
              </w:rPr>
            </w:pPr>
            <w:r>
              <w:rPr>
                <w:rFonts w:ascii="Verdana" w:eastAsia="Verdana" w:hAnsi="Verdana" w:cs="Verdana"/>
                <w:b/>
                <w:noProof/>
                <w:color w:val="000000"/>
                <w:sz w:val="18"/>
              </w:rPr>
              <w:t>Recognised in statement of financial performance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lang w:bidi="en-GB"/>
              </w:rPr>
            </w:pP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Current Service Cost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2 824</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84</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277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3 185</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Interest cost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1 339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30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180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1 549</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Past Service Cost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(60)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(60)</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b/>
                <w:noProof/>
                <w:color w:val="000000"/>
                <w:sz w:val="18"/>
              </w:rPr>
            </w:pPr>
            <w:r>
              <w:rPr>
                <w:rFonts w:ascii="Verdana" w:eastAsia="Verdana" w:hAnsi="Verdana" w:cs="Verdana"/>
                <w:b/>
                <w:noProof/>
                <w:color w:val="000000"/>
                <w:sz w:val="18"/>
              </w:rPr>
              <w:t>Recognised in net assets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lang w:bidi="en-GB"/>
              </w:rPr>
            </w:pP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Remeasurements in </w:t>
            </w:r>
            <w:r>
              <w:rPr>
                <w:rFonts w:ascii="Verdana" w:eastAsia="Verdana" w:hAnsi="Verdana" w:cs="Verdana"/>
                <w:i/>
                <w:noProof/>
                <w:color w:val="000000"/>
                <w:sz w:val="18"/>
              </w:rPr>
              <w:t>employee benefits liabilities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lang w:bidi="en-GB"/>
              </w:rPr>
            </w:pP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Actuarial (gains)/losses from</w:t>
            </w:r>
          </w:p>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experience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1 910</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77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(339)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1 648</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Actuarial (gains)/losses from </w:t>
            </w:r>
          </w:p>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demographic assumptions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0</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Actuarial (gains)/losses from</w:t>
            </w:r>
          </w:p>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 xml:space="preserve">     financial assumptions</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9 339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220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3 065</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12 625</w:t>
            </w: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b/>
                <w:noProof/>
                <w:color w:val="000000"/>
                <w:sz w:val="18"/>
              </w:rPr>
            </w:pPr>
            <w:r>
              <w:rPr>
                <w:rFonts w:ascii="Verdana" w:eastAsia="Verdana" w:hAnsi="Verdana" w:cs="Verdana"/>
                <w:b/>
                <w:noProof/>
                <w:color w:val="000000"/>
                <w:sz w:val="18"/>
              </w:rPr>
              <w:t>Other</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PENS2"/>
              <w:rPr>
                <w:rFonts w:ascii="Verdana" w:eastAsia="Verdana" w:hAnsi="Verdana" w:cs="Verdana"/>
                <w:b/>
                <w:noProof/>
                <w:color w:val="000000"/>
                <w:sz w:val="18"/>
                <w:lang w:bidi="en-GB"/>
              </w:rPr>
            </w:pPr>
          </w:p>
        </w:tc>
      </w:tr>
      <w:tr w:rsidR="00135552">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i/>
                <w:noProof/>
                <w:color w:val="000000"/>
                <w:sz w:val="18"/>
              </w:rPr>
            </w:pPr>
            <w:r>
              <w:rPr>
                <w:rFonts w:ascii="Verdana" w:eastAsia="Verdana" w:hAnsi="Verdana" w:cs="Verdana"/>
                <w:i/>
                <w:noProof/>
                <w:color w:val="000000"/>
                <w:sz w:val="18"/>
              </w:rPr>
              <w:t>Benefits paid</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(1 587)</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(67)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rPr>
            </w:pPr>
            <w:r>
              <w:rPr>
                <w:rFonts w:ascii="Verdana" w:eastAsia="Verdana" w:hAnsi="Verdana" w:cs="Verdana"/>
                <w:i/>
                <w:noProof/>
                <w:color w:val="000000"/>
                <w:sz w:val="18"/>
              </w:rPr>
              <w:t xml:space="preserve"> (101)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i/>
                <w:noProof/>
                <w:color w:val="000000"/>
                <w:sz w:val="18"/>
                <w:lang w:bidi="en-GB"/>
              </w:rPr>
            </w:pPr>
            <w:r>
              <w:rPr>
                <w:rFonts w:ascii="Verdana" w:eastAsia="Verdana" w:hAnsi="Verdana" w:cs="Verdana"/>
                <w:i/>
                <w:noProof/>
                <w:color w:val="000000"/>
                <w:sz w:val="18"/>
              </w:rPr>
              <w:t>(1 756)</w:t>
            </w:r>
          </w:p>
        </w:tc>
      </w:tr>
      <w:tr w:rsidR="00135552">
        <w:trPr>
          <w:trHeight w:val="255"/>
        </w:trPr>
        <w:tc>
          <w:tcPr>
            <w:tcW w:w="37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rPr>
                <w:rFonts w:ascii="Verdana" w:eastAsia="Verdana" w:hAnsi="Verdana" w:cs="Verdana"/>
                <w:b/>
                <w:noProof/>
                <w:color w:val="000000"/>
                <w:sz w:val="18"/>
              </w:rPr>
            </w:pPr>
            <w:r>
              <w:rPr>
                <w:rFonts w:ascii="Verdana" w:eastAsia="Verdana" w:hAnsi="Verdana" w:cs="Verdana"/>
                <w:b/>
                <w:noProof/>
                <w:color w:val="000000"/>
                <w:sz w:val="18"/>
              </w:rPr>
              <w:t>Present value as at 31.12.2019</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83 842</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2 149</w:t>
            </w:r>
          </w:p>
        </w:tc>
        <w:tc>
          <w:tcPr>
            <w:tcW w:w="16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12 071</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2"/>
              <w:jc w:val="right"/>
              <w:rPr>
                <w:rFonts w:ascii="Verdana" w:eastAsia="Verdana" w:hAnsi="Verdana" w:cs="Verdana"/>
                <w:b/>
                <w:noProof/>
                <w:color w:val="000000"/>
                <w:sz w:val="18"/>
              </w:rPr>
            </w:pPr>
            <w:r>
              <w:rPr>
                <w:rFonts w:ascii="Verdana" w:eastAsia="Verdana" w:hAnsi="Verdana" w:cs="Verdana"/>
                <w:b/>
                <w:noProof/>
                <w:color w:val="000000"/>
                <w:sz w:val="18"/>
              </w:rPr>
              <w:t>98 062</w:t>
            </w:r>
          </w:p>
        </w:tc>
      </w:tr>
    </w:tbl>
    <w:p w:rsidR="00135552" w:rsidRDefault="004C63B0">
      <w:pPr>
        <w:pStyle w:val="HEADER5"/>
        <w:spacing w:before="240"/>
        <w:jc w:val="both"/>
        <w:rPr>
          <w:rFonts w:eastAsia="Calibri"/>
          <w:noProof/>
          <w:color w:val="auto"/>
        </w:rPr>
      </w:pPr>
      <w:r>
        <w:rPr>
          <w:rFonts w:eastAsia="Calibri"/>
          <w:noProof/>
          <w:color w:val="auto"/>
        </w:rPr>
        <w:t xml:space="preserve">Current service cost is the increase in the present value of the defined benefit obligation arising from current members' </w:t>
      </w:r>
      <w:r>
        <w:rPr>
          <w:rFonts w:eastAsia="Calibri"/>
          <w:noProof/>
          <w:color w:val="auto"/>
        </w:rPr>
        <w:t>service in the current year.</w:t>
      </w:r>
    </w:p>
    <w:p w:rsidR="00135552" w:rsidRDefault="00135552">
      <w:pPr>
        <w:pStyle w:val="HEADER5"/>
        <w:jc w:val="both"/>
        <w:rPr>
          <w:rFonts w:eastAsia="Calibri"/>
          <w:noProof/>
          <w:color w:val="auto"/>
        </w:rPr>
      </w:pPr>
    </w:p>
    <w:p w:rsidR="00135552" w:rsidRDefault="004C63B0">
      <w:pPr>
        <w:pStyle w:val="HEADER5"/>
        <w:jc w:val="both"/>
        <w:rPr>
          <w:rFonts w:eastAsia="Calibri"/>
          <w:noProof/>
          <w:color w:val="auto"/>
        </w:rPr>
      </w:pPr>
      <w:r>
        <w:rPr>
          <w:rFonts w:eastAsia="Calibri"/>
          <w:noProof/>
          <w:color w:val="auto"/>
        </w:rPr>
        <w:t xml:space="preserve">Interest cost refers to the increase during the period in the present value of the defined benefit obligation because the benefits are one period closer to settlement. </w:t>
      </w:r>
    </w:p>
    <w:p w:rsidR="00135552" w:rsidRDefault="00135552">
      <w:pPr>
        <w:pStyle w:val="HEADER5"/>
        <w:jc w:val="both"/>
        <w:rPr>
          <w:rFonts w:eastAsia="Calibri"/>
          <w:noProof/>
          <w:color w:val="auto"/>
        </w:rPr>
      </w:pPr>
    </w:p>
    <w:p w:rsidR="00135552" w:rsidRDefault="004C63B0">
      <w:pPr>
        <w:pStyle w:val="HEADER5"/>
        <w:jc w:val="both"/>
        <w:rPr>
          <w:rFonts w:eastAsia="Calibri"/>
          <w:b/>
          <w:noProof/>
          <w:color w:val="auto"/>
        </w:rPr>
      </w:pPr>
      <w:r>
        <w:rPr>
          <w:rFonts w:eastAsia="Calibri"/>
          <w:noProof/>
          <w:color w:val="auto"/>
        </w:rPr>
        <w:t xml:space="preserve">Actuarial gains and losses from experience refer to the </w:t>
      </w:r>
      <w:r>
        <w:rPr>
          <w:rFonts w:eastAsia="Calibri"/>
          <w:noProof/>
          <w:color w:val="auto"/>
        </w:rPr>
        <w:t>effects of differences between what was expected according to the assumptions made last year for 2019 and what really occurred in 2019.</w:t>
      </w:r>
    </w:p>
    <w:p w:rsidR="00135552" w:rsidRDefault="00135552">
      <w:pPr>
        <w:pStyle w:val="HEADER5"/>
        <w:jc w:val="both"/>
        <w:rPr>
          <w:rFonts w:eastAsia="Calibri"/>
          <w:noProof/>
          <w:color w:val="auto"/>
        </w:rPr>
      </w:pPr>
    </w:p>
    <w:p w:rsidR="00135552" w:rsidRDefault="004C63B0">
      <w:pPr>
        <w:pStyle w:val="HEADER5"/>
        <w:jc w:val="both"/>
        <w:rPr>
          <w:rFonts w:eastAsia="Calibri"/>
          <w:noProof/>
          <w:color w:val="auto"/>
        </w:rPr>
      </w:pPr>
      <w:r>
        <w:rPr>
          <w:rFonts w:eastAsia="Calibri"/>
          <w:noProof/>
          <w:color w:val="auto"/>
        </w:rPr>
        <w:t>Actuarial gains and losses from actuarial assumptions (demographic variables such as employee turnover and mortality an</w:t>
      </w:r>
      <w:r>
        <w:rPr>
          <w:rFonts w:eastAsia="Calibri"/>
          <w:noProof/>
          <w:color w:val="auto"/>
        </w:rPr>
        <w:t xml:space="preserve">d financial variables such as discount rates and expected salary increases) arise where these assumptions are updated in order to reflect changes in underlying conditions. </w:t>
      </w:r>
    </w:p>
    <w:p w:rsidR="00135552" w:rsidRDefault="00135552">
      <w:pPr>
        <w:pStyle w:val="HEADER5"/>
        <w:rPr>
          <w:rFonts w:eastAsia="Calibri"/>
          <w:noProof/>
          <w:color w:val="auto"/>
        </w:rPr>
      </w:pPr>
    </w:p>
    <w:p w:rsidR="00135552" w:rsidRDefault="004C63B0">
      <w:pPr>
        <w:pStyle w:val="HEADER5"/>
        <w:jc w:val="both"/>
        <w:rPr>
          <w:rFonts w:eastAsia="Calibri"/>
          <w:noProof/>
          <w:color w:val="auto"/>
        </w:rPr>
      </w:pPr>
      <w:r>
        <w:rPr>
          <w:rFonts w:eastAsia="Calibri"/>
          <w:noProof/>
          <w:color w:val="auto"/>
        </w:rPr>
        <w:t>Benefits (for example, pensions or medical cost reimbursements) are paid during th</w:t>
      </w:r>
      <w:r>
        <w:rPr>
          <w:rFonts w:eastAsia="Calibri"/>
          <w:noProof/>
          <w:color w:val="auto"/>
        </w:rPr>
        <w:t>e year according to the rules of the scheme. These benefits paid lead to a decrease in the defined benefit obligation.</w:t>
      </w:r>
    </w:p>
    <w:p w:rsidR="00135552" w:rsidRDefault="004C63B0">
      <w:pPr>
        <w:rPr>
          <w:rFonts w:ascii="Verdana" w:hAnsi="Verdana"/>
          <w:noProof/>
          <w:color w:val="016794"/>
          <w:sz w:val="18"/>
          <w:szCs w:val="18"/>
        </w:rPr>
      </w:pPr>
      <w:r>
        <w:rPr>
          <w:noProof/>
        </w:rPr>
        <w:br w:type="page"/>
      </w:r>
    </w:p>
    <w:p w:rsidR="00135552" w:rsidRDefault="004C63B0">
      <w:pPr>
        <w:pStyle w:val="HEADER5"/>
        <w:spacing w:before="240"/>
        <w:jc w:val="both"/>
        <w:rPr>
          <w:rFonts w:eastAsia="Calibri"/>
          <w:noProof/>
          <w:color w:val="auto"/>
        </w:rPr>
      </w:pPr>
      <w:r>
        <w:rPr>
          <w:noProof/>
        </w:rPr>
        <w:t>Plan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6"/>
        <w:gridCol w:w="1954"/>
        <w:gridCol w:w="1954"/>
        <w:gridCol w:w="1954"/>
      </w:tblGrid>
      <w:tr w:rsidR="00135552">
        <w:trPr>
          <w:trHeight w:val="255"/>
        </w:trPr>
        <w:tc>
          <w:tcPr>
            <w:tcW w:w="389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3"/>
              <w:rPr>
                <w:rFonts w:ascii="Arial" w:eastAsia="Arial" w:hAnsi="Arial" w:cs="Arial"/>
                <w:noProof/>
                <w:color w:val="000000"/>
                <w:lang w:bidi="en-GB"/>
              </w:rPr>
            </w:pPr>
            <w:bookmarkStart w:id="81" w:name="DOC_TBL00036_1_1"/>
            <w:bookmarkEnd w:id="81"/>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89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3"/>
              <w:jc w:val="right"/>
              <w:rPr>
                <w:rFonts w:ascii="Verdana" w:eastAsia="Verdana" w:hAnsi="Verdana" w:cs="Verdana"/>
                <w:noProof/>
                <w:color w:val="FFFFFF"/>
                <w:sz w:val="18"/>
              </w:rPr>
            </w:pPr>
          </w:p>
        </w:tc>
        <w:tc>
          <w:tcPr>
            <w:tcW w:w="1954"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3"/>
              <w:jc w:val="right"/>
              <w:rPr>
                <w:rFonts w:ascii="Verdana" w:eastAsia="Verdana" w:hAnsi="Verdana" w:cs="Verdana"/>
                <w:noProof/>
                <w:color w:val="FFFFFF"/>
                <w:sz w:val="18"/>
              </w:rPr>
            </w:pPr>
            <w:r>
              <w:rPr>
                <w:rFonts w:ascii="Verdana" w:eastAsia="Verdana" w:hAnsi="Verdana" w:cs="Verdana"/>
                <w:noProof/>
                <w:color w:val="FFFFFF"/>
                <w:sz w:val="18"/>
              </w:rPr>
              <w:t>Other retirement benefit schemes</w:t>
            </w:r>
          </w:p>
        </w:tc>
        <w:tc>
          <w:tcPr>
            <w:tcW w:w="1954"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3"/>
              <w:jc w:val="right"/>
              <w:rPr>
                <w:rFonts w:ascii="Verdana" w:eastAsia="Verdana" w:hAnsi="Verdana" w:cs="Verdana"/>
                <w:noProof/>
                <w:color w:val="FFFFFF"/>
                <w:sz w:val="18"/>
              </w:rPr>
            </w:pPr>
            <w:r>
              <w:rPr>
                <w:rFonts w:ascii="Verdana" w:eastAsia="Verdana" w:hAnsi="Verdana" w:cs="Verdana"/>
                <w:noProof/>
                <w:color w:val="FFFFFF"/>
                <w:sz w:val="18"/>
              </w:rPr>
              <w:t>Joint Sickness Insurance Scheme</w:t>
            </w:r>
          </w:p>
        </w:tc>
        <w:tc>
          <w:tcPr>
            <w:tcW w:w="1954"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4BIPPENS3"/>
              <w:jc w:val="right"/>
              <w:rPr>
                <w:rFonts w:ascii="Verdana" w:eastAsia="Verdana" w:hAnsi="Verdana" w:cs="Verdana"/>
                <w:noProof/>
                <w:color w:val="FFFFFF"/>
                <w:sz w:val="18"/>
                <w:lang w:bidi="en-GB"/>
              </w:rPr>
            </w:pPr>
            <w:r>
              <w:rPr>
                <w:rFonts w:ascii="Verdana" w:eastAsia="Verdana" w:hAnsi="Verdana" w:cs="Verdana"/>
                <w:noProof/>
                <w:color w:val="FFFFFF"/>
                <w:sz w:val="18"/>
              </w:rPr>
              <w:t>Total</w:t>
            </w:r>
          </w:p>
        </w:tc>
      </w:tr>
      <w:tr w:rsidR="00135552">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3"/>
              <w:rPr>
                <w:rFonts w:ascii="Verdana" w:eastAsia="Verdana" w:hAnsi="Verdana" w:cs="Verdana"/>
                <w:b/>
                <w:noProof/>
                <w:color w:val="000000"/>
                <w:sz w:val="18"/>
              </w:rPr>
            </w:pPr>
            <w:r>
              <w:rPr>
                <w:rFonts w:ascii="Verdana" w:eastAsia="Verdana" w:hAnsi="Verdana" w:cs="Verdana"/>
                <w:b/>
                <w:noProof/>
                <w:color w:val="000000"/>
                <w:sz w:val="18"/>
              </w:rPr>
              <w:t>Present value as at 31.12.2018</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rPr>
            </w:pPr>
            <w:r>
              <w:rPr>
                <w:rFonts w:ascii="Verdana" w:eastAsia="Verdana" w:hAnsi="Verdana" w:cs="Verdana"/>
                <w:b/>
                <w:noProof/>
                <w:color w:val="000000"/>
                <w:sz w:val="18"/>
              </w:rPr>
              <w:t xml:space="preserve"> 119</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rPr>
            </w:pPr>
            <w:r>
              <w:rPr>
                <w:rFonts w:ascii="Verdana" w:eastAsia="Verdana" w:hAnsi="Verdana" w:cs="Verdana"/>
                <w:b/>
                <w:noProof/>
                <w:color w:val="000000"/>
                <w:sz w:val="18"/>
              </w:rPr>
              <w:t xml:space="preserve"> 296</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415</w:t>
            </w:r>
          </w:p>
        </w:tc>
      </w:tr>
      <w:tr w:rsidR="00135552">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3"/>
              <w:rPr>
                <w:rFonts w:ascii="Verdana" w:eastAsia="Verdana" w:hAnsi="Verdana" w:cs="Verdana"/>
                <w:i/>
                <w:noProof/>
                <w:color w:val="000000"/>
                <w:sz w:val="18"/>
              </w:rPr>
            </w:pPr>
            <w:r>
              <w:rPr>
                <w:rFonts w:ascii="Verdana" w:eastAsia="Verdana" w:hAnsi="Verdana" w:cs="Verdana"/>
                <w:i/>
                <w:noProof/>
                <w:color w:val="000000"/>
                <w:sz w:val="18"/>
              </w:rPr>
              <w:t>Net movement in plan assets</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i/>
                <w:noProof/>
                <w:color w:val="000000"/>
                <w:sz w:val="18"/>
              </w:rPr>
            </w:pPr>
            <w:r>
              <w:rPr>
                <w:rFonts w:ascii="Verdana" w:eastAsia="Verdana" w:hAnsi="Verdana" w:cs="Verdana"/>
                <w:i/>
                <w:noProof/>
                <w:color w:val="000000"/>
                <w:sz w:val="18"/>
              </w:rPr>
              <w:t xml:space="preserve"> (25)</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i/>
                <w:noProof/>
                <w:color w:val="000000"/>
                <w:sz w:val="18"/>
              </w:rPr>
            </w:pPr>
            <w:r>
              <w:rPr>
                <w:rFonts w:ascii="Verdana" w:eastAsia="Verdana" w:hAnsi="Verdana" w:cs="Verdana"/>
                <w:i/>
                <w:noProof/>
                <w:color w:val="000000"/>
                <w:sz w:val="18"/>
              </w:rPr>
              <w:t xml:space="preserve"> 14</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w:t>
            </w:r>
          </w:p>
        </w:tc>
      </w:tr>
      <w:tr w:rsidR="00135552">
        <w:trPr>
          <w:trHeight w:val="255"/>
        </w:trPr>
        <w:tc>
          <w:tcPr>
            <w:tcW w:w="38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3"/>
              <w:rPr>
                <w:rFonts w:ascii="Verdana" w:eastAsia="Verdana" w:hAnsi="Verdana" w:cs="Verdana"/>
                <w:b/>
                <w:noProof/>
                <w:color w:val="000000"/>
                <w:sz w:val="18"/>
              </w:rPr>
            </w:pPr>
            <w:r>
              <w:rPr>
                <w:rFonts w:ascii="Verdana" w:eastAsia="Verdana" w:hAnsi="Verdana" w:cs="Verdana"/>
                <w:b/>
                <w:noProof/>
                <w:color w:val="000000"/>
                <w:sz w:val="18"/>
              </w:rPr>
              <w:t>Present value as at 31.12.2019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rPr>
            </w:pPr>
            <w:r>
              <w:rPr>
                <w:rFonts w:ascii="Verdana" w:eastAsia="Verdana" w:hAnsi="Verdana" w:cs="Verdana"/>
                <w:b/>
                <w:noProof/>
                <w:color w:val="000000"/>
                <w:sz w:val="18"/>
              </w:rPr>
              <w:t xml:space="preserve"> 94</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rPr>
            </w:pPr>
            <w:r>
              <w:rPr>
                <w:rFonts w:ascii="Verdana" w:eastAsia="Verdana" w:hAnsi="Verdana" w:cs="Verdana"/>
                <w:b/>
                <w:noProof/>
                <w:color w:val="000000"/>
                <w:sz w:val="18"/>
              </w:rPr>
              <w:t xml:space="preserve"> 309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4BIPPENS3"/>
              <w:jc w:val="right"/>
              <w:rPr>
                <w:rFonts w:ascii="Verdana" w:eastAsia="Verdana" w:hAnsi="Verdana" w:cs="Verdana"/>
                <w:b/>
                <w:noProof/>
                <w:color w:val="000000"/>
                <w:sz w:val="18"/>
              </w:rPr>
            </w:pPr>
            <w:r>
              <w:rPr>
                <w:rFonts w:ascii="Verdana" w:eastAsia="Verdana" w:hAnsi="Verdana" w:cs="Verdana"/>
                <w:b/>
                <w:noProof/>
                <w:color w:val="000000"/>
                <w:sz w:val="18"/>
              </w:rPr>
              <w:t xml:space="preserve"> 403</w:t>
            </w:r>
          </w:p>
        </w:tc>
      </w:tr>
    </w:tbl>
    <w:p w:rsidR="00135552" w:rsidRDefault="004C63B0">
      <w:pPr>
        <w:pStyle w:val="HEADER5"/>
        <w:spacing w:before="240" w:after="240"/>
        <w:rPr>
          <w:noProof/>
        </w:rPr>
      </w:pPr>
      <w:r>
        <w:rPr>
          <w:noProof/>
        </w:rPr>
        <w:t>Actuarial assumptions – employee benefits</w:t>
      </w:r>
    </w:p>
    <w:p w:rsidR="00135552" w:rsidRDefault="004C63B0">
      <w:pPr>
        <w:pStyle w:val="DGTextstand-alone"/>
        <w:rPr>
          <w:lang w:bidi="en-GB"/>
        </w:rPr>
      </w:pPr>
      <w:r>
        <w:t xml:space="preserve">The principal actuarial assumptions used in the valuation of the two main employee benefit schemes of the </w:t>
      </w:r>
      <w:r>
        <w:t>EU are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2435"/>
        <w:gridCol w:w="2435"/>
      </w:tblGrid>
      <w:tr w:rsidR="00135552">
        <w:trPr>
          <w:trHeight w:val="255"/>
        </w:trPr>
        <w:tc>
          <w:tcPr>
            <w:tcW w:w="488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SPL"/>
              <w:jc w:val="right"/>
              <w:rPr>
                <w:rFonts w:ascii="Verdana" w:eastAsia="Verdana" w:hAnsi="Verdana" w:cs="Verdana"/>
                <w:noProof/>
                <w:color w:val="FFFFFF"/>
                <w:sz w:val="18"/>
                <w:lang w:bidi="en-GB"/>
              </w:rPr>
            </w:pPr>
            <w:bookmarkStart w:id="82" w:name="DOC_TBL00037_1_1"/>
            <w:bookmarkEnd w:id="82"/>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SPL"/>
              <w:jc w:val="right"/>
              <w:rPr>
                <w:rFonts w:ascii="Verdana" w:eastAsia="Verdana" w:hAnsi="Verdana" w:cs="Verdana"/>
                <w:noProof/>
                <w:color w:val="FFFFFF"/>
                <w:sz w:val="18"/>
              </w:rPr>
            </w:pPr>
            <w:r>
              <w:rPr>
                <w:rFonts w:ascii="Verdana" w:eastAsia="Verdana" w:hAnsi="Verdana" w:cs="Verdana"/>
                <w:noProof/>
                <w:color w:val="FFFFFF"/>
                <w:sz w:val="18"/>
              </w:rPr>
              <w:t>Pension Scheme of European Officials</w:t>
            </w:r>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SPL"/>
              <w:jc w:val="right"/>
              <w:rPr>
                <w:rFonts w:ascii="Verdana" w:eastAsia="Verdana" w:hAnsi="Verdana" w:cs="Verdana"/>
                <w:noProof/>
                <w:color w:val="FFFFFF"/>
                <w:sz w:val="18"/>
                <w:lang w:bidi="en-GB"/>
              </w:rPr>
            </w:pPr>
            <w:r>
              <w:rPr>
                <w:rFonts w:ascii="Verdana" w:eastAsia="Verdana" w:hAnsi="Verdana" w:cs="Verdana"/>
                <w:noProof/>
                <w:color w:val="FFFFFF"/>
                <w:sz w:val="18"/>
              </w:rPr>
              <w:t>Joint Sickness Insurance Scheme</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b/>
                <w:noProof/>
                <w:color w:val="000000"/>
                <w:sz w:val="18"/>
              </w:rPr>
            </w:pPr>
            <w:r>
              <w:rPr>
                <w:rFonts w:ascii="Verdana" w:eastAsia="Verdana" w:hAnsi="Verdana" w:cs="Verdana"/>
                <w:b/>
                <w:noProof/>
                <w:color w:val="000000"/>
                <w:sz w:val="18"/>
              </w:rPr>
              <w:t>2019</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SPL"/>
              <w:jc w:val="right"/>
              <w:rPr>
                <w:rFonts w:ascii="Verdana" w:eastAsia="Verdana" w:hAnsi="Verdana" w:cs="Verdana"/>
                <w:noProof/>
                <w:color w:val="000000"/>
                <w:sz w:val="18"/>
                <w:lang w:bidi="en-GB"/>
              </w:rPr>
            </w:pP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 xml:space="preserve">Nominal discount rate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1.1%</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1.2%</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 xml:space="preserve">Expected inflation rate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1.3%</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1.3%</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Real discount rate</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(0.2)%</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(0.1)%</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Expected rate of salary increases</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1.8%</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1.8%</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 xml:space="preserve">Medical </w:t>
            </w:r>
            <w:r>
              <w:rPr>
                <w:rFonts w:ascii="Verdana" w:eastAsia="Verdana" w:hAnsi="Verdana" w:cs="Verdana"/>
                <w:i/>
                <w:noProof/>
                <w:color w:val="000000"/>
                <w:sz w:val="18"/>
              </w:rPr>
              <w:t>cost trend rates</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N/A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3.0%</w:t>
            </w:r>
          </w:p>
        </w:tc>
      </w:tr>
      <w:tr w:rsidR="00135552">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Retirement age</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63/64/66</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b/>
                <w:noProof/>
                <w:color w:val="000000"/>
                <w:sz w:val="18"/>
              </w:rPr>
            </w:pPr>
            <w:r>
              <w:rPr>
                <w:rFonts w:ascii="Verdana" w:eastAsia="Verdana" w:hAnsi="Verdana" w:cs="Verdana"/>
                <w:b/>
                <w:noProof/>
                <w:color w:val="000000"/>
                <w:sz w:val="18"/>
              </w:rPr>
              <w:t>2018</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SPL"/>
              <w:jc w:val="right"/>
              <w:rPr>
                <w:rFonts w:ascii="Verdana" w:eastAsia="Verdana" w:hAnsi="Verdana" w:cs="Verdana"/>
                <w:noProof/>
                <w:color w:val="000000"/>
                <w:sz w:val="18"/>
                <w:lang w:bidi="en-GB"/>
              </w:rPr>
            </w:pP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 xml:space="preserve">Nominal discount rate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1.9%</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2.0%</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 xml:space="preserve">Expected inflation rate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1.4%</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1.5%</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Real discount rate</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0.5%</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0.5%</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Expected rate of salary increases</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1.9%</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1.8%</w:t>
            </w:r>
          </w:p>
        </w:tc>
      </w:tr>
      <w:tr w:rsidR="00135552">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Medical cost trend rates</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N/A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lang w:bidi="en-GB"/>
              </w:rPr>
            </w:pPr>
            <w:r>
              <w:rPr>
                <w:rFonts w:ascii="Verdana" w:eastAsia="Verdana" w:hAnsi="Verdana" w:cs="Verdana"/>
                <w:i/>
                <w:noProof/>
                <w:color w:val="000000"/>
                <w:sz w:val="18"/>
              </w:rPr>
              <w:t>3.0%</w:t>
            </w:r>
          </w:p>
        </w:tc>
      </w:tr>
      <w:tr w:rsidR="00135552">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SPL"/>
              <w:rPr>
                <w:rFonts w:ascii="Verdana" w:eastAsia="Verdana" w:hAnsi="Verdana" w:cs="Verdana"/>
                <w:i/>
                <w:noProof/>
                <w:color w:val="000000"/>
                <w:sz w:val="18"/>
              </w:rPr>
            </w:pPr>
            <w:r>
              <w:rPr>
                <w:rFonts w:ascii="Verdana" w:eastAsia="Verdana" w:hAnsi="Verdana" w:cs="Verdana"/>
                <w:i/>
                <w:noProof/>
                <w:color w:val="000000"/>
                <w:sz w:val="18"/>
              </w:rPr>
              <w:t>Retirement age</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SPL"/>
              <w:jc w:val="right"/>
              <w:rPr>
                <w:rFonts w:ascii="Verdana" w:eastAsia="Verdana" w:hAnsi="Verdana" w:cs="Verdana"/>
                <w:i/>
                <w:noProof/>
                <w:color w:val="000000"/>
                <w:sz w:val="18"/>
              </w:rPr>
            </w:pPr>
            <w:r>
              <w:rPr>
                <w:rFonts w:ascii="Verdana" w:eastAsia="Verdana" w:hAnsi="Verdana" w:cs="Verdana"/>
                <w:i/>
                <w:noProof/>
                <w:color w:val="000000"/>
                <w:sz w:val="18"/>
              </w:rPr>
              <w:t>63/64/66</w:t>
            </w:r>
          </w:p>
        </w:tc>
      </w:tr>
    </w:tbl>
    <w:p w:rsidR="00135552" w:rsidRDefault="004C63B0">
      <w:pPr>
        <w:pStyle w:val="DGTextstand-alone"/>
      </w:pPr>
      <w:r>
        <w:t>Mortality rates for 2018 and 2019 are based on the EU Civil Servants Life Table - EULT 2018.</w:t>
      </w:r>
    </w:p>
    <w:p w:rsidR="00135552" w:rsidRDefault="004C63B0">
      <w:pPr>
        <w:pStyle w:val="DGTextstand-alone"/>
      </w:pPr>
      <w:r>
        <w:t xml:space="preserve">The nominal discount rate is determined as the value of the Euro zero-coupon yield (with a maturity of 22 years as of December </w:t>
      </w:r>
      <w:r>
        <w:t>2019 for the PSEO, and 26 years for the Joint Sickness Insurance Scheme). The inflation rate used is the expected inflation rate over the equivalent period. It must be determined empirically, based on prospective values as expressed by index-linked bonds o</w:t>
      </w:r>
      <w:r>
        <w:t>n the European financial markets. The real discount rate is calculated from the nominal discount rate and the expected long-term inflation rate.</w:t>
      </w:r>
    </w:p>
    <w:p w:rsidR="00135552" w:rsidRDefault="004C63B0">
      <w:pPr>
        <w:pStyle w:val="DGTextstand-alone"/>
      </w:pPr>
      <w:r>
        <w:t>A decrease in the real discount rate, i.e. the difference between the nominal discount rate and the expected in</w:t>
      </w:r>
      <w:r>
        <w:t>flation rate, has been observed over the past few years but it was particularly steep in 2019. The decrease in the real discount rate is mainly due to the decline in the nominal discount rate, which is in line with the trend observed globally on the financ</w:t>
      </w:r>
      <w:r>
        <w:t xml:space="preserve">ial markets. With the expected inflation rate having fallen only slightly, the decline in the nominal discount rate was not counterbalanced and translated to the significant decrease in the real discount rate, thus becoming negative for the first time and </w:t>
      </w:r>
      <w:r>
        <w:t>contributing to the significant actuarial loss from financial assumptions.</w:t>
      </w:r>
    </w:p>
    <w:p w:rsidR="00135552" w:rsidRDefault="004C63B0">
      <w:pPr>
        <w:pStyle w:val="DGTextstand-alone"/>
        <w:rPr>
          <w:rFonts w:eastAsia="Times New Roman"/>
          <w:color w:val="016794"/>
          <w:lang w:eastAsia="en-GB"/>
        </w:rPr>
      </w:pPr>
      <w:r>
        <w:rPr>
          <w:rFonts w:eastAsia="Times New Roman"/>
          <w:color w:val="016794"/>
          <w:lang w:eastAsia="en-GB"/>
        </w:rPr>
        <w:t xml:space="preserve">Sensitivity analyses </w:t>
      </w:r>
    </w:p>
    <w:p w:rsidR="00135552" w:rsidRDefault="004C63B0">
      <w:pPr>
        <w:pStyle w:val="DGTextstand-alone"/>
      </w:pPr>
      <w:r>
        <w:t xml:space="preserve">The sensitivity analysis is based on simulations which change, everything else being equal, the value of the concerned assumptions and observing how the model </w:t>
      </w:r>
      <w:r>
        <w:t>reacts.</w:t>
      </w:r>
    </w:p>
    <w:p w:rsidR="00135552" w:rsidRDefault="004C63B0">
      <w:pPr>
        <w:pStyle w:val="DGTextstand-alone"/>
        <w:rPr>
          <w:rFonts w:eastAsia="Times New Roman"/>
          <w:color w:val="016794"/>
          <w:lang w:eastAsia="en-GB"/>
        </w:rPr>
      </w:pPr>
      <w:r>
        <w:rPr>
          <w:rFonts w:eastAsia="Times New Roman"/>
          <w:color w:val="016794"/>
          <w:lang w:eastAsia="en-GB"/>
        </w:rPr>
        <w:t>Joint Sickness Insurance Scheme sensitivity</w:t>
      </w:r>
    </w:p>
    <w:p w:rsidR="00135552" w:rsidRDefault="004C63B0">
      <w:pPr>
        <w:pStyle w:val="DGTextstand-alone"/>
        <w:spacing w:after="120"/>
      </w:pPr>
      <w:r>
        <w:t>A ten basis point change in assumed medical cost trend rates would have the following effects:</w:t>
      </w:r>
    </w:p>
    <w:p w:rsidR="00135552" w:rsidRDefault="004C63B0">
      <w:pPr>
        <w:rPr>
          <w:rFonts w:ascii="Verdana" w:eastAsia="Calibri" w:hAnsi="Verdana"/>
          <w:noProof/>
          <w:sz w:val="18"/>
          <w:szCs w:val="18"/>
          <w:bdr w:val="nil"/>
          <w:lang w:eastAsia="en-US"/>
        </w:rPr>
      </w:pPr>
      <w:r>
        <w:rPr>
          <w:noProof/>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6"/>
              <w:rPr>
                <w:rFonts w:ascii="Arial" w:eastAsia="Arial" w:hAnsi="Arial" w:cs="Arial"/>
                <w:noProof/>
                <w:color w:val="000000"/>
                <w:lang w:bidi="en-GB"/>
              </w:rPr>
            </w:pPr>
            <w:bookmarkStart w:id="83" w:name="DOC_TBL00038_1_1"/>
            <w:bookmarkEnd w:id="83"/>
          </w:p>
          <w:p w:rsidR="00135552" w:rsidRDefault="00135552">
            <w:pPr>
              <w:pStyle w:val="DMETW17244BIPPENS6"/>
              <w:rPr>
                <w:rFonts w:ascii="Arial" w:eastAsia="Arial" w:hAnsi="Arial" w:cs="Arial"/>
                <w:noProof/>
                <w:color w:val="000000"/>
                <w:lang w:bidi="en-GB"/>
              </w:rPr>
            </w:pPr>
          </w:p>
        </w:tc>
        <w:tc>
          <w:tcPr>
            <w:tcW w:w="163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6"/>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6"/>
              <w:jc w:val="right"/>
              <w:rPr>
                <w:rFonts w:ascii="Verdana" w:eastAsia="Verdana" w:hAnsi="Verdana" w:cs="Verdana"/>
                <w:noProof/>
                <w:color w:val="FFFFFF"/>
                <w:sz w:val="18"/>
              </w:rPr>
            </w:pPr>
          </w:p>
        </w:tc>
        <w:tc>
          <w:tcPr>
            <w:tcW w:w="3265"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3264"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6"/>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right"/>
              <w:rPr>
                <w:rFonts w:ascii="Verdana" w:eastAsia="Verdana" w:hAnsi="Verdana" w:cs="Verdana"/>
                <w:noProof/>
                <w:color w:val="FFFFFF"/>
                <w:sz w:val="18"/>
              </w:rPr>
            </w:pPr>
            <w:r>
              <w:rPr>
                <w:rFonts w:ascii="Verdana" w:eastAsia="Verdana" w:hAnsi="Verdana" w:cs="Verdana"/>
                <w:noProof/>
                <w:color w:val="FFFFFF"/>
                <w:sz w:val="18"/>
              </w:rPr>
              <w:t>Decrease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6"/>
              <w:jc w:val="right"/>
              <w:rPr>
                <w:rFonts w:ascii="Verdana" w:eastAsia="Verdana" w:hAnsi="Verdana" w:cs="Verdana"/>
                <w:noProof/>
                <w:color w:val="FFFFFF"/>
                <w:sz w:val="18"/>
                <w:lang w:bidi="en-GB"/>
              </w:rPr>
            </w:pPr>
            <w:r>
              <w:rPr>
                <w:rFonts w:ascii="Verdana" w:eastAsia="Verdana" w:hAnsi="Verdana" w:cs="Verdana"/>
                <w:noProof/>
                <w:color w:val="FFFFFF"/>
                <w:sz w:val="18"/>
              </w:rPr>
              <w:t>Decrease 0.1%</w:t>
            </w:r>
          </w:p>
        </w:tc>
      </w:tr>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6"/>
              <w:rPr>
                <w:rFonts w:ascii="Verdana" w:eastAsia="Verdana" w:hAnsi="Verdana" w:cs="Verdana"/>
                <w:i/>
                <w:noProof/>
                <w:color w:val="000000"/>
                <w:sz w:val="18"/>
              </w:rPr>
            </w:pPr>
            <w:r>
              <w:rPr>
                <w:rFonts w:ascii="Verdana" w:eastAsia="Verdana" w:hAnsi="Verdana" w:cs="Verdana"/>
                <w:i/>
                <w:noProof/>
                <w:color w:val="000000"/>
                <w:sz w:val="18"/>
              </w:rPr>
              <w:t xml:space="preserve">The aggregate of </w:t>
            </w:r>
            <w:r>
              <w:rPr>
                <w:rFonts w:ascii="Verdana" w:eastAsia="Verdana" w:hAnsi="Verdana" w:cs="Verdana"/>
                <w:i/>
                <w:noProof/>
                <w:color w:val="000000"/>
                <w:sz w:val="18"/>
              </w:rPr>
              <w:t>the current service cost and interest cost components of net periodic post-employment medical costs</w:t>
            </w:r>
          </w:p>
        </w:tc>
        <w:tc>
          <w:tcPr>
            <w:tcW w:w="16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w:t>
            </w:r>
          </w:p>
        </w:tc>
      </w:tr>
      <w:tr w:rsidR="00135552">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6"/>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352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(341)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253</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6"/>
              <w:jc w:val="right"/>
              <w:rPr>
                <w:rFonts w:ascii="Verdana" w:eastAsia="Verdana" w:hAnsi="Verdana" w:cs="Verdana"/>
                <w:i/>
                <w:noProof/>
                <w:color w:val="000000"/>
                <w:sz w:val="18"/>
              </w:rPr>
            </w:pPr>
            <w:r>
              <w:rPr>
                <w:rFonts w:ascii="Verdana" w:eastAsia="Verdana" w:hAnsi="Verdana" w:cs="Verdana"/>
                <w:i/>
                <w:noProof/>
                <w:color w:val="000000"/>
                <w:sz w:val="18"/>
              </w:rPr>
              <w:t xml:space="preserve"> (246)</w:t>
            </w:r>
          </w:p>
        </w:tc>
      </w:tr>
    </w:tbl>
    <w:p w:rsidR="00135552" w:rsidRDefault="004C63B0">
      <w:pPr>
        <w:pStyle w:val="DGTextstand-alone"/>
        <w:rPr>
          <w:lang w:bidi="en-GB"/>
        </w:rPr>
      </w:pPr>
      <w:r>
        <w:rPr>
          <w:lang w:bidi="en-GB"/>
        </w:rPr>
        <w:t>A ten basis point (0.1%) change in the assumed discount rate would have the following</w:t>
      </w:r>
      <w:r>
        <w:rPr>
          <w:lang w:bidi="en-GB"/>
        </w:rPr>
        <w:t xml:space="preserve">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7"/>
              <w:rPr>
                <w:rFonts w:ascii="Arial" w:eastAsia="Arial" w:hAnsi="Arial" w:cs="Arial"/>
                <w:noProof/>
                <w:color w:val="000000"/>
                <w:lang w:bidi="en-GB"/>
              </w:rPr>
            </w:pPr>
            <w:bookmarkStart w:id="84" w:name="DOC_TBL00039_1_1"/>
            <w:bookmarkEnd w:id="84"/>
          </w:p>
        </w:tc>
        <w:tc>
          <w:tcPr>
            <w:tcW w:w="163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7"/>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7"/>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7"/>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right"/>
              <w:rPr>
                <w:rFonts w:ascii="Verdana" w:eastAsia="Verdana" w:hAnsi="Verdana" w:cs="Verdana"/>
                <w:noProof/>
                <w:color w:val="FFFFFF"/>
                <w:sz w:val="18"/>
              </w:rPr>
            </w:pPr>
            <w:r>
              <w:rPr>
                <w:rFonts w:ascii="Verdana" w:eastAsia="Verdana" w:hAnsi="Verdana" w:cs="Verdana"/>
                <w:noProof/>
                <w:color w:val="FFFFFF"/>
                <w:sz w:val="18"/>
              </w:rPr>
              <w:t>Decrease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7"/>
              <w:jc w:val="right"/>
              <w:rPr>
                <w:rFonts w:ascii="Verdana" w:eastAsia="Verdana" w:hAnsi="Verdana" w:cs="Verdana"/>
                <w:noProof/>
                <w:color w:val="FFFFFF"/>
                <w:sz w:val="18"/>
                <w:lang w:bidi="en-GB"/>
              </w:rPr>
            </w:pPr>
            <w:r>
              <w:rPr>
                <w:rFonts w:ascii="Verdana" w:eastAsia="Verdana" w:hAnsi="Verdana" w:cs="Verdana"/>
                <w:noProof/>
                <w:color w:val="FFFFFF"/>
                <w:sz w:val="18"/>
              </w:rPr>
              <w:t>Decrease 0.1%</w:t>
            </w:r>
          </w:p>
        </w:tc>
      </w:tr>
      <w:tr w:rsidR="00135552">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7"/>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7"/>
              <w:jc w:val="right"/>
              <w:rPr>
                <w:rFonts w:ascii="Verdana" w:eastAsia="Verdana" w:hAnsi="Verdana" w:cs="Verdana"/>
                <w:i/>
                <w:noProof/>
                <w:color w:val="000000"/>
                <w:sz w:val="18"/>
              </w:rPr>
            </w:pPr>
            <w:r>
              <w:rPr>
                <w:rFonts w:ascii="Verdana" w:eastAsia="Verdana" w:hAnsi="Verdana" w:cs="Verdana"/>
                <w:i/>
                <w:noProof/>
                <w:color w:val="000000"/>
                <w:sz w:val="18"/>
              </w:rPr>
              <w:t xml:space="preserve"> (311)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7"/>
              <w:jc w:val="right"/>
              <w:rPr>
                <w:rFonts w:ascii="Verdana" w:eastAsia="Verdana" w:hAnsi="Verdana" w:cs="Verdana"/>
                <w:i/>
                <w:noProof/>
                <w:color w:val="000000"/>
                <w:sz w:val="18"/>
              </w:rPr>
            </w:pPr>
            <w:r>
              <w:rPr>
                <w:rFonts w:ascii="Verdana" w:eastAsia="Verdana" w:hAnsi="Verdana" w:cs="Verdana"/>
                <w:i/>
                <w:noProof/>
                <w:color w:val="000000"/>
                <w:sz w:val="18"/>
              </w:rPr>
              <w:t xml:space="preserve"> 322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7"/>
              <w:jc w:val="right"/>
              <w:rPr>
                <w:rFonts w:ascii="Verdana" w:eastAsia="Verdana" w:hAnsi="Verdana" w:cs="Verdana"/>
                <w:i/>
                <w:noProof/>
                <w:color w:val="000000"/>
                <w:sz w:val="18"/>
              </w:rPr>
            </w:pPr>
            <w:r>
              <w:rPr>
                <w:rFonts w:ascii="Verdana" w:eastAsia="Verdana" w:hAnsi="Verdana" w:cs="Verdana"/>
                <w:i/>
                <w:noProof/>
                <w:color w:val="000000"/>
                <w:sz w:val="18"/>
              </w:rPr>
              <w:t xml:space="preserve"> (219)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7"/>
              <w:jc w:val="right"/>
              <w:rPr>
                <w:rFonts w:ascii="Verdana" w:eastAsia="Verdana" w:hAnsi="Verdana" w:cs="Verdana"/>
                <w:i/>
                <w:noProof/>
                <w:color w:val="000000"/>
                <w:sz w:val="18"/>
              </w:rPr>
            </w:pPr>
            <w:r>
              <w:rPr>
                <w:rFonts w:ascii="Verdana" w:eastAsia="Verdana" w:hAnsi="Verdana" w:cs="Verdana"/>
                <w:i/>
                <w:noProof/>
                <w:color w:val="000000"/>
                <w:sz w:val="18"/>
              </w:rPr>
              <w:t xml:space="preserve"> 226</w:t>
            </w:r>
          </w:p>
        </w:tc>
      </w:tr>
    </w:tbl>
    <w:p w:rsidR="00135552" w:rsidRDefault="004C63B0">
      <w:pPr>
        <w:pStyle w:val="DGTextstand-alone"/>
        <w:rPr>
          <w:lang w:bidi="en-GB"/>
        </w:rPr>
      </w:pPr>
      <w:r>
        <w:rPr>
          <w:lang w:bidi="en-GB"/>
        </w:rPr>
        <w:t>A ten basis point (0.1%) change in expected salary increases would have the following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8"/>
              <w:rPr>
                <w:rFonts w:ascii="Arial" w:eastAsia="Arial" w:hAnsi="Arial" w:cs="Arial"/>
                <w:noProof/>
                <w:color w:val="000000"/>
                <w:lang w:bidi="en-GB"/>
              </w:rPr>
            </w:pPr>
            <w:bookmarkStart w:id="85" w:name="DOC_TBL00040_1_1"/>
            <w:bookmarkEnd w:id="85"/>
          </w:p>
        </w:tc>
        <w:tc>
          <w:tcPr>
            <w:tcW w:w="163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8"/>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8"/>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8"/>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right"/>
              <w:rPr>
                <w:rFonts w:ascii="Verdana" w:eastAsia="Verdana" w:hAnsi="Verdana" w:cs="Verdana"/>
                <w:noProof/>
                <w:color w:val="FFFFFF"/>
                <w:sz w:val="18"/>
              </w:rPr>
            </w:pPr>
            <w:r>
              <w:rPr>
                <w:rFonts w:ascii="Verdana" w:eastAsia="Verdana" w:hAnsi="Verdana" w:cs="Verdana"/>
                <w:noProof/>
                <w:color w:val="FFFFFF"/>
                <w:sz w:val="18"/>
              </w:rPr>
              <w:t>Decrease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8"/>
              <w:jc w:val="right"/>
              <w:rPr>
                <w:rFonts w:ascii="Verdana" w:eastAsia="Verdana" w:hAnsi="Verdana" w:cs="Verdana"/>
                <w:noProof/>
                <w:color w:val="FFFFFF"/>
                <w:sz w:val="18"/>
                <w:lang w:bidi="en-GB"/>
              </w:rPr>
            </w:pPr>
            <w:r>
              <w:rPr>
                <w:rFonts w:ascii="Verdana" w:eastAsia="Verdana" w:hAnsi="Verdana" w:cs="Verdana"/>
                <w:noProof/>
                <w:color w:val="FFFFFF"/>
                <w:sz w:val="18"/>
              </w:rPr>
              <w:t>Decrease 0.1%</w:t>
            </w:r>
          </w:p>
        </w:tc>
      </w:tr>
      <w:tr w:rsidR="00135552">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8"/>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8"/>
              <w:jc w:val="right"/>
              <w:rPr>
                <w:rFonts w:ascii="Verdana" w:eastAsia="Verdana" w:hAnsi="Verdana" w:cs="Verdana"/>
                <w:i/>
                <w:noProof/>
                <w:color w:val="000000"/>
                <w:sz w:val="18"/>
              </w:rPr>
            </w:pPr>
            <w:r>
              <w:rPr>
                <w:rFonts w:ascii="Verdana" w:eastAsia="Verdana" w:hAnsi="Verdana" w:cs="Verdana"/>
                <w:i/>
                <w:noProof/>
                <w:color w:val="000000"/>
                <w:sz w:val="18"/>
              </w:rPr>
              <w:t xml:space="preserve"> (30)</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8"/>
              <w:jc w:val="right"/>
              <w:rPr>
                <w:rFonts w:ascii="Verdana" w:eastAsia="Verdana" w:hAnsi="Verdana" w:cs="Verdana"/>
                <w:i/>
                <w:noProof/>
                <w:color w:val="000000"/>
                <w:sz w:val="18"/>
              </w:rPr>
            </w:pPr>
            <w:r>
              <w:rPr>
                <w:rFonts w:ascii="Verdana" w:eastAsia="Verdana" w:hAnsi="Verdana" w:cs="Verdana"/>
                <w:i/>
                <w:noProof/>
                <w:color w:val="000000"/>
                <w:sz w:val="18"/>
              </w:rPr>
              <w:t xml:space="preserve"> 29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8"/>
              <w:jc w:val="right"/>
              <w:rPr>
                <w:rFonts w:ascii="Verdana" w:eastAsia="Verdana" w:hAnsi="Verdana" w:cs="Verdana"/>
                <w:i/>
                <w:noProof/>
                <w:color w:val="000000"/>
                <w:sz w:val="18"/>
              </w:rPr>
            </w:pPr>
            <w:r>
              <w:rPr>
                <w:rFonts w:ascii="Verdana" w:eastAsia="Verdana" w:hAnsi="Verdana" w:cs="Verdana"/>
                <w:i/>
                <w:noProof/>
                <w:color w:val="000000"/>
                <w:sz w:val="18"/>
              </w:rPr>
              <w:t xml:space="preserve"> (26)</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8"/>
              <w:jc w:val="right"/>
              <w:rPr>
                <w:rFonts w:ascii="Verdana" w:eastAsia="Verdana" w:hAnsi="Verdana" w:cs="Verdana"/>
                <w:i/>
                <w:noProof/>
                <w:color w:val="000000"/>
                <w:sz w:val="18"/>
              </w:rPr>
            </w:pPr>
            <w:r>
              <w:rPr>
                <w:rFonts w:ascii="Verdana" w:eastAsia="Verdana" w:hAnsi="Verdana" w:cs="Verdana"/>
                <w:i/>
                <w:noProof/>
                <w:color w:val="000000"/>
                <w:sz w:val="18"/>
              </w:rPr>
              <w:t xml:space="preserve"> 25</w:t>
            </w:r>
          </w:p>
        </w:tc>
      </w:tr>
    </w:tbl>
    <w:p w:rsidR="00135552" w:rsidRDefault="004C63B0">
      <w:pPr>
        <w:pStyle w:val="DGTextstand-alone"/>
        <w:rPr>
          <w:lang w:bidi="en-GB"/>
        </w:rPr>
      </w:pPr>
      <w:r>
        <w:rPr>
          <w:lang w:bidi="en-GB"/>
        </w:rPr>
        <w:t>A one-year change in assumed retirement age would have the following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135552">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9"/>
              <w:rPr>
                <w:rFonts w:ascii="Arial" w:eastAsia="Arial" w:hAnsi="Arial" w:cs="Arial"/>
                <w:noProof/>
                <w:color w:val="000000"/>
                <w:lang w:bidi="en-GB"/>
              </w:rPr>
            </w:pPr>
            <w:bookmarkStart w:id="86" w:name="DOC_TBL00041_1_1"/>
            <w:bookmarkEnd w:id="86"/>
          </w:p>
        </w:tc>
        <w:tc>
          <w:tcPr>
            <w:tcW w:w="182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9"/>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9"/>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9"/>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right"/>
              <w:rPr>
                <w:rFonts w:ascii="Verdana" w:eastAsia="Verdana" w:hAnsi="Verdana" w:cs="Verdana"/>
                <w:noProof/>
                <w:color w:val="FFFFFF"/>
                <w:sz w:val="18"/>
              </w:rPr>
            </w:pPr>
            <w:r>
              <w:rPr>
                <w:rFonts w:ascii="Verdana" w:eastAsia="Verdana" w:hAnsi="Verdana" w:cs="Verdana"/>
                <w:noProof/>
                <w:color w:val="FFFFFF"/>
                <w:sz w:val="18"/>
              </w:rPr>
              <w:t>One year increase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right"/>
              <w:rPr>
                <w:rFonts w:ascii="Verdana" w:eastAsia="Verdana" w:hAnsi="Verdana" w:cs="Verdana"/>
                <w:noProof/>
                <w:color w:val="FFFFFF"/>
                <w:sz w:val="18"/>
              </w:rPr>
            </w:pPr>
            <w:r>
              <w:rPr>
                <w:rFonts w:ascii="Verdana" w:eastAsia="Verdana" w:hAnsi="Verdana" w:cs="Verdana"/>
                <w:noProof/>
                <w:color w:val="FFFFFF"/>
                <w:sz w:val="18"/>
              </w:rPr>
              <w:t>One</w:t>
            </w:r>
            <w:r>
              <w:rPr>
                <w:rFonts w:ascii="Verdana" w:eastAsia="Verdana" w:hAnsi="Verdana" w:cs="Verdana"/>
                <w:noProof/>
                <w:color w:val="FFFFFF"/>
                <w:sz w:val="18"/>
              </w:rPr>
              <w:t xml:space="preserve"> year decrease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right"/>
              <w:rPr>
                <w:rFonts w:ascii="Verdana" w:eastAsia="Verdana" w:hAnsi="Verdana" w:cs="Verdana"/>
                <w:noProof/>
                <w:color w:val="FFFFFF"/>
                <w:sz w:val="18"/>
              </w:rPr>
            </w:pPr>
            <w:r>
              <w:rPr>
                <w:rFonts w:ascii="Verdana" w:eastAsia="Verdana" w:hAnsi="Verdana" w:cs="Verdana"/>
                <w:noProof/>
                <w:color w:val="FFFFFF"/>
                <w:sz w:val="18"/>
              </w:rPr>
              <w:t>One year increase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9"/>
              <w:jc w:val="right"/>
              <w:rPr>
                <w:rFonts w:ascii="Verdana" w:eastAsia="Verdana" w:hAnsi="Verdana" w:cs="Verdana"/>
                <w:noProof/>
                <w:color w:val="FFFFFF"/>
                <w:sz w:val="18"/>
                <w:lang w:bidi="en-GB"/>
              </w:rPr>
            </w:pPr>
            <w:r>
              <w:rPr>
                <w:rFonts w:ascii="Verdana" w:eastAsia="Verdana" w:hAnsi="Verdana" w:cs="Verdana"/>
                <w:noProof/>
                <w:color w:val="FFFFFF"/>
                <w:sz w:val="18"/>
              </w:rPr>
              <w:t>One year decrease</w:t>
            </w:r>
          </w:p>
        </w:tc>
      </w:tr>
      <w:tr w:rsidR="00135552">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9"/>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9"/>
              <w:jc w:val="right"/>
              <w:rPr>
                <w:rFonts w:ascii="Verdana" w:eastAsia="Verdana" w:hAnsi="Verdana" w:cs="Verdana"/>
                <w:i/>
                <w:noProof/>
                <w:color w:val="000000"/>
                <w:sz w:val="18"/>
              </w:rPr>
            </w:pPr>
            <w:r>
              <w:rPr>
                <w:rFonts w:ascii="Verdana" w:eastAsia="Verdana" w:hAnsi="Verdana" w:cs="Verdana"/>
                <w:i/>
                <w:noProof/>
                <w:color w:val="000000"/>
                <w:sz w:val="18"/>
              </w:rPr>
              <w:t xml:space="preserve"> (363)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9"/>
              <w:jc w:val="right"/>
              <w:rPr>
                <w:rFonts w:ascii="Verdana" w:eastAsia="Verdana" w:hAnsi="Verdana" w:cs="Verdana"/>
                <w:i/>
                <w:noProof/>
                <w:color w:val="000000"/>
                <w:sz w:val="18"/>
              </w:rPr>
            </w:pPr>
            <w:r>
              <w:rPr>
                <w:rFonts w:ascii="Verdana" w:eastAsia="Verdana" w:hAnsi="Verdana" w:cs="Verdana"/>
                <w:i/>
                <w:noProof/>
                <w:color w:val="000000"/>
                <w:sz w:val="18"/>
              </w:rPr>
              <w:t xml:space="preserve"> 383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9"/>
              <w:jc w:val="right"/>
              <w:rPr>
                <w:rFonts w:ascii="Verdana" w:eastAsia="Verdana" w:hAnsi="Verdana" w:cs="Verdana"/>
                <w:i/>
                <w:noProof/>
                <w:color w:val="000000"/>
                <w:sz w:val="18"/>
              </w:rPr>
            </w:pPr>
            <w:r>
              <w:rPr>
                <w:rFonts w:ascii="Verdana" w:eastAsia="Verdana" w:hAnsi="Verdana" w:cs="Verdana"/>
                <w:i/>
                <w:noProof/>
                <w:color w:val="000000"/>
                <w:sz w:val="18"/>
              </w:rPr>
              <w:t xml:space="preserve"> (91)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9"/>
              <w:jc w:val="right"/>
              <w:rPr>
                <w:rFonts w:ascii="Verdana" w:eastAsia="Verdana" w:hAnsi="Verdana" w:cs="Verdana"/>
                <w:i/>
                <w:noProof/>
                <w:color w:val="000000"/>
                <w:sz w:val="18"/>
              </w:rPr>
            </w:pPr>
            <w:r>
              <w:rPr>
                <w:rFonts w:ascii="Verdana" w:eastAsia="Verdana" w:hAnsi="Verdana" w:cs="Verdana"/>
                <w:i/>
                <w:noProof/>
                <w:color w:val="000000"/>
                <w:sz w:val="18"/>
              </w:rPr>
              <w:t xml:space="preserve"> 54</w:t>
            </w:r>
          </w:p>
        </w:tc>
      </w:tr>
    </w:tbl>
    <w:p w:rsidR="00135552" w:rsidRDefault="004C63B0">
      <w:pPr>
        <w:pStyle w:val="DGTextstand-alone"/>
        <w:rPr>
          <w:rFonts w:eastAsia="Times New Roman"/>
          <w:color w:val="016794"/>
          <w:lang w:eastAsia="en-GB"/>
        </w:rPr>
      </w:pPr>
      <w:r>
        <w:rPr>
          <w:rFonts w:eastAsia="Times New Roman"/>
          <w:color w:val="016794"/>
          <w:lang w:eastAsia="en-GB"/>
        </w:rPr>
        <w:t>Pension Scheme of European Officials sensitivity</w:t>
      </w:r>
    </w:p>
    <w:p w:rsidR="00135552" w:rsidRDefault="004C63B0">
      <w:pPr>
        <w:pStyle w:val="DGTextstand-alone"/>
        <w:rPr>
          <w:lang w:bidi="en-GB"/>
        </w:rPr>
      </w:pPr>
      <w:r>
        <w:rPr>
          <w:rFonts w:eastAsia="Times New Roman"/>
          <w:lang w:eastAsia="en-GB"/>
        </w:rPr>
        <w:t>A ten basis point (0.1%) change in the assumed discount rate would have the following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0"/>
              <w:rPr>
                <w:rFonts w:ascii="Arial" w:eastAsia="Arial" w:hAnsi="Arial" w:cs="Arial"/>
                <w:noProof/>
                <w:color w:val="000000"/>
                <w:lang w:bidi="en-GB"/>
              </w:rPr>
            </w:pPr>
            <w:bookmarkStart w:id="87" w:name="DOC_TBL00042_1_1"/>
            <w:bookmarkEnd w:id="87"/>
          </w:p>
        </w:tc>
        <w:tc>
          <w:tcPr>
            <w:tcW w:w="163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0"/>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0"/>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0"/>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right"/>
              <w:rPr>
                <w:rFonts w:ascii="Verdana" w:eastAsia="Verdana" w:hAnsi="Verdana" w:cs="Verdana"/>
                <w:noProof/>
                <w:color w:val="FFFFFF"/>
                <w:sz w:val="18"/>
              </w:rPr>
            </w:pPr>
            <w:r>
              <w:rPr>
                <w:rFonts w:ascii="Verdana" w:eastAsia="Verdana" w:hAnsi="Verdana" w:cs="Verdana"/>
                <w:noProof/>
                <w:color w:val="FFFFFF"/>
                <w:sz w:val="18"/>
              </w:rPr>
              <w:t>Decrease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0"/>
              <w:jc w:val="right"/>
              <w:rPr>
                <w:rFonts w:ascii="Verdana" w:eastAsia="Verdana" w:hAnsi="Verdana" w:cs="Verdana"/>
                <w:noProof/>
                <w:color w:val="FFFFFF"/>
                <w:sz w:val="18"/>
                <w:lang w:bidi="en-GB"/>
              </w:rPr>
            </w:pPr>
            <w:r>
              <w:rPr>
                <w:rFonts w:ascii="Verdana" w:eastAsia="Verdana" w:hAnsi="Verdana" w:cs="Verdana"/>
                <w:noProof/>
                <w:color w:val="FFFFFF"/>
                <w:sz w:val="18"/>
              </w:rPr>
              <w:t>Decrease 0.1%</w:t>
            </w:r>
          </w:p>
        </w:tc>
      </w:tr>
      <w:tr w:rsidR="00135552">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0"/>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0"/>
              <w:jc w:val="right"/>
              <w:rPr>
                <w:rFonts w:ascii="Verdana" w:eastAsia="Verdana" w:hAnsi="Verdana" w:cs="Verdana"/>
                <w:i/>
                <w:noProof/>
                <w:color w:val="000000"/>
                <w:sz w:val="18"/>
              </w:rPr>
            </w:pPr>
            <w:r>
              <w:rPr>
                <w:rFonts w:ascii="Verdana" w:eastAsia="Verdana" w:hAnsi="Verdana" w:cs="Verdana"/>
                <w:i/>
                <w:noProof/>
                <w:color w:val="000000"/>
                <w:sz w:val="18"/>
              </w:rPr>
              <w:t>(1 797)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0"/>
              <w:jc w:val="right"/>
              <w:rPr>
                <w:rFonts w:ascii="Verdana" w:eastAsia="Verdana" w:hAnsi="Verdana" w:cs="Verdana"/>
                <w:i/>
                <w:noProof/>
                <w:color w:val="000000"/>
                <w:sz w:val="18"/>
              </w:rPr>
            </w:pPr>
            <w:r>
              <w:rPr>
                <w:rFonts w:ascii="Verdana" w:eastAsia="Verdana" w:hAnsi="Verdana" w:cs="Verdana"/>
                <w:i/>
                <w:noProof/>
                <w:color w:val="000000"/>
                <w:sz w:val="18"/>
              </w:rPr>
              <w:t>1 854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0"/>
              <w:jc w:val="right"/>
              <w:rPr>
                <w:rFonts w:ascii="Verdana" w:eastAsia="Verdana" w:hAnsi="Verdana" w:cs="Verdana"/>
                <w:i/>
                <w:noProof/>
                <w:color w:val="000000"/>
                <w:sz w:val="18"/>
              </w:rPr>
            </w:pPr>
            <w:r>
              <w:rPr>
                <w:rFonts w:ascii="Verdana" w:eastAsia="Verdana" w:hAnsi="Verdana" w:cs="Verdana"/>
                <w:i/>
                <w:noProof/>
                <w:color w:val="000000"/>
                <w:sz w:val="18"/>
              </w:rPr>
              <w:t>(1 434)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0"/>
              <w:jc w:val="right"/>
              <w:rPr>
                <w:rFonts w:ascii="Verdana" w:eastAsia="Verdana" w:hAnsi="Verdana" w:cs="Verdana"/>
                <w:i/>
                <w:noProof/>
                <w:color w:val="000000"/>
                <w:sz w:val="18"/>
              </w:rPr>
            </w:pPr>
            <w:r>
              <w:rPr>
                <w:rFonts w:ascii="Verdana" w:eastAsia="Verdana" w:hAnsi="Verdana" w:cs="Verdana"/>
                <w:i/>
                <w:noProof/>
                <w:color w:val="000000"/>
                <w:sz w:val="18"/>
              </w:rPr>
              <w:t>1 478</w:t>
            </w:r>
          </w:p>
        </w:tc>
      </w:tr>
    </w:tbl>
    <w:p w:rsidR="00135552" w:rsidRDefault="004C63B0">
      <w:pPr>
        <w:pStyle w:val="DGTextstand-alone"/>
        <w:rPr>
          <w:lang w:bidi="en-GB"/>
        </w:rPr>
      </w:pPr>
      <w:r>
        <w:rPr>
          <w:lang w:bidi="en-GB"/>
        </w:rPr>
        <w:t>A ten basis point (0.1%) change in expected salary increases would have the following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135552">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1"/>
              <w:rPr>
                <w:rFonts w:ascii="Arial" w:eastAsia="Arial" w:hAnsi="Arial" w:cs="Arial"/>
                <w:noProof/>
                <w:color w:val="000000"/>
                <w:lang w:bidi="en-GB"/>
              </w:rPr>
            </w:pPr>
            <w:bookmarkStart w:id="88" w:name="DOC_TBL00043_1_1"/>
            <w:bookmarkEnd w:id="88"/>
          </w:p>
        </w:tc>
        <w:tc>
          <w:tcPr>
            <w:tcW w:w="163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1"/>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1"/>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center"/>
              <w:rPr>
                <w:rFonts w:ascii="Verdana" w:eastAsia="Verdana" w:hAnsi="Verdana" w:cs="Verdana"/>
                <w:noProof/>
                <w:color w:val="FFFFFF"/>
                <w:sz w:val="18"/>
                <w:lang w:bidi="en-GB"/>
              </w:rPr>
            </w:pPr>
            <w:r>
              <w:rPr>
                <w:rFonts w:ascii="Verdana" w:eastAsia="Verdana" w:hAnsi="Verdana" w:cs="Verdana"/>
                <w:noProof/>
                <w:color w:val="FFFFFF"/>
                <w:sz w:val="18"/>
              </w:rPr>
              <w:t>2019</w:t>
            </w:r>
          </w:p>
        </w:tc>
      </w:tr>
      <w:tr w:rsidR="00135552">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1"/>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right"/>
              <w:rPr>
                <w:rFonts w:ascii="Verdana" w:eastAsia="Verdana" w:hAnsi="Verdana" w:cs="Verdana"/>
                <w:noProof/>
                <w:color w:val="FFFFFF"/>
                <w:sz w:val="18"/>
              </w:rPr>
            </w:pPr>
            <w:r>
              <w:rPr>
                <w:rFonts w:ascii="Verdana" w:eastAsia="Verdana" w:hAnsi="Verdana" w:cs="Verdana"/>
                <w:noProof/>
                <w:color w:val="FFFFFF"/>
                <w:sz w:val="18"/>
              </w:rPr>
              <w:t>Decrease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right"/>
              <w:rPr>
                <w:rFonts w:ascii="Verdana" w:eastAsia="Verdana" w:hAnsi="Verdana" w:cs="Verdana"/>
                <w:noProof/>
                <w:color w:val="FFFFFF"/>
                <w:sz w:val="18"/>
              </w:rPr>
            </w:pPr>
            <w:r>
              <w:rPr>
                <w:rFonts w:ascii="Verdana" w:eastAsia="Verdana" w:hAnsi="Verdana" w:cs="Verdana"/>
                <w:noProof/>
                <w:color w:val="FFFFFF"/>
                <w:sz w:val="18"/>
              </w:rPr>
              <w:t>Increase 0.1%</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1"/>
              <w:jc w:val="right"/>
              <w:rPr>
                <w:rFonts w:ascii="Verdana" w:eastAsia="Verdana" w:hAnsi="Verdana" w:cs="Verdana"/>
                <w:noProof/>
                <w:color w:val="FFFFFF"/>
                <w:sz w:val="18"/>
                <w:lang w:bidi="en-GB"/>
              </w:rPr>
            </w:pPr>
            <w:r>
              <w:rPr>
                <w:rFonts w:ascii="Verdana" w:eastAsia="Verdana" w:hAnsi="Verdana" w:cs="Verdana"/>
                <w:noProof/>
                <w:color w:val="FFFFFF"/>
                <w:sz w:val="18"/>
              </w:rPr>
              <w:t>Decrease 0.1%</w:t>
            </w:r>
          </w:p>
        </w:tc>
      </w:tr>
      <w:tr w:rsidR="00135552">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1"/>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1"/>
              <w:jc w:val="right"/>
              <w:rPr>
                <w:rFonts w:ascii="Verdana" w:eastAsia="Verdana" w:hAnsi="Verdana" w:cs="Verdana"/>
                <w:i/>
                <w:noProof/>
                <w:color w:val="000000"/>
                <w:sz w:val="18"/>
              </w:rPr>
            </w:pPr>
            <w:r>
              <w:rPr>
                <w:rFonts w:ascii="Verdana" w:eastAsia="Verdana" w:hAnsi="Verdana" w:cs="Verdana"/>
                <w:i/>
                <w:noProof/>
                <w:color w:val="000000"/>
                <w:sz w:val="18"/>
              </w:rPr>
              <w:t>1 774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1"/>
              <w:jc w:val="right"/>
              <w:rPr>
                <w:rFonts w:ascii="Verdana" w:eastAsia="Verdana" w:hAnsi="Verdana" w:cs="Verdana"/>
                <w:i/>
                <w:noProof/>
                <w:color w:val="000000"/>
                <w:sz w:val="18"/>
              </w:rPr>
            </w:pPr>
            <w:r>
              <w:rPr>
                <w:rFonts w:ascii="Verdana" w:eastAsia="Verdana" w:hAnsi="Verdana" w:cs="Verdana"/>
                <w:i/>
                <w:noProof/>
                <w:color w:val="000000"/>
                <w:sz w:val="18"/>
              </w:rPr>
              <w:t>(1 724)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1"/>
              <w:jc w:val="right"/>
              <w:rPr>
                <w:rFonts w:ascii="Verdana" w:eastAsia="Verdana" w:hAnsi="Verdana" w:cs="Verdana"/>
                <w:i/>
                <w:noProof/>
                <w:color w:val="000000"/>
                <w:sz w:val="18"/>
              </w:rPr>
            </w:pPr>
            <w:r>
              <w:rPr>
                <w:rFonts w:ascii="Verdana" w:eastAsia="Verdana" w:hAnsi="Verdana" w:cs="Verdana"/>
                <w:i/>
                <w:noProof/>
                <w:color w:val="000000"/>
                <w:sz w:val="18"/>
              </w:rPr>
              <w:t>1 427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1"/>
              <w:jc w:val="right"/>
              <w:rPr>
                <w:rFonts w:ascii="Verdana" w:eastAsia="Verdana" w:hAnsi="Verdana" w:cs="Verdana"/>
                <w:i/>
                <w:noProof/>
                <w:color w:val="000000"/>
                <w:sz w:val="18"/>
              </w:rPr>
            </w:pPr>
            <w:r>
              <w:rPr>
                <w:rFonts w:ascii="Verdana" w:eastAsia="Verdana" w:hAnsi="Verdana" w:cs="Verdana"/>
                <w:i/>
                <w:noProof/>
                <w:color w:val="000000"/>
                <w:sz w:val="18"/>
              </w:rPr>
              <w:t>(1 388)</w:t>
            </w:r>
          </w:p>
        </w:tc>
      </w:tr>
    </w:tbl>
    <w:p w:rsidR="00135552" w:rsidRDefault="004C63B0">
      <w:pPr>
        <w:pStyle w:val="DGTextstand-alone"/>
        <w:rPr>
          <w:lang w:bidi="en-GB"/>
        </w:rPr>
      </w:pPr>
      <w:r>
        <w:rPr>
          <w:lang w:bidi="en-GB"/>
        </w:rPr>
        <w:t>A one-year change in assumed retirement age would have the following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135552">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2"/>
              <w:rPr>
                <w:rFonts w:ascii="Arial" w:eastAsia="Arial" w:hAnsi="Arial" w:cs="Arial"/>
                <w:noProof/>
                <w:color w:val="000000"/>
                <w:lang w:bidi="en-GB"/>
              </w:rPr>
            </w:pPr>
            <w:bookmarkStart w:id="89" w:name="DOC_TBL00044_1_1"/>
            <w:bookmarkEnd w:id="89"/>
          </w:p>
        </w:tc>
        <w:tc>
          <w:tcPr>
            <w:tcW w:w="182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4BIPPENS12"/>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2"/>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center"/>
              <w:rPr>
                <w:rFonts w:ascii="Verdana" w:eastAsia="Verdana" w:hAnsi="Verdana" w:cs="Verdana"/>
                <w:noProof/>
                <w:color w:val="FFFFFF"/>
                <w:sz w:val="18"/>
              </w:rPr>
            </w:pPr>
            <w:r>
              <w:rPr>
                <w:rFonts w:ascii="Verdana" w:eastAsia="Verdana" w:hAnsi="Verdana" w:cs="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center"/>
              <w:rPr>
                <w:rFonts w:ascii="Verdana" w:eastAsia="Verdana" w:hAnsi="Verdana" w:cs="Verdana"/>
                <w:noProof/>
                <w:color w:val="FFFFFF"/>
                <w:sz w:val="18"/>
                <w:lang w:bidi="en-GB"/>
              </w:rPr>
            </w:pPr>
            <w:r>
              <w:rPr>
                <w:rFonts w:ascii="Verdana" w:eastAsia="Verdana" w:hAnsi="Verdana" w:cs="Verdana"/>
                <w:noProof/>
                <w:color w:val="FFFFFF"/>
                <w:sz w:val="18"/>
              </w:rPr>
              <w:t>2018</w:t>
            </w:r>
          </w:p>
        </w:tc>
      </w:tr>
      <w:tr w:rsidR="00135552">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4BIPPENS12"/>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right"/>
              <w:rPr>
                <w:rFonts w:ascii="Verdana" w:eastAsia="Verdana" w:hAnsi="Verdana" w:cs="Verdana"/>
                <w:noProof/>
                <w:color w:val="FFFFFF"/>
                <w:sz w:val="18"/>
              </w:rPr>
            </w:pPr>
            <w:r>
              <w:rPr>
                <w:rFonts w:ascii="Verdana" w:eastAsia="Verdana" w:hAnsi="Verdana" w:cs="Verdana"/>
                <w:noProof/>
                <w:color w:val="FFFFFF"/>
                <w:sz w:val="18"/>
              </w:rPr>
              <w:t>One year increase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right"/>
              <w:rPr>
                <w:rFonts w:ascii="Verdana" w:eastAsia="Verdana" w:hAnsi="Verdana" w:cs="Verdana"/>
                <w:noProof/>
                <w:color w:val="FFFFFF"/>
                <w:sz w:val="18"/>
              </w:rPr>
            </w:pPr>
            <w:r>
              <w:rPr>
                <w:rFonts w:ascii="Verdana" w:eastAsia="Verdana" w:hAnsi="Verdana" w:cs="Verdana"/>
                <w:noProof/>
                <w:color w:val="FFFFFF"/>
                <w:sz w:val="18"/>
              </w:rPr>
              <w:t xml:space="preserve">One year </w:t>
            </w:r>
            <w:r>
              <w:rPr>
                <w:rFonts w:ascii="Verdana" w:eastAsia="Verdana" w:hAnsi="Verdana" w:cs="Verdana"/>
                <w:noProof/>
                <w:color w:val="FFFFFF"/>
                <w:sz w:val="18"/>
              </w:rPr>
              <w:t>decrease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right"/>
              <w:rPr>
                <w:rFonts w:ascii="Verdana" w:eastAsia="Verdana" w:hAnsi="Verdana" w:cs="Verdana"/>
                <w:noProof/>
                <w:color w:val="FFFFFF"/>
                <w:sz w:val="18"/>
              </w:rPr>
            </w:pPr>
            <w:r>
              <w:rPr>
                <w:rFonts w:ascii="Verdana" w:eastAsia="Verdana" w:hAnsi="Verdana" w:cs="Verdana"/>
                <w:noProof/>
                <w:color w:val="FFFFFF"/>
                <w:sz w:val="18"/>
              </w:rPr>
              <w:t>One year increase</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4BIPPENS12"/>
              <w:jc w:val="right"/>
              <w:rPr>
                <w:rFonts w:ascii="Verdana" w:eastAsia="Verdana" w:hAnsi="Verdana" w:cs="Verdana"/>
                <w:noProof/>
                <w:color w:val="FFFFFF"/>
                <w:sz w:val="18"/>
                <w:lang w:bidi="en-GB"/>
              </w:rPr>
            </w:pPr>
            <w:r>
              <w:rPr>
                <w:rFonts w:ascii="Verdana" w:eastAsia="Verdana" w:hAnsi="Verdana" w:cs="Verdana"/>
                <w:noProof/>
                <w:color w:val="FFFFFF"/>
                <w:sz w:val="18"/>
              </w:rPr>
              <w:t>One year decrease</w:t>
            </w:r>
          </w:p>
        </w:tc>
      </w:tr>
      <w:tr w:rsidR="00135552">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2"/>
              <w:rPr>
                <w:rFonts w:ascii="Verdana" w:eastAsia="Verdana" w:hAnsi="Verdana" w:cs="Verdana"/>
                <w:i/>
                <w:noProof/>
                <w:color w:val="000000"/>
                <w:sz w:val="18"/>
              </w:rPr>
            </w:pPr>
            <w:r>
              <w:rPr>
                <w:rFonts w:ascii="Verdana" w:eastAsia="Verdana" w:hAnsi="Verdana" w:cs="Verdana"/>
                <w:i/>
                <w:noProof/>
                <w:color w:val="000000"/>
                <w:sz w:val="18"/>
              </w:rPr>
              <w:t>Defined benefit obligation</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2"/>
              <w:jc w:val="right"/>
              <w:rPr>
                <w:rFonts w:ascii="Verdana" w:eastAsia="Verdana" w:hAnsi="Verdana" w:cs="Verdana"/>
                <w:i/>
                <w:noProof/>
                <w:color w:val="000000"/>
                <w:sz w:val="18"/>
              </w:rPr>
            </w:pPr>
            <w:r>
              <w:rPr>
                <w:rFonts w:ascii="Verdana" w:eastAsia="Verdana" w:hAnsi="Verdana" w:cs="Verdana"/>
                <w:i/>
                <w:noProof/>
                <w:color w:val="000000"/>
                <w:sz w:val="18"/>
              </w:rPr>
              <w:t xml:space="preserve"> (620)</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2"/>
              <w:jc w:val="right"/>
              <w:rPr>
                <w:rFonts w:ascii="Verdana" w:eastAsia="Verdana" w:hAnsi="Verdana" w:cs="Verdana"/>
                <w:i/>
                <w:noProof/>
                <w:color w:val="000000"/>
                <w:sz w:val="18"/>
              </w:rPr>
            </w:pPr>
            <w:r>
              <w:rPr>
                <w:rFonts w:ascii="Verdana" w:eastAsia="Verdana" w:hAnsi="Verdana" w:cs="Verdana"/>
                <w:i/>
                <w:noProof/>
                <w:color w:val="000000"/>
                <w:sz w:val="18"/>
              </w:rPr>
              <w:t xml:space="preserve"> 771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2"/>
              <w:jc w:val="right"/>
              <w:rPr>
                <w:rFonts w:ascii="Verdana" w:eastAsia="Verdana" w:hAnsi="Verdana" w:cs="Verdana"/>
                <w:i/>
                <w:noProof/>
                <w:color w:val="000000"/>
                <w:sz w:val="18"/>
              </w:rPr>
            </w:pPr>
            <w:r>
              <w:rPr>
                <w:rFonts w:ascii="Verdana" w:eastAsia="Verdana" w:hAnsi="Verdana" w:cs="Verdana"/>
                <w:i/>
                <w:noProof/>
                <w:color w:val="000000"/>
                <w:sz w:val="18"/>
              </w:rPr>
              <w:t xml:space="preserve"> (573)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4BIPPENS12"/>
              <w:jc w:val="right"/>
              <w:rPr>
                <w:rFonts w:ascii="Verdana" w:eastAsia="Verdana" w:hAnsi="Verdana" w:cs="Verdana"/>
                <w:i/>
                <w:noProof/>
                <w:color w:val="000000"/>
                <w:sz w:val="18"/>
              </w:rPr>
            </w:pPr>
            <w:r>
              <w:rPr>
                <w:rFonts w:ascii="Verdana" w:eastAsia="Verdana" w:hAnsi="Verdana" w:cs="Verdana"/>
                <w:i/>
                <w:noProof/>
                <w:color w:val="000000"/>
                <w:sz w:val="18"/>
              </w:rPr>
              <w:t xml:space="preserve"> 645</w:t>
            </w:r>
          </w:p>
        </w:tc>
      </w:tr>
      <w:bookmarkEnd w:id="78"/>
    </w:tbl>
    <w:p w:rsidR="00135552" w:rsidRDefault="00135552">
      <w:pPr>
        <w:pStyle w:val="DGTextstand-alone"/>
        <w:rPr>
          <w:lang w:bidi="en-GB"/>
        </w:rPr>
        <w:sectPr w:rsidR="00135552">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rsidR="00135552" w:rsidRDefault="004C63B0">
      <w:pPr>
        <w:pStyle w:val="HEADER2NOTES"/>
        <w:rPr>
          <w:noProof/>
          <w:lang w:val="fr-BE"/>
        </w:rPr>
      </w:pPr>
      <w:bookmarkStart w:id="90" w:name="_DMBM_17131"/>
      <w:r>
        <w:rPr>
          <w:noProof/>
          <w:lang w:val="fr-BE"/>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179"/>
        <w:gridCol w:w="1179"/>
        <w:gridCol w:w="1179"/>
        <w:gridCol w:w="1180"/>
        <w:gridCol w:w="1179"/>
        <w:gridCol w:w="1179"/>
        <w:gridCol w:w="1180"/>
      </w:tblGrid>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lang w:bidi="en-GB"/>
              </w:rPr>
            </w:pPr>
            <w:bookmarkStart w:id="91" w:name="DOC_TBL00045_1_1"/>
            <w:bookmarkEnd w:id="91"/>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5BIPPROV"/>
              <w:rPr>
                <w:rFonts w:ascii="Arial" w:eastAsia="Arial" w:hAnsi="Arial" w:cs="Arial"/>
                <w:noProof/>
                <w:color w:val="000000"/>
              </w:rPr>
            </w:pPr>
          </w:p>
        </w:tc>
        <w:tc>
          <w:tcPr>
            <w:tcW w:w="118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5BIPPROV"/>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150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5BIPPROV"/>
              <w:jc w:val="right"/>
              <w:rPr>
                <w:rFonts w:ascii="Verdana" w:eastAsia="Verdana" w:hAnsi="Verdana" w:cs="Verdana"/>
                <w:noProof/>
                <w:color w:val="FFFFFF"/>
                <w:sz w:val="18"/>
              </w:rPr>
            </w:pPr>
          </w:p>
        </w:tc>
        <w:tc>
          <w:tcPr>
            <w:tcW w:w="117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Amount at 31.12.2018</w:t>
            </w:r>
          </w:p>
        </w:tc>
        <w:tc>
          <w:tcPr>
            <w:tcW w:w="117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Additional provisions</w:t>
            </w:r>
          </w:p>
        </w:tc>
        <w:tc>
          <w:tcPr>
            <w:tcW w:w="117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Unused amounts reversed</w:t>
            </w:r>
          </w:p>
        </w:tc>
        <w:tc>
          <w:tcPr>
            <w:tcW w:w="1180"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Amounts used</w:t>
            </w:r>
          </w:p>
        </w:tc>
        <w:tc>
          <w:tcPr>
            <w:tcW w:w="117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Transfer between categories</w:t>
            </w:r>
          </w:p>
        </w:tc>
        <w:tc>
          <w:tcPr>
            <w:tcW w:w="117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rPr>
            </w:pPr>
            <w:r>
              <w:rPr>
                <w:rFonts w:ascii="Verdana" w:eastAsia="Verdana" w:hAnsi="Verdana" w:cs="Verdana"/>
                <w:noProof/>
                <w:color w:val="FFFFFF"/>
                <w:sz w:val="18"/>
              </w:rPr>
              <w:t>Change in estimation</w:t>
            </w:r>
          </w:p>
        </w:tc>
        <w:tc>
          <w:tcPr>
            <w:tcW w:w="1180"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45BIPPROV"/>
              <w:jc w:val="right"/>
              <w:rPr>
                <w:rFonts w:ascii="Verdana" w:eastAsia="Verdana" w:hAnsi="Verdana" w:cs="Verdana"/>
                <w:noProof/>
                <w:color w:val="FFFFFF"/>
                <w:sz w:val="18"/>
                <w:lang w:bidi="en-GB"/>
              </w:rPr>
            </w:pPr>
            <w:r>
              <w:rPr>
                <w:rFonts w:ascii="Verdana" w:eastAsia="Verdana" w:hAnsi="Verdana" w:cs="Verdana"/>
                <w:noProof/>
                <w:color w:val="FFFFFF"/>
                <w:sz w:val="18"/>
              </w:rPr>
              <w:t>Amount at 31.12.2019</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Legal cases: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lang w:bidi="en-GB"/>
              </w:rPr>
            </w:pP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 xml:space="preserve">     Agriculture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270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439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(269)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441</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 xml:space="preserve">     Other</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100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103</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 xml:space="preserve">Nuclear site </w:t>
            </w:r>
            <w:r>
              <w:rPr>
                <w:rFonts w:ascii="Verdana" w:eastAsia="Verdana" w:hAnsi="Verdana" w:cs="Verdana"/>
                <w:i/>
                <w:noProof/>
                <w:color w:val="000000"/>
                <w:sz w:val="18"/>
              </w:rPr>
              <w:t>dismantlement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1 933</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(34)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233</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lang w:bidi="en-GB"/>
              </w:rPr>
            </w:pPr>
            <w:r>
              <w:rPr>
                <w:rFonts w:ascii="Verdana" w:eastAsia="Verdana" w:hAnsi="Verdana" w:cs="Verdana"/>
                <w:i/>
                <w:noProof/>
                <w:color w:val="000000"/>
                <w:sz w:val="18"/>
              </w:rPr>
              <w:t>2 132</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Financial</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1 551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587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(206)</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lang w:bidi="en-GB"/>
              </w:rPr>
            </w:pPr>
            <w:r>
              <w:rPr>
                <w:rFonts w:ascii="Verdana" w:eastAsia="Verdana" w:hAnsi="Verdana" w:cs="Verdana"/>
                <w:i/>
                <w:noProof/>
                <w:color w:val="000000"/>
                <w:sz w:val="18"/>
              </w:rPr>
              <w:t>1 938</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i/>
                <w:noProof/>
                <w:color w:val="000000"/>
                <w:sz w:val="18"/>
              </w:rPr>
            </w:pPr>
            <w:r>
              <w:rPr>
                <w:rFonts w:ascii="Verdana" w:eastAsia="Verdana" w:hAnsi="Verdana" w:cs="Verdana"/>
                <w:i/>
                <w:noProof/>
                <w:color w:val="000000"/>
                <w:sz w:val="18"/>
              </w:rPr>
              <w:t>Other</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278</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31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(34)</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rPr>
            </w:pPr>
            <w:r>
              <w:rPr>
                <w:rFonts w:ascii="Verdana" w:eastAsia="Verdana" w:hAnsi="Verdana" w:cs="Verdana"/>
                <w:i/>
                <w:noProof/>
                <w:color w:val="000000"/>
                <w:sz w:val="18"/>
              </w:rPr>
              <w:t xml:space="preserve"> (27)</w:t>
            </w: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211</w:t>
            </w:r>
          </w:p>
        </w:tc>
      </w:tr>
      <w:tr w:rsidR="00135552">
        <w:trPr>
          <w:trHeight w:val="255"/>
        </w:trPr>
        <w:tc>
          <w:tcPr>
            <w:tcW w:w="1503"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rPr>
                <w:rFonts w:ascii="Verdana" w:eastAsia="Verdana" w:hAnsi="Verdana" w:cs="Verdana"/>
                <w:b/>
                <w:noProof/>
                <w:color w:val="000000"/>
                <w:sz w:val="18"/>
              </w:rPr>
            </w:pPr>
            <w:r>
              <w:rPr>
                <w:rFonts w:ascii="Verdana" w:eastAsia="Verdana" w:hAnsi="Verdana" w:cs="Verdana"/>
                <w:b/>
                <w:noProof/>
                <w:color w:val="000000"/>
                <w:sz w:val="18"/>
              </w:rPr>
              <w:t>Total</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4 132</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1 061</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(43)</w:t>
            </w:r>
          </w:p>
        </w:tc>
        <w:tc>
          <w:tcPr>
            <w:tcW w:w="1180"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214</w:t>
            </w:r>
          </w:p>
        </w:tc>
        <w:tc>
          <w:tcPr>
            <w:tcW w:w="1180"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lang w:bidi="en-GB"/>
              </w:rPr>
            </w:pPr>
            <w:r>
              <w:rPr>
                <w:rFonts w:ascii="Verdana" w:eastAsia="Verdana" w:hAnsi="Verdana" w:cs="Verdana"/>
                <w:b/>
                <w:noProof/>
                <w:color w:val="000000"/>
                <w:sz w:val="18"/>
              </w:rPr>
              <w:t>4 826</w:t>
            </w:r>
          </w:p>
        </w:tc>
      </w:tr>
      <w:tr w:rsidR="00135552">
        <w:trPr>
          <w:trHeight w:val="255"/>
        </w:trPr>
        <w:tc>
          <w:tcPr>
            <w:tcW w:w="150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3 281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871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(17)</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(278)</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(362)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215</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lang w:bidi="en-GB"/>
              </w:rPr>
            </w:pPr>
            <w:r>
              <w:rPr>
                <w:rFonts w:ascii="Verdana" w:eastAsia="Verdana" w:hAnsi="Verdana" w:cs="Verdana"/>
                <w:b/>
                <w:noProof/>
                <w:color w:val="000000"/>
                <w:sz w:val="18"/>
              </w:rPr>
              <w:t>3 710</w:t>
            </w:r>
          </w:p>
        </w:tc>
      </w:tr>
      <w:tr w:rsidR="00135552">
        <w:trPr>
          <w:trHeight w:val="255"/>
        </w:trPr>
        <w:tc>
          <w:tcPr>
            <w:tcW w:w="150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rPr>
            </w:pPr>
          </w:p>
        </w:tc>
        <w:tc>
          <w:tcPr>
            <w:tcW w:w="11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5BIPPROV"/>
              <w:jc w:val="right"/>
              <w:rPr>
                <w:rFonts w:ascii="Verdana" w:eastAsia="Verdana" w:hAnsi="Verdana" w:cs="Verdana"/>
                <w:b/>
                <w:noProof/>
                <w:color w:val="000000"/>
                <w:sz w:val="18"/>
                <w:lang w:bidi="en-GB"/>
              </w:rPr>
            </w:pPr>
          </w:p>
        </w:tc>
      </w:tr>
      <w:tr w:rsidR="00135552">
        <w:trPr>
          <w:trHeight w:val="255"/>
        </w:trPr>
        <w:tc>
          <w:tcPr>
            <w:tcW w:w="150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rPr>
                <w:rFonts w:ascii="Verdana" w:eastAsia="Verdana" w:hAnsi="Verdana" w:cs="Verdana"/>
                <w:b/>
                <w:noProof/>
                <w:color w:val="000000"/>
                <w:sz w:val="18"/>
              </w:rPr>
            </w:pPr>
            <w:r>
              <w:rPr>
                <w:rFonts w:ascii="Verdana" w:eastAsia="Verdana" w:hAnsi="Verdana" w:cs="Verdana"/>
                <w:b/>
                <w:noProof/>
                <w:color w:val="000000"/>
                <w:sz w:val="18"/>
              </w:rPr>
              <w:t>Current</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852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190</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(27)</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(261)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362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1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5BIPPROV"/>
              <w:jc w:val="right"/>
              <w:rPr>
                <w:rFonts w:ascii="Verdana" w:eastAsia="Verdana" w:hAnsi="Verdana" w:cs="Verdana"/>
                <w:b/>
                <w:noProof/>
                <w:color w:val="000000"/>
                <w:sz w:val="18"/>
              </w:rPr>
            </w:pPr>
            <w:r>
              <w:rPr>
                <w:rFonts w:ascii="Verdana" w:eastAsia="Verdana" w:hAnsi="Verdana" w:cs="Verdana"/>
                <w:b/>
                <w:noProof/>
                <w:color w:val="000000"/>
                <w:sz w:val="18"/>
              </w:rPr>
              <w:t>1 116</w:t>
            </w:r>
          </w:p>
        </w:tc>
      </w:tr>
    </w:tbl>
    <w:p w:rsidR="00135552" w:rsidRDefault="004C63B0">
      <w:pPr>
        <w:pStyle w:val="DGTextstand-alone"/>
      </w:pPr>
      <w:r>
        <w:t>Provisions are reliably estimated amounts, arising from past events, that will probably have to be paid by the EU budget in the future.</w:t>
      </w:r>
    </w:p>
    <w:p w:rsidR="00135552" w:rsidRDefault="004C63B0">
      <w:pPr>
        <w:pStyle w:val="HEADER5"/>
        <w:rPr>
          <w:noProof/>
        </w:rPr>
      </w:pPr>
      <w:r>
        <w:rPr>
          <w:noProof/>
        </w:rPr>
        <w:t>Legal cases</w:t>
      </w:r>
    </w:p>
    <w:p w:rsidR="00135552" w:rsidRDefault="004C63B0">
      <w:pPr>
        <w:pStyle w:val="DGTextstand-alone"/>
      </w:pPr>
      <w:r>
        <w:t xml:space="preserve">This is the estimate of amounts that will probably have to be paid </w:t>
      </w:r>
      <w:r>
        <w:t>out after the year-end in relation to a number of on-going legal cases. The Agriculture amounts relate to legal actions of Member States against conformity clearance decisions for the EAGF.</w:t>
      </w:r>
    </w:p>
    <w:p w:rsidR="00135552" w:rsidRDefault="004C63B0">
      <w:pPr>
        <w:pStyle w:val="HEADER5"/>
        <w:rPr>
          <w:b/>
          <w:noProof/>
        </w:rPr>
      </w:pPr>
      <w:r>
        <w:rPr>
          <w:noProof/>
        </w:rPr>
        <w:t>Nuclear site dismantlement</w:t>
      </w:r>
    </w:p>
    <w:p w:rsidR="00135552" w:rsidRDefault="004C63B0">
      <w:pPr>
        <w:pStyle w:val="DGTextstand-alone"/>
      </w:pPr>
      <w:r>
        <w:t xml:space="preserve">As of 2017 the basis for the provision </w:t>
      </w:r>
      <w:r>
        <w:t>was updated as per the ‘JRC Decommissioning &amp; Waste Management Programme Strategy (D&amp;WMP) – Updated in 2017’. The review of the strategy, along with budget and staff needs, was conducted together with the independent D&amp;WMP Expert Group. It represents the b</w:t>
      </w:r>
      <w:r>
        <w:t>est available estimate of the budget and staff needed to complete the decommissioning of the JRC sites of Ispra, Geel, Karlsruhe and Petten.</w:t>
      </w:r>
    </w:p>
    <w:p w:rsidR="00135552" w:rsidRDefault="004C63B0">
      <w:pPr>
        <w:pStyle w:val="DGTextstand-alone"/>
      </w:pPr>
      <w:r>
        <w:t xml:space="preserve">In accordance with the EU accounting rules, this provision is indexed for inflation and then discounted to its net </w:t>
      </w:r>
      <w:r>
        <w:t>present value (using the Euro swap curve). At 31 December 2019, this resulted in a provision of EUR 2 132 million, split between amounts expected to be used in 2020 (EUR 31 million) and afterwards (EUR 2 101 million). The increase compared to 2018 is mainl</w:t>
      </w:r>
      <w:r>
        <w:t>y the result of the decreasing discount rate applied to the estimated future costs.</w:t>
      </w:r>
    </w:p>
    <w:p w:rsidR="00135552" w:rsidRDefault="004C63B0">
      <w:pPr>
        <w:pStyle w:val="DGTextstand-alone"/>
      </w:pPr>
      <w:r>
        <w:t xml:space="preserve">It must be noted that major uncertainties, inherent to the long term planning of nuclear decommissioning, could affect this estimate, which could significantly increase in </w:t>
      </w:r>
      <w:r>
        <w:t>the future. The main sources of uncertainty are related to the end state of the decommissioned site, nuclear materials, waste management and disposal aspects, incomplete or lacking definition of national regulatory frames, complicated and time-consuming li</w:t>
      </w:r>
      <w:r>
        <w:t>censing processes and future developments of the decommissioning industrial market.</w:t>
      </w:r>
    </w:p>
    <w:p w:rsidR="00135552" w:rsidRDefault="004C63B0">
      <w:pPr>
        <w:pStyle w:val="HEADER5"/>
        <w:rPr>
          <w:b/>
          <w:noProof/>
        </w:rPr>
      </w:pPr>
      <w:r>
        <w:rPr>
          <w:noProof/>
        </w:rPr>
        <w:t>Financial provisions</w:t>
      </w:r>
    </w:p>
    <w:p w:rsidR="00135552" w:rsidRDefault="004C63B0">
      <w:pPr>
        <w:pStyle w:val="DGTextstand-alone"/>
      </w:pPr>
      <w:r>
        <w:t>These concern mainly provisions, which represent the estimated losses that will be incurred in relation to the guarantees given under different financi</w:t>
      </w:r>
      <w:r>
        <w:t>al instruments, where entrusted entities are empowered to issue guarantees in their own name but on behalf of and at the risk of the EU. The financial risk of the EU linked to the guarantees is capped and financial assets are gradually provisioned to cover</w:t>
      </w:r>
      <w:r>
        <w:t xml:space="preserve"> for the future guarantee calls. This heading also includes provisions for outstanding loans to Syria issued by the EIB under its external lending mandate and thus guaranteed by the EU via the Guarantee Fund for external actions. Non-current financial prov</w:t>
      </w:r>
      <w:r>
        <w:t>isions are discounted to their net present value.</w:t>
      </w:r>
    </w:p>
    <w:p w:rsidR="00135552" w:rsidRDefault="004C63B0">
      <w:pPr>
        <w:pStyle w:val="DGTextstand-alone"/>
      </w:pPr>
      <w:r>
        <w:t>The increase of the financial provision relates to the increase of the volume of guaranteed operations under H2020 and COSME financial instruments.</w:t>
      </w:r>
    </w:p>
    <w:p w:rsidR="00135552" w:rsidRDefault="00135552">
      <w:pPr>
        <w:pStyle w:val="DGTextstand-alone"/>
      </w:pPr>
    </w:p>
    <w:bookmarkEnd w:id="90"/>
    <w:p w:rsidR="00135552" w:rsidRDefault="00135552">
      <w:pPr>
        <w:pStyle w:val="DGTextstand-alone"/>
        <w:sectPr w:rsidR="00135552">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p>
    <w:p w:rsidR="00135552" w:rsidRDefault="004C63B0">
      <w:pPr>
        <w:pStyle w:val="HEADER2NOTES"/>
        <w:rPr>
          <w:noProof/>
        </w:rPr>
      </w:pPr>
      <w:bookmarkStart w:id="92" w:name="_DMBM_17127"/>
      <w:r>
        <w:rPr>
          <w:noProof/>
        </w:rPr>
        <w:t>FINANCIAL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464"/>
        <w:gridCol w:w="1464"/>
        <w:gridCol w:w="1465"/>
      </w:tblGrid>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Verdana" w:eastAsia="Verdana" w:hAnsi="Verdana" w:cs="Verdana"/>
                <w:i/>
                <w:noProof/>
                <w:color w:val="FFFFFF"/>
                <w:sz w:val="16"/>
                <w:lang w:bidi="en-GB"/>
              </w:rPr>
            </w:pPr>
            <w:bookmarkStart w:id="93" w:name="DOC_TBL00046_1_1"/>
            <w:bookmarkEnd w:id="93"/>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36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6BIPFINL"/>
              <w:rPr>
                <w:rFonts w:ascii="Verdana" w:eastAsia="Verdana" w:hAnsi="Verdana" w:cs="Verdana"/>
                <w:noProof/>
                <w:color w:val="FFFFFF"/>
              </w:rPr>
            </w:pP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INL"/>
              <w:jc w:val="center"/>
              <w:rPr>
                <w:rFonts w:ascii="Verdana" w:eastAsia="Verdana" w:hAnsi="Verdana" w:cs="Verdana"/>
                <w:noProof/>
                <w:color w:val="FFFFFF"/>
              </w:rPr>
            </w:pPr>
            <w:r>
              <w:rPr>
                <w:rFonts w:ascii="Verdana" w:eastAsia="Verdana" w:hAnsi="Verdana" w:cs="Verdana"/>
                <w:noProof/>
                <w:color w:val="FFFFFF"/>
              </w:rPr>
              <w:t>Note</w:t>
            </w: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INL"/>
              <w:jc w:val="right"/>
              <w:rPr>
                <w:rFonts w:ascii="Verdana" w:eastAsia="Verdana" w:hAnsi="Verdana" w:cs="Verdana"/>
                <w:noProof/>
                <w:color w:val="FFFFFF"/>
              </w:rPr>
            </w:pPr>
            <w:r>
              <w:rPr>
                <w:rFonts w:ascii="Verdana" w:eastAsia="Verdana" w:hAnsi="Verdana" w:cs="Verdana"/>
                <w:noProof/>
                <w:color w:val="FFFFFF"/>
              </w:rPr>
              <w:t>31.12.2019</w:t>
            </w:r>
          </w:p>
        </w:tc>
        <w:tc>
          <w:tcPr>
            <w:tcW w:w="146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INL"/>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lang w:bidi="en-GB"/>
              </w:rPr>
            </w:pP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i/>
                <w:noProof/>
                <w:color w:val="000000"/>
                <w:sz w:val="18"/>
              </w:rPr>
            </w:pPr>
            <w:r>
              <w:rPr>
                <w:rFonts w:ascii="Verdana" w:eastAsia="Verdana" w:hAnsi="Verdana" w:cs="Verdana"/>
                <w:i/>
                <w:noProof/>
                <w:color w:val="000000"/>
                <w:sz w:val="18"/>
              </w:rPr>
              <w:t>Financial liabilities at amortised cost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center"/>
              <w:rPr>
                <w:rFonts w:ascii="Verdana" w:eastAsia="Verdana" w:hAnsi="Verdana" w:cs="Verdana"/>
                <w:i/>
                <w:noProof/>
                <w:color w:val="000000"/>
                <w:sz w:val="18"/>
              </w:rPr>
            </w:pPr>
            <w:r>
              <w:rPr>
                <w:rFonts w:ascii="Verdana" w:eastAsia="Verdana" w:hAnsi="Verdana" w:cs="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rPr>
            </w:pPr>
            <w:r>
              <w:rPr>
                <w:rFonts w:ascii="Verdana" w:eastAsia="Verdana" w:hAnsi="Verdana" w:cs="Verdana"/>
                <w:i/>
                <w:noProof/>
                <w:color w:val="000000"/>
                <w:sz w:val="18"/>
              </w:rPr>
              <w:t>53 062</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lang w:bidi="en-GB"/>
              </w:rPr>
            </w:pPr>
            <w:r>
              <w:rPr>
                <w:rFonts w:ascii="Verdana" w:eastAsia="Verdana" w:hAnsi="Verdana" w:cs="Verdana"/>
                <w:i/>
                <w:noProof/>
                <w:color w:val="000000"/>
                <w:sz w:val="18"/>
              </w:rPr>
              <w:t>53 281</w:t>
            </w: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i/>
                <w:noProof/>
                <w:color w:val="000000"/>
                <w:sz w:val="18"/>
              </w:rPr>
            </w:pPr>
            <w:r>
              <w:rPr>
                <w:rFonts w:ascii="Verdana" w:eastAsia="Verdana" w:hAnsi="Verdana" w:cs="Verdana"/>
                <w:i/>
                <w:noProof/>
                <w:color w:val="000000"/>
                <w:sz w:val="18"/>
              </w:rPr>
              <w:t xml:space="preserve">Financial liabilities at fair value through surplus or </w:t>
            </w:r>
            <w:r>
              <w:rPr>
                <w:rFonts w:ascii="Verdana" w:eastAsia="Verdana" w:hAnsi="Verdana" w:cs="Verdana"/>
                <w:i/>
                <w:noProof/>
                <w:color w:val="000000"/>
                <w:sz w:val="18"/>
              </w:rPr>
              <w:t>deficit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center"/>
              <w:rPr>
                <w:rFonts w:ascii="Verdana" w:eastAsia="Verdana" w:hAnsi="Verdana" w:cs="Verdana"/>
                <w:i/>
                <w:noProof/>
                <w:color w:val="000000"/>
                <w:sz w:val="18"/>
              </w:rPr>
            </w:pPr>
            <w:r>
              <w:rPr>
                <w:rFonts w:ascii="Verdana" w:eastAsia="Verdana" w:hAnsi="Verdana" w:cs="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rsidR="00135552">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rPr>
            </w:pPr>
            <w:r>
              <w:rPr>
                <w:rFonts w:ascii="Verdana" w:eastAsia="Verdana" w:hAnsi="Verdana" w:cs="Verdana"/>
                <w:b/>
                <w:noProof/>
                <w:color w:val="000000"/>
                <w:sz w:val="18"/>
              </w:rPr>
              <w:t>53 071</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lang w:bidi="en-GB"/>
              </w:rPr>
            </w:pPr>
            <w:r>
              <w:rPr>
                <w:rFonts w:ascii="Verdana" w:eastAsia="Verdana" w:hAnsi="Verdana" w:cs="Verdana"/>
                <w:b/>
                <w:noProof/>
                <w:color w:val="000000"/>
                <w:sz w:val="18"/>
              </w:rPr>
              <w:t>53 289</w:t>
            </w: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b/>
                <w:noProof/>
                <w:color w:val="000000"/>
                <w:sz w:val="18"/>
              </w:rPr>
            </w:pPr>
            <w:r>
              <w:rPr>
                <w:rFonts w:ascii="Verdana" w:eastAsia="Verdana" w:hAnsi="Verdana" w:cs="Verdana"/>
                <w:b/>
                <w:noProof/>
                <w:color w:val="000000"/>
                <w:sz w:val="18"/>
              </w:rPr>
              <w:t>Current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INL"/>
              <w:rPr>
                <w:rFonts w:ascii="Arial" w:eastAsia="Arial" w:hAnsi="Arial" w:cs="Arial"/>
                <w:noProof/>
                <w:color w:val="000000"/>
                <w:lang w:bidi="en-GB"/>
              </w:rPr>
            </w:pP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i/>
                <w:noProof/>
                <w:color w:val="000000"/>
                <w:sz w:val="18"/>
              </w:rPr>
            </w:pPr>
            <w:r>
              <w:rPr>
                <w:rFonts w:ascii="Verdana" w:eastAsia="Verdana" w:hAnsi="Verdana" w:cs="Verdana"/>
                <w:i/>
                <w:noProof/>
                <w:color w:val="000000"/>
                <w:sz w:val="18"/>
              </w:rPr>
              <w:t>Financial liabilities at amortised cost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center"/>
              <w:rPr>
                <w:rFonts w:ascii="Verdana" w:eastAsia="Verdana" w:hAnsi="Verdana" w:cs="Verdana"/>
                <w:i/>
                <w:noProof/>
                <w:color w:val="000000"/>
                <w:sz w:val="18"/>
              </w:rPr>
            </w:pPr>
            <w:r>
              <w:rPr>
                <w:rFonts w:ascii="Verdana" w:eastAsia="Verdana" w:hAnsi="Verdana" w:cs="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rPr>
            </w:pPr>
            <w:r>
              <w:rPr>
                <w:rFonts w:ascii="Verdana" w:eastAsia="Verdana" w:hAnsi="Verdana" w:cs="Verdana"/>
                <w:i/>
                <w:noProof/>
                <w:color w:val="000000"/>
                <w:sz w:val="18"/>
              </w:rPr>
              <w:t>1 423</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lang w:bidi="en-GB"/>
              </w:rPr>
            </w:pPr>
            <w:r>
              <w:rPr>
                <w:rFonts w:ascii="Verdana" w:eastAsia="Verdana" w:hAnsi="Verdana" w:cs="Verdana"/>
                <w:i/>
                <w:noProof/>
                <w:color w:val="000000"/>
                <w:sz w:val="18"/>
              </w:rPr>
              <w:t>2 602</w:t>
            </w: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i/>
                <w:noProof/>
                <w:color w:val="000000"/>
                <w:sz w:val="18"/>
              </w:rPr>
            </w:pPr>
            <w:r>
              <w:rPr>
                <w:rFonts w:ascii="Verdana" w:eastAsia="Verdana" w:hAnsi="Verdana" w:cs="Verdana"/>
                <w:i/>
                <w:noProof/>
                <w:color w:val="000000"/>
                <w:sz w:val="18"/>
              </w:rPr>
              <w:t>Financial liabilities at fair value through surplus or deficit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center"/>
              <w:rPr>
                <w:rFonts w:ascii="Verdana" w:eastAsia="Verdana" w:hAnsi="Verdana" w:cs="Verdana"/>
                <w:i/>
                <w:noProof/>
                <w:color w:val="000000"/>
                <w:sz w:val="18"/>
              </w:rPr>
            </w:pPr>
            <w:r>
              <w:rPr>
                <w:rFonts w:ascii="Verdana" w:eastAsia="Verdana" w:hAnsi="Verdana" w:cs="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15</w:t>
            </w:r>
          </w:p>
        </w:tc>
      </w:tr>
      <w:tr w:rsidR="00135552">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i/>
                <w:noProof/>
                <w:color w:val="000000"/>
                <w:sz w:val="18"/>
              </w:rPr>
            </w:pPr>
            <w:r>
              <w:rPr>
                <w:rFonts w:ascii="Verdana" w:eastAsia="Verdana" w:hAnsi="Verdana" w:cs="Verdana"/>
                <w:i/>
                <w:noProof/>
                <w:color w:val="000000"/>
                <w:sz w:val="18"/>
              </w:rPr>
              <w:t>Financial guarantee liabilities</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center"/>
              <w:rPr>
                <w:rFonts w:ascii="Verdana" w:eastAsia="Verdana" w:hAnsi="Verdana" w:cs="Verdana"/>
                <w:i/>
                <w:noProof/>
                <w:color w:val="000000"/>
                <w:sz w:val="18"/>
              </w:rPr>
            </w:pPr>
            <w:r>
              <w:rPr>
                <w:rFonts w:ascii="Verdana" w:eastAsia="Verdana" w:hAnsi="Verdana" w:cs="Verdana"/>
                <w:i/>
                <w:noProof/>
                <w:color w:val="000000"/>
                <w:sz w:val="18"/>
              </w:rPr>
              <w:t>2.11.3</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rPr>
            </w:pPr>
            <w:r>
              <w:rPr>
                <w:rFonts w:ascii="Verdana" w:eastAsia="Verdana" w:hAnsi="Verdana" w:cs="Verdana"/>
                <w:i/>
                <w:noProof/>
                <w:color w:val="000000"/>
                <w:sz w:val="18"/>
              </w:rPr>
              <w:t xml:space="preserve"> 20</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rPr>
            </w:pPr>
            <w:r>
              <w:rPr>
                <w:rFonts w:ascii="Verdana" w:eastAsia="Verdana" w:hAnsi="Verdana" w:cs="Verdana"/>
                <w:b/>
                <w:noProof/>
                <w:color w:val="000000"/>
                <w:sz w:val="18"/>
              </w:rPr>
              <w:t>1 446</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lang w:bidi="en-GB"/>
              </w:rPr>
            </w:pPr>
            <w:r>
              <w:rPr>
                <w:rFonts w:ascii="Verdana" w:eastAsia="Verdana" w:hAnsi="Verdana" w:cs="Verdana"/>
                <w:b/>
                <w:noProof/>
                <w:color w:val="000000"/>
                <w:sz w:val="18"/>
              </w:rPr>
              <w:t>2 617</w:t>
            </w:r>
          </w:p>
        </w:tc>
      </w:tr>
      <w:tr w:rsidR="00135552">
        <w:trPr>
          <w:trHeight w:val="255"/>
        </w:trPr>
        <w:tc>
          <w:tcPr>
            <w:tcW w:w="536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INL"/>
              <w:rPr>
                <w:rFonts w:ascii="Verdana" w:eastAsia="Verdana" w:hAnsi="Verdana" w:cs="Verdana"/>
                <w:b/>
                <w:noProof/>
                <w:color w:val="000000"/>
                <w:sz w:val="18"/>
              </w:rPr>
            </w:pPr>
            <w:r>
              <w:rPr>
                <w:rFonts w:ascii="Verdana" w:eastAsia="Verdana" w:hAnsi="Verdana" w:cs="Verdana"/>
                <w:b/>
                <w:noProof/>
                <w:color w:val="000000"/>
                <w:sz w:val="18"/>
              </w:rPr>
              <w:t>Total</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6BIPFINL"/>
              <w:jc w:val="center"/>
              <w:rPr>
                <w:rFonts w:ascii="Verdana" w:eastAsia="Verdana" w:hAnsi="Verdana" w:cs="Verdana"/>
                <w:noProof/>
                <w:color w:val="000000"/>
                <w:sz w:val="18"/>
              </w:rPr>
            </w:pP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rPr>
            </w:pPr>
            <w:r>
              <w:rPr>
                <w:rFonts w:ascii="Verdana" w:eastAsia="Verdana" w:hAnsi="Verdana" w:cs="Verdana"/>
                <w:b/>
                <w:noProof/>
                <w:color w:val="000000"/>
                <w:sz w:val="18"/>
              </w:rPr>
              <w:t>54 517</w:t>
            </w:r>
          </w:p>
        </w:tc>
        <w:tc>
          <w:tcPr>
            <w:tcW w:w="1465" w:type="dxa"/>
            <w:tcBorders>
              <w:top w:val="nil"/>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INL"/>
              <w:jc w:val="right"/>
              <w:rPr>
                <w:rFonts w:ascii="Verdana" w:eastAsia="Verdana" w:hAnsi="Verdana" w:cs="Verdana"/>
                <w:b/>
                <w:noProof/>
                <w:color w:val="000000"/>
                <w:sz w:val="18"/>
              </w:rPr>
            </w:pPr>
            <w:r>
              <w:rPr>
                <w:rFonts w:ascii="Verdana" w:eastAsia="Verdana" w:hAnsi="Verdana" w:cs="Verdana"/>
                <w:b/>
                <w:noProof/>
                <w:color w:val="000000"/>
                <w:sz w:val="18"/>
              </w:rPr>
              <w:t>55 906</w:t>
            </w:r>
          </w:p>
        </w:tc>
      </w:tr>
    </w:tbl>
    <w:p w:rsidR="00135552" w:rsidRDefault="004C63B0">
      <w:pPr>
        <w:pStyle w:val="HEADER3NOTES"/>
        <w:rPr>
          <w:noProof/>
        </w:rPr>
      </w:pPr>
      <w:r>
        <w:rPr>
          <w:noProof/>
        </w:rPr>
        <w:t xml:space="preserve">Financial liabilities at amortised cost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6"/>
        <w:gridCol w:w="1464"/>
        <w:gridCol w:w="1464"/>
        <w:gridCol w:w="1464"/>
      </w:tblGrid>
      <w:tr w:rsidR="00135552">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LB"/>
              <w:rPr>
                <w:rFonts w:ascii="Verdana" w:eastAsia="Verdana" w:hAnsi="Verdana" w:cs="Verdana"/>
                <w:i/>
                <w:noProof/>
                <w:color w:val="FFFFFF"/>
                <w:sz w:val="16"/>
                <w:lang w:bidi="en-GB"/>
              </w:rPr>
            </w:pPr>
            <w:bookmarkStart w:id="94" w:name="DOC_TBL00047_1_1"/>
            <w:bookmarkEnd w:id="94"/>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36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6BIPFLB"/>
              <w:rPr>
                <w:rFonts w:ascii="Verdana" w:eastAsia="Verdana" w:hAnsi="Verdana" w:cs="Verdana"/>
                <w:noProof/>
                <w:color w:val="FFFFFF"/>
              </w:rPr>
            </w:pP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LB"/>
              <w:jc w:val="center"/>
              <w:rPr>
                <w:rFonts w:ascii="Verdana" w:eastAsia="Verdana" w:hAnsi="Verdana" w:cs="Verdana"/>
                <w:noProof/>
                <w:color w:val="FFFFFF"/>
              </w:rPr>
            </w:pPr>
            <w:r>
              <w:rPr>
                <w:rFonts w:ascii="Verdana" w:eastAsia="Verdana" w:hAnsi="Verdana" w:cs="Verdana"/>
                <w:noProof/>
                <w:color w:val="FFFFFF"/>
              </w:rPr>
              <w:t>Note</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LB"/>
              <w:jc w:val="right"/>
              <w:rPr>
                <w:rFonts w:ascii="Verdana" w:eastAsia="Verdana" w:hAnsi="Verdana" w:cs="Verdana"/>
                <w:noProof/>
                <w:color w:val="FFFFFF"/>
              </w:rPr>
            </w:pPr>
            <w:r>
              <w:rPr>
                <w:rFonts w:ascii="Verdana" w:eastAsia="Verdana" w:hAnsi="Verdana" w:cs="Verdana"/>
                <w:noProof/>
                <w:color w:val="FFFFFF"/>
              </w:rPr>
              <w:t>31.12.2019</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FLB"/>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rPr>
                <w:rFonts w:ascii="Verdana" w:eastAsia="Verdana" w:hAnsi="Verdana" w:cs="Verdana"/>
                <w:i/>
                <w:noProof/>
                <w:color w:val="000000"/>
                <w:sz w:val="18"/>
              </w:rPr>
            </w:pPr>
            <w:r>
              <w:rPr>
                <w:rFonts w:ascii="Verdana" w:eastAsia="Verdana" w:hAnsi="Verdana" w:cs="Verdana"/>
                <w:i/>
                <w:noProof/>
                <w:color w:val="000000"/>
                <w:sz w:val="18"/>
              </w:rPr>
              <w:t>Borrowings for financial assistance</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center"/>
              <w:rPr>
                <w:rFonts w:ascii="Verdana" w:eastAsia="Verdana" w:hAnsi="Verdana" w:cs="Verdana"/>
                <w:i/>
                <w:noProof/>
                <w:color w:val="000000"/>
                <w:sz w:val="18"/>
              </w:rPr>
            </w:pPr>
            <w:r>
              <w:rPr>
                <w:rFonts w:ascii="Verdana" w:eastAsia="Verdana" w:hAnsi="Verdana" w:cs="Verdana"/>
                <w:i/>
                <w:noProof/>
                <w:color w:val="000000"/>
                <w:sz w:val="18"/>
              </w:rPr>
              <w:t>2.11.1.1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00000"/>
                <w:sz w:val="18"/>
              </w:rPr>
            </w:pPr>
            <w:r>
              <w:rPr>
                <w:rFonts w:ascii="Verdana" w:eastAsia="Verdana" w:hAnsi="Verdana" w:cs="Verdana"/>
                <w:i/>
                <w:noProof/>
                <w:color w:val="000000"/>
                <w:sz w:val="18"/>
              </w:rPr>
              <w:t>52 564</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00000"/>
                <w:sz w:val="18"/>
                <w:lang w:bidi="en-GB"/>
              </w:rPr>
            </w:pPr>
            <w:r>
              <w:rPr>
                <w:rFonts w:ascii="Verdana" w:eastAsia="Verdana" w:hAnsi="Verdana" w:cs="Verdana"/>
                <w:i/>
                <w:noProof/>
                <w:color w:val="000000"/>
                <w:sz w:val="18"/>
              </w:rPr>
              <w:t>53 872</w:t>
            </w:r>
          </w:p>
        </w:tc>
      </w:tr>
      <w:tr w:rsidR="00135552">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rPr>
                <w:rFonts w:ascii="Verdana" w:eastAsia="Verdana" w:hAnsi="Verdana" w:cs="Verdana"/>
                <w:i/>
                <w:noProof/>
                <w:color w:val="000000"/>
                <w:sz w:val="18"/>
              </w:rPr>
            </w:pPr>
            <w:r>
              <w:rPr>
                <w:rFonts w:ascii="Verdana" w:eastAsia="Verdana" w:hAnsi="Verdana" w:cs="Verdana"/>
                <w:i/>
                <w:noProof/>
                <w:color w:val="000000"/>
                <w:sz w:val="18"/>
              </w:rPr>
              <w:t>Other financial liabilities</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center"/>
              <w:rPr>
                <w:rFonts w:ascii="Verdana" w:eastAsia="Verdana" w:hAnsi="Verdana" w:cs="Verdana"/>
                <w:i/>
                <w:noProof/>
                <w:color w:val="000000"/>
                <w:sz w:val="18"/>
              </w:rPr>
            </w:pPr>
            <w:r>
              <w:rPr>
                <w:rFonts w:ascii="Verdana" w:eastAsia="Verdana" w:hAnsi="Verdana" w:cs="Verdana"/>
                <w:i/>
                <w:noProof/>
                <w:color w:val="000000"/>
                <w:sz w:val="18"/>
              </w:rPr>
              <w:t>2.11.1.2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00000"/>
                <w:sz w:val="18"/>
              </w:rPr>
            </w:pPr>
            <w:r>
              <w:rPr>
                <w:rFonts w:ascii="Verdana" w:eastAsia="Verdana" w:hAnsi="Verdana" w:cs="Verdana"/>
                <w:i/>
                <w:noProof/>
                <w:color w:val="000000"/>
                <w:sz w:val="18"/>
              </w:rPr>
              <w:t>1 921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00000"/>
                <w:sz w:val="18"/>
                <w:lang w:bidi="en-GB"/>
              </w:rPr>
            </w:pPr>
            <w:r>
              <w:rPr>
                <w:rFonts w:ascii="Verdana" w:eastAsia="Verdana" w:hAnsi="Verdana" w:cs="Verdana"/>
                <w:i/>
                <w:noProof/>
                <w:color w:val="000000"/>
                <w:sz w:val="18"/>
              </w:rPr>
              <w:t>2 012</w:t>
            </w:r>
          </w:p>
        </w:tc>
      </w:tr>
      <w:tr w:rsidR="00135552">
        <w:trPr>
          <w:trHeight w:val="255"/>
        </w:trPr>
        <w:tc>
          <w:tcPr>
            <w:tcW w:w="5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LB"/>
              <w:rPr>
                <w:rFonts w:ascii="Verdana" w:eastAsia="Verdana" w:hAnsi="Verdana" w:cs="Verdana"/>
                <w:b/>
                <w:noProof/>
                <w:color w:val="000000"/>
                <w:sz w:val="18"/>
              </w:rPr>
            </w:pPr>
            <w:r>
              <w:rPr>
                <w:rFonts w:ascii="Verdana" w:eastAsia="Verdana" w:hAnsi="Verdana" w:cs="Verdana"/>
                <w:b/>
                <w:noProof/>
                <w:color w:val="000000"/>
                <w:sz w:val="18"/>
              </w:rPr>
              <w:t>Total</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6BIPFLB"/>
              <w:jc w:val="center"/>
              <w:rPr>
                <w:rFonts w:ascii="Verdana" w:eastAsia="Verdana" w:hAnsi="Verdana" w:cs="Verdana"/>
                <w:noProof/>
                <w:color w:val="000000"/>
                <w:sz w:val="18"/>
              </w:rPr>
            </w:pP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b/>
                <w:noProof/>
                <w:color w:val="000000"/>
                <w:sz w:val="18"/>
              </w:rPr>
            </w:pPr>
            <w:r>
              <w:rPr>
                <w:rFonts w:ascii="Verdana" w:eastAsia="Verdana" w:hAnsi="Verdana" w:cs="Verdana"/>
                <w:b/>
                <w:noProof/>
                <w:color w:val="000000"/>
                <w:sz w:val="18"/>
              </w:rPr>
              <w:t>54 485</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b/>
                <w:noProof/>
                <w:color w:val="000000"/>
                <w:sz w:val="18"/>
                <w:lang w:bidi="en-GB"/>
              </w:rPr>
            </w:pPr>
            <w:r>
              <w:rPr>
                <w:rFonts w:ascii="Verdana" w:eastAsia="Verdana" w:hAnsi="Verdana" w:cs="Verdana"/>
                <w:b/>
                <w:noProof/>
                <w:color w:val="000000"/>
                <w:sz w:val="18"/>
              </w:rPr>
              <w:t>55 884</w:t>
            </w:r>
          </w:p>
        </w:tc>
      </w:tr>
      <w:tr w:rsidR="00135552">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16794"/>
                <w:sz w:val="18"/>
              </w:rPr>
            </w:pPr>
            <w:r>
              <w:rPr>
                <w:rFonts w:ascii="Verdana" w:eastAsia="Verdana" w:hAnsi="Verdana" w:cs="Verdana"/>
                <w:i/>
                <w:noProof/>
                <w:color w:val="016794"/>
                <w:sz w:val="18"/>
              </w:rPr>
              <w:t>53 062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16794"/>
                <w:sz w:val="18"/>
                <w:lang w:bidi="en-GB"/>
              </w:rPr>
            </w:pPr>
            <w:r>
              <w:rPr>
                <w:rFonts w:ascii="Verdana" w:eastAsia="Verdana" w:hAnsi="Verdana" w:cs="Verdana"/>
                <w:i/>
                <w:noProof/>
                <w:color w:val="016794"/>
                <w:sz w:val="18"/>
              </w:rPr>
              <w:t>53</w:t>
            </w:r>
            <w:r>
              <w:rPr>
                <w:rFonts w:ascii="Verdana" w:eastAsia="Verdana" w:hAnsi="Verdana" w:cs="Verdana"/>
                <w:i/>
                <w:noProof/>
                <w:color w:val="016794"/>
                <w:sz w:val="18"/>
              </w:rPr>
              <w:t xml:space="preserve"> 281</w:t>
            </w:r>
          </w:p>
        </w:tc>
      </w:tr>
      <w:tr w:rsidR="00135552">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rPr>
                <w:rFonts w:ascii="Verdana" w:eastAsia="Verdana" w:hAnsi="Verdana" w:cs="Verdana"/>
                <w:i/>
                <w:noProof/>
                <w:color w:val="016794"/>
                <w:sz w:val="18"/>
              </w:rPr>
            </w:pPr>
            <w:r>
              <w:rPr>
                <w:rFonts w:ascii="Verdana" w:eastAsia="Verdana" w:hAnsi="Verdana" w:cs="Verdana"/>
                <w:i/>
                <w:noProof/>
                <w:color w:val="016794"/>
                <w:sz w:val="18"/>
              </w:rPr>
              <w:t>Current</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16794"/>
                <w:sz w:val="18"/>
              </w:rPr>
            </w:pPr>
            <w:r>
              <w:rPr>
                <w:rFonts w:ascii="Verdana" w:eastAsia="Verdana" w:hAnsi="Verdana" w:cs="Verdana"/>
                <w:i/>
                <w:noProof/>
                <w:color w:val="016794"/>
                <w:sz w:val="18"/>
              </w:rPr>
              <w:t>1 423</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FLB"/>
              <w:jc w:val="right"/>
              <w:rPr>
                <w:rFonts w:ascii="Verdana" w:eastAsia="Verdana" w:hAnsi="Verdana" w:cs="Verdana"/>
                <w:i/>
                <w:noProof/>
                <w:color w:val="016794"/>
                <w:sz w:val="18"/>
              </w:rPr>
            </w:pPr>
            <w:r>
              <w:rPr>
                <w:rFonts w:ascii="Verdana" w:eastAsia="Verdana" w:hAnsi="Verdana" w:cs="Verdana"/>
                <w:i/>
                <w:noProof/>
                <w:color w:val="016794"/>
                <w:sz w:val="18"/>
              </w:rPr>
              <w:t>2 602</w:t>
            </w:r>
          </w:p>
        </w:tc>
      </w:tr>
    </w:tbl>
    <w:p w:rsidR="00135552" w:rsidRDefault="004C63B0">
      <w:pPr>
        <w:pStyle w:val="HEADER4NOTES"/>
        <w:rPr>
          <w:noProof/>
        </w:rPr>
      </w:pPr>
      <w:r>
        <w:rPr>
          <w:noProof/>
        </w:rPr>
        <w:t>Borrowings for financial assistance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826"/>
        <w:gridCol w:w="1100"/>
        <w:gridCol w:w="1068"/>
        <w:gridCol w:w="1068"/>
        <w:gridCol w:w="1405"/>
        <w:gridCol w:w="1072"/>
      </w:tblGrid>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lang w:bidi="en-GB"/>
              </w:rPr>
            </w:pPr>
            <w:bookmarkStart w:id="95" w:name="DOC_TBL00048_1_1"/>
            <w:bookmarkEnd w:id="95"/>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rPr>
            </w:pP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rPr>
            </w:pP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6BIPLGFBF"/>
              <w:rPr>
                <w:rFonts w:ascii="Arial" w:eastAsia="Arial" w:hAnsi="Arial" w:cs="Arial"/>
                <w:noProof/>
                <w:color w:val="000000"/>
              </w:rPr>
            </w:pP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21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6BIPLGFBF"/>
              <w:jc w:val="right"/>
              <w:rPr>
                <w:rFonts w:ascii="Verdana" w:eastAsia="Verdana" w:hAnsi="Verdana" w:cs="Verdana"/>
                <w:noProof/>
                <w:color w:val="FFFFFF"/>
              </w:rPr>
            </w:pP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rPr>
            </w:pPr>
            <w:r>
              <w:rPr>
                <w:rFonts w:ascii="Verdana" w:eastAsia="Verdana" w:hAnsi="Verdana" w:cs="Verdana"/>
                <w:noProof/>
                <w:color w:val="FFFFFF"/>
                <w:sz w:val="18"/>
              </w:rPr>
              <w:t>EFSM</w:t>
            </w:r>
          </w:p>
        </w:tc>
        <w:tc>
          <w:tcPr>
            <w:tcW w:w="110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rPr>
            </w:pPr>
            <w:r>
              <w:rPr>
                <w:rFonts w:ascii="Verdana" w:eastAsia="Verdana" w:hAnsi="Verdana" w:cs="Verdana"/>
                <w:noProof/>
                <w:color w:val="FFFFFF"/>
                <w:sz w:val="18"/>
              </w:rPr>
              <w:t>BOP</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rPr>
            </w:pPr>
            <w:r>
              <w:rPr>
                <w:rFonts w:ascii="Verdana" w:eastAsia="Verdana" w:hAnsi="Verdana" w:cs="Verdana"/>
                <w:noProof/>
                <w:color w:val="FFFFFF"/>
                <w:sz w:val="18"/>
              </w:rPr>
              <w:t>MFA</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rPr>
            </w:pPr>
            <w:r>
              <w:rPr>
                <w:rFonts w:ascii="Verdana" w:eastAsia="Verdana" w:hAnsi="Verdana" w:cs="Verdana"/>
                <w:noProof/>
                <w:color w:val="FFFFFF"/>
                <w:sz w:val="18"/>
              </w:rPr>
              <w:t>Euratom</w:t>
            </w:r>
          </w:p>
        </w:tc>
        <w:tc>
          <w:tcPr>
            <w:tcW w:w="140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rPr>
            </w:pPr>
            <w:r>
              <w:rPr>
                <w:rFonts w:ascii="Verdana" w:eastAsia="Verdana" w:hAnsi="Verdana" w:cs="Verdana"/>
                <w:noProof/>
                <w:color w:val="FFFFFF"/>
                <w:sz w:val="18"/>
              </w:rPr>
              <w:t>ECSC in Liquidation</w:t>
            </w:r>
          </w:p>
        </w:tc>
        <w:tc>
          <w:tcPr>
            <w:tcW w:w="10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LGFBF"/>
              <w:jc w:val="right"/>
              <w:rPr>
                <w:rFonts w:ascii="Verdana" w:eastAsia="Verdana" w:hAnsi="Verdana" w:cs="Verdana"/>
                <w:noProof/>
                <w:color w:val="FFFFFF"/>
                <w:sz w:val="18"/>
                <w:lang w:bidi="en-GB"/>
              </w:rPr>
            </w:pPr>
            <w:r>
              <w:rPr>
                <w:rFonts w:ascii="Verdana" w:eastAsia="Verdana" w:hAnsi="Verdana" w:cs="Verdana"/>
                <w:noProof/>
                <w:color w:val="FFFFFF"/>
                <w:sz w:val="18"/>
              </w:rPr>
              <w:t>Total</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00000"/>
                <w:sz w:val="18"/>
              </w:rPr>
            </w:pPr>
            <w:r>
              <w:rPr>
                <w:rFonts w:ascii="Verdana" w:eastAsia="Verdana" w:hAnsi="Verdana" w:cs="Verdana"/>
                <w:i/>
                <w:noProof/>
                <w:color w:val="000000"/>
                <w:sz w:val="18"/>
              </w:rPr>
              <w:t>Total at 31.12.2018</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47 400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1 734</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4 388</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254</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lang w:bidi="en-GB"/>
              </w:rPr>
            </w:pPr>
            <w:r>
              <w:rPr>
                <w:rFonts w:ascii="Verdana" w:eastAsia="Verdana" w:hAnsi="Verdana" w:cs="Verdana"/>
                <w:i/>
                <w:noProof/>
                <w:color w:val="000000"/>
                <w:sz w:val="18"/>
              </w:rPr>
              <w:t>53 872</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00000"/>
                <w:sz w:val="18"/>
              </w:rPr>
            </w:pPr>
            <w:r>
              <w:rPr>
                <w:rFonts w:ascii="Verdana" w:eastAsia="Verdana" w:hAnsi="Verdana" w:cs="Verdana"/>
                <w:i/>
                <w:noProof/>
                <w:color w:val="000000"/>
                <w:sz w:val="18"/>
              </w:rPr>
              <w:t>New loans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420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420</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00000"/>
                <w:sz w:val="18"/>
              </w:rPr>
            </w:pPr>
            <w:r>
              <w:rPr>
                <w:rFonts w:ascii="Verdana" w:eastAsia="Verdana" w:hAnsi="Verdana" w:cs="Verdana"/>
                <w:i/>
                <w:noProof/>
                <w:color w:val="000000"/>
                <w:sz w:val="18"/>
              </w:rPr>
              <w:t>Repayments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(1 500)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(52)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(40)</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lang w:bidi="en-GB"/>
              </w:rPr>
            </w:pPr>
            <w:r>
              <w:rPr>
                <w:rFonts w:ascii="Verdana" w:eastAsia="Verdana" w:hAnsi="Verdana" w:cs="Verdana"/>
                <w:i/>
                <w:noProof/>
                <w:color w:val="000000"/>
                <w:sz w:val="18"/>
              </w:rPr>
              <w:t>(1 689)</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00000"/>
                <w:sz w:val="18"/>
              </w:rPr>
            </w:pPr>
            <w:r>
              <w:rPr>
                <w:rFonts w:ascii="Verdana" w:eastAsia="Verdana" w:hAnsi="Verdana" w:cs="Verdana"/>
                <w:i/>
                <w:noProof/>
                <w:color w:val="000000"/>
                <w:sz w:val="18"/>
              </w:rPr>
              <w:t>Exchange differences</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00000"/>
                <w:sz w:val="18"/>
              </w:rPr>
            </w:pPr>
            <w:r>
              <w:rPr>
                <w:rFonts w:ascii="Verdana" w:eastAsia="Verdana" w:hAnsi="Verdana" w:cs="Verdana"/>
                <w:i/>
                <w:noProof/>
                <w:color w:val="000000"/>
                <w:sz w:val="18"/>
              </w:rPr>
              <w:t>Changes in carrying amount</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(33)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(44)</w:t>
            </w:r>
          </w:p>
        </w:tc>
      </w:tr>
      <w:tr w:rsidR="00135552">
        <w:trPr>
          <w:trHeight w:val="255"/>
        </w:trPr>
        <w:tc>
          <w:tcPr>
            <w:tcW w:w="3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rPr>
            </w:pPr>
            <w:r>
              <w:rPr>
                <w:rFonts w:ascii="Verdana" w:eastAsia="Verdana" w:hAnsi="Verdana" w:cs="Verdana"/>
                <w:b/>
                <w:noProof/>
                <w:color w:val="000000"/>
                <w:sz w:val="18"/>
              </w:rPr>
              <w:t>47 394</w:t>
            </w:r>
          </w:p>
        </w:tc>
        <w:tc>
          <w:tcPr>
            <w:tcW w:w="1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201</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rPr>
            </w:pPr>
            <w:r>
              <w:rPr>
                <w:rFonts w:ascii="Verdana" w:eastAsia="Verdana" w:hAnsi="Verdana" w:cs="Verdana"/>
                <w:b/>
                <w:noProof/>
                <w:color w:val="000000"/>
                <w:sz w:val="18"/>
              </w:rPr>
              <w:t>4 754</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214</w:t>
            </w:r>
          </w:p>
        </w:tc>
        <w:tc>
          <w:tcPr>
            <w:tcW w:w="14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b/>
                <w:noProof/>
                <w:color w:val="000000"/>
                <w:sz w:val="18"/>
                <w:lang w:bidi="en-GB"/>
              </w:rPr>
            </w:pPr>
            <w:r>
              <w:rPr>
                <w:rFonts w:ascii="Verdana" w:eastAsia="Verdana" w:hAnsi="Verdana" w:cs="Verdana"/>
                <w:b/>
                <w:noProof/>
                <w:color w:val="000000"/>
                <w:sz w:val="18"/>
              </w:rPr>
              <w:t>52 564</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46 800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200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4 112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178</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lang w:bidi="en-GB"/>
              </w:rPr>
            </w:pPr>
            <w:r>
              <w:rPr>
                <w:rFonts w:ascii="Verdana" w:eastAsia="Verdana" w:hAnsi="Verdana" w:cs="Verdana"/>
                <w:i/>
                <w:noProof/>
                <w:color w:val="016794"/>
                <w:sz w:val="18"/>
              </w:rPr>
              <w:t>51 290</w:t>
            </w:r>
          </w:p>
        </w:tc>
      </w:tr>
      <w:tr w:rsidR="00135552">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LGFBF"/>
              <w:rPr>
                <w:rFonts w:ascii="Verdana" w:eastAsia="Verdana" w:hAnsi="Verdana" w:cs="Verdana"/>
                <w:i/>
                <w:noProof/>
                <w:color w:val="016794"/>
                <w:sz w:val="18"/>
              </w:rPr>
            </w:pPr>
            <w:r>
              <w:rPr>
                <w:rFonts w:ascii="Verdana" w:eastAsia="Verdana" w:hAnsi="Verdana" w:cs="Verdana"/>
                <w:i/>
                <w:noProof/>
                <w:color w:val="016794"/>
                <w:sz w:val="18"/>
              </w:rPr>
              <w:t>Current</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594</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643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 xml:space="preserve"> 35</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6BIPLGFBF"/>
              <w:jc w:val="right"/>
              <w:rPr>
                <w:rFonts w:ascii="Verdana" w:eastAsia="Verdana" w:hAnsi="Verdana" w:cs="Verdana"/>
                <w:i/>
                <w:noProof/>
                <w:color w:val="016794"/>
                <w:sz w:val="18"/>
              </w:rPr>
            </w:pPr>
            <w:r>
              <w:rPr>
                <w:rFonts w:ascii="Verdana" w:eastAsia="Verdana" w:hAnsi="Verdana" w:cs="Verdana"/>
                <w:i/>
                <w:noProof/>
                <w:color w:val="016794"/>
                <w:sz w:val="18"/>
              </w:rPr>
              <w:t>1 273</w:t>
            </w:r>
          </w:p>
        </w:tc>
      </w:tr>
    </w:tbl>
    <w:p w:rsidR="00135552" w:rsidRDefault="004C63B0">
      <w:pPr>
        <w:pStyle w:val="Textstand-alone"/>
      </w:pPr>
      <w:r>
        <w:t xml:space="preserve">Borrowings mainly </w:t>
      </w:r>
      <w:r>
        <w:t>include debts evidenced by certificates amounting to EUR 52 433 million (2018: EUR 53 725 million). The changes in carrying amount correspond to the change in accrued interests.</w:t>
      </w:r>
    </w:p>
    <w:p w:rsidR="00135552" w:rsidRDefault="004C63B0">
      <w:pPr>
        <w:pStyle w:val="Textstand-alone"/>
        <w:spacing w:after="360"/>
      </w:pPr>
      <w:r>
        <w:t>The repayment of the above borrowings are ultimately guaranteed by the EU budg</w:t>
      </w:r>
      <w:r>
        <w:t xml:space="preserve">et – see note </w:t>
      </w:r>
      <w:r>
        <w:rPr>
          <w:b/>
        </w:rPr>
        <w:t>4.1.2</w:t>
      </w:r>
      <w:r>
        <w:t>, and by extension by each Member State.</w:t>
      </w:r>
    </w:p>
    <w:p w:rsidR="00135552" w:rsidRDefault="004C63B0">
      <w:pPr>
        <w:pStyle w:val="DGTextstand-alone"/>
      </w:pPr>
      <w:r>
        <w:br w:type="page"/>
      </w:r>
    </w:p>
    <w:p w:rsidR="00135552" w:rsidRDefault="004C63B0">
      <w:pPr>
        <w:pStyle w:val="HEADER5"/>
        <w:rPr>
          <w:noProof/>
        </w:rPr>
      </w:pPr>
      <w:r>
        <w:rPr>
          <w:noProof/>
        </w:rPr>
        <w:t>Borrowings effective interest rates (expressed as a range of interest rates)</w:t>
      </w:r>
    </w:p>
    <w:p w:rsidR="00135552" w:rsidRDefault="00135552">
      <w:pPr>
        <w:pStyle w:val="HEADER5"/>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2067"/>
        <w:gridCol w:w="2067"/>
      </w:tblGrid>
      <w:tr w:rsidR="00135552">
        <w:trPr>
          <w:trHeight w:val="255"/>
        </w:trPr>
        <w:tc>
          <w:tcPr>
            <w:tcW w:w="562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6BIPBORR3"/>
              <w:jc w:val="right"/>
              <w:rPr>
                <w:rFonts w:ascii="Verdana" w:eastAsia="Verdana" w:hAnsi="Verdana" w:cs="Verdana"/>
                <w:noProof/>
                <w:color w:val="FFFFFF"/>
                <w:lang w:bidi="en-GB"/>
              </w:rPr>
            </w:pPr>
            <w:bookmarkStart w:id="96" w:name="DOC_TBL00049_1_1"/>
            <w:bookmarkEnd w:id="96"/>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BORR3"/>
              <w:jc w:val="right"/>
              <w:rPr>
                <w:rFonts w:ascii="Verdana" w:eastAsia="Verdana" w:hAnsi="Verdana" w:cs="Verdana"/>
                <w:noProof/>
                <w:color w:val="FFFFFF"/>
              </w:rPr>
            </w:pPr>
            <w:r>
              <w:rPr>
                <w:rFonts w:ascii="Verdana" w:eastAsia="Verdana" w:hAnsi="Verdana" w:cs="Verdana"/>
                <w:noProof/>
                <w:color w:val="FFFFFF"/>
              </w:rPr>
              <w:t>31.12.2019</w:t>
            </w:r>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6BIPBORR3"/>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rPr>
                <w:rFonts w:ascii="Verdana" w:eastAsia="Verdana" w:hAnsi="Verdana" w:cs="Verdana"/>
                <w:i/>
                <w:noProof/>
                <w:color w:val="000000"/>
                <w:sz w:val="18"/>
              </w:rPr>
            </w:pPr>
            <w:r>
              <w:rPr>
                <w:rFonts w:ascii="Verdana" w:eastAsia="Verdana" w:hAnsi="Verdana" w:cs="Verdana"/>
                <w:i/>
                <w:noProof/>
                <w:color w:val="000000"/>
                <w:sz w:val="18"/>
              </w:rPr>
              <w:t>Macro Financial Assistance (MFA)</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0% - 3.82%</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lang w:bidi="en-GB"/>
              </w:rPr>
            </w:pPr>
            <w:r>
              <w:rPr>
                <w:rFonts w:ascii="Verdana" w:eastAsia="Verdana" w:hAnsi="Verdana" w:cs="Verdana"/>
                <w:i/>
                <w:noProof/>
                <w:color w:val="000000"/>
                <w:sz w:val="18"/>
              </w:rPr>
              <w:t>0 % - 3.82 %</w:t>
            </w:r>
          </w:p>
        </w:tc>
      </w:tr>
      <w:tr w:rsidR="00135552">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rPr>
                <w:rFonts w:ascii="Verdana" w:eastAsia="Verdana" w:hAnsi="Verdana" w:cs="Verdana"/>
                <w:i/>
                <w:noProof/>
                <w:color w:val="000000"/>
                <w:sz w:val="18"/>
              </w:rPr>
            </w:pPr>
            <w:r>
              <w:rPr>
                <w:rFonts w:ascii="Verdana" w:eastAsia="Verdana" w:hAnsi="Verdana" w:cs="Verdana"/>
                <w:i/>
                <w:noProof/>
                <w:color w:val="000000"/>
                <w:sz w:val="18"/>
              </w:rPr>
              <w:t>Euratom</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0% - 5.68%</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lang w:bidi="en-GB"/>
              </w:rPr>
            </w:pPr>
            <w:r>
              <w:rPr>
                <w:rFonts w:ascii="Verdana" w:eastAsia="Verdana" w:hAnsi="Verdana" w:cs="Verdana"/>
                <w:i/>
                <w:noProof/>
                <w:color w:val="000000"/>
                <w:sz w:val="18"/>
              </w:rPr>
              <w:t>0 % - 5.68 %</w:t>
            </w:r>
          </w:p>
        </w:tc>
      </w:tr>
      <w:tr w:rsidR="00135552">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rPr>
                <w:rFonts w:ascii="Verdana" w:eastAsia="Verdana" w:hAnsi="Verdana" w:cs="Verdana"/>
                <w:i/>
                <w:noProof/>
                <w:color w:val="000000"/>
                <w:sz w:val="18"/>
              </w:rPr>
            </w:pPr>
            <w:r>
              <w:rPr>
                <w:rFonts w:ascii="Verdana" w:eastAsia="Verdana" w:hAnsi="Verdana" w:cs="Verdana"/>
                <w:i/>
                <w:noProof/>
                <w:color w:val="000000"/>
                <w:sz w:val="18"/>
              </w:rPr>
              <w:t>Balance of Payment (BOP)</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2.88%</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lang w:bidi="en-GB"/>
              </w:rPr>
            </w:pPr>
            <w:r>
              <w:rPr>
                <w:rFonts w:ascii="Verdana" w:eastAsia="Verdana" w:hAnsi="Verdana" w:cs="Verdana"/>
                <w:i/>
                <w:noProof/>
                <w:color w:val="000000"/>
                <w:sz w:val="18"/>
              </w:rPr>
              <w:t>2.88 % - 3.38 %</w:t>
            </w:r>
          </w:p>
        </w:tc>
      </w:tr>
      <w:tr w:rsidR="00135552">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rPr>
                <w:rFonts w:ascii="Verdana" w:eastAsia="Verdana" w:hAnsi="Verdana" w:cs="Verdana"/>
                <w:i/>
                <w:noProof/>
                <w:color w:val="000000"/>
                <w:sz w:val="18"/>
              </w:rPr>
            </w:pPr>
            <w:r>
              <w:rPr>
                <w:rFonts w:ascii="Verdana" w:eastAsia="Verdana" w:hAnsi="Verdana" w:cs="Verdana"/>
                <w:i/>
                <w:noProof/>
                <w:color w:val="000000"/>
                <w:sz w:val="18"/>
              </w:rPr>
              <w:t>European Financial Stability Mechanism (EFSM)</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0.50% - 3.75%</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lang w:bidi="en-GB"/>
              </w:rPr>
            </w:pPr>
            <w:r>
              <w:rPr>
                <w:rFonts w:ascii="Verdana" w:eastAsia="Verdana" w:hAnsi="Verdana" w:cs="Verdana"/>
                <w:i/>
                <w:noProof/>
                <w:color w:val="000000"/>
                <w:sz w:val="18"/>
              </w:rPr>
              <w:t>0.50 % - 3.75 %</w:t>
            </w:r>
          </w:p>
        </w:tc>
      </w:tr>
      <w:tr w:rsidR="00135552">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rPr>
                <w:rFonts w:ascii="Verdana" w:eastAsia="Verdana" w:hAnsi="Verdana" w:cs="Verdana"/>
                <w:i/>
                <w:noProof/>
                <w:color w:val="000000"/>
                <w:sz w:val="18"/>
              </w:rPr>
            </w:pPr>
            <w:r>
              <w:rPr>
                <w:rFonts w:ascii="Verdana" w:eastAsia="Verdana" w:hAnsi="Verdana" w:cs="Verdana"/>
                <w:i/>
                <w:noProof/>
                <w:color w:val="000000"/>
                <w:sz w:val="18"/>
              </w:rPr>
              <w:t>ECSC in Liquidation</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6BIPBORR3"/>
              <w:jc w:val="right"/>
              <w:rPr>
                <w:rFonts w:ascii="Verdana" w:eastAsia="Verdana" w:hAnsi="Verdana" w:cs="Verdana"/>
                <w:i/>
                <w:noProof/>
                <w:color w:val="000000"/>
                <w:sz w:val="18"/>
              </w:rPr>
            </w:pPr>
            <w:r>
              <w:rPr>
                <w:rFonts w:ascii="Verdana" w:eastAsia="Verdana" w:hAnsi="Verdana" w:cs="Verdana"/>
                <w:i/>
                <w:noProof/>
                <w:color w:val="000000"/>
                <w:sz w:val="18"/>
              </w:rPr>
              <w:t>6.91 % - 8.97 %</w:t>
            </w:r>
          </w:p>
        </w:tc>
      </w:tr>
    </w:tbl>
    <w:p w:rsidR="00135552" w:rsidRDefault="00135552">
      <w:pPr>
        <w:pStyle w:val="HEADER5"/>
        <w:rPr>
          <w:noProof/>
        </w:rPr>
      </w:pPr>
    </w:p>
    <w:p w:rsidR="00135552" w:rsidRDefault="004C63B0">
      <w:pPr>
        <w:pStyle w:val="HEADER4NOTES"/>
        <w:rPr>
          <w:noProof/>
        </w:rPr>
      </w:pPr>
      <w:r>
        <w:rPr>
          <w:noProof/>
        </w:rPr>
        <w:t>Other financial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344"/>
        <w:gridCol w:w="2344"/>
      </w:tblGrid>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7BIPOFL"/>
              <w:rPr>
                <w:rFonts w:ascii="Arial" w:eastAsia="Arial" w:hAnsi="Arial" w:cs="Arial"/>
                <w:noProof/>
                <w:color w:val="000000"/>
                <w:lang w:bidi="en-GB"/>
              </w:rPr>
            </w:pPr>
            <w:bookmarkStart w:id="97" w:name="DOC_TBL00050_1_1"/>
            <w:bookmarkEnd w:id="97"/>
          </w:p>
        </w:tc>
        <w:tc>
          <w:tcPr>
            <w:tcW w:w="234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7BIPOFL"/>
              <w:rPr>
                <w:rFonts w:ascii="Arial" w:eastAsia="Arial" w:hAnsi="Arial" w:cs="Arial"/>
                <w:noProof/>
                <w:color w:val="000000"/>
              </w:rPr>
            </w:pPr>
          </w:p>
        </w:tc>
        <w:tc>
          <w:tcPr>
            <w:tcW w:w="23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7BIPOF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07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7BIPOFL"/>
              <w:jc w:val="right"/>
              <w:rPr>
                <w:rFonts w:ascii="Verdana" w:eastAsia="Verdana" w:hAnsi="Verdana" w:cs="Verdana"/>
                <w:noProof/>
                <w:color w:val="FFFFFF"/>
              </w:rPr>
            </w:pP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7BIPOFL"/>
              <w:jc w:val="right"/>
              <w:rPr>
                <w:rFonts w:ascii="Verdana" w:eastAsia="Verdana" w:hAnsi="Verdana" w:cs="Verdana"/>
                <w:noProof/>
                <w:color w:val="FFFFFF"/>
              </w:rPr>
            </w:pPr>
            <w:r>
              <w:rPr>
                <w:rFonts w:ascii="Verdana" w:eastAsia="Verdana" w:hAnsi="Verdana" w:cs="Verdana"/>
                <w:noProof/>
                <w:color w:val="FFFFFF"/>
              </w:rPr>
              <w:t>31.12.2019</w:t>
            </w: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7BIPOFL"/>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b/>
                <w:noProof/>
                <w:color w:val="000000"/>
                <w:sz w:val="18"/>
              </w:rPr>
            </w:pPr>
            <w:r>
              <w:rPr>
                <w:rFonts w:ascii="Verdana" w:eastAsia="Verdana" w:hAnsi="Verdana" w:cs="Verdana"/>
                <w:b/>
                <w:noProof/>
                <w:color w:val="000000"/>
                <w:sz w:val="18"/>
              </w:rPr>
              <w:t>Non-current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7BIPOFL"/>
              <w:rPr>
                <w:rFonts w:ascii="Arial" w:eastAsia="Arial" w:hAnsi="Arial" w:cs="Arial"/>
                <w:noProof/>
                <w:color w:val="000000"/>
                <w:lang w:bidi="en-GB"/>
              </w:rPr>
            </w:pP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 xml:space="preserve">Finance </w:t>
            </w:r>
            <w:r>
              <w:rPr>
                <w:rFonts w:ascii="Verdana" w:eastAsia="Verdana" w:hAnsi="Verdana" w:cs="Verdana"/>
                <w:i/>
                <w:noProof/>
                <w:color w:val="000000"/>
                <w:sz w:val="18"/>
              </w:rPr>
              <w:t>lease liabilities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1 244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1 331</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Buildings paid for in instalments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 xml:space="preserve"> 385</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314</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Other</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 xml:space="preserve"> 144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115</w:t>
            </w:r>
          </w:p>
        </w:tc>
      </w:tr>
      <w:tr w:rsidR="00135552">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rPr>
            </w:pPr>
            <w:r>
              <w:rPr>
                <w:rFonts w:ascii="Verdana" w:eastAsia="Verdana" w:hAnsi="Verdana" w:cs="Verdana"/>
                <w:b/>
                <w:noProof/>
                <w:color w:val="000000"/>
                <w:sz w:val="18"/>
              </w:rPr>
              <w:t>1 772</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lang w:bidi="en-GB"/>
              </w:rPr>
            </w:pPr>
            <w:r>
              <w:rPr>
                <w:rFonts w:ascii="Verdana" w:eastAsia="Verdana" w:hAnsi="Verdana" w:cs="Verdana"/>
                <w:b/>
                <w:noProof/>
                <w:color w:val="000000"/>
                <w:sz w:val="18"/>
              </w:rPr>
              <w:t>1 760</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b/>
                <w:noProof/>
                <w:color w:val="000000"/>
                <w:sz w:val="18"/>
              </w:rPr>
            </w:pPr>
            <w:r>
              <w:rPr>
                <w:rFonts w:ascii="Verdana" w:eastAsia="Verdana" w:hAnsi="Verdana" w:cs="Verdana"/>
                <w:b/>
                <w:noProof/>
                <w:color w:val="000000"/>
                <w:sz w:val="18"/>
              </w:rPr>
              <w:t>Current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47BIPOFL"/>
              <w:rPr>
                <w:rFonts w:ascii="Arial" w:eastAsia="Arial" w:hAnsi="Arial" w:cs="Arial"/>
                <w:noProof/>
                <w:color w:val="000000"/>
                <w:lang w:bidi="en-GB"/>
              </w:rPr>
            </w:pP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Finance lease liabilities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 xml:space="preserve"> 97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93</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Buildings paid for in instalments</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Fines to be reimbursed</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125</w:t>
            </w:r>
          </w:p>
        </w:tc>
      </w:tr>
      <w:tr w:rsidR="00135552">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i/>
                <w:noProof/>
                <w:color w:val="000000"/>
                <w:sz w:val="18"/>
              </w:rPr>
            </w:pPr>
            <w:r>
              <w:rPr>
                <w:rFonts w:ascii="Verdana" w:eastAsia="Verdana" w:hAnsi="Verdana" w:cs="Verdana"/>
                <w:i/>
                <w:noProof/>
                <w:color w:val="000000"/>
                <w:sz w:val="18"/>
              </w:rPr>
              <w:t>Other</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w:t>
            </w:r>
          </w:p>
        </w:tc>
      </w:tr>
      <w:tr w:rsidR="00135552">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rPr>
            </w:pPr>
            <w:r>
              <w:rPr>
                <w:rFonts w:ascii="Verdana" w:eastAsia="Verdana" w:hAnsi="Verdana" w:cs="Verdana"/>
                <w:b/>
                <w:noProof/>
                <w:color w:val="000000"/>
                <w:sz w:val="18"/>
              </w:rPr>
              <w:t xml:space="preserve"> 149</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252</w:t>
            </w:r>
          </w:p>
        </w:tc>
      </w:tr>
      <w:tr w:rsidR="00135552">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rPr>
                <w:rFonts w:ascii="Verdana" w:eastAsia="Verdana" w:hAnsi="Verdana" w:cs="Verdana"/>
                <w:b/>
                <w:noProof/>
                <w:color w:val="000000"/>
                <w:sz w:val="18"/>
              </w:rPr>
            </w:pPr>
            <w:r>
              <w:rPr>
                <w:rFonts w:ascii="Verdana" w:eastAsia="Verdana" w:hAnsi="Verdana" w:cs="Verdana"/>
                <w:b/>
                <w:noProof/>
                <w:color w:val="000000"/>
                <w:sz w:val="18"/>
              </w:rPr>
              <w:t>Total</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rPr>
            </w:pPr>
            <w:r>
              <w:rPr>
                <w:rFonts w:ascii="Verdana" w:eastAsia="Verdana" w:hAnsi="Verdana" w:cs="Verdana"/>
                <w:b/>
                <w:noProof/>
                <w:color w:val="000000"/>
                <w:sz w:val="18"/>
              </w:rPr>
              <w:t>1 921</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7BIPOFL"/>
              <w:jc w:val="right"/>
              <w:rPr>
                <w:rFonts w:ascii="Verdana" w:eastAsia="Verdana" w:hAnsi="Verdana" w:cs="Verdana"/>
                <w:b/>
                <w:noProof/>
                <w:color w:val="000000"/>
                <w:sz w:val="18"/>
              </w:rPr>
            </w:pPr>
            <w:r>
              <w:rPr>
                <w:rFonts w:ascii="Verdana" w:eastAsia="Verdana" w:hAnsi="Verdana" w:cs="Verdana"/>
                <w:b/>
                <w:noProof/>
                <w:color w:val="000000"/>
                <w:sz w:val="18"/>
              </w:rPr>
              <w:t>2 012</w:t>
            </w:r>
          </w:p>
        </w:tc>
      </w:tr>
    </w:tbl>
    <w:p w:rsidR="00135552" w:rsidRDefault="00135552">
      <w:pPr>
        <w:pStyle w:val="Heading9pNormalRight025"/>
        <w:rPr>
          <w:noProof/>
          <w:lang w:bidi="en-GB"/>
        </w:rPr>
      </w:pPr>
    </w:p>
    <w:p w:rsidR="00135552" w:rsidRDefault="004C63B0">
      <w:pPr>
        <w:pStyle w:val="HEADER5"/>
        <w:spacing w:before="240"/>
        <w:rPr>
          <w:noProof/>
        </w:rPr>
      </w:pPr>
      <w:r>
        <w:rPr>
          <w:noProof/>
        </w:rPr>
        <w:t>Finance lease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4"/>
        <w:gridCol w:w="1321"/>
        <w:gridCol w:w="1321"/>
        <w:gridCol w:w="1321"/>
        <w:gridCol w:w="1321"/>
      </w:tblGrid>
      <w:tr w:rsidR="00135552">
        <w:trPr>
          <w:trHeight w:val="255"/>
        </w:trPr>
        <w:tc>
          <w:tcPr>
            <w:tcW w:w="447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8BIPFL"/>
              <w:rPr>
                <w:rFonts w:ascii="Arial" w:eastAsia="Arial" w:hAnsi="Arial" w:cs="Arial"/>
                <w:noProof/>
                <w:color w:val="000000"/>
                <w:lang w:bidi="en-GB"/>
              </w:rPr>
            </w:pPr>
            <w:bookmarkStart w:id="98" w:name="DOC_TBL00051_1_1"/>
            <w:bookmarkEnd w:id="98"/>
          </w:p>
        </w:tc>
        <w:tc>
          <w:tcPr>
            <w:tcW w:w="132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8BIPF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8BIPFL"/>
              <w:rPr>
                <w:rFonts w:ascii="Verdana" w:eastAsia="Verdana" w:hAnsi="Verdana" w:cs="Verdana"/>
                <w:noProof/>
                <w:color w:val="FFFFFF"/>
              </w:rPr>
            </w:pPr>
          </w:p>
        </w:tc>
        <w:tc>
          <w:tcPr>
            <w:tcW w:w="1321"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8BIPFL"/>
              <w:jc w:val="center"/>
              <w:rPr>
                <w:rFonts w:ascii="Verdana" w:eastAsia="Verdana" w:hAnsi="Verdana" w:cs="Verdana"/>
                <w:noProof/>
                <w:color w:val="FFFFFF"/>
                <w:sz w:val="18"/>
                <w:lang w:bidi="en-GB"/>
              </w:rPr>
            </w:pPr>
            <w:r>
              <w:rPr>
                <w:rFonts w:ascii="Verdana" w:eastAsia="Verdana" w:hAnsi="Verdana" w:cs="Verdana"/>
                <w:noProof/>
                <w:color w:val="FFFFFF"/>
                <w:sz w:val="18"/>
              </w:rPr>
              <w:t>Future amounts to be paid</w:t>
            </w:r>
          </w:p>
        </w:tc>
      </w:tr>
      <w:tr w:rsidR="00135552">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8BIPFL"/>
              <w:rPr>
                <w:rFonts w:ascii="Verdana" w:eastAsia="Verdana" w:hAnsi="Verdana" w:cs="Verdana"/>
                <w:noProof/>
                <w:color w:val="FFFFFF"/>
              </w:rPr>
            </w:pP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8BIPFL"/>
              <w:jc w:val="right"/>
              <w:rPr>
                <w:rFonts w:ascii="Verdana" w:eastAsia="Verdana" w:hAnsi="Verdana" w:cs="Verdana"/>
                <w:noProof/>
                <w:color w:val="FFFFFF"/>
                <w:sz w:val="18"/>
              </w:rPr>
            </w:pPr>
            <w:r>
              <w:rPr>
                <w:rFonts w:ascii="Verdana" w:eastAsia="Verdana" w:hAnsi="Verdana" w:cs="Verdana"/>
                <w:noProof/>
                <w:color w:val="FFFFFF"/>
                <w:sz w:val="18"/>
              </w:rPr>
              <w:t>&lt; 1 year</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8BIPFL"/>
              <w:jc w:val="right"/>
              <w:rPr>
                <w:rFonts w:ascii="Verdana" w:eastAsia="Verdana" w:hAnsi="Verdana" w:cs="Verdana"/>
                <w:noProof/>
                <w:color w:val="FFFFFF"/>
                <w:sz w:val="18"/>
              </w:rPr>
            </w:pPr>
            <w:r>
              <w:rPr>
                <w:rFonts w:ascii="Verdana" w:eastAsia="Verdana" w:hAnsi="Verdana" w:cs="Verdana"/>
                <w:noProof/>
                <w:color w:val="FFFFFF"/>
                <w:sz w:val="18"/>
              </w:rPr>
              <w:t>1-5 years</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8BIPFL"/>
              <w:jc w:val="right"/>
              <w:rPr>
                <w:rFonts w:ascii="Verdana" w:eastAsia="Verdana" w:hAnsi="Verdana" w:cs="Verdana"/>
                <w:noProof/>
                <w:color w:val="FFFFFF"/>
                <w:sz w:val="18"/>
              </w:rPr>
            </w:pPr>
            <w:r>
              <w:rPr>
                <w:rFonts w:ascii="Verdana" w:eastAsia="Verdana" w:hAnsi="Verdana" w:cs="Verdana"/>
                <w:noProof/>
                <w:color w:val="FFFFFF"/>
                <w:sz w:val="18"/>
              </w:rPr>
              <w:t>&gt; 5 years</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48BIPFL"/>
              <w:jc w:val="right"/>
              <w:rPr>
                <w:rFonts w:ascii="Verdana" w:eastAsia="Verdana" w:hAnsi="Verdana" w:cs="Verdana"/>
                <w:noProof/>
                <w:color w:val="FFFFFF"/>
                <w:sz w:val="18"/>
                <w:lang w:bidi="en-GB"/>
              </w:rPr>
            </w:pPr>
            <w:r>
              <w:rPr>
                <w:rFonts w:ascii="Verdana" w:eastAsia="Verdana" w:hAnsi="Verdana" w:cs="Verdana"/>
                <w:noProof/>
                <w:color w:val="FFFFFF"/>
                <w:sz w:val="18"/>
              </w:rPr>
              <w:t>Total Liability</w:t>
            </w:r>
          </w:p>
        </w:tc>
      </w:tr>
      <w:tr w:rsidR="00135552">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i/>
                <w:noProof/>
                <w:color w:val="000000"/>
                <w:sz w:val="18"/>
              </w:rPr>
            </w:pPr>
            <w:r>
              <w:rPr>
                <w:rFonts w:ascii="Verdana" w:eastAsia="Verdana" w:hAnsi="Verdana" w:cs="Verdana"/>
                <w:i/>
                <w:noProof/>
                <w:color w:val="000000"/>
                <w:sz w:val="18"/>
              </w:rPr>
              <w:t>Land and buildings</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91</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332</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788</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lang w:bidi="en-GB"/>
              </w:rPr>
            </w:pPr>
            <w:r>
              <w:rPr>
                <w:rFonts w:ascii="Verdana" w:eastAsia="Verdana" w:hAnsi="Verdana" w:cs="Verdana"/>
                <w:i/>
                <w:noProof/>
                <w:color w:val="000000"/>
                <w:sz w:val="18"/>
              </w:rPr>
              <w:t>1 211</w:t>
            </w:r>
          </w:p>
        </w:tc>
      </w:tr>
      <w:tr w:rsidR="00135552">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i/>
                <w:noProof/>
                <w:color w:val="000000"/>
                <w:sz w:val="18"/>
              </w:rPr>
            </w:pPr>
            <w:r>
              <w:rPr>
                <w:rFonts w:ascii="Verdana" w:eastAsia="Verdana" w:hAnsi="Verdana" w:cs="Verdana"/>
                <w:i/>
                <w:noProof/>
                <w:color w:val="000000"/>
                <w:sz w:val="18"/>
              </w:rPr>
              <w:t>Other fixed assets</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124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129</w:t>
            </w:r>
          </w:p>
        </w:tc>
      </w:tr>
      <w:tr w:rsidR="00135552">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97</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456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788</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lang w:bidi="en-GB"/>
              </w:rPr>
            </w:pPr>
            <w:r>
              <w:rPr>
                <w:rFonts w:ascii="Verdana" w:eastAsia="Verdana" w:hAnsi="Verdana" w:cs="Verdana"/>
                <w:b/>
                <w:noProof/>
                <w:color w:val="000000"/>
                <w:sz w:val="18"/>
              </w:rPr>
              <w:t>1 340</w:t>
            </w:r>
          </w:p>
        </w:tc>
      </w:tr>
      <w:tr w:rsidR="00135552">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i/>
                <w:noProof/>
                <w:color w:val="000000"/>
                <w:sz w:val="18"/>
              </w:rPr>
            </w:pPr>
            <w:r>
              <w:rPr>
                <w:rFonts w:ascii="Verdana" w:eastAsia="Verdana" w:hAnsi="Verdana" w:cs="Verdana"/>
                <w:i/>
                <w:noProof/>
                <w:color w:val="000000"/>
                <w:sz w:val="18"/>
              </w:rPr>
              <w:t>Interest element</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189</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157</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400</w:t>
            </w:r>
          </w:p>
        </w:tc>
      </w:tr>
      <w:tr w:rsidR="00135552">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b/>
                <w:noProof/>
                <w:color w:val="000000"/>
                <w:sz w:val="18"/>
              </w:rPr>
            </w:pPr>
            <w:r>
              <w:rPr>
                <w:rFonts w:ascii="Verdana" w:eastAsia="Verdana" w:hAnsi="Verdana" w:cs="Verdana"/>
                <w:b/>
                <w:noProof/>
                <w:color w:val="000000"/>
                <w:sz w:val="18"/>
              </w:rPr>
              <w:t>Total future minimum lease payments at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150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644</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rPr>
            </w:pPr>
            <w:r>
              <w:rPr>
                <w:rFonts w:ascii="Verdana" w:eastAsia="Verdana" w:hAnsi="Verdana" w:cs="Verdana"/>
                <w:b/>
                <w:noProof/>
                <w:color w:val="000000"/>
                <w:sz w:val="18"/>
              </w:rPr>
              <w:t xml:space="preserve"> 946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b/>
                <w:noProof/>
                <w:color w:val="000000"/>
                <w:sz w:val="18"/>
                <w:lang w:bidi="en-GB"/>
              </w:rPr>
            </w:pPr>
            <w:r>
              <w:rPr>
                <w:rFonts w:ascii="Verdana" w:eastAsia="Verdana" w:hAnsi="Verdana" w:cs="Verdana"/>
                <w:b/>
                <w:noProof/>
                <w:color w:val="000000"/>
                <w:sz w:val="18"/>
              </w:rPr>
              <w:t>1 741</w:t>
            </w:r>
          </w:p>
        </w:tc>
      </w:tr>
      <w:tr w:rsidR="00135552">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rPr>
                <w:rFonts w:ascii="Verdana" w:eastAsia="Verdana" w:hAnsi="Verdana" w:cs="Verdana"/>
                <w:i/>
                <w:noProof/>
                <w:color w:val="000000"/>
                <w:sz w:val="18"/>
              </w:rPr>
            </w:pPr>
            <w:r>
              <w:rPr>
                <w:rFonts w:ascii="Verdana" w:eastAsia="Verdana" w:hAnsi="Verdana" w:cs="Verdana"/>
                <w:i/>
                <w:noProof/>
                <w:color w:val="000000"/>
                <w:sz w:val="18"/>
              </w:rPr>
              <w:t>Total future minimum lease payments at 31.12.2018</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153</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 xml:space="preserve"> 654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1 089</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8BIPFL"/>
              <w:jc w:val="right"/>
              <w:rPr>
                <w:rFonts w:ascii="Verdana" w:eastAsia="Verdana" w:hAnsi="Verdana" w:cs="Verdana"/>
                <w:i/>
                <w:noProof/>
                <w:color w:val="000000"/>
                <w:sz w:val="18"/>
              </w:rPr>
            </w:pPr>
            <w:r>
              <w:rPr>
                <w:rFonts w:ascii="Verdana" w:eastAsia="Verdana" w:hAnsi="Verdana" w:cs="Verdana"/>
                <w:i/>
                <w:noProof/>
                <w:color w:val="000000"/>
                <w:sz w:val="18"/>
              </w:rPr>
              <w:t>1 896</w:t>
            </w:r>
          </w:p>
        </w:tc>
      </w:tr>
    </w:tbl>
    <w:p w:rsidR="00135552" w:rsidRDefault="00135552">
      <w:pPr>
        <w:pStyle w:val="HEADER5"/>
        <w:rPr>
          <w:noProof/>
        </w:rPr>
      </w:pPr>
    </w:p>
    <w:p w:rsidR="00135552" w:rsidRDefault="004C63B0">
      <w:pPr>
        <w:pStyle w:val="DGTextstand-alone"/>
      </w:pPr>
      <w:r>
        <w:t xml:space="preserve">The lease and building related amounts above will have to be funded by </w:t>
      </w:r>
      <w:r>
        <w:t>future budgets.</w:t>
      </w:r>
    </w:p>
    <w:p w:rsidR="00135552" w:rsidRDefault="004C63B0">
      <w:pPr>
        <w:rPr>
          <w:rFonts w:ascii="Verdana" w:hAnsi="Verdana"/>
          <w:noProof/>
          <w:color w:val="016794"/>
          <w:sz w:val="20"/>
          <w:szCs w:val="20"/>
        </w:rPr>
      </w:pPr>
      <w:r>
        <w:rPr>
          <w:noProof/>
        </w:rPr>
        <w:br w:type="page"/>
      </w:r>
    </w:p>
    <w:p w:rsidR="00135552" w:rsidRDefault="004C63B0">
      <w:pPr>
        <w:pStyle w:val="HEADER3NOTES"/>
        <w:rPr>
          <w:noProof/>
        </w:rPr>
      </w:pPr>
      <w:r>
        <w:rPr>
          <w:noProof/>
        </w:rPr>
        <w:t xml:space="preserve">Financial liabilities at fair value through surplus or deficit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449"/>
        <w:gridCol w:w="1406"/>
        <w:gridCol w:w="1166"/>
        <w:gridCol w:w="1166"/>
      </w:tblGrid>
      <w:tr w:rsidR="00135552">
        <w:trPr>
          <w:trHeight w:val="255"/>
        </w:trPr>
        <w:tc>
          <w:tcPr>
            <w:tcW w:w="457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NOTIONALFL"/>
              <w:rPr>
                <w:rFonts w:ascii="Arial" w:eastAsia="Arial" w:hAnsi="Arial" w:cs="Arial"/>
                <w:noProof/>
                <w:color w:val="000000"/>
                <w:lang w:bidi="en-GB"/>
              </w:rPr>
            </w:pPr>
            <w:bookmarkStart w:id="99" w:name="DOC_TBL00052_1_1"/>
            <w:bookmarkEnd w:id="99"/>
          </w:p>
        </w:tc>
        <w:tc>
          <w:tcPr>
            <w:tcW w:w="144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NOTIONALFL"/>
              <w:rPr>
                <w:rFonts w:ascii="Arial" w:eastAsia="Arial" w:hAnsi="Arial" w:cs="Arial"/>
                <w:noProof/>
                <w:color w:val="000000"/>
              </w:rPr>
            </w:pPr>
          </w:p>
        </w:tc>
        <w:tc>
          <w:tcPr>
            <w:tcW w:w="140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2BIPNOTIONALF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71"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rPr>
            </w:pPr>
            <w:r>
              <w:rPr>
                <w:rFonts w:ascii="Verdana" w:eastAsia="Verdana" w:hAnsi="Verdana" w:cs="Verdana"/>
                <w:noProof/>
                <w:color w:val="FFFFFF"/>
              </w:rPr>
              <w:t>Type of derivative</w:t>
            </w:r>
          </w:p>
        </w:tc>
        <w:tc>
          <w:tcPr>
            <w:tcW w:w="1449"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rPr>
            </w:pPr>
            <w:r>
              <w:rPr>
                <w:rFonts w:ascii="Verdana" w:eastAsia="Verdana" w:hAnsi="Verdana" w:cs="Verdana"/>
                <w:noProof/>
                <w:color w:val="FFFFFF"/>
              </w:rPr>
              <w:t>31.12.2019</w:t>
            </w:r>
          </w:p>
        </w:tc>
        <w:tc>
          <w:tcPr>
            <w:tcW w:w="1166"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484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2BIPNOTIONALFL"/>
              <w:jc w:val="center"/>
              <w:rPr>
                <w:rFonts w:ascii="Verdana" w:eastAsia="Verdana" w:hAnsi="Verdana" w:cs="Verdana"/>
                <w:noProof/>
                <w:color w:val="FFFFFF"/>
              </w:rPr>
            </w:pPr>
          </w:p>
        </w:tc>
        <w:tc>
          <w:tcPr>
            <w:tcW w:w="1449"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rPr>
            </w:pPr>
            <w:r>
              <w:rPr>
                <w:rFonts w:ascii="Verdana" w:eastAsia="Verdana" w:hAnsi="Verdana" w:cs="Verdana"/>
                <w:noProof/>
                <w:color w:val="FFFFFF"/>
              </w:rPr>
              <w:t xml:space="preserve">Notional amount </w:t>
            </w:r>
          </w:p>
        </w:tc>
        <w:tc>
          <w:tcPr>
            <w:tcW w:w="140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rPr>
            </w:pPr>
            <w:r>
              <w:rPr>
                <w:rFonts w:ascii="Verdana" w:eastAsia="Verdana" w:hAnsi="Verdana" w:cs="Verdana"/>
                <w:noProof/>
                <w:color w:val="FFFFFF"/>
              </w:rPr>
              <w:t>Fair value</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rPr>
            </w:pPr>
            <w:r>
              <w:rPr>
                <w:rFonts w:ascii="Verdana" w:eastAsia="Verdana" w:hAnsi="Verdana" w:cs="Verdana"/>
                <w:noProof/>
                <w:color w:val="FFFFFF"/>
              </w:rPr>
              <w:t xml:space="preserve">Notional amount </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6552BIPNOTIONALFL"/>
              <w:jc w:val="center"/>
              <w:rPr>
                <w:rFonts w:ascii="Verdana" w:eastAsia="Verdana" w:hAnsi="Verdana" w:cs="Verdana"/>
                <w:noProof/>
                <w:color w:val="FFFFFF"/>
                <w:lang w:bidi="en-GB"/>
              </w:rPr>
            </w:pPr>
            <w:r>
              <w:rPr>
                <w:rFonts w:ascii="Verdana" w:eastAsia="Verdana" w:hAnsi="Verdana" w:cs="Verdana"/>
                <w:noProof/>
                <w:color w:val="FFFFFF"/>
              </w:rPr>
              <w:t>Fair value</w:t>
            </w:r>
          </w:p>
        </w:tc>
      </w:tr>
      <w:tr w:rsidR="00135552">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rPr>
                <w:rFonts w:ascii="Verdana" w:eastAsia="Verdana" w:hAnsi="Verdana" w:cs="Verdana"/>
                <w:i/>
                <w:noProof/>
                <w:color w:val="000000"/>
                <w:sz w:val="18"/>
              </w:rPr>
            </w:pPr>
            <w:r>
              <w:rPr>
                <w:rFonts w:ascii="Verdana" w:eastAsia="Verdana" w:hAnsi="Verdana" w:cs="Verdana"/>
                <w:i/>
                <w:noProof/>
                <w:color w:val="000000"/>
                <w:sz w:val="18"/>
              </w:rPr>
              <w:t>Guarantee on equity portfolio</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752</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536</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w:t>
            </w:r>
          </w:p>
        </w:tc>
      </w:tr>
      <w:tr w:rsidR="00135552">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rPr>
                <w:rFonts w:ascii="Verdana" w:eastAsia="Verdana" w:hAnsi="Verdana" w:cs="Verdana"/>
                <w:i/>
                <w:noProof/>
                <w:color w:val="000000"/>
                <w:sz w:val="18"/>
              </w:rPr>
            </w:pPr>
            <w:r>
              <w:rPr>
                <w:rFonts w:ascii="Verdana" w:eastAsia="Verdana" w:hAnsi="Verdana" w:cs="Verdana"/>
                <w:i/>
                <w:noProof/>
                <w:color w:val="000000"/>
                <w:sz w:val="18"/>
              </w:rPr>
              <w:t xml:space="preserve">FX </w:t>
            </w:r>
            <w:r>
              <w:rPr>
                <w:rFonts w:ascii="Verdana" w:eastAsia="Verdana" w:hAnsi="Verdana" w:cs="Verdana"/>
                <w:i/>
                <w:noProof/>
                <w:color w:val="000000"/>
                <w:sz w:val="18"/>
              </w:rPr>
              <w:t>option (put spread)</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13</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rPr>
            </w:pPr>
            <w:r>
              <w:rPr>
                <w:rFonts w:ascii="Verdana" w:eastAsia="Verdana" w:hAnsi="Verdana" w:cs="Verdana"/>
                <w:i/>
                <w:noProof/>
                <w:color w:val="000000"/>
                <w:sz w:val="18"/>
              </w:rPr>
              <w:t xml:space="preserve"> 11</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45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NOTIONALFL"/>
              <w:rPr>
                <w:rFonts w:ascii="Verdana" w:eastAsia="Verdana" w:hAnsi="Verdana" w:cs="Verdana"/>
                <w:b/>
                <w:noProof/>
                <w:color w:val="000000"/>
                <w:sz w:val="18"/>
              </w:rPr>
            </w:pPr>
            <w:r>
              <w:rPr>
                <w:rFonts w:ascii="Verdana" w:eastAsia="Verdana" w:hAnsi="Verdana" w:cs="Verdana"/>
                <w:b/>
                <w:noProof/>
                <w:color w:val="000000"/>
                <w:sz w:val="18"/>
              </w:rPr>
              <w:t>Total</w:t>
            </w:r>
          </w:p>
        </w:tc>
        <w:tc>
          <w:tcPr>
            <w:tcW w:w="144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b/>
                <w:noProof/>
                <w:color w:val="000000"/>
                <w:sz w:val="18"/>
              </w:rPr>
            </w:pPr>
            <w:r>
              <w:rPr>
                <w:rFonts w:ascii="Verdana" w:eastAsia="Verdana" w:hAnsi="Verdana" w:cs="Verdana"/>
                <w:b/>
                <w:noProof/>
                <w:color w:val="000000"/>
                <w:sz w:val="18"/>
              </w:rPr>
              <w:t xml:space="preserve"> 765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b/>
                <w:noProof/>
                <w:color w:val="000000"/>
                <w:sz w:val="18"/>
              </w:rPr>
            </w:pPr>
            <w:r>
              <w:rPr>
                <w:rFonts w:ascii="Verdana" w:eastAsia="Verdana" w:hAnsi="Verdana" w:cs="Verdana"/>
                <w:b/>
                <w:noProof/>
                <w:color w:val="000000"/>
                <w:sz w:val="18"/>
              </w:rPr>
              <w:t xml:space="preserve"> 12</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b/>
                <w:noProof/>
                <w:color w:val="000000"/>
                <w:sz w:val="18"/>
              </w:rPr>
            </w:pPr>
            <w:r>
              <w:rPr>
                <w:rFonts w:ascii="Verdana" w:eastAsia="Verdana" w:hAnsi="Verdana" w:cs="Verdana"/>
                <w:b/>
                <w:noProof/>
                <w:color w:val="000000"/>
                <w:sz w:val="18"/>
              </w:rPr>
              <w:t xml:space="preserve"> 546</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22</w:t>
            </w:r>
          </w:p>
        </w:tc>
      </w:tr>
      <w:tr w:rsidR="00135552">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rPr>
                <w:rFonts w:ascii="Verdana" w:eastAsia="Verdana" w:hAnsi="Verdana" w:cs="Verdana"/>
                <w:i/>
                <w:noProof/>
                <w:color w:val="016794"/>
                <w:sz w:val="18"/>
              </w:rPr>
            </w:pPr>
            <w:r>
              <w:rPr>
                <w:rFonts w:ascii="Verdana" w:eastAsia="Verdana" w:hAnsi="Verdana" w:cs="Verdana"/>
                <w:i/>
                <w:noProof/>
                <w:color w:val="016794"/>
                <w:sz w:val="18"/>
              </w:rPr>
              <w:t>Non-current</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148</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9</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82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lang w:bidi="en-GB"/>
              </w:rPr>
            </w:pPr>
            <w:r>
              <w:rPr>
                <w:rFonts w:ascii="Verdana" w:eastAsia="Verdana" w:hAnsi="Verdana" w:cs="Verdana"/>
                <w:i/>
                <w:noProof/>
                <w:color w:val="016794"/>
                <w:sz w:val="18"/>
              </w:rPr>
              <w:t xml:space="preserve"> 7</w:t>
            </w:r>
          </w:p>
        </w:tc>
      </w:tr>
      <w:tr w:rsidR="00135552">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rPr>
                <w:rFonts w:ascii="Verdana" w:eastAsia="Verdana" w:hAnsi="Verdana" w:cs="Verdana"/>
                <w:i/>
                <w:noProof/>
                <w:color w:val="016794"/>
                <w:sz w:val="18"/>
              </w:rPr>
            </w:pPr>
            <w:r>
              <w:rPr>
                <w:rFonts w:ascii="Verdana" w:eastAsia="Verdana" w:hAnsi="Verdana" w:cs="Verdana"/>
                <w:i/>
                <w:noProof/>
                <w:color w:val="016794"/>
                <w:sz w:val="18"/>
              </w:rPr>
              <w:t>Current</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617</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464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NOTIONALFL"/>
              <w:jc w:val="right"/>
              <w:rPr>
                <w:rFonts w:ascii="Verdana" w:eastAsia="Verdana" w:hAnsi="Verdana" w:cs="Verdana"/>
                <w:i/>
                <w:noProof/>
                <w:color w:val="016794"/>
                <w:sz w:val="18"/>
              </w:rPr>
            </w:pPr>
            <w:r>
              <w:rPr>
                <w:rFonts w:ascii="Verdana" w:eastAsia="Verdana" w:hAnsi="Verdana" w:cs="Verdana"/>
                <w:i/>
                <w:noProof/>
                <w:color w:val="016794"/>
                <w:sz w:val="18"/>
              </w:rPr>
              <w:t xml:space="preserve"> 15</w:t>
            </w:r>
          </w:p>
        </w:tc>
      </w:tr>
    </w:tbl>
    <w:p w:rsidR="00135552" w:rsidRDefault="00135552">
      <w:pPr>
        <w:pStyle w:val="HEADER5"/>
        <w:rPr>
          <w:noProof/>
          <w:lang w:bidi="en-GB"/>
        </w:rPr>
      </w:pPr>
    </w:p>
    <w:p w:rsidR="00135552" w:rsidRDefault="004C63B0">
      <w:pPr>
        <w:pStyle w:val="HEADER5"/>
        <w:rPr>
          <w:noProof/>
        </w:rPr>
      </w:pPr>
      <w:r>
        <w:rPr>
          <w:noProof/>
        </w:rPr>
        <w:t>Guarantee on equity portfolio</w:t>
      </w:r>
    </w:p>
    <w:p w:rsidR="00135552" w:rsidRDefault="004C63B0">
      <w:pPr>
        <w:pStyle w:val="DGTextstand-alone"/>
        <w:rPr>
          <w:lang w:bidi="en-GB"/>
        </w:rPr>
      </w:pPr>
      <w:r>
        <w:rPr>
          <w:lang w:bidi="en-GB"/>
        </w:rPr>
        <w:t xml:space="preserve">Guarantees given on equity portfolio are classified as financial liabilities at fair value through surplus or deficit since they do not meet the definition of a financial guarantee liability – see note </w:t>
      </w:r>
      <w:r>
        <w:rPr>
          <w:b/>
          <w:lang w:bidi="en-GB"/>
        </w:rPr>
        <w:t>1.5.12</w:t>
      </w:r>
      <w:r>
        <w:rPr>
          <w:lang w:bidi="en-GB"/>
        </w:rPr>
        <w:t>. As at 31 December 2019 this heading relates ma</w:t>
      </w:r>
      <w:r>
        <w:rPr>
          <w:lang w:bidi="en-GB"/>
        </w:rPr>
        <w:t xml:space="preserve">inly to a guarantee provided by the EU under the H2020 financial instruments (see note </w:t>
      </w:r>
      <w:r>
        <w:rPr>
          <w:b/>
          <w:lang w:bidi="en-GB"/>
        </w:rPr>
        <w:t xml:space="preserve">2.4.1) </w:t>
      </w:r>
      <w:r>
        <w:rPr>
          <w:lang w:bidi="en-GB"/>
        </w:rPr>
        <w:t>to the EIB Group for portfolios of equity operations. The EU financial liability is measured based on the value of the underlying investments.</w:t>
      </w:r>
    </w:p>
    <w:p w:rsidR="00135552" w:rsidRDefault="004C63B0">
      <w:pPr>
        <w:pStyle w:val="HEADER5"/>
        <w:rPr>
          <w:noProof/>
        </w:rPr>
      </w:pPr>
      <w:r>
        <w:rPr>
          <w:noProof/>
        </w:rPr>
        <w:t>Foreign exchange op</w:t>
      </w:r>
      <w:r>
        <w:rPr>
          <w:noProof/>
        </w:rPr>
        <w:t>tion</w:t>
      </w:r>
    </w:p>
    <w:p w:rsidR="00135552" w:rsidRDefault="004C63B0">
      <w:pPr>
        <w:pStyle w:val="DGTextstand-alone"/>
        <w:rPr>
          <w:lang w:bidi="en-GB"/>
        </w:rPr>
      </w:pPr>
      <w:r>
        <w:rPr>
          <w:lang w:bidi="en-GB"/>
        </w:rPr>
        <w:t>As at 31 December 2019 the EU holds a derivative financial instrument (Foreign exchange option – put spread type of option) in which it covers the devaluation of the foreign exchange currency (UHA) related to loans given by financial institutions to S</w:t>
      </w:r>
      <w:r>
        <w:rPr>
          <w:lang w:bidi="en-GB"/>
        </w:rPr>
        <w:t>MEs in Ukraine so as to enhance the access to financing, as well as the attractiveness of the loan conditions in Ukraine. Under the terms of the contract, the EU provides its partners with an option to call, for each eligible loan, up to a maximum of 30 %,</w:t>
      </w:r>
      <w:r>
        <w:rPr>
          <w:lang w:bidi="en-GB"/>
        </w:rPr>
        <w:t xml:space="preserve"> for an EU contribution in the case of devaluation of the ratio UHA/EUR.</w:t>
      </w:r>
    </w:p>
    <w:p w:rsidR="00135552" w:rsidRDefault="004C63B0">
      <w:pPr>
        <w:pStyle w:val="HEADER5"/>
        <w:spacing w:before="360" w:after="360"/>
        <w:rPr>
          <w:b/>
          <w:noProof/>
        </w:rPr>
      </w:pPr>
      <w:r>
        <w:rPr>
          <w:noProof/>
        </w:rPr>
        <w:t>Fair value hierarchy of financial liabilities measured at fair value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899"/>
        <w:gridCol w:w="1844"/>
      </w:tblGrid>
      <w:tr w:rsidR="00135552">
        <w:trPr>
          <w:trHeight w:val="255"/>
        </w:trPr>
        <w:tc>
          <w:tcPr>
            <w:tcW w:w="601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FVH"/>
              <w:rPr>
                <w:rFonts w:ascii="Arial" w:eastAsia="Arial" w:hAnsi="Arial" w:cs="Arial"/>
                <w:noProof/>
                <w:color w:val="000000"/>
                <w:lang w:bidi="en-GB"/>
              </w:rPr>
            </w:pPr>
            <w:bookmarkStart w:id="100" w:name="DOC_TBL00053_1_1"/>
            <w:bookmarkEnd w:id="100"/>
          </w:p>
        </w:tc>
        <w:tc>
          <w:tcPr>
            <w:tcW w:w="189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2BIPFVH"/>
              <w:rPr>
                <w:rFonts w:ascii="Arial" w:eastAsia="Arial" w:hAnsi="Arial" w:cs="Arial"/>
                <w:noProof/>
                <w:color w:val="000000"/>
              </w:rPr>
            </w:pPr>
          </w:p>
        </w:tc>
        <w:tc>
          <w:tcPr>
            <w:tcW w:w="184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2BIPFVH"/>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01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2BIPFVH"/>
              <w:jc w:val="center"/>
              <w:rPr>
                <w:rFonts w:ascii="Verdana" w:eastAsia="Verdana" w:hAnsi="Verdana" w:cs="Verdana"/>
                <w:noProof/>
                <w:color w:val="FFFFFF"/>
              </w:rPr>
            </w:pPr>
          </w:p>
        </w:tc>
        <w:tc>
          <w:tcPr>
            <w:tcW w:w="189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2BIPFVH"/>
              <w:jc w:val="right"/>
              <w:rPr>
                <w:rFonts w:ascii="Verdana" w:eastAsia="Verdana" w:hAnsi="Verdana" w:cs="Verdana"/>
                <w:noProof/>
                <w:color w:val="FFFFFF"/>
              </w:rPr>
            </w:pPr>
            <w:r>
              <w:rPr>
                <w:rFonts w:ascii="Verdana" w:eastAsia="Verdana" w:hAnsi="Verdana" w:cs="Verdana"/>
                <w:noProof/>
                <w:color w:val="FFFFFF"/>
              </w:rPr>
              <w:t>31.12.2019</w:t>
            </w:r>
          </w:p>
        </w:tc>
        <w:tc>
          <w:tcPr>
            <w:tcW w:w="18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2BIPFVH"/>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rPr>
                <w:rFonts w:ascii="Verdana" w:eastAsia="Verdana" w:hAnsi="Verdana" w:cs="Verdana"/>
                <w:i/>
                <w:noProof/>
                <w:color w:val="000000"/>
                <w:sz w:val="18"/>
              </w:rPr>
            </w:pPr>
            <w:r>
              <w:rPr>
                <w:rFonts w:ascii="Verdana" w:eastAsia="Verdana" w:hAnsi="Verdana" w:cs="Verdana"/>
                <w:i/>
                <w:noProof/>
                <w:color w:val="000000"/>
                <w:sz w:val="18"/>
              </w:rPr>
              <w:t>Level 1: Quoted prices in active markets</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rPr>
                <w:rFonts w:ascii="Verdana" w:eastAsia="Verdana" w:hAnsi="Verdana" w:cs="Verdana"/>
                <w:i/>
                <w:noProof/>
                <w:color w:val="000000"/>
                <w:sz w:val="18"/>
              </w:rPr>
            </w:pPr>
            <w:r>
              <w:rPr>
                <w:rFonts w:ascii="Verdana" w:eastAsia="Verdana" w:hAnsi="Verdana" w:cs="Verdana"/>
                <w:i/>
                <w:noProof/>
                <w:color w:val="000000"/>
                <w:sz w:val="18"/>
              </w:rPr>
              <w:t xml:space="preserve">Level 2: Observable inputs </w:t>
            </w:r>
            <w:r>
              <w:rPr>
                <w:rFonts w:ascii="Verdana" w:eastAsia="Verdana" w:hAnsi="Verdana" w:cs="Verdana"/>
                <w:i/>
                <w:noProof/>
                <w:color w:val="000000"/>
                <w:sz w:val="18"/>
              </w:rPr>
              <w:t>other than quoted prices</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rPr>
                <w:rFonts w:ascii="Verdana" w:eastAsia="Verdana" w:hAnsi="Verdana" w:cs="Verdana"/>
                <w:i/>
                <w:noProof/>
                <w:color w:val="000000"/>
                <w:sz w:val="18"/>
              </w:rPr>
            </w:pPr>
            <w:r>
              <w:rPr>
                <w:rFonts w:ascii="Verdana" w:eastAsia="Verdana" w:hAnsi="Verdana" w:cs="Verdana"/>
                <w:i/>
                <w:noProof/>
                <w:color w:val="000000"/>
                <w:sz w:val="18"/>
              </w:rPr>
              <w:t>Level 3: Valuation techniques with inputs not based on observable market data</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w:t>
            </w:r>
          </w:p>
        </w:tc>
      </w:tr>
      <w:tr w:rsidR="00135552">
        <w:trPr>
          <w:trHeight w:val="255"/>
        </w:trPr>
        <w:tc>
          <w:tcPr>
            <w:tcW w:w="6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FVH"/>
              <w:rPr>
                <w:rFonts w:ascii="Verdana" w:eastAsia="Verdana" w:hAnsi="Verdana" w:cs="Verdana"/>
                <w:b/>
                <w:noProof/>
                <w:color w:val="000000"/>
                <w:sz w:val="18"/>
              </w:rPr>
            </w:pPr>
            <w:r>
              <w:rPr>
                <w:rFonts w:ascii="Verdana" w:eastAsia="Verdana" w:hAnsi="Verdana" w:cs="Verdana"/>
                <w:b/>
                <w:noProof/>
                <w:color w:val="000000"/>
                <w:sz w:val="18"/>
              </w:rPr>
              <w:t>Total</w:t>
            </w:r>
          </w:p>
        </w:tc>
        <w:tc>
          <w:tcPr>
            <w:tcW w:w="18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b/>
                <w:noProof/>
                <w:color w:val="000000"/>
                <w:sz w:val="18"/>
              </w:rPr>
            </w:pPr>
            <w:r>
              <w:rPr>
                <w:rFonts w:ascii="Verdana" w:eastAsia="Verdana" w:hAnsi="Verdana" w:cs="Verdana"/>
                <w:b/>
                <w:noProof/>
                <w:color w:val="000000"/>
                <w:sz w:val="18"/>
              </w:rPr>
              <w:t xml:space="preserve"> 12</w:t>
            </w:r>
          </w:p>
        </w:tc>
        <w:tc>
          <w:tcPr>
            <w:tcW w:w="18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52BIPFVH"/>
              <w:jc w:val="right"/>
              <w:rPr>
                <w:rFonts w:ascii="Verdana" w:eastAsia="Verdana" w:hAnsi="Verdana" w:cs="Verdana"/>
                <w:b/>
                <w:noProof/>
                <w:color w:val="000000"/>
                <w:sz w:val="18"/>
              </w:rPr>
            </w:pPr>
            <w:r>
              <w:rPr>
                <w:rFonts w:ascii="Verdana" w:eastAsia="Verdana" w:hAnsi="Verdana" w:cs="Verdana"/>
                <w:b/>
                <w:noProof/>
                <w:color w:val="000000"/>
                <w:sz w:val="18"/>
              </w:rPr>
              <w:t xml:space="preserve"> 22</w:t>
            </w:r>
          </w:p>
        </w:tc>
      </w:tr>
    </w:tbl>
    <w:p w:rsidR="00135552" w:rsidRDefault="004C63B0">
      <w:pPr>
        <w:pStyle w:val="HEADER3NOTES"/>
        <w:rPr>
          <w:noProof/>
        </w:rPr>
      </w:pPr>
      <w:r>
        <w:rPr>
          <w:noProof/>
        </w:rPr>
        <w:t>Financial guarantee liabilities</w:t>
      </w:r>
    </w:p>
    <w:p w:rsidR="00135552" w:rsidRDefault="004C63B0">
      <w:pPr>
        <w:pStyle w:val="DGTextstand-alone"/>
      </w:pPr>
      <w:r>
        <w:t>The EFSI guarantee on the debt portfolio disbursed by the EIB under the EFSI Innovation and Infrastructure window (IIW), as well as the External Lending Mandate (ELM) guarantee for the EIB loans disbursed under the EIB Resilience Initiative (ERI) are class</w:t>
      </w:r>
      <w:r>
        <w:t>ified as a financial guarantee liability. At 31 December 2019, the EFSI financial guarantee liability totals EUR zero (2018: EUR zero), as the revenues to be received under this guarantee exceed expected losses, while the ELM ERI financial guarantee liabil</w:t>
      </w:r>
      <w:r>
        <w:t xml:space="preserve">ity amounts to EUR 20 million (see note </w:t>
      </w:r>
      <w:r>
        <w:rPr>
          <w:b/>
        </w:rPr>
        <w:t>4.1.1</w:t>
      </w:r>
      <w:r>
        <w:t>).</w:t>
      </w:r>
    </w:p>
    <w:bookmarkEnd w:id="92"/>
    <w:p w:rsidR="00135552" w:rsidRDefault="00135552">
      <w:pPr>
        <w:pStyle w:val="DGTextstand-alone"/>
      </w:pPr>
    </w:p>
    <w:p w:rsidR="00135552" w:rsidRDefault="00135552">
      <w:pPr>
        <w:pStyle w:val="DGTextstand-alone"/>
        <w:sectPr w:rsidR="00135552">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p>
    <w:p w:rsidR="00135552" w:rsidRDefault="004C63B0">
      <w:pPr>
        <w:rPr>
          <w:rFonts w:ascii="Verdana" w:hAnsi="Verdana"/>
          <w:b/>
          <w:noProof/>
          <w:color w:val="016794"/>
          <w:sz w:val="28"/>
          <w:szCs w:val="28"/>
        </w:rPr>
      </w:pPr>
      <w:bookmarkStart w:id="101" w:name="_DMBM_17137"/>
      <w:r>
        <w:rPr>
          <w:noProof/>
        </w:rPr>
        <w:br w:type="page"/>
      </w:r>
    </w:p>
    <w:p w:rsidR="00135552" w:rsidRDefault="004C63B0">
      <w:pPr>
        <w:pStyle w:val="HEADER2NOTES"/>
        <w:rPr>
          <w:noProof/>
          <w:lang w:val="fr-BE"/>
        </w:rPr>
      </w:pPr>
      <w:r>
        <w:rPr>
          <w:noProof/>
          <w:lang w:val="fr-BE"/>
        </w:rPr>
        <w:t>PAYABLES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179"/>
        <w:gridCol w:w="1179"/>
        <w:gridCol w:w="1278"/>
        <w:gridCol w:w="1179"/>
        <w:gridCol w:w="1179"/>
        <w:gridCol w:w="1278"/>
      </w:tblGrid>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lang w:bidi="en-GB"/>
              </w:rPr>
            </w:pPr>
            <w:bookmarkStart w:id="102" w:name="DOC_TBL00054_1_1"/>
            <w:bookmarkEnd w:id="102"/>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0BIPPAYAB"/>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48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0BIPPAYAB"/>
              <w:jc w:val="right"/>
              <w:rPr>
                <w:rFonts w:ascii="Verdana" w:eastAsia="Verdana" w:hAnsi="Verdana" w:cs="Verdana"/>
                <w:noProof/>
                <w:color w:val="FFFFFF"/>
                <w:sz w:val="16"/>
              </w:rPr>
            </w:pP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rPr>
            </w:pPr>
            <w:r>
              <w:rPr>
                <w:rFonts w:ascii="Verdana" w:eastAsia="Verdana" w:hAnsi="Verdana" w:cs="Verdana"/>
                <w:noProof/>
                <w:color w:val="FFFFFF"/>
                <w:sz w:val="16"/>
              </w:rPr>
              <w:t>Gross Amount</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rPr>
            </w:pPr>
            <w:r>
              <w:rPr>
                <w:rFonts w:ascii="Verdana" w:eastAsia="Verdana" w:hAnsi="Verdana" w:cs="Verdana"/>
                <w:noProof/>
                <w:color w:val="FFFFFF"/>
                <w:sz w:val="16"/>
              </w:rPr>
              <w:t>Adjustments</w:t>
            </w:r>
          </w:p>
        </w:tc>
        <w:tc>
          <w:tcPr>
            <w:tcW w:w="12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rPr>
            </w:pPr>
            <w:r>
              <w:rPr>
                <w:rFonts w:ascii="Verdana" w:eastAsia="Verdana" w:hAnsi="Verdana" w:cs="Verdana"/>
                <w:noProof/>
                <w:color w:val="FFFFFF"/>
                <w:sz w:val="16"/>
              </w:rPr>
              <w:t>Net Amount at 31.12.2019</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rPr>
            </w:pPr>
            <w:r>
              <w:rPr>
                <w:rFonts w:ascii="Verdana" w:eastAsia="Verdana" w:hAnsi="Verdana" w:cs="Verdana"/>
                <w:noProof/>
                <w:color w:val="FFFFFF"/>
                <w:sz w:val="16"/>
              </w:rPr>
              <w:t>Gross Amount</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rPr>
            </w:pPr>
            <w:r>
              <w:rPr>
                <w:rFonts w:ascii="Verdana" w:eastAsia="Verdana" w:hAnsi="Verdana" w:cs="Verdana"/>
                <w:noProof/>
                <w:color w:val="FFFFFF"/>
                <w:sz w:val="16"/>
              </w:rPr>
              <w:t>Adjustments</w:t>
            </w:r>
          </w:p>
        </w:tc>
        <w:tc>
          <w:tcPr>
            <w:tcW w:w="12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0BIPPAYAB"/>
              <w:jc w:val="right"/>
              <w:rPr>
                <w:rFonts w:ascii="Verdana" w:eastAsia="Verdana" w:hAnsi="Verdana" w:cs="Verdana"/>
                <w:noProof/>
                <w:color w:val="FFFFFF"/>
                <w:sz w:val="16"/>
                <w:lang w:bidi="en-GB"/>
              </w:rPr>
            </w:pPr>
            <w:r>
              <w:rPr>
                <w:rFonts w:ascii="Verdana" w:eastAsia="Verdana" w:hAnsi="Verdana" w:cs="Verdana"/>
                <w:noProof/>
                <w:color w:val="FFFFFF"/>
                <w:sz w:val="16"/>
              </w:rPr>
              <w:t>Net</w:t>
            </w:r>
            <w:r>
              <w:rPr>
                <w:rFonts w:ascii="Verdana" w:eastAsia="Verdana" w:hAnsi="Verdana" w:cs="Verdana"/>
                <w:noProof/>
                <w:color w:val="FFFFFF"/>
                <w:sz w:val="16"/>
              </w:rPr>
              <w:t xml:space="preserve"> Amount at 31.12.2018</w:t>
            </w: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Cost claims and invoices received from:</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lang w:bidi="en-GB"/>
              </w:rPr>
            </w:pP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16794"/>
                <w:sz w:val="16"/>
              </w:rPr>
            </w:pPr>
            <w:r>
              <w:rPr>
                <w:rFonts w:ascii="Verdana" w:eastAsia="Verdana" w:hAnsi="Verdana" w:cs="Verdana"/>
                <w:i/>
                <w:noProof/>
                <w:color w:val="016794"/>
                <w:sz w:val="16"/>
              </w:rPr>
              <w:t>Member States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lang w:bidi="en-GB"/>
              </w:rPr>
            </w:pP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00000"/>
                <w:sz w:val="16"/>
              </w:rPr>
            </w:pPr>
            <w:r>
              <w:rPr>
                <w:rFonts w:ascii="Verdana" w:eastAsia="Verdana" w:hAnsi="Verdana" w:cs="Verdana"/>
                <w:i/>
                <w:noProof/>
                <w:color w:val="000000"/>
                <w:sz w:val="16"/>
              </w:rPr>
              <w:t>EAFRD &amp; other rural development instruments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FFFFFF"/>
                <w:sz w:val="16"/>
              </w:rPr>
            </w:pPr>
            <w:r>
              <w:rPr>
                <w:rFonts w:ascii="Verdana" w:eastAsia="Verdana" w:hAnsi="Verdana" w:cs="Verdana"/>
                <w:i/>
                <w:noProof/>
                <w:color w:val="FFFFFF"/>
                <w:sz w:val="16"/>
              </w:rPr>
              <w:t xml:space="preserve"> (0)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247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FFFFFF"/>
                <w:sz w:val="16"/>
              </w:rPr>
            </w:pPr>
            <w:r>
              <w:rPr>
                <w:rFonts w:ascii="Verdana" w:eastAsia="Verdana" w:hAnsi="Verdana" w:cs="Verdana"/>
                <w:i/>
                <w:noProof/>
                <w:color w:val="FFFFFF"/>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247</w:t>
            </w: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00000"/>
                <w:sz w:val="16"/>
              </w:rPr>
            </w:pPr>
            <w:r>
              <w:rPr>
                <w:rFonts w:ascii="Verdana" w:eastAsia="Verdana" w:hAnsi="Verdana" w:cs="Verdana"/>
                <w:i/>
                <w:noProof/>
                <w:color w:val="000000"/>
                <w:sz w:val="16"/>
              </w:rPr>
              <w:t>ERDF &amp; CF</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8 068</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(2 437)</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5 631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10 761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(1 724)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lang w:bidi="en-GB"/>
              </w:rPr>
            </w:pPr>
            <w:r>
              <w:rPr>
                <w:rFonts w:ascii="Verdana" w:eastAsia="Verdana" w:hAnsi="Verdana" w:cs="Verdana"/>
                <w:i/>
                <w:noProof/>
                <w:color w:val="000000"/>
                <w:sz w:val="16"/>
              </w:rPr>
              <w:t>9 037</w:t>
            </w: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00000"/>
                <w:sz w:val="16"/>
              </w:rPr>
            </w:pPr>
            <w:r>
              <w:rPr>
                <w:rFonts w:ascii="Verdana" w:eastAsia="Verdana" w:hAnsi="Verdana" w:cs="Verdana"/>
                <w:i/>
                <w:noProof/>
                <w:color w:val="000000"/>
                <w:sz w:val="16"/>
              </w:rPr>
              <w:t>ESF</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2 882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(558)</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2 325</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5 195</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(496)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lang w:bidi="en-GB"/>
              </w:rPr>
            </w:pPr>
            <w:r>
              <w:rPr>
                <w:rFonts w:ascii="Verdana" w:eastAsia="Verdana" w:hAnsi="Verdana" w:cs="Verdana"/>
                <w:i/>
                <w:noProof/>
                <w:color w:val="000000"/>
                <w:sz w:val="16"/>
              </w:rPr>
              <w:t>4 699</w:t>
            </w: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00000"/>
                <w:sz w:val="16"/>
              </w:rPr>
            </w:pPr>
            <w:r>
              <w:rPr>
                <w:rFonts w:ascii="Verdana" w:eastAsia="Verdana" w:hAnsi="Verdana" w:cs="Verdana"/>
                <w:i/>
                <w:noProof/>
                <w:color w:val="000000"/>
                <w:sz w:val="16"/>
              </w:rPr>
              <w:t>Other</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852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(45)</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807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632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rPr>
            </w:pPr>
            <w:r>
              <w:rPr>
                <w:rFonts w:ascii="Verdana" w:eastAsia="Verdana" w:hAnsi="Verdana" w:cs="Verdana"/>
                <w:i/>
                <w:noProof/>
                <w:color w:val="000000"/>
                <w:sz w:val="16"/>
              </w:rPr>
              <w:t xml:space="preserve"> (75)</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557</w:t>
            </w:r>
          </w:p>
        </w:tc>
      </w:tr>
      <w:tr w:rsidR="00135552">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i/>
                <w:noProof/>
                <w:color w:val="016794"/>
                <w:sz w:val="16"/>
              </w:rPr>
            </w:pPr>
            <w:r>
              <w:rPr>
                <w:rFonts w:ascii="Verdana" w:eastAsia="Verdana" w:hAnsi="Verdana" w:cs="Verdana"/>
                <w:i/>
                <w:noProof/>
                <w:color w:val="016794"/>
                <w:sz w:val="16"/>
              </w:rPr>
              <w:t>Private and public entities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rPr>
            </w:pPr>
            <w:r>
              <w:rPr>
                <w:rFonts w:ascii="Verdana" w:eastAsia="Verdana" w:hAnsi="Verdana" w:cs="Verdana"/>
                <w:i/>
                <w:noProof/>
                <w:color w:val="016794"/>
                <w:sz w:val="16"/>
              </w:rPr>
              <w:t>1 562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rPr>
            </w:pPr>
            <w:r>
              <w:rPr>
                <w:rFonts w:ascii="Verdana" w:eastAsia="Verdana" w:hAnsi="Verdana" w:cs="Verdana"/>
                <w:i/>
                <w:noProof/>
                <w:color w:val="016794"/>
                <w:sz w:val="16"/>
              </w:rPr>
              <w:t xml:space="preserve"> (180)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rPr>
            </w:pPr>
            <w:r>
              <w:rPr>
                <w:rFonts w:ascii="Verdana" w:eastAsia="Verdana" w:hAnsi="Verdana" w:cs="Verdana"/>
                <w:i/>
                <w:noProof/>
                <w:color w:val="016794"/>
                <w:sz w:val="16"/>
              </w:rPr>
              <w:t>1 381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rPr>
            </w:pPr>
            <w:r>
              <w:rPr>
                <w:rFonts w:ascii="Verdana" w:eastAsia="Verdana" w:hAnsi="Verdana" w:cs="Verdana"/>
                <w:i/>
                <w:noProof/>
                <w:color w:val="016794"/>
                <w:sz w:val="16"/>
              </w:rPr>
              <w:t>1 461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rPr>
            </w:pPr>
            <w:r>
              <w:rPr>
                <w:rFonts w:ascii="Verdana" w:eastAsia="Verdana" w:hAnsi="Verdana" w:cs="Verdana"/>
                <w:i/>
                <w:noProof/>
                <w:color w:val="016794"/>
                <w:sz w:val="16"/>
              </w:rPr>
              <w:t xml:space="preserve"> (179)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i/>
                <w:noProof/>
                <w:color w:val="016794"/>
                <w:sz w:val="16"/>
                <w:lang w:bidi="en-GB"/>
              </w:rPr>
            </w:pPr>
            <w:r>
              <w:rPr>
                <w:rFonts w:ascii="Verdana" w:eastAsia="Verdana" w:hAnsi="Verdana" w:cs="Verdana"/>
                <w:i/>
                <w:noProof/>
                <w:color w:val="016794"/>
                <w:sz w:val="16"/>
              </w:rPr>
              <w:t>1 282</w:t>
            </w:r>
          </w:p>
        </w:tc>
      </w:tr>
      <w:tr w:rsidR="00135552">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Total cost claims and invoices received</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13 384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(3 220)</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10 165</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18 296</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(2 475)</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lang w:bidi="en-GB"/>
              </w:rPr>
            </w:pPr>
            <w:r>
              <w:rPr>
                <w:rFonts w:ascii="Verdana" w:eastAsia="Verdana" w:hAnsi="Verdana" w:cs="Verdana"/>
                <w:b/>
                <w:noProof/>
                <w:color w:val="000000"/>
                <w:sz w:val="16"/>
              </w:rPr>
              <w:t>15 821</w:t>
            </w:r>
          </w:p>
        </w:tc>
      </w:tr>
      <w:tr w:rsidR="00135552">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EAGF</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14 772</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lang w:bidi="en-GB"/>
              </w:rPr>
            </w:pPr>
            <w:r>
              <w:rPr>
                <w:rFonts w:ascii="Verdana" w:eastAsia="Verdana" w:hAnsi="Verdana" w:cs="Verdana"/>
                <w:b/>
                <w:noProof/>
                <w:color w:val="000000"/>
                <w:sz w:val="16"/>
              </w:rPr>
              <w:t>14 772</w:t>
            </w:r>
          </w:p>
        </w:tc>
      </w:tr>
      <w:tr w:rsidR="00135552">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Own resources payables</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135552">
            <w:pPr>
              <w:pStyle w:val="DMETW17220BIPPAYAB"/>
              <w:jc w:val="right"/>
              <w:rPr>
                <w:rFonts w:ascii="Verdana" w:eastAsia="Verdana" w:hAnsi="Verdana" w:cs="Verdana"/>
                <w:b/>
                <w:noProof/>
                <w:color w:val="000000"/>
                <w:sz w:val="16"/>
              </w:rPr>
            </w:pP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769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lang w:bidi="en-GB"/>
              </w:rPr>
            </w:pPr>
            <w:r>
              <w:rPr>
                <w:rFonts w:ascii="Verdana" w:eastAsia="Verdana" w:hAnsi="Verdana" w:cs="Verdana"/>
                <w:b/>
                <w:noProof/>
                <w:color w:val="000000"/>
                <w:sz w:val="16"/>
              </w:rPr>
              <w:t xml:space="preserve"> 769</w:t>
            </w:r>
          </w:p>
        </w:tc>
      </w:tr>
      <w:tr w:rsidR="00135552">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Sundry payables</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570</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lang w:bidi="en-GB"/>
              </w:rPr>
            </w:pPr>
            <w:r>
              <w:rPr>
                <w:rFonts w:ascii="Verdana" w:eastAsia="Verdana" w:hAnsi="Verdana" w:cs="Verdana"/>
                <w:b/>
                <w:noProof/>
                <w:color w:val="000000"/>
                <w:sz w:val="16"/>
              </w:rPr>
              <w:t xml:space="preserve"> 570</w:t>
            </w:r>
          </w:p>
        </w:tc>
      </w:tr>
      <w:tr w:rsidR="00135552">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Other</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 xml:space="preserve"> 294</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lang w:bidi="en-GB"/>
              </w:rPr>
            </w:pPr>
            <w:r>
              <w:rPr>
                <w:rFonts w:ascii="Verdana" w:eastAsia="Verdana" w:hAnsi="Verdana" w:cs="Verdana"/>
                <w:b/>
                <w:noProof/>
                <w:color w:val="000000"/>
                <w:sz w:val="16"/>
              </w:rPr>
              <w:t xml:space="preserve"> 294</w:t>
            </w:r>
          </w:p>
        </w:tc>
      </w:tr>
      <w:tr w:rsidR="00135552">
        <w:trPr>
          <w:trHeight w:val="255"/>
        </w:trPr>
        <w:tc>
          <w:tcPr>
            <w:tcW w:w="24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rPr>
                <w:rFonts w:ascii="Verdana" w:eastAsia="Verdana" w:hAnsi="Verdana" w:cs="Verdana"/>
                <w:b/>
                <w:noProof/>
                <w:color w:val="000000"/>
                <w:sz w:val="16"/>
              </w:rPr>
            </w:pPr>
            <w:r>
              <w:rPr>
                <w:rFonts w:ascii="Verdana" w:eastAsia="Verdana" w:hAnsi="Verdana" w:cs="Verdana"/>
                <w:b/>
                <w:noProof/>
                <w:color w:val="000000"/>
                <w:sz w:val="16"/>
              </w:rPr>
              <w:t>Total</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30 462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(3 220)</w:t>
            </w:r>
          </w:p>
        </w:tc>
        <w:tc>
          <w:tcPr>
            <w:tcW w:w="1278"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27 241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34 701</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(2 475)</w:t>
            </w:r>
          </w:p>
        </w:tc>
        <w:tc>
          <w:tcPr>
            <w:tcW w:w="12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0BIPPAYAB"/>
              <w:jc w:val="right"/>
              <w:rPr>
                <w:rFonts w:ascii="Verdana" w:eastAsia="Verdana" w:hAnsi="Verdana" w:cs="Verdana"/>
                <w:b/>
                <w:noProof/>
                <w:color w:val="000000"/>
                <w:sz w:val="16"/>
              </w:rPr>
            </w:pPr>
            <w:r>
              <w:rPr>
                <w:rFonts w:ascii="Verdana" w:eastAsia="Verdana" w:hAnsi="Verdana" w:cs="Verdana"/>
                <w:b/>
                <w:noProof/>
                <w:color w:val="000000"/>
                <w:sz w:val="16"/>
              </w:rPr>
              <w:t>32 227</w:t>
            </w:r>
          </w:p>
        </w:tc>
      </w:tr>
    </w:tbl>
    <w:p w:rsidR="00135552" w:rsidRDefault="004C63B0">
      <w:pPr>
        <w:pStyle w:val="DGTextstand-alone"/>
      </w:pPr>
      <w:r>
        <w:t xml:space="preserve">Payables include invoices and cost claims received but not yet paid at year-end. They are initially </w:t>
      </w:r>
      <w:r>
        <w:t>recognised at the time of the reception of the invoices / cost claims for the requested amounts. The payables are subsequently adjusted to reflect only the amounts accepted following review of costs, and the amounts estimated to be eligible. The amounts es</w:t>
      </w:r>
      <w:r>
        <w:t>timated to be non-eligible are included in the column ‘Adjustments’; the largest amounts concern the structural actions.</w:t>
      </w:r>
    </w:p>
    <w:p w:rsidR="00135552" w:rsidRDefault="004C63B0">
      <w:pPr>
        <w:pStyle w:val="DGTextstand-alone"/>
      </w:pPr>
      <w:r>
        <w:t>In the 2014-2020 programming period, the Common Provisions Regulation (CPR) applicable to the Structural Funds (ERDF and ESF), Cohesion Fund and to the European Maritime and Fisheries Fund (EMFF) foresees that the EU budget is protected by means of a syste</w:t>
      </w:r>
      <w:r>
        <w:t>matic retention of 10 % of the interim payments made. By February following the end of the CPR accounting year (1 July - 30 June), the control cycle is complete both through management verifications by the managing authorities and audits by the audit autho</w:t>
      </w:r>
      <w:r>
        <w:t>rities. The Commission examines the assurance documents and the accounts provided by the relevant authorities in the Member States. The payment / recovery of the final balance is made only after this assessment is finalised and the accounts are accepted. T</w:t>
      </w:r>
      <w:r>
        <w:t>he amount retained according to this provision at end 2019 totalled EUR 7.6 billion. A part of this amount (EUR 2 billion) is estimated as being non-eligible on the basis of the information provided by the Member States in their accounts and is also includ</w:t>
      </w:r>
      <w:r>
        <w:t xml:space="preserve">ed in the column ‘Adjustments’. The final component of the adjustments to the payables is represented by the amounts corresponding to other advances to Member States (see note </w:t>
      </w:r>
      <w:r>
        <w:rPr>
          <w:b/>
        </w:rPr>
        <w:t>2.5.2</w:t>
      </w:r>
      <w:r>
        <w:t>) still to be paid at year-end (EUR 0.5 billion).</w:t>
      </w:r>
    </w:p>
    <w:p w:rsidR="00135552" w:rsidRDefault="004C63B0">
      <w:pPr>
        <w:pStyle w:val="DGTextstand-alone"/>
      </w:pPr>
      <w:r>
        <w:t>Payables concerning cohes</w:t>
      </w:r>
      <w:r>
        <w:t xml:space="preserve">ion policy (ERDF, CF, ESF) have decreased. The claims related to the period 2007-2013 have further decreased to EUR 1.9 billion (2018: EUR 3.5 billion), as the Commission has validated and paid the final cost claims submitted by the Member States for this </w:t>
      </w:r>
      <w:r>
        <w:t>period. At the same time, claims related to period 2014-2020 decreased to EUR 5.8 billion (2018: EUR 10 billion) as fewer cost claims were received for payment at 31 December compared to last year. The implementation of the programmes is however progressin</w:t>
      </w:r>
      <w:r>
        <w:t xml:space="preserve">g (see ERDF, CF expenses note </w:t>
      </w:r>
      <w:r>
        <w:rPr>
          <w:b/>
        </w:rPr>
        <w:t>3.9</w:t>
      </w:r>
      <w:r>
        <w:t xml:space="preserve">) as evidenced by the fact that the overall liabilities for ERDF, CF are stable – see increase in accrued charges note </w:t>
      </w:r>
      <w:r>
        <w:rPr>
          <w:b/>
        </w:rPr>
        <w:t>2.13</w:t>
      </w:r>
      <w:r>
        <w:t>.</w:t>
      </w:r>
    </w:p>
    <w:p w:rsidR="00135552" w:rsidRDefault="004C63B0">
      <w:pPr>
        <w:pStyle w:val="DGTextstand-alone"/>
      </w:pPr>
      <w:r>
        <w:t>The increase in EAGF payables relates to the repartition of the total EAGF liabilities between pay</w:t>
      </w:r>
      <w:r>
        <w:t>ables and accrued charges. The total EAGF liabilities remain stable at EUR 44 448 million against EUR 44 159 million last year. However, in 2019 the amounts already claimed by the Member States at the end of the year (accounted for as payable) are higher t</w:t>
      </w:r>
      <w:r>
        <w:t>han in 2018.</w:t>
      </w:r>
    </w:p>
    <w:p w:rsidR="00135552" w:rsidRDefault="004C63B0">
      <w:pPr>
        <w:pStyle w:val="HEADER5"/>
        <w:spacing w:before="240" w:after="120"/>
        <w:rPr>
          <w:noProof/>
        </w:rPr>
      </w:pPr>
      <w:r>
        <w:rPr>
          <w:noProof/>
        </w:rPr>
        <w:t>Requests for pre-financing</w:t>
      </w:r>
    </w:p>
    <w:p w:rsidR="00135552" w:rsidRDefault="004C63B0">
      <w:pPr>
        <w:pStyle w:val="DGTextstand-alone"/>
        <w:spacing w:after="0"/>
      </w:pPr>
      <w:r>
        <w:t>In addition to the above amounts, at the end of 2019, EUR 0.5 billion of requests for pre-financing have been received and were not yet paid at year-end. According to the EU accounting rules, these amounts are not bo</w:t>
      </w:r>
      <w:r>
        <w:t>oked as payables.</w:t>
      </w:r>
    </w:p>
    <w:p w:rsidR="00135552" w:rsidRDefault="004C63B0">
      <w:pPr>
        <w:rPr>
          <w:rFonts w:ascii="Verdana" w:hAnsi="Verdana"/>
          <w:noProof/>
          <w:color w:val="016794"/>
          <w:sz w:val="18"/>
          <w:szCs w:val="18"/>
        </w:rPr>
      </w:pPr>
      <w:r>
        <w:rPr>
          <w:noProof/>
        </w:rPr>
        <w:br w:type="page"/>
      </w:r>
    </w:p>
    <w:p w:rsidR="00135552" w:rsidRDefault="004C63B0">
      <w:pPr>
        <w:pStyle w:val="HEADER5"/>
        <w:spacing w:before="240" w:after="120"/>
        <w:rPr>
          <w:noProof/>
        </w:rPr>
      </w:pPr>
      <w:r>
        <w:rPr>
          <w:noProof/>
        </w:rPr>
        <w:t>Own Resources Payables</w:t>
      </w:r>
    </w:p>
    <w:p w:rsidR="00135552" w:rsidRDefault="004C63B0">
      <w:pPr>
        <w:pStyle w:val="DGTextstand-alone"/>
        <w:spacing w:before="0" w:after="0"/>
      </w:pPr>
      <w:r>
        <w:t xml:space="preserve">Own resources payables refer to Member States EU budget contributions to be reimbursed at year-end. Amending budgets are implemented according to Article 10(3) of Regulation no 609/2014. The amount on 31 December </w:t>
      </w:r>
      <w:r>
        <w:t xml:space="preserve">2018 was due to the adoption of the amending budget No 6/2018 adopted on 12 December 2018. According to this legal provision, the resulting amounts were returned to the Member States on the first working day of January 2019. This year there was no similar </w:t>
      </w:r>
      <w:r>
        <w:t>amending budget, thus no such payables.</w:t>
      </w:r>
      <w:bookmarkEnd w:id="101"/>
    </w:p>
    <w:p w:rsidR="00135552" w:rsidRDefault="00135552">
      <w:pPr>
        <w:pStyle w:val="DGTextstand-alone"/>
        <w:spacing w:before="0" w:after="0"/>
        <w:sectPr w:rsidR="00135552">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rsidR="00135552" w:rsidRDefault="004C63B0">
      <w:pPr>
        <w:pStyle w:val="HEADER2NOTES"/>
        <w:rPr>
          <w:noProof/>
          <w:lang w:val="fr-BE"/>
        </w:rPr>
      </w:pPr>
      <w:bookmarkStart w:id="103" w:name="_DMBM_17193"/>
      <w:r>
        <w:rPr>
          <w:noProof/>
          <w:lang w:val="fr-BE"/>
        </w:rPr>
        <w:t>ACCRUED CHARGES AND 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9BIPACDI"/>
              <w:rPr>
                <w:rFonts w:ascii="Arial" w:eastAsia="Arial" w:hAnsi="Arial" w:cs="Arial"/>
                <w:noProof/>
                <w:color w:val="000000"/>
                <w:lang w:bidi="en-GB"/>
              </w:rPr>
            </w:pPr>
            <w:bookmarkStart w:id="104" w:name="DOC_TBL00055_1_1"/>
            <w:bookmarkEnd w:id="104"/>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9BIPACDI"/>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9BIPACDI"/>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9BIPACDI"/>
              <w:jc w:val="right"/>
              <w:rPr>
                <w:rFonts w:ascii="Verdana" w:eastAsia="Verdana" w:hAnsi="Verdana" w:cs="Verdana"/>
                <w:noProof/>
                <w:color w:val="FFFFFF"/>
              </w:rPr>
            </w:pPr>
            <w:r>
              <w:rPr>
                <w:rFonts w:ascii="Verdana" w:eastAsia="Verdana" w:hAnsi="Verdana" w:cs="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9BIPACDI"/>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
              <w:rPr>
                <w:rFonts w:ascii="Verdana" w:eastAsia="Verdana" w:hAnsi="Verdana" w:cs="Verdana"/>
                <w:i/>
                <w:noProof/>
                <w:color w:val="000000"/>
                <w:sz w:val="18"/>
              </w:rPr>
            </w:pPr>
            <w:r>
              <w:rPr>
                <w:rFonts w:ascii="Verdana" w:eastAsia="Verdana" w:hAnsi="Verdana" w:cs="Verdana"/>
                <w:i/>
                <w:noProof/>
                <w:color w:val="000000"/>
                <w:sz w:val="18"/>
              </w:rPr>
              <w:t>Accrued charges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rPr>
            </w:pPr>
            <w:r>
              <w:rPr>
                <w:rFonts w:ascii="Verdana" w:eastAsia="Verdana" w:hAnsi="Verdana" w:cs="Verdana"/>
                <w:i/>
                <w:noProof/>
                <w:color w:val="000000"/>
                <w:sz w:val="18"/>
              </w:rPr>
              <w:t>66 860</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lang w:bidi="en-GB"/>
              </w:rPr>
            </w:pPr>
            <w:r>
              <w:rPr>
                <w:rFonts w:ascii="Verdana" w:eastAsia="Verdana" w:hAnsi="Verdana" w:cs="Verdana"/>
                <w:i/>
                <w:noProof/>
                <w:color w:val="000000"/>
                <w:sz w:val="18"/>
              </w:rPr>
              <w:t>62 877</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
              <w:rPr>
                <w:rFonts w:ascii="Verdana" w:eastAsia="Verdana" w:hAnsi="Verdana" w:cs="Verdana"/>
                <w:i/>
                <w:noProof/>
                <w:color w:val="000000"/>
                <w:sz w:val="18"/>
              </w:rPr>
            </w:pPr>
            <w:r>
              <w:rPr>
                <w:rFonts w:ascii="Verdana" w:eastAsia="Verdana" w:hAnsi="Verdana" w:cs="Verdana"/>
                <w:i/>
                <w:noProof/>
                <w:color w:val="000000"/>
                <w:sz w:val="18"/>
              </w:rPr>
              <w:t xml:space="preserve">Deferred </w:t>
            </w:r>
            <w:r>
              <w:rPr>
                <w:rFonts w:ascii="Verdana" w:eastAsia="Verdana" w:hAnsi="Verdana" w:cs="Verdana"/>
                <w:i/>
                <w:noProof/>
                <w:color w:val="000000"/>
                <w:sz w:val="18"/>
              </w:rPr>
              <w:t>income</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rPr>
            </w:pPr>
            <w:r>
              <w:rPr>
                <w:rFonts w:ascii="Verdana" w:eastAsia="Verdana" w:hAnsi="Verdana" w:cs="Verdana"/>
                <w:i/>
                <w:noProof/>
                <w:color w:val="000000"/>
                <w:sz w:val="18"/>
              </w:rPr>
              <w:t xml:space="preserve"> 251</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96</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
              <w:rPr>
                <w:rFonts w:ascii="Verdana" w:eastAsia="Verdana" w:hAnsi="Verdana" w:cs="Verdana"/>
                <w:i/>
                <w:noProof/>
                <w:color w:val="000000"/>
                <w:sz w:val="18"/>
              </w:rPr>
            </w:pPr>
            <w:r>
              <w:rPr>
                <w:rFonts w:ascii="Verdana" w:eastAsia="Verdana" w:hAnsi="Verdana" w:cs="Verdana"/>
                <w:i/>
                <w:noProof/>
                <w:color w:val="000000"/>
                <w:sz w:val="18"/>
              </w:rPr>
              <w:t>Other</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rPr>
            </w:pPr>
            <w:r>
              <w:rPr>
                <w:rFonts w:ascii="Verdana" w:eastAsia="Verdana" w:hAnsi="Verdana" w:cs="Verdana"/>
                <w:i/>
                <w:noProof/>
                <w:color w:val="000000"/>
                <w:sz w:val="18"/>
              </w:rPr>
              <w:t xml:space="preserve"> 116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213</w:t>
            </w:r>
          </w:p>
        </w:tc>
      </w:tr>
      <w:tr w:rsidR="00135552">
        <w:trPr>
          <w:trHeight w:val="255"/>
        </w:trPr>
        <w:tc>
          <w:tcPr>
            <w:tcW w:w="627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49BIPACDI"/>
              <w:rPr>
                <w:rFonts w:ascii="Verdana" w:eastAsia="Verdana" w:hAnsi="Verdana" w:cs="Verdana"/>
                <w:b/>
                <w:noProof/>
                <w:color w:val="000000"/>
                <w:sz w:val="18"/>
              </w:rPr>
            </w:pPr>
            <w:r>
              <w:rPr>
                <w:rFonts w:ascii="Verdana" w:eastAsia="Verdana" w:hAnsi="Verdana" w:cs="Verdana"/>
                <w:b/>
                <w:noProof/>
                <w:color w:val="000000"/>
                <w:sz w:val="18"/>
              </w:rPr>
              <w:t>Total</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9BIPACDI"/>
              <w:jc w:val="right"/>
              <w:rPr>
                <w:rFonts w:ascii="Verdana" w:eastAsia="Verdana" w:hAnsi="Verdana" w:cs="Verdana"/>
                <w:b/>
                <w:noProof/>
                <w:color w:val="000000"/>
                <w:sz w:val="18"/>
              </w:rPr>
            </w:pPr>
            <w:r>
              <w:rPr>
                <w:rFonts w:ascii="Verdana" w:eastAsia="Verdana" w:hAnsi="Verdana" w:cs="Verdana"/>
                <w:b/>
                <w:noProof/>
                <w:color w:val="000000"/>
                <w:sz w:val="18"/>
              </w:rPr>
              <w:t>67 227</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7249BIPACDI"/>
              <w:jc w:val="right"/>
              <w:rPr>
                <w:rFonts w:ascii="Verdana" w:eastAsia="Verdana" w:hAnsi="Verdana" w:cs="Verdana"/>
                <w:b/>
                <w:noProof/>
                <w:color w:val="000000"/>
                <w:sz w:val="18"/>
              </w:rPr>
            </w:pPr>
            <w:r>
              <w:rPr>
                <w:rFonts w:ascii="Verdana" w:eastAsia="Verdana" w:hAnsi="Verdana" w:cs="Verdana"/>
                <w:b/>
                <w:noProof/>
                <w:color w:val="000000"/>
                <w:sz w:val="18"/>
              </w:rPr>
              <w:t>63 186</w:t>
            </w:r>
          </w:p>
        </w:tc>
      </w:tr>
    </w:tbl>
    <w:p w:rsidR="00135552" w:rsidRDefault="004C63B0">
      <w:pPr>
        <w:pStyle w:val="DGTextstand-alone"/>
      </w:pPr>
      <w:r>
        <w:t>The split of accrued charges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9BIPACDISPLIT"/>
              <w:rPr>
                <w:rFonts w:ascii="Arial" w:eastAsia="Arial" w:hAnsi="Arial" w:cs="Arial"/>
                <w:noProof/>
                <w:color w:val="000000"/>
                <w:lang w:bidi="en-GB"/>
              </w:rPr>
            </w:pPr>
            <w:bookmarkStart w:id="105" w:name="DOC_TBL00056_1_1"/>
            <w:bookmarkEnd w:id="105"/>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49BIPACDISPLIT"/>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49BIPACDISPLIT"/>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9BIPACDISPLIT"/>
              <w:jc w:val="right"/>
              <w:rPr>
                <w:rFonts w:ascii="Verdana" w:eastAsia="Verdana" w:hAnsi="Verdana" w:cs="Verdana"/>
                <w:noProof/>
                <w:color w:val="FFFFFF"/>
              </w:rPr>
            </w:pPr>
            <w:r>
              <w:rPr>
                <w:rFonts w:ascii="Verdana" w:eastAsia="Verdana" w:hAnsi="Verdana" w:cs="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49BIPACDISPLIT"/>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i/>
                <w:noProof/>
                <w:color w:val="000000"/>
                <w:sz w:val="18"/>
              </w:rPr>
            </w:pPr>
            <w:r>
              <w:rPr>
                <w:rFonts w:ascii="Verdana" w:eastAsia="Verdana" w:hAnsi="Verdana" w:cs="Verdana"/>
                <w:i/>
                <w:noProof/>
                <w:color w:val="000000"/>
                <w:sz w:val="18"/>
              </w:rPr>
              <w:t>EAGF</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rPr>
            </w:pPr>
            <w:r>
              <w:rPr>
                <w:rFonts w:ascii="Verdana" w:eastAsia="Verdana" w:hAnsi="Verdana" w:cs="Verdana"/>
                <w:i/>
                <w:noProof/>
                <w:color w:val="000000"/>
                <w:sz w:val="18"/>
              </w:rPr>
              <w:t>28 193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lang w:bidi="en-GB"/>
              </w:rPr>
            </w:pPr>
            <w:r>
              <w:rPr>
                <w:rFonts w:ascii="Verdana" w:eastAsia="Verdana" w:hAnsi="Verdana" w:cs="Verdana"/>
                <w:i/>
                <w:noProof/>
                <w:color w:val="000000"/>
                <w:sz w:val="18"/>
              </w:rPr>
              <w:t>29 387</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i/>
                <w:noProof/>
                <w:color w:val="000000"/>
                <w:sz w:val="18"/>
              </w:rPr>
            </w:pPr>
            <w:r>
              <w:rPr>
                <w:rFonts w:ascii="Verdana" w:eastAsia="Verdana" w:hAnsi="Verdana" w:cs="Verdana"/>
                <w:i/>
                <w:noProof/>
                <w:color w:val="000000"/>
                <w:sz w:val="18"/>
              </w:rPr>
              <w:t>EAFRD and other rural development instruments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rPr>
            </w:pPr>
            <w:r>
              <w:rPr>
                <w:rFonts w:ascii="Verdana" w:eastAsia="Verdana" w:hAnsi="Verdana" w:cs="Verdana"/>
                <w:i/>
                <w:noProof/>
                <w:color w:val="000000"/>
                <w:sz w:val="18"/>
              </w:rPr>
              <w:t>18 583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lang w:bidi="en-GB"/>
              </w:rPr>
            </w:pPr>
            <w:r>
              <w:rPr>
                <w:rFonts w:ascii="Verdana" w:eastAsia="Verdana" w:hAnsi="Verdana" w:cs="Verdana"/>
                <w:i/>
                <w:noProof/>
                <w:color w:val="000000"/>
                <w:sz w:val="18"/>
              </w:rPr>
              <w:t>18 687</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i/>
                <w:noProof/>
                <w:color w:val="000000"/>
                <w:sz w:val="18"/>
              </w:rPr>
            </w:pPr>
            <w:r>
              <w:rPr>
                <w:rFonts w:ascii="Verdana" w:eastAsia="Verdana" w:hAnsi="Verdana" w:cs="Verdana"/>
                <w:i/>
                <w:noProof/>
                <w:color w:val="000000"/>
                <w:sz w:val="18"/>
              </w:rPr>
              <w:t>ERDF and CF</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rPr>
            </w:pPr>
            <w:r>
              <w:rPr>
                <w:rFonts w:ascii="Verdana" w:eastAsia="Verdana" w:hAnsi="Verdana" w:cs="Verdana"/>
                <w:i/>
                <w:noProof/>
                <w:color w:val="000000"/>
                <w:sz w:val="18"/>
              </w:rPr>
              <w:t>9 525</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lang w:bidi="en-GB"/>
              </w:rPr>
            </w:pPr>
            <w:r>
              <w:rPr>
                <w:rFonts w:ascii="Verdana" w:eastAsia="Verdana" w:hAnsi="Verdana" w:cs="Verdana"/>
                <w:i/>
                <w:noProof/>
                <w:color w:val="000000"/>
                <w:sz w:val="18"/>
              </w:rPr>
              <w:t>5 863</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i/>
                <w:noProof/>
                <w:color w:val="000000"/>
                <w:sz w:val="18"/>
              </w:rPr>
            </w:pPr>
            <w:r>
              <w:rPr>
                <w:rFonts w:ascii="Verdana" w:eastAsia="Verdana" w:hAnsi="Verdana" w:cs="Verdana"/>
                <w:i/>
                <w:noProof/>
                <w:color w:val="000000"/>
                <w:sz w:val="18"/>
              </w:rPr>
              <w:t>ESF</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rPr>
            </w:pPr>
            <w:r>
              <w:rPr>
                <w:rFonts w:ascii="Verdana" w:eastAsia="Verdana" w:hAnsi="Verdana" w:cs="Verdana"/>
                <w:i/>
                <w:noProof/>
                <w:color w:val="000000"/>
                <w:sz w:val="18"/>
              </w:rPr>
              <w:t>3 016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2 </w:t>
            </w:r>
            <w:r>
              <w:rPr>
                <w:rFonts w:ascii="Verdana" w:eastAsia="Verdana" w:hAnsi="Verdana" w:cs="Verdana"/>
                <w:i/>
                <w:noProof/>
                <w:color w:val="000000"/>
                <w:sz w:val="18"/>
              </w:rPr>
              <w:t>321</w:t>
            </w:r>
          </w:p>
        </w:tc>
      </w:tr>
      <w:tr w:rsidR="00135552">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i/>
                <w:noProof/>
                <w:color w:val="000000"/>
                <w:sz w:val="18"/>
              </w:rPr>
            </w:pPr>
            <w:r>
              <w:rPr>
                <w:rFonts w:ascii="Verdana" w:eastAsia="Verdana" w:hAnsi="Verdana" w:cs="Verdana"/>
                <w:i/>
                <w:noProof/>
                <w:color w:val="000000"/>
                <w:sz w:val="18"/>
              </w:rPr>
              <w:t>Other</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rPr>
            </w:pPr>
            <w:r>
              <w:rPr>
                <w:rFonts w:ascii="Verdana" w:eastAsia="Verdana" w:hAnsi="Verdana" w:cs="Verdana"/>
                <w:i/>
                <w:noProof/>
                <w:color w:val="000000"/>
                <w:sz w:val="18"/>
              </w:rPr>
              <w:t>7 542</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i/>
                <w:noProof/>
                <w:color w:val="000000"/>
                <w:sz w:val="18"/>
                <w:lang w:bidi="en-GB"/>
              </w:rPr>
            </w:pPr>
            <w:r>
              <w:rPr>
                <w:rFonts w:ascii="Verdana" w:eastAsia="Verdana" w:hAnsi="Verdana" w:cs="Verdana"/>
                <w:i/>
                <w:noProof/>
                <w:color w:val="000000"/>
                <w:sz w:val="18"/>
              </w:rPr>
              <w:t>6 619</w:t>
            </w:r>
          </w:p>
        </w:tc>
      </w:tr>
      <w:tr w:rsidR="00135552">
        <w:trPr>
          <w:trHeight w:val="255"/>
        </w:trPr>
        <w:tc>
          <w:tcPr>
            <w:tcW w:w="62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49BIPACDISPLIT"/>
              <w:rPr>
                <w:rFonts w:ascii="Verdana" w:eastAsia="Verdana" w:hAnsi="Verdana" w:cs="Verdana"/>
                <w:b/>
                <w:noProof/>
                <w:color w:val="000000"/>
                <w:sz w:val="18"/>
              </w:rPr>
            </w:pPr>
            <w:r>
              <w:rPr>
                <w:rFonts w:ascii="Verdana" w:eastAsia="Verdana" w:hAnsi="Verdana" w:cs="Verdana"/>
                <w:b/>
                <w:noProof/>
                <w:color w:val="000000"/>
                <w:sz w:val="18"/>
              </w:rPr>
              <w:t>Total</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b/>
                <w:noProof/>
                <w:color w:val="000000"/>
                <w:sz w:val="18"/>
              </w:rPr>
            </w:pPr>
            <w:r>
              <w:rPr>
                <w:rFonts w:ascii="Verdana" w:eastAsia="Verdana" w:hAnsi="Verdana" w:cs="Verdana"/>
                <w:b/>
                <w:noProof/>
                <w:color w:val="000000"/>
                <w:sz w:val="18"/>
              </w:rPr>
              <w:t>66 860</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135552" w:rsidRDefault="004C63B0">
            <w:pPr>
              <w:pStyle w:val="DMETW17249BIPACDISPLIT"/>
              <w:jc w:val="right"/>
              <w:rPr>
                <w:rFonts w:ascii="Verdana" w:eastAsia="Verdana" w:hAnsi="Verdana" w:cs="Verdana"/>
                <w:b/>
                <w:noProof/>
                <w:color w:val="000000"/>
                <w:sz w:val="18"/>
              </w:rPr>
            </w:pPr>
            <w:r>
              <w:rPr>
                <w:rFonts w:ascii="Verdana" w:eastAsia="Verdana" w:hAnsi="Verdana" w:cs="Verdana"/>
                <w:b/>
                <w:noProof/>
                <w:color w:val="000000"/>
                <w:sz w:val="18"/>
              </w:rPr>
              <w:t>62 877</w:t>
            </w:r>
          </w:p>
        </w:tc>
      </w:tr>
    </w:tbl>
    <w:p w:rsidR="00135552" w:rsidRDefault="004C63B0">
      <w:pPr>
        <w:pStyle w:val="DGTextstand-alone"/>
        <w:spacing w:after="0"/>
      </w:pPr>
      <w:r>
        <w:t>Accrued charges refer to recognised expenses for which the Commission has still to receive cost claims. For cohesion policy, the increase for ERDF &amp; CF accrued charges (as the programmes are being further implemented) offsets the decrease in payables, thus</w:t>
      </w:r>
      <w:r>
        <w:t xml:space="preserve"> resulting in a stable amount of the overall liability towards the Member States (EUR 15 156 million, compared to EUR 14 900 million in the previous year). For ESF, the total liability has decreased to EUR 5 341 million (2018: EUR 7 020 million) following </w:t>
      </w:r>
      <w:r>
        <w:t xml:space="preserve">the trend in the ESF expenses. For the decrease in EAGF see note </w:t>
      </w:r>
      <w:r>
        <w:rPr>
          <w:b/>
        </w:rPr>
        <w:t>2.12</w:t>
      </w:r>
      <w:r>
        <w:t xml:space="preserve"> above.</w:t>
      </w:r>
      <w:bookmarkEnd w:id="103"/>
    </w:p>
    <w:p w:rsidR="00135552" w:rsidRDefault="00135552">
      <w:pPr>
        <w:pStyle w:val="DGTextstand-alone"/>
        <w:spacing w:after="0"/>
      </w:pPr>
    </w:p>
    <w:p w:rsidR="00135552" w:rsidRDefault="00135552">
      <w:pPr>
        <w:pStyle w:val="DGTextstand-alone"/>
        <w:spacing w:after="0"/>
        <w:sectPr w:rsidR="00135552">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p>
    <w:p w:rsidR="00135552" w:rsidRDefault="004C63B0">
      <w:pPr>
        <w:pStyle w:val="HEADERTABLE"/>
        <w:rPr>
          <w:noProof/>
          <w:lang w:val="fr-BE"/>
        </w:rPr>
      </w:pPr>
      <w:bookmarkStart w:id="106" w:name="_DMBM_17149"/>
      <w:r>
        <w:rPr>
          <w:noProof/>
          <w:lang w:val="fr-BE"/>
        </w:rPr>
        <w:t>NET ASSETS</w:t>
      </w:r>
    </w:p>
    <w:p w:rsidR="00135552" w:rsidRDefault="004C63B0">
      <w:pPr>
        <w:pStyle w:val="HEADER2NOTES"/>
        <w:rPr>
          <w:noProof/>
          <w:lang w:val="fr-BE"/>
        </w:rPr>
      </w:pPr>
      <w:r>
        <w:rPr>
          <w:noProof/>
          <w:lang w:val="fr-BE"/>
        </w:rPr>
        <w:t>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26"/>
        <w:gridCol w:w="1827"/>
        <w:gridCol w:w="1827"/>
      </w:tblGrid>
      <w:tr w:rsidR="00135552">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RES"/>
              <w:jc w:val="right"/>
              <w:rPr>
                <w:rFonts w:ascii="Verdana" w:eastAsia="Times New Roman" w:hAnsi="Verdana" w:cs="Verdana"/>
                <w:i/>
                <w:noProof/>
                <w:color w:val="000000"/>
                <w:sz w:val="16"/>
              </w:rPr>
            </w:pPr>
            <w:bookmarkStart w:id="107" w:name="DOC_TBL00057_1_1"/>
            <w:bookmarkEnd w:id="107"/>
          </w:p>
        </w:tc>
        <w:tc>
          <w:tcPr>
            <w:tcW w:w="1826"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4C63B0">
            <w:pPr>
              <w:pStyle w:val="DMETW17250BIPRES"/>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rsidR="00135552">
        <w:trPr>
          <w:trHeight w:val="255"/>
        </w:trPr>
        <w:tc>
          <w:tcPr>
            <w:tcW w:w="4278"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135552">
            <w:pPr>
              <w:pStyle w:val="DMETW17250BIPRES"/>
              <w:rPr>
                <w:rFonts w:ascii="Verdana" w:eastAsia="Times New Roman" w:hAnsi="Verdana" w:cs="Verdana"/>
                <w:noProof/>
                <w:color w:val="FFFFFF"/>
              </w:rPr>
            </w:pPr>
          </w:p>
        </w:tc>
        <w:tc>
          <w:tcPr>
            <w:tcW w:w="1826"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4C63B0">
            <w:pPr>
              <w:pStyle w:val="DMETW17250BIPRES"/>
              <w:jc w:val="center"/>
              <w:rPr>
                <w:rFonts w:ascii="Verdana" w:eastAsia="Times New Roman" w:hAnsi="Verdana" w:cs="Verdana"/>
                <w:noProof/>
                <w:color w:val="FFFFFF"/>
              </w:rPr>
            </w:pPr>
            <w:r>
              <w:rPr>
                <w:rFonts w:ascii="Verdana" w:eastAsia="Times New Roman" w:hAnsi="Verdana" w:cs="Verdana"/>
                <w:noProof/>
                <w:color w:val="FFFFFF"/>
              </w:rPr>
              <w:t>Note</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noProof/>
                <w:color w:val="FFFFFF"/>
              </w:rPr>
            </w:pPr>
            <w:r>
              <w:rPr>
                <w:rFonts w:ascii="Verdana" w:eastAsia="Times New Roman" w:hAnsi="Verdana" w:cs="Verdana"/>
                <w:noProof/>
                <w:color w:val="FFFFFF"/>
              </w:rPr>
              <w:t>31.12.2018</w:t>
            </w:r>
          </w:p>
        </w:tc>
      </w:tr>
      <w:tr w:rsidR="00135552">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rPr>
                <w:rFonts w:ascii="Verdana" w:eastAsia="Times New Roman" w:hAnsi="Verdana" w:cs="Verdana"/>
                <w:i/>
                <w:noProof/>
                <w:color w:val="000000"/>
                <w:sz w:val="18"/>
              </w:rPr>
            </w:pPr>
            <w:r>
              <w:rPr>
                <w:rFonts w:ascii="Verdana" w:eastAsia="Times New Roman" w:hAnsi="Verdana" w:cs="Verdana"/>
                <w:i/>
                <w:noProof/>
                <w:color w:val="000000"/>
                <w:sz w:val="18"/>
              </w:rPr>
              <w:t xml:space="preserve">Fair value </w:t>
            </w:r>
            <w:r>
              <w:rPr>
                <w:rFonts w:ascii="Verdana" w:eastAsia="Times New Roman" w:hAnsi="Verdana" w:cs="Verdana"/>
                <w:i/>
                <w:noProof/>
                <w:color w:val="000000"/>
                <w:sz w:val="18"/>
              </w:rPr>
              <w:t>reserve</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center"/>
              <w:rPr>
                <w:rFonts w:ascii="Verdana" w:eastAsia="Times New Roman" w:hAnsi="Verdana" w:cs="Verdana"/>
                <w:i/>
                <w:noProof/>
                <w:color w:val="000000"/>
                <w:sz w:val="18"/>
              </w:rPr>
            </w:pPr>
            <w:r>
              <w:rPr>
                <w:rFonts w:ascii="Verdana" w:eastAsia="Times New Roman" w:hAnsi="Verdana" w:cs="Verdana"/>
                <w:i/>
                <w:noProof/>
                <w:color w:val="000000"/>
                <w:sz w:val="18"/>
              </w:rPr>
              <w:t>2.14.1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391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231</w:t>
            </w:r>
          </w:p>
        </w:tc>
      </w:tr>
      <w:tr w:rsidR="00135552">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rPr>
                <w:rFonts w:ascii="Verdana" w:eastAsia="Times New Roman" w:hAnsi="Verdana" w:cs="Verdana"/>
                <w:i/>
                <w:noProof/>
                <w:color w:val="000000"/>
                <w:sz w:val="18"/>
              </w:rPr>
            </w:pPr>
            <w:r>
              <w:rPr>
                <w:rFonts w:ascii="Verdana" w:eastAsia="Times New Roman" w:hAnsi="Verdana" w:cs="Verdana"/>
                <w:i/>
                <w:noProof/>
                <w:color w:val="000000"/>
                <w:sz w:val="18"/>
              </w:rPr>
              <w:t>Guarantee Fund reserve</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center"/>
              <w:rPr>
                <w:rFonts w:ascii="Verdana" w:eastAsia="Times New Roman" w:hAnsi="Verdana" w:cs="Verdana"/>
                <w:i/>
                <w:noProof/>
                <w:color w:val="000000"/>
                <w:sz w:val="18"/>
              </w:rPr>
            </w:pPr>
            <w:r>
              <w:rPr>
                <w:rFonts w:ascii="Verdana" w:eastAsia="Times New Roman" w:hAnsi="Verdana" w:cs="Verdana"/>
                <w:i/>
                <w:noProof/>
                <w:color w:val="000000"/>
                <w:sz w:val="18"/>
              </w:rPr>
              <w:t>2.14.2</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2 870</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2 849</w:t>
            </w:r>
          </w:p>
        </w:tc>
      </w:tr>
      <w:tr w:rsidR="00135552">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rPr>
                <w:rFonts w:ascii="Verdana" w:eastAsia="Times New Roman" w:hAnsi="Verdana" w:cs="Verdana"/>
                <w:i/>
                <w:noProof/>
                <w:color w:val="000000"/>
                <w:sz w:val="18"/>
              </w:rPr>
            </w:pPr>
            <w:r>
              <w:rPr>
                <w:rFonts w:ascii="Verdana" w:eastAsia="Times New Roman" w:hAnsi="Verdana" w:cs="Verdana"/>
                <w:i/>
                <w:noProof/>
                <w:color w:val="000000"/>
                <w:sz w:val="18"/>
              </w:rPr>
              <w:t>Other reserves</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center"/>
              <w:rPr>
                <w:rFonts w:ascii="Verdana" w:eastAsia="Times New Roman" w:hAnsi="Verdana" w:cs="Verdana"/>
                <w:i/>
                <w:noProof/>
                <w:color w:val="000000"/>
                <w:sz w:val="18"/>
              </w:rPr>
            </w:pPr>
            <w:r>
              <w:rPr>
                <w:rFonts w:ascii="Verdana" w:eastAsia="Times New Roman" w:hAnsi="Verdana" w:cs="Verdana"/>
                <w:i/>
                <w:noProof/>
                <w:color w:val="000000"/>
                <w:sz w:val="18"/>
              </w:rPr>
              <w:t>2.14.3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1 776</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i/>
                <w:noProof/>
                <w:color w:val="000000"/>
                <w:sz w:val="18"/>
              </w:rPr>
            </w:pPr>
            <w:r>
              <w:rPr>
                <w:rFonts w:ascii="Verdana" w:eastAsia="Times New Roman" w:hAnsi="Verdana" w:cs="Verdana"/>
                <w:i/>
                <w:noProof/>
                <w:color w:val="000000"/>
                <w:sz w:val="18"/>
              </w:rPr>
              <w:t>1 881</w:t>
            </w:r>
          </w:p>
        </w:tc>
      </w:tr>
      <w:tr w:rsidR="00135552">
        <w:trPr>
          <w:trHeight w:val="255"/>
        </w:trPr>
        <w:tc>
          <w:tcPr>
            <w:tcW w:w="4278"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4C63B0">
            <w:pPr>
              <w:pStyle w:val="DMETW17250BIPRE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826"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135552">
            <w:pPr>
              <w:pStyle w:val="DMETW17250BIPRES"/>
              <w:jc w:val="center"/>
              <w:rPr>
                <w:rFonts w:ascii="Verdana" w:eastAsia="Times New Roman" w:hAnsi="Verdana" w:cs="Verdana"/>
                <w:noProof/>
                <w:color w:val="000000"/>
                <w:sz w:val="18"/>
              </w:rPr>
            </w:pP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b/>
                <w:noProof/>
                <w:color w:val="000000"/>
                <w:sz w:val="18"/>
              </w:rPr>
            </w:pPr>
            <w:r>
              <w:rPr>
                <w:rFonts w:ascii="Verdana" w:eastAsia="Times New Roman" w:hAnsi="Verdana" w:cs="Verdana"/>
                <w:b/>
                <w:noProof/>
                <w:color w:val="000000"/>
                <w:sz w:val="18"/>
              </w:rPr>
              <w:t>5 037</w:t>
            </w: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4C63B0">
            <w:pPr>
              <w:pStyle w:val="DMETW17250BIPRES"/>
              <w:jc w:val="right"/>
              <w:rPr>
                <w:rFonts w:ascii="Verdana" w:eastAsia="Times New Roman" w:hAnsi="Verdana" w:cs="Verdana"/>
                <w:b/>
                <w:noProof/>
                <w:color w:val="000000"/>
                <w:sz w:val="18"/>
              </w:rPr>
            </w:pPr>
            <w:r>
              <w:rPr>
                <w:rFonts w:ascii="Verdana" w:eastAsia="Times New Roman" w:hAnsi="Verdana" w:cs="Verdana"/>
                <w:b/>
                <w:noProof/>
                <w:color w:val="000000"/>
                <w:sz w:val="18"/>
              </w:rPr>
              <w:t>4 961</w:t>
            </w:r>
          </w:p>
        </w:tc>
      </w:tr>
    </w:tbl>
    <w:p w:rsidR="00135552" w:rsidRDefault="004C63B0">
      <w:pPr>
        <w:pStyle w:val="HEADER3NOTES"/>
        <w:rPr>
          <w:noProof/>
        </w:rPr>
      </w:pPr>
      <w:r>
        <w:rPr>
          <w:noProof/>
        </w:rPr>
        <w:t>Fair value reserve</w:t>
      </w:r>
    </w:p>
    <w:p w:rsidR="00135552" w:rsidRDefault="004C63B0">
      <w:pPr>
        <w:pStyle w:val="DGTextstand-alone"/>
      </w:pPr>
      <w:r>
        <w:t xml:space="preserve">In accordance with the EU accounting rules, the adjustment to fair value of available for sale financial assets </w:t>
      </w:r>
      <w:r>
        <w:t>is accounted for through the fair value reserve.</w:t>
      </w:r>
    </w:p>
    <w:p w:rsidR="00135552" w:rsidRDefault="004C63B0">
      <w:pPr>
        <w:pStyle w:val="HEADER5"/>
        <w:rPr>
          <w:noProof/>
        </w:rPr>
      </w:pPr>
      <w:r>
        <w:rPr>
          <w:noProof/>
        </w:rPr>
        <w:t>Movements of the fair value reserve during the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2324"/>
        <w:gridCol w:w="2324"/>
      </w:tblGrid>
      <w:tr w:rsidR="00135552">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FVMAFS"/>
              <w:jc w:val="right"/>
              <w:rPr>
                <w:rFonts w:ascii="Verdana" w:eastAsia="Times New Roman" w:hAnsi="Verdana" w:cs="Verdana"/>
                <w:i/>
                <w:noProof/>
                <w:color w:val="000000"/>
                <w:sz w:val="16"/>
              </w:rPr>
            </w:pPr>
            <w:bookmarkStart w:id="108" w:name="DOC_TBL00058_1_1"/>
            <w:bookmarkEnd w:id="108"/>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FVMAFS"/>
              <w:jc w:val="right"/>
              <w:rPr>
                <w:rFonts w:ascii="Verdana" w:eastAsia="Times New Roman" w:hAnsi="Verdana" w:cs="Verdana"/>
                <w:i/>
                <w:noProof/>
                <w:color w:val="000000"/>
                <w:sz w:val="16"/>
              </w:rPr>
            </w:pPr>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4C63B0">
            <w:pPr>
              <w:pStyle w:val="DMETW17250BIPFVMAFS"/>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rsidR="00135552">
        <w:trPr>
          <w:trHeight w:val="255"/>
        </w:trPr>
        <w:tc>
          <w:tcPr>
            <w:tcW w:w="5110"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135552">
            <w:pPr>
              <w:pStyle w:val="DMETW17250BIPFVMAFS"/>
              <w:jc w:val="right"/>
              <w:rPr>
                <w:rFonts w:ascii="Verdana" w:eastAsia="Times New Roman" w:hAnsi="Verdana" w:cs="Verdana"/>
                <w:noProof/>
                <w:color w:val="FFFFFF"/>
              </w:rPr>
            </w:pP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noProof/>
                <w:color w:val="FFFFFF"/>
              </w:rPr>
            </w:pPr>
            <w:r>
              <w:rPr>
                <w:rFonts w:ascii="Verdana" w:eastAsia="Times New Roman" w:hAnsi="Verdana" w:cs="Verdana"/>
                <w:noProof/>
                <w:color w:val="FFFFFF"/>
              </w:rPr>
              <w:t>31.12.2018</w:t>
            </w:r>
          </w:p>
        </w:tc>
      </w:tr>
      <w:tr w:rsidR="00135552">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rPr>
                <w:rFonts w:ascii="Verdana" w:eastAsia="Times New Roman" w:hAnsi="Verdana" w:cs="Verdana"/>
                <w:i/>
                <w:noProof/>
                <w:color w:val="000000"/>
                <w:sz w:val="18"/>
              </w:rPr>
            </w:pPr>
            <w:r>
              <w:rPr>
                <w:rFonts w:ascii="Verdana" w:eastAsia="Times New Roman" w:hAnsi="Verdana" w:cs="Verdana"/>
                <w:i/>
                <w:noProof/>
                <w:color w:val="000000"/>
                <w:sz w:val="18"/>
              </w:rPr>
              <w:t>Included in fair value reserve</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200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(70)</w:t>
            </w:r>
          </w:p>
        </w:tc>
      </w:tr>
      <w:tr w:rsidR="00135552">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rPr>
                <w:rFonts w:ascii="Verdana" w:eastAsia="Times New Roman" w:hAnsi="Verdana" w:cs="Verdana"/>
                <w:i/>
                <w:noProof/>
                <w:color w:val="000000"/>
                <w:sz w:val="18"/>
              </w:rPr>
            </w:pPr>
            <w:r>
              <w:rPr>
                <w:rFonts w:ascii="Verdana" w:eastAsia="Times New Roman" w:hAnsi="Verdana" w:cs="Verdana"/>
                <w:i/>
                <w:noProof/>
                <w:color w:val="000000"/>
                <w:sz w:val="18"/>
              </w:rPr>
              <w:t>Included in the statement of financial performance</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23</w:t>
            </w:r>
          </w:p>
        </w:tc>
      </w:tr>
      <w:tr w:rsidR="00135552">
        <w:trPr>
          <w:trHeight w:val="255"/>
        </w:trPr>
        <w:tc>
          <w:tcPr>
            <w:tcW w:w="5110"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135552" w:rsidRDefault="004C63B0">
            <w:pPr>
              <w:pStyle w:val="DMETW17250BIPFVMAF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160</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135552" w:rsidRDefault="004C63B0">
            <w:pPr>
              <w:pStyle w:val="DMETW17250BIPFVMAF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(47)</w:t>
            </w:r>
          </w:p>
        </w:tc>
      </w:tr>
    </w:tbl>
    <w:p w:rsidR="00135552" w:rsidRDefault="00135552">
      <w:pPr>
        <w:pStyle w:val="HEADER5"/>
        <w:rPr>
          <w:noProof/>
        </w:rPr>
      </w:pPr>
    </w:p>
    <w:p w:rsidR="00135552" w:rsidRDefault="004C63B0">
      <w:pPr>
        <w:pStyle w:val="HEADER3NOTES"/>
        <w:rPr>
          <w:noProof/>
        </w:rPr>
      </w:pPr>
      <w:r>
        <w:rPr>
          <w:noProof/>
        </w:rPr>
        <w:t>Guarantee Fund reserve</w:t>
      </w:r>
    </w:p>
    <w:p w:rsidR="00135552" w:rsidRDefault="004C63B0">
      <w:pPr>
        <w:pStyle w:val="DGTextstand-alone"/>
      </w:pPr>
      <w:r>
        <w:t xml:space="preserve">This reserve reflects the 9 % target amount of the outstanding amounts guaranteed by the EU budget under the EIB external lending mandate, that is required to be kept as assets in the Guarantee Fund for external actions (see note </w:t>
      </w:r>
      <w:r>
        <w:rPr>
          <w:b/>
        </w:rPr>
        <w:t>2.4.1</w:t>
      </w:r>
      <w:r>
        <w:t>).</w:t>
      </w:r>
    </w:p>
    <w:p w:rsidR="00135552" w:rsidRDefault="004C63B0">
      <w:pPr>
        <w:pStyle w:val="HEADER3NOTES"/>
        <w:rPr>
          <w:noProof/>
        </w:rPr>
      </w:pPr>
      <w:r>
        <w:rPr>
          <w:noProof/>
        </w:rPr>
        <w:t>Other reserves</w:t>
      </w:r>
    </w:p>
    <w:p w:rsidR="00135552" w:rsidRDefault="004C63B0">
      <w:pPr>
        <w:pStyle w:val="DGTextstand-alone"/>
        <w:spacing w:after="0"/>
      </w:pPr>
      <w:r>
        <w:t>The</w:t>
      </w:r>
      <w:r>
        <w:t xml:space="preserve"> amount relates primarily to the reserves of the ECSC in Liquidation (EUR 1 461 million) for the assets of the Research Fund for Coal and Steel, which were created in the context of the winding-up of the ECSC i.L.</w:t>
      </w:r>
    </w:p>
    <w:p w:rsidR="00135552" w:rsidRDefault="004C63B0">
      <w:pPr>
        <w:rPr>
          <w:rFonts w:ascii="Verdana" w:hAnsi="Verdana"/>
          <w:b/>
          <w:noProof/>
          <w:color w:val="016794"/>
          <w:sz w:val="28"/>
          <w:szCs w:val="28"/>
        </w:rPr>
      </w:pPr>
      <w:r>
        <w:rPr>
          <w:noProof/>
        </w:rPr>
        <w:br w:type="page"/>
      </w:r>
    </w:p>
    <w:p w:rsidR="00135552" w:rsidRDefault="004C63B0">
      <w:pPr>
        <w:pStyle w:val="HEADER2NOTES"/>
        <w:rPr>
          <w:noProof/>
        </w:rPr>
      </w:pPr>
      <w:r>
        <w:rPr>
          <w:noProof/>
        </w:rPr>
        <w:t>AMOUNTS TO BE CALLED FROM MEMBER STATES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6"/>
        <w:gridCol w:w="3342"/>
      </w:tblGrid>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135552">
            <w:pPr>
              <w:pStyle w:val="DMETW17250BIPMEMST1"/>
              <w:jc w:val="right"/>
              <w:rPr>
                <w:rFonts w:ascii="Verdana" w:eastAsia="Times New Roman" w:hAnsi="Verdana" w:cs="Verdana"/>
                <w:i/>
                <w:noProof/>
                <w:color w:val="000000"/>
                <w:sz w:val="16"/>
              </w:rPr>
            </w:pPr>
            <w:bookmarkStart w:id="109" w:name="DOC_TBL00059_1_1"/>
            <w:bookmarkEnd w:id="109"/>
          </w:p>
        </w:tc>
        <w:tc>
          <w:tcPr>
            <w:tcW w:w="3342" w:type="dxa"/>
            <w:tcBorders>
              <w:top w:val="nil"/>
              <w:left w:val="nil"/>
              <w:bottom w:val="nil"/>
              <w:right w:val="nil"/>
            </w:tcBorders>
            <w:shd w:val="solid" w:color="FFFFFF" w:fill="FFFFFF"/>
            <w:tcMar>
              <w:top w:w="0" w:type="dxa"/>
              <w:left w:w="60" w:type="dxa"/>
              <w:bottom w:w="0" w:type="dxa"/>
              <w:right w:w="60" w:type="dxa"/>
            </w:tcMar>
            <w:vAlign w:val="bottom"/>
          </w:tcPr>
          <w:p w:rsidR="00135552" w:rsidRDefault="004C63B0">
            <w:pPr>
              <w:pStyle w:val="DMETW17250BIPMEMST1"/>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rsidR="00135552">
        <w:trPr>
          <w:trHeight w:val="255"/>
        </w:trPr>
        <w:tc>
          <w:tcPr>
            <w:tcW w:w="6416"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135552">
            <w:pPr>
              <w:pStyle w:val="DMETW17250BIPMEMST1"/>
              <w:jc w:val="right"/>
              <w:rPr>
                <w:rFonts w:ascii="Verdana" w:eastAsia="Times New Roman" w:hAnsi="Verdana" w:cs="Verdana"/>
                <w:noProof/>
                <w:color w:val="FFFFFF"/>
              </w:rPr>
            </w:pPr>
          </w:p>
        </w:tc>
        <w:tc>
          <w:tcPr>
            <w:tcW w:w="3342" w:type="dxa"/>
            <w:tcBorders>
              <w:top w:val="nil"/>
              <w:left w:val="nil"/>
              <w:bottom w:val="nil"/>
              <w:right w:val="nil"/>
            </w:tcBorders>
            <w:shd w:val="solid" w:color="016794" w:fill="FFFFFF"/>
            <w:tcMar>
              <w:top w:w="0" w:type="dxa"/>
              <w:left w:w="60" w:type="dxa"/>
              <w:bottom w:w="0" w:type="dxa"/>
              <w:right w:w="60" w:type="dxa"/>
            </w:tcMar>
            <w:vAlign w:val="center"/>
          </w:tcPr>
          <w:p w:rsidR="00135552" w:rsidRDefault="00135552">
            <w:pPr>
              <w:pStyle w:val="DMETW17250BIPMEMST1"/>
              <w:jc w:val="right"/>
              <w:rPr>
                <w:rFonts w:ascii="Verdana" w:eastAsia="Times New Roman" w:hAnsi="Verdana" w:cs="Verdana"/>
                <w:noProof/>
                <w:color w:val="FFFFFF"/>
              </w:rPr>
            </w:pP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Amounts to be called from Member States at 31.12.2018</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66 424</w:t>
            </w: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Return of budget surplus to Member States</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1 803</w:t>
            </w: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Movement in Guarantee Fund reserve</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Remeasurements in employee benefits liabilities</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14 164</w:t>
            </w: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Other reserve movements</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(56)</w:t>
            </w:r>
          </w:p>
        </w:tc>
      </w:tr>
      <w:tr w:rsidR="00135552">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i/>
                <w:noProof/>
                <w:color w:val="000000"/>
                <w:sz w:val="18"/>
              </w:rPr>
            </w:pPr>
            <w:r>
              <w:rPr>
                <w:rFonts w:ascii="Verdana" w:eastAsia="Times New Roman" w:hAnsi="Verdana" w:cs="Verdana"/>
                <w:i/>
                <w:noProof/>
                <w:color w:val="000000"/>
                <w:sz w:val="18"/>
              </w:rPr>
              <w:t>Economic result of the year</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i/>
                <w:noProof/>
                <w:color w:val="000000"/>
                <w:sz w:val="18"/>
              </w:rPr>
            </w:pPr>
            <w:r>
              <w:rPr>
                <w:rFonts w:ascii="Verdana" w:eastAsia="Times New Roman" w:hAnsi="Verdana" w:cs="Verdana"/>
                <w:i/>
                <w:noProof/>
                <w:color w:val="000000"/>
                <w:sz w:val="18"/>
              </w:rPr>
              <w:t>(4 796)</w:t>
            </w:r>
          </w:p>
        </w:tc>
      </w:tr>
      <w:tr w:rsidR="00135552">
        <w:trPr>
          <w:trHeight w:val="255"/>
        </w:trPr>
        <w:tc>
          <w:tcPr>
            <w:tcW w:w="6416"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4C63B0">
            <w:pPr>
              <w:pStyle w:val="DMETW17250BIPMEMST1"/>
              <w:rPr>
                <w:rFonts w:ascii="Verdana" w:eastAsia="Times New Roman" w:hAnsi="Verdana" w:cs="Verdana"/>
                <w:b/>
                <w:noProof/>
                <w:color w:val="000000"/>
                <w:sz w:val="18"/>
              </w:rPr>
            </w:pPr>
            <w:r>
              <w:rPr>
                <w:rFonts w:ascii="Verdana" w:eastAsia="Times New Roman" w:hAnsi="Verdana" w:cs="Verdana"/>
                <w:b/>
                <w:noProof/>
                <w:color w:val="000000"/>
                <w:sz w:val="18"/>
              </w:rPr>
              <w:t>Total amounts to be called from Member States at 31.12.2019</w:t>
            </w:r>
          </w:p>
        </w:tc>
        <w:tc>
          <w:tcPr>
            <w:tcW w:w="3342" w:type="dxa"/>
            <w:tcBorders>
              <w:top w:val="nil"/>
              <w:left w:val="nil"/>
              <w:bottom w:val="nil"/>
              <w:right w:val="nil"/>
            </w:tcBorders>
            <w:shd w:val="solid" w:color="CCE1EA" w:fill="FFFFFF"/>
            <w:tcMar>
              <w:top w:w="0" w:type="dxa"/>
              <w:left w:w="60" w:type="dxa"/>
              <w:bottom w:w="0" w:type="dxa"/>
              <w:right w:w="60" w:type="dxa"/>
            </w:tcMar>
            <w:vAlign w:val="center"/>
          </w:tcPr>
          <w:p w:rsidR="00135552" w:rsidRDefault="004C63B0">
            <w:pPr>
              <w:pStyle w:val="DMETW17250BIPMEMST1"/>
              <w:jc w:val="right"/>
              <w:rPr>
                <w:rFonts w:ascii="Verdana" w:eastAsia="Times New Roman" w:hAnsi="Verdana" w:cs="Verdana"/>
                <w:b/>
                <w:noProof/>
                <w:color w:val="000000"/>
                <w:sz w:val="18"/>
              </w:rPr>
            </w:pPr>
            <w:r>
              <w:rPr>
                <w:rFonts w:ascii="Verdana" w:eastAsia="Times New Roman" w:hAnsi="Verdana" w:cs="Verdana"/>
                <w:b/>
                <w:noProof/>
                <w:color w:val="000000"/>
                <w:sz w:val="18"/>
              </w:rPr>
              <w:t>77 560</w:t>
            </w:r>
          </w:p>
        </w:tc>
      </w:tr>
    </w:tbl>
    <w:p w:rsidR="00135552" w:rsidRDefault="00135552">
      <w:pPr>
        <w:pStyle w:val="DGTextstand-alone"/>
        <w:spacing w:before="0" w:after="0"/>
      </w:pPr>
    </w:p>
    <w:p w:rsidR="00135552" w:rsidRDefault="004C63B0">
      <w:pPr>
        <w:pStyle w:val="DGTextstand-alone"/>
      </w:pPr>
      <w:r>
        <w:t xml:space="preserve">This amount represents that part of the expenses incurred by the EU up to 31 December that must be funded by future budgets. Many expenses are </w:t>
      </w:r>
      <w:r>
        <w:t>recognised under accrual accounting rules in the year N although they may be actually paid in year N+1 (or later) and therefore funded using the budget of year N+1 (or later). The inclusion in the accounts of these liabilities coupled with the fact that th</w:t>
      </w:r>
      <w:r>
        <w:t>e corresponding amounts are financed from future budgets, results in liabilities greatly exceeding assets at the year-end. The most significant amounts to be highlighted concern the EAGF activities and employee benefit liabilities.</w:t>
      </w:r>
    </w:p>
    <w:p w:rsidR="00135552" w:rsidRDefault="004C63B0">
      <w:pPr>
        <w:pStyle w:val="DGTextstand-alone"/>
      </w:pPr>
      <w:r>
        <w:t xml:space="preserve">It should also be noted </w:t>
      </w:r>
      <w:r>
        <w:t>that the above has no effect on the budget result – budget revenue should always equal or exceed budget expenditure and any excess of revenue is returned to Member States.</w:t>
      </w:r>
    </w:p>
    <w:p w:rsidR="00135552" w:rsidRDefault="004C63B0">
      <w:pPr>
        <w:pStyle w:val="DGTextstand-alone"/>
        <w:spacing w:before="0" w:after="0"/>
      </w:pPr>
      <w:r>
        <w:t>The remeasurements in employee benefits liabilities relate to actuarial gains and lo</w:t>
      </w:r>
      <w:r>
        <w:t xml:space="preserve">sses arising from the actuarial valuation of these liabilities. As from 1 January 2018 the amended EU accounting rule 12 (based on IPSAS 39) for employee benefits is applicable. According to this rule actuarial gains and losses are presented as a movement </w:t>
      </w:r>
      <w:r>
        <w:t>in net assets rather than in the statement of financial performance.</w:t>
      </w:r>
      <w:bookmarkEnd w:id="106"/>
    </w:p>
    <w:p w:rsidR="00135552" w:rsidRDefault="00135552">
      <w:pPr>
        <w:pStyle w:val="DGTextstand-alone"/>
        <w:spacing w:before="0" w:after="0"/>
        <w:sectPr w:rsidR="00135552">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p>
    <w:p w:rsidR="00135552" w:rsidRDefault="004C63B0">
      <w:pPr>
        <w:rPr>
          <w:rFonts w:ascii="Verdana" w:hAnsi="Verdana"/>
          <w:b/>
          <w:noProof/>
          <w:color w:val="016794"/>
          <w:sz w:val="32"/>
          <w:szCs w:val="32"/>
        </w:rPr>
      </w:pPr>
      <w:bookmarkStart w:id="110" w:name="_DMBM_17166"/>
      <w:r>
        <w:rPr>
          <w:noProof/>
        </w:rPr>
        <w:br w:type="page"/>
      </w:r>
    </w:p>
    <w:p w:rsidR="00135552" w:rsidRDefault="004C63B0">
      <w:pPr>
        <w:pStyle w:val="HEADER1NOTES"/>
        <w:rPr>
          <w:noProof/>
        </w:rPr>
      </w:pPr>
      <w:bookmarkStart w:id="111" w:name="_Toc43224168"/>
      <w:r>
        <w:rPr>
          <w:noProof/>
        </w:rPr>
        <w:t>NOTES TO THE STATEMENT OF FINANCIAL PERFORMANCE</w:t>
      </w:r>
      <w:bookmarkEnd w:id="110"/>
      <w:bookmarkEnd w:id="111"/>
    </w:p>
    <w:p w:rsidR="00135552" w:rsidRDefault="004C63B0">
      <w:pPr>
        <w:pStyle w:val="HEADERTABLE"/>
        <w:rPr>
          <w:noProof/>
        </w:rPr>
      </w:pPr>
      <w:bookmarkStart w:id="112" w:name="_DMBM_17192"/>
      <w:r>
        <w:rPr>
          <w:noProof/>
        </w:rPr>
        <w:t>REVENUE</w:t>
      </w:r>
    </w:p>
    <w:p w:rsidR="00135552" w:rsidRDefault="004C63B0">
      <w:pPr>
        <w:pStyle w:val="HEADERTABLE"/>
        <w:spacing w:after="0"/>
        <w:rPr>
          <w:noProof/>
        </w:rPr>
      </w:pPr>
      <w:r>
        <w:rPr>
          <w:noProof/>
        </w:rPr>
        <w:t xml:space="preserve">REVENUE FROM NON-EXCHANGE </w:t>
      </w:r>
      <w:r>
        <w:rPr>
          <w:noProof/>
        </w:rPr>
        <w:t>TRANSACTIONS:</w:t>
      </w:r>
      <w:r>
        <w:rPr>
          <w:noProof/>
        </w:rPr>
        <w:br/>
        <w:t>OWN RESOURCES</w:t>
      </w:r>
    </w:p>
    <w:p w:rsidR="00135552" w:rsidRDefault="004C63B0">
      <w:pPr>
        <w:pStyle w:val="HEADER2NOTES"/>
        <w:spacing w:before="240"/>
        <w:rPr>
          <w:noProof/>
        </w:rPr>
      </w:pPr>
      <w:r>
        <w:rPr>
          <w:noProof/>
        </w:rPr>
        <w:t>GNI RESOURCES</w:t>
      </w:r>
    </w:p>
    <w:p w:rsidR="00135552" w:rsidRDefault="004C63B0">
      <w:pPr>
        <w:pStyle w:val="DGTextstand-alone"/>
        <w:spacing w:after="0"/>
      </w:pPr>
      <w:r>
        <w:t>Own resources revenue is the primary element of the EU's operational revenue. GNI (gross national income) revenue amounts to EUR 108 820 million for 2019 (2018: EUR 105 780 million) and is the most significant of t</w:t>
      </w:r>
      <w:r>
        <w:t>he three categories of own resources. A uniform percentage is levied on the GNI of each Member State. The GNI revenue balances revenue and expenditure i.e. funds the part of the budget that is not covered by other sources of income. The increase of GNI rev</w:t>
      </w:r>
      <w:r>
        <w:t xml:space="preserve">enue is explained mainly by the size of adjustments for the past (mostly years 2012 to 2017). Every year, the GNI bases are updated with real data and the contributions of Member States to the EU budget are recalculated in line with their updated economic </w:t>
      </w:r>
      <w:r>
        <w:t>performance. This procedure is key to ensuring a level playing field among Member States in terms of their annual contributions.</w:t>
      </w:r>
    </w:p>
    <w:p w:rsidR="00135552" w:rsidRDefault="004C63B0">
      <w:pPr>
        <w:pStyle w:val="HEADER2NOTES"/>
        <w:rPr>
          <w:noProof/>
          <w:lang w:val="fr-BE"/>
        </w:rPr>
      </w:pPr>
      <w:r>
        <w:rPr>
          <w:noProof/>
          <w:lang w:val="fr-BE"/>
        </w:rPr>
        <w:t>TRADITIONAL OWN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763"/>
        <w:gridCol w:w="1763"/>
      </w:tblGrid>
      <w:tr w:rsidR="00135552">
        <w:trPr>
          <w:trHeight w:val="255"/>
        </w:trPr>
        <w:tc>
          <w:tcPr>
            <w:tcW w:w="62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2BIPTOR"/>
              <w:rPr>
                <w:rFonts w:ascii="Arial" w:eastAsia="Arial" w:hAnsi="Arial" w:cs="Arial"/>
                <w:noProof/>
                <w:color w:val="000000"/>
                <w:lang w:bidi="en-GB"/>
              </w:rPr>
            </w:pPr>
            <w:bookmarkStart w:id="113" w:name="DOC_TBL00060_1_1"/>
            <w:bookmarkEnd w:id="113"/>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2BIPTOR"/>
              <w:rPr>
                <w:rFonts w:ascii="Arial" w:eastAsia="Arial" w:hAnsi="Arial" w:cs="Arial"/>
                <w:noProof/>
                <w:color w:val="000000"/>
              </w:rPr>
            </w:pPr>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2BIPTO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62BIPTOR"/>
              <w:jc w:val="right"/>
              <w:rPr>
                <w:rFonts w:ascii="Verdana" w:eastAsia="Verdana" w:hAnsi="Verdana" w:cs="Verdana"/>
                <w:noProof/>
                <w:color w:val="FFFFFF"/>
                <w:sz w:val="18"/>
              </w:rPr>
            </w:pP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2BIPTOR"/>
              <w:jc w:val="right"/>
              <w:rPr>
                <w:rFonts w:ascii="Verdana" w:eastAsia="Verdana" w:hAnsi="Verdana" w:cs="Verdana"/>
                <w:noProof/>
                <w:color w:val="FFFFFF"/>
              </w:rPr>
            </w:pPr>
            <w:r>
              <w:rPr>
                <w:rFonts w:ascii="Verdana" w:eastAsia="Verdana" w:hAnsi="Verdana" w:cs="Verdana"/>
                <w:noProof/>
                <w:color w:val="FFFFFF"/>
              </w:rPr>
              <w:t>2019</w:t>
            </w: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2BIPTOR"/>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2BIPTOR"/>
              <w:rPr>
                <w:rFonts w:ascii="Verdana" w:eastAsia="Verdana" w:hAnsi="Verdana" w:cs="Verdana"/>
                <w:i/>
                <w:noProof/>
                <w:color w:val="000000"/>
                <w:sz w:val="18"/>
              </w:rPr>
            </w:pPr>
            <w:r>
              <w:rPr>
                <w:rFonts w:ascii="Verdana" w:eastAsia="Verdana" w:hAnsi="Verdana" w:cs="Verdana"/>
                <w:i/>
                <w:noProof/>
                <w:color w:val="000000"/>
                <w:sz w:val="18"/>
              </w:rPr>
              <w:t>Customs duties</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2BIPTOR"/>
              <w:jc w:val="right"/>
              <w:rPr>
                <w:rFonts w:ascii="Verdana" w:eastAsia="Verdana" w:hAnsi="Verdana" w:cs="Verdana"/>
                <w:i/>
                <w:noProof/>
                <w:color w:val="000000"/>
                <w:sz w:val="18"/>
              </w:rPr>
            </w:pPr>
            <w:r>
              <w:rPr>
                <w:rFonts w:ascii="Verdana" w:eastAsia="Verdana" w:hAnsi="Verdana" w:cs="Verdana"/>
                <w:i/>
                <w:noProof/>
                <w:color w:val="000000"/>
                <w:sz w:val="18"/>
              </w:rPr>
              <w:t>21 235</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2BIPTOR"/>
              <w:jc w:val="right"/>
              <w:rPr>
                <w:rFonts w:ascii="Verdana" w:eastAsia="Verdana" w:hAnsi="Verdana" w:cs="Verdana"/>
                <w:i/>
                <w:noProof/>
                <w:color w:val="000000"/>
                <w:sz w:val="18"/>
                <w:lang w:bidi="en-GB"/>
              </w:rPr>
            </w:pPr>
            <w:r>
              <w:rPr>
                <w:rFonts w:ascii="Verdana" w:eastAsia="Verdana" w:hAnsi="Verdana" w:cs="Verdana"/>
                <w:i/>
                <w:noProof/>
                <w:color w:val="000000"/>
                <w:sz w:val="18"/>
              </w:rPr>
              <w:t>22 763</w:t>
            </w:r>
          </w:p>
        </w:tc>
      </w:tr>
      <w:tr w:rsidR="00135552">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2BIPTOR"/>
              <w:rPr>
                <w:rFonts w:ascii="Verdana" w:eastAsia="Verdana" w:hAnsi="Verdana" w:cs="Verdana"/>
                <w:i/>
                <w:noProof/>
                <w:color w:val="000000"/>
                <w:sz w:val="18"/>
              </w:rPr>
            </w:pPr>
            <w:r>
              <w:rPr>
                <w:rFonts w:ascii="Verdana" w:eastAsia="Verdana" w:hAnsi="Verdana" w:cs="Verdana"/>
                <w:i/>
                <w:noProof/>
                <w:color w:val="000000"/>
                <w:sz w:val="18"/>
              </w:rPr>
              <w:t>Sugar levies</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2BIPTOR"/>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2BIPTO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rsidR="00135552">
        <w:trPr>
          <w:trHeight w:val="255"/>
        </w:trPr>
        <w:tc>
          <w:tcPr>
            <w:tcW w:w="623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2BIPTOR"/>
              <w:rPr>
                <w:rFonts w:ascii="Verdana" w:eastAsia="Verdana" w:hAnsi="Verdana" w:cs="Verdana"/>
                <w:b/>
                <w:noProof/>
                <w:color w:val="000000"/>
                <w:sz w:val="18"/>
              </w:rPr>
            </w:pPr>
            <w:r>
              <w:rPr>
                <w:rFonts w:ascii="Verdana" w:eastAsia="Verdana" w:hAnsi="Verdana" w:cs="Verdana"/>
                <w:b/>
                <w:noProof/>
                <w:color w:val="000000"/>
                <w:sz w:val="18"/>
              </w:rPr>
              <w:t>Total</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62BIPTOR"/>
              <w:jc w:val="right"/>
              <w:rPr>
                <w:rFonts w:ascii="Verdana" w:eastAsia="Verdana" w:hAnsi="Verdana" w:cs="Verdana"/>
                <w:b/>
                <w:noProof/>
                <w:color w:val="000000"/>
                <w:sz w:val="18"/>
              </w:rPr>
            </w:pPr>
            <w:r>
              <w:rPr>
                <w:rFonts w:ascii="Verdana" w:eastAsia="Verdana" w:hAnsi="Verdana" w:cs="Verdana"/>
                <w:b/>
                <w:noProof/>
                <w:color w:val="000000"/>
                <w:sz w:val="18"/>
              </w:rPr>
              <w:t>21 235</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62BIPTOR"/>
              <w:jc w:val="right"/>
              <w:rPr>
                <w:rFonts w:ascii="Verdana" w:eastAsia="Verdana" w:hAnsi="Verdana" w:cs="Verdana"/>
                <w:b/>
                <w:noProof/>
                <w:color w:val="000000"/>
                <w:sz w:val="18"/>
              </w:rPr>
            </w:pPr>
            <w:r>
              <w:rPr>
                <w:rFonts w:ascii="Verdana" w:eastAsia="Verdana" w:hAnsi="Verdana" w:cs="Verdana"/>
                <w:b/>
                <w:noProof/>
                <w:color w:val="000000"/>
                <w:sz w:val="18"/>
              </w:rPr>
              <w:t>22 767</w:t>
            </w:r>
          </w:p>
        </w:tc>
      </w:tr>
    </w:tbl>
    <w:p w:rsidR="00135552" w:rsidRDefault="004C63B0">
      <w:pPr>
        <w:pStyle w:val="DGTextstand-alone"/>
        <w:spacing w:after="0"/>
      </w:pPr>
      <w:r>
        <w:t xml:space="preserve">Traditional own resources comprise custom duties and sugar levies. Member States retain, by way of collection costs, 20 % of traditional own resources, and the above amounts are shown net of this deduction. The decrease in customs duties largely refers to </w:t>
      </w:r>
      <w:r>
        <w:t xml:space="preserve">the absence of the infringement case revenue recognised in 2018. (see note </w:t>
      </w:r>
      <w:r>
        <w:rPr>
          <w:b/>
        </w:rPr>
        <w:t>2.6.1.1</w:t>
      </w:r>
      <w:r>
        <w:t>).</w:t>
      </w:r>
    </w:p>
    <w:p w:rsidR="00135552" w:rsidRDefault="004C63B0">
      <w:pPr>
        <w:pStyle w:val="HEADER2NOTES"/>
        <w:rPr>
          <w:noProof/>
        </w:rPr>
      </w:pPr>
      <w:r>
        <w:rPr>
          <w:noProof/>
        </w:rPr>
        <w:t>VAT RESOURCES</w:t>
      </w:r>
    </w:p>
    <w:p w:rsidR="00135552" w:rsidRDefault="004C63B0">
      <w:pPr>
        <w:pStyle w:val="DGTextstand-alone"/>
        <w:spacing w:after="0"/>
      </w:pPr>
      <w:r>
        <w:t>The VAT resource is defined as the Union’s second kind of own resources since this tax type was the first to be largely harmonised at the EU level. The VAT c</w:t>
      </w:r>
      <w:r>
        <w:t>ontribution is calculated by applying a uniform call rate of 0.3 % to the national VAT base which cannot exceed 50 % of the gross national income (GNI) of each Member State. For the period 2014-2020, the Council Decision 2014/335/EU, Euratom, foresees a re</w:t>
      </w:r>
      <w:r>
        <w:t xml:space="preserve">duced rate of call of 0.15 % for Germany, the Netherlands and </w:t>
      </w:r>
      <w:r>
        <w:rPr>
          <w:color w:val="000000" w:themeColor="text1"/>
        </w:rPr>
        <w:t>Sweden.</w:t>
      </w:r>
    </w:p>
    <w:p w:rsidR="00135552" w:rsidRDefault="004C63B0">
      <w:pPr>
        <w:pStyle w:val="HEADERTABLE"/>
        <w:spacing w:before="360" w:after="360"/>
        <w:rPr>
          <w:noProof/>
        </w:rPr>
      </w:pPr>
      <w:r>
        <w:rPr>
          <w:noProof/>
        </w:rPr>
        <w:t>REVENUE FROM NON-EXCHANGE TRANSACTIONS: TRANSFERS</w:t>
      </w:r>
    </w:p>
    <w:p w:rsidR="00135552" w:rsidRDefault="004C63B0">
      <w:pPr>
        <w:pStyle w:val="HEADER2NOTES"/>
        <w:rPr>
          <w:noProof/>
        </w:rPr>
      </w:pPr>
      <w:r>
        <w:rPr>
          <w:noProof/>
        </w:rPr>
        <w:t>FINES</w:t>
      </w:r>
    </w:p>
    <w:p w:rsidR="00135552" w:rsidRDefault="004C63B0">
      <w:pPr>
        <w:pStyle w:val="DGTextstand-alone"/>
        <w:spacing w:after="0"/>
      </w:pPr>
      <w:r>
        <w:t>Revenue of EUR 4 291 million (2018: EUR 6 740 million) relates to fines the Commission has imposed on companies for breaches of EU</w:t>
      </w:r>
      <w:r>
        <w:t xml:space="preserve"> competition rules and fines the Commission has imposed on Member States for infringements of EU law. The Commission recognises revenue from fines when it adopts the decision to impose a fine and it officially notifies the addressee. The amounts relate mai</w:t>
      </w:r>
      <w:r>
        <w:t>nly to competition fines (EUR 4 091 million). The biggest cases concern breaches of EU antitrust rules, i.e. a fine imposed on Google for abusive practices in online advertising (EUR 1 494 million), fines imposed on five banks in two Forex cases for partic</w:t>
      </w:r>
      <w:r>
        <w:t>ipating in foreign exchange spot trading cartels (in total EUR 1 068 million) and a fine imposed on Mastercard for obstructing merchants' access to cross-border card payment services (EUR 570 million).</w:t>
      </w:r>
    </w:p>
    <w:p w:rsidR="00135552" w:rsidRDefault="004C63B0">
      <w:pPr>
        <w:pStyle w:val="HEADER2NOTES"/>
        <w:ind w:left="0" w:firstLine="0"/>
        <w:rPr>
          <w:noProof/>
        </w:rPr>
      </w:pPr>
      <w:r>
        <w:rPr>
          <w:noProof/>
        </w:rPr>
        <w:t>RECOVERY OF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1778"/>
        <w:gridCol w:w="2074"/>
      </w:tblGrid>
      <w:tr w:rsidR="00135552">
        <w:trPr>
          <w:trHeight w:val="255"/>
        </w:trPr>
        <w:tc>
          <w:tcPr>
            <w:tcW w:w="590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2BIPRECOVEXP"/>
              <w:rPr>
                <w:rFonts w:ascii="Arial" w:eastAsia="Arial" w:hAnsi="Arial" w:cs="Arial"/>
                <w:noProof/>
                <w:color w:val="000000"/>
                <w:lang w:bidi="en-GB"/>
              </w:rPr>
            </w:pPr>
            <w:bookmarkStart w:id="114" w:name="DOC_TBL00061_1_1"/>
            <w:bookmarkEnd w:id="114"/>
          </w:p>
        </w:tc>
        <w:tc>
          <w:tcPr>
            <w:tcW w:w="17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2BIPRECOVEXP"/>
              <w:rPr>
                <w:rFonts w:ascii="Arial" w:eastAsia="Arial" w:hAnsi="Arial" w:cs="Arial"/>
                <w:noProof/>
                <w:color w:val="000000"/>
              </w:rPr>
            </w:pPr>
          </w:p>
        </w:tc>
        <w:tc>
          <w:tcPr>
            <w:tcW w:w="207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52BIPRECOVEXP"/>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90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2BIPRECOVEXP"/>
              <w:jc w:val="right"/>
              <w:rPr>
                <w:rFonts w:ascii="Verdana" w:eastAsia="Verdana" w:hAnsi="Verdana" w:cs="Verdana"/>
                <w:noProof/>
                <w:color w:val="FFFFFF"/>
              </w:rPr>
            </w:pPr>
          </w:p>
        </w:tc>
        <w:tc>
          <w:tcPr>
            <w:tcW w:w="17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2BIPRECOVEXP"/>
              <w:jc w:val="right"/>
              <w:rPr>
                <w:rFonts w:ascii="Verdana" w:eastAsia="Verdana" w:hAnsi="Verdana" w:cs="Verdana"/>
                <w:noProof/>
                <w:color w:val="FFFFFF"/>
              </w:rPr>
            </w:pPr>
            <w:r>
              <w:rPr>
                <w:rFonts w:ascii="Verdana" w:eastAsia="Verdana" w:hAnsi="Verdana" w:cs="Verdana"/>
                <w:noProof/>
                <w:color w:val="FFFFFF"/>
              </w:rPr>
              <w:t>2019</w:t>
            </w:r>
          </w:p>
        </w:tc>
        <w:tc>
          <w:tcPr>
            <w:tcW w:w="207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2BIPRECOVEXP"/>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rPr>
                <w:rFonts w:ascii="Verdana" w:eastAsia="Verdana" w:hAnsi="Verdana" w:cs="Verdana"/>
                <w:i/>
                <w:noProof/>
                <w:color w:val="000000"/>
                <w:sz w:val="18"/>
              </w:rPr>
            </w:pPr>
            <w:r>
              <w:rPr>
                <w:rFonts w:ascii="Verdana" w:eastAsia="Verdana" w:hAnsi="Verdana" w:cs="Verdana"/>
                <w:i/>
                <w:noProof/>
                <w:color w:val="000000"/>
                <w:sz w:val="18"/>
              </w:rPr>
              <w:t>Shared</w:t>
            </w:r>
            <w:r>
              <w:rPr>
                <w:rFonts w:ascii="Verdana" w:eastAsia="Verdana" w:hAnsi="Verdana" w:cs="Verdana"/>
                <w:i/>
                <w:noProof/>
                <w:color w:val="000000"/>
                <w:sz w:val="18"/>
              </w:rPr>
              <w:t xml:space="preserve"> management</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rPr>
            </w:pPr>
            <w:r>
              <w:rPr>
                <w:rFonts w:ascii="Verdana" w:eastAsia="Verdana" w:hAnsi="Verdana" w:cs="Verdana"/>
                <w:i/>
                <w:noProof/>
                <w:color w:val="000000"/>
                <w:sz w:val="18"/>
              </w:rPr>
              <w:t>2 547</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lang w:bidi="en-GB"/>
              </w:rPr>
            </w:pPr>
            <w:r>
              <w:rPr>
                <w:rFonts w:ascii="Verdana" w:eastAsia="Verdana" w:hAnsi="Verdana" w:cs="Verdana"/>
                <w:i/>
                <w:noProof/>
                <w:color w:val="000000"/>
                <w:sz w:val="18"/>
              </w:rPr>
              <w:t>2 116</w:t>
            </w:r>
          </w:p>
        </w:tc>
      </w:tr>
      <w:tr w:rsidR="00135552">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rPr>
                <w:rFonts w:ascii="Verdana" w:eastAsia="Verdana" w:hAnsi="Verdana" w:cs="Verdana"/>
                <w:i/>
                <w:noProof/>
                <w:color w:val="000000"/>
                <w:sz w:val="18"/>
              </w:rPr>
            </w:pPr>
            <w:r>
              <w:rPr>
                <w:rFonts w:ascii="Verdana" w:eastAsia="Verdana" w:hAnsi="Verdana" w:cs="Verdana"/>
                <w:i/>
                <w:noProof/>
                <w:color w:val="000000"/>
                <w:sz w:val="18"/>
              </w:rPr>
              <w:t>Direct management</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rPr>
            </w:pPr>
            <w:r>
              <w:rPr>
                <w:rFonts w:ascii="Verdana" w:eastAsia="Verdana" w:hAnsi="Verdana" w:cs="Verdana"/>
                <w:i/>
                <w:noProof/>
                <w:color w:val="000000"/>
                <w:sz w:val="18"/>
              </w:rPr>
              <w:t xml:space="preserve"> 65</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65</w:t>
            </w:r>
          </w:p>
        </w:tc>
      </w:tr>
      <w:tr w:rsidR="00135552">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rPr>
                <w:rFonts w:ascii="Verdana" w:eastAsia="Verdana" w:hAnsi="Verdana" w:cs="Verdana"/>
                <w:i/>
                <w:noProof/>
                <w:color w:val="000000"/>
                <w:sz w:val="18"/>
              </w:rPr>
            </w:pPr>
            <w:r>
              <w:rPr>
                <w:rFonts w:ascii="Verdana" w:eastAsia="Verdana" w:hAnsi="Verdana" w:cs="Verdana"/>
                <w:i/>
                <w:noProof/>
                <w:color w:val="000000"/>
                <w:sz w:val="18"/>
              </w:rPr>
              <w:t>Indirect management</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2BIPRECOV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w:t>
            </w:r>
          </w:p>
        </w:tc>
      </w:tr>
      <w:tr w:rsidR="00135552">
        <w:trPr>
          <w:trHeight w:val="255"/>
        </w:trPr>
        <w:tc>
          <w:tcPr>
            <w:tcW w:w="590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2BIPRECOVEXP"/>
              <w:rPr>
                <w:rFonts w:ascii="Verdana" w:eastAsia="Verdana" w:hAnsi="Verdana" w:cs="Verdana"/>
                <w:b/>
                <w:noProof/>
                <w:color w:val="000000"/>
                <w:sz w:val="18"/>
              </w:rPr>
            </w:pPr>
            <w:r>
              <w:rPr>
                <w:rFonts w:ascii="Verdana" w:eastAsia="Verdana" w:hAnsi="Verdana" w:cs="Verdana"/>
                <w:b/>
                <w:noProof/>
                <w:color w:val="000000"/>
                <w:sz w:val="18"/>
              </w:rPr>
              <w:t>Total</w:t>
            </w:r>
          </w:p>
        </w:tc>
        <w:tc>
          <w:tcPr>
            <w:tcW w:w="17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2BIPRECOVEXP"/>
              <w:jc w:val="right"/>
              <w:rPr>
                <w:rFonts w:ascii="Verdana" w:eastAsia="Verdana" w:hAnsi="Verdana" w:cs="Verdana"/>
                <w:b/>
                <w:noProof/>
                <w:color w:val="000000"/>
                <w:sz w:val="18"/>
              </w:rPr>
            </w:pPr>
            <w:r>
              <w:rPr>
                <w:rFonts w:ascii="Verdana" w:eastAsia="Verdana" w:hAnsi="Verdana" w:cs="Verdana"/>
                <w:b/>
                <w:noProof/>
                <w:color w:val="000000"/>
                <w:sz w:val="18"/>
              </w:rPr>
              <w:t>2 627</w:t>
            </w:r>
          </w:p>
        </w:tc>
        <w:tc>
          <w:tcPr>
            <w:tcW w:w="207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2BIPRECOVEXP"/>
              <w:jc w:val="right"/>
              <w:rPr>
                <w:rFonts w:ascii="Verdana" w:eastAsia="Verdana" w:hAnsi="Verdana" w:cs="Verdana"/>
                <w:b/>
                <w:noProof/>
                <w:color w:val="000000"/>
                <w:sz w:val="18"/>
              </w:rPr>
            </w:pPr>
            <w:r>
              <w:rPr>
                <w:rFonts w:ascii="Verdana" w:eastAsia="Verdana" w:hAnsi="Verdana" w:cs="Verdana"/>
                <w:b/>
                <w:noProof/>
                <w:color w:val="000000"/>
                <w:sz w:val="18"/>
              </w:rPr>
              <w:t>2 215</w:t>
            </w:r>
          </w:p>
        </w:tc>
      </w:tr>
    </w:tbl>
    <w:p w:rsidR="00135552" w:rsidRDefault="004C63B0">
      <w:pPr>
        <w:pStyle w:val="DGTextstand-alone"/>
      </w:pPr>
      <w:r>
        <w:t xml:space="preserve">This heading mainly represents the recovery orders issued by the Commission that are cashed or offset against (i.e. deducted from) subsequent payments </w:t>
      </w:r>
      <w:r>
        <w:t>recorded in the Commission's accounting system, issued so as to recover expenditure previously paid out from the EU budget. Recoveries are based on controls, audits or eligibility analysis and therefore, these operations protect the EU budget from expendit</w:t>
      </w:r>
      <w:r>
        <w:t>ure incurred in breach of law.</w:t>
      </w:r>
    </w:p>
    <w:p w:rsidR="00135552" w:rsidRDefault="004C63B0">
      <w:pPr>
        <w:pStyle w:val="DGTextstand-alone"/>
      </w:pPr>
      <w:r>
        <w:t>Recovery orders issued by Member States to beneficiaries of EAGF expenditure, as well as the variation of accrued income estimations from the previous year-end to the current year-end, are also included.</w:t>
      </w:r>
    </w:p>
    <w:p w:rsidR="00135552" w:rsidRDefault="004C63B0">
      <w:pPr>
        <w:pStyle w:val="Textstand-alone"/>
        <w:spacing w:before="0"/>
      </w:pPr>
      <w:r>
        <w:t xml:space="preserve">The amounts included </w:t>
      </w:r>
      <w:r>
        <w:t>in the above table represent revenue earned through the issuance of recovery orders. For this reason, these figures cannot and do not show the full extent of the measures taken to protect the EU budget, particularly for cohesion policy where specific mecha</w:t>
      </w:r>
      <w:r>
        <w:t>nisms are in place to ensure the correction of ineligible expenditure, most of which do not involve the issuance of a recovery order. Not included are amounts recovered through offsetting with expenses, amounts recovered by way of withdrawals and recoverie</w:t>
      </w:r>
      <w:r>
        <w:t>s of pre-financing amounts.</w:t>
      </w:r>
    </w:p>
    <w:p w:rsidR="00135552" w:rsidRDefault="004C63B0">
      <w:pPr>
        <w:pStyle w:val="DGTextstand-alone"/>
      </w:pPr>
      <w:r>
        <w:t xml:space="preserve">Shared management recoveries </w:t>
      </w:r>
      <w:r>
        <w:rPr>
          <w:rStyle w:val="DGTextstand-aloneChar"/>
        </w:rPr>
        <w:t>make up the bulk of the total:</w:t>
      </w:r>
    </w:p>
    <w:p w:rsidR="00135552" w:rsidRDefault="004C63B0">
      <w:pPr>
        <w:pStyle w:val="HEADER5"/>
        <w:rPr>
          <w:noProof/>
        </w:rPr>
      </w:pPr>
      <w:r>
        <w:rPr>
          <w:noProof/>
        </w:rPr>
        <w:t>Agriculture: EAGF and rural development</w:t>
      </w:r>
    </w:p>
    <w:p w:rsidR="00135552" w:rsidRDefault="004C63B0">
      <w:pPr>
        <w:pStyle w:val="DGTextstand-alone"/>
      </w:pPr>
      <w:r>
        <w:t>In the framework of the EAGF and the EAFRD, amounts accounted for as revenue of the year under this heading are financial correc</w:t>
      </w:r>
      <w:r>
        <w:t>tions of the year and reimbursements declared by Member States and recovered during the year, as well as the net increase in the outstanding amounts declared by Member States to be recovered at year-end concerning fraud and irregularities.</w:t>
      </w:r>
    </w:p>
    <w:p w:rsidR="00135552" w:rsidRDefault="004C63B0">
      <w:pPr>
        <w:pStyle w:val="HEADER5"/>
        <w:rPr>
          <w:noProof/>
        </w:rPr>
      </w:pPr>
      <w:r>
        <w:rPr>
          <w:noProof/>
        </w:rPr>
        <w:t>Cohesion policy</w:t>
      </w:r>
    </w:p>
    <w:p w:rsidR="00135552" w:rsidRDefault="004C63B0">
      <w:pPr>
        <w:pStyle w:val="DGTextstand-alone"/>
        <w:spacing w:after="0"/>
      </w:pPr>
      <w:r>
        <w:t>The main amounts related to cohesion policy relate to</w:t>
      </w:r>
      <w:r>
        <w:rPr>
          <w:color w:val="000000" w:themeColor="text1"/>
        </w:rPr>
        <w:t xml:space="preserve"> accrued income of EUR 1.4 billion (2018: EUR 1.1 billion) that the Commission expects to recover from the Member States. The recovery will be made as a result of the examination and acceptance of the an</w:t>
      </w:r>
      <w:r>
        <w:rPr>
          <w:color w:val="000000" w:themeColor="text1"/>
        </w:rPr>
        <w:t>nual accounts submitted by the Member States in early 2020. This procedure for the acceptance of Member States' annual accounts in the cohesion area started with the programming period 2014-2020.</w:t>
      </w:r>
    </w:p>
    <w:p w:rsidR="00135552" w:rsidRDefault="004C63B0">
      <w:pPr>
        <w:rPr>
          <w:rFonts w:ascii="Verdana" w:hAnsi="Verdana"/>
          <w:b/>
          <w:noProof/>
          <w:color w:val="016794"/>
          <w:sz w:val="28"/>
          <w:szCs w:val="28"/>
        </w:rPr>
      </w:pPr>
      <w:r>
        <w:rPr>
          <w:noProof/>
        </w:rPr>
        <w:br w:type="page"/>
      </w:r>
    </w:p>
    <w:p w:rsidR="00135552" w:rsidRDefault="004C63B0">
      <w:pPr>
        <w:pStyle w:val="HEADER2NOTES"/>
        <w:rPr>
          <w:noProof/>
        </w:rPr>
      </w:pPr>
      <w:r>
        <w:rPr>
          <w:noProof/>
        </w:rPr>
        <w:t>OTHER REVENUE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1511"/>
        <w:gridCol w:w="2258"/>
      </w:tblGrid>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1BIPONER"/>
              <w:rPr>
                <w:rFonts w:ascii="Arial" w:eastAsia="Arial" w:hAnsi="Arial" w:cs="Arial"/>
                <w:noProof/>
                <w:color w:val="000000"/>
                <w:lang w:bidi="en-GB"/>
              </w:rPr>
            </w:pPr>
            <w:bookmarkStart w:id="115" w:name="DOC_TBL00062_1_1"/>
            <w:bookmarkEnd w:id="115"/>
          </w:p>
        </w:tc>
        <w:tc>
          <w:tcPr>
            <w:tcW w:w="151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1BIPONER"/>
              <w:rPr>
                <w:rFonts w:ascii="Arial" w:eastAsia="Arial" w:hAnsi="Arial" w:cs="Arial"/>
                <w:noProof/>
                <w:color w:val="000000"/>
              </w:rPr>
            </w:pPr>
          </w:p>
        </w:tc>
        <w:tc>
          <w:tcPr>
            <w:tcW w:w="225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1BIPONE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98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1BIPONER"/>
              <w:jc w:val="right"/>
              <w:rPr>
                <w:rFonts w:ascii="Verdana" w:eastAsia="Verdana" w:hAnsi="Verdana" w:cs="Verdana"/>
                <w:noProof/>
                <w:color w:val="FFFFFF"/>
              </w:rPr>
            </w:pPr>
          </w:p>
        </w:tc>
        <w:tc>
          <w:tcPr>
            <w:tcW w:w="151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1BIPONER"/>
              <w:jc w:val="right"/>
              <w:rPr>
                <w:rFonts w:ascii="Verdana" w:eastAsia="Verdana" w:hAnsi="Verdana" w:cs="Verdana"/>
                <w:noProof/>
                <w:color w:val="FFFFFF"/>
              </w:rPr>
            </w:pPr>
            <w:r>
              <w:rPr>
                <w:rFonts w:ascii="Verdana" w:eastAsia="Verdana" w:hAnsi="Verdana" w:cs="Verdana"/>
                <w:noProof/>
                <w:color w:val="FFFFFF"/>
              </w:rPr>
              <w:t>2019</w:t>
            </w:r>
          </w:p>
        </w:tc>
        <w:tc>
          <w:tcPr>
            <w:tcW w:w="225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1BIPONER"/>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Contributions from third countries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1 485</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1 376</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Staff taxes and contributions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1 299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1 268</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Contributions from Member States for external aid</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 xml:space="preserve"> 331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594</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Transfer of assets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 xml:space="preserve"> 60</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85</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Adjustment of provisions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 xml:space="preserve"> 41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100</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Agricultural levies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Budgetary adjustments</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(1 719)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(726)</w:t>
            </w:r>
          </w:p>
        </w:tc>
      </w:tr>
      <w:tr w:rsidR="00135552">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rPr>
                <w:rFonts w:ascii="Verdana" w:eastAsia="Verdana" w:hAnsi="Verdana" w:cs="Verdana"/>
                <w:i/>
                <w:noProof/>
                <w:color w:val="000000"/>
                <w:sz w:val="18"/>
              </w:rPr>
            </w:pPr>
            <w:r>
              <w:rPr>
                <w:rFonts w:ascii="Verdana" w:eastAsia="Verdana" w:hAnsi="Verdana" w:cs="Verdana"/>
                <w:i/>
                <w:noProof/>
                <w:color w:val="000000"/>
                <w:sz w:val="18"/>
              </w:rPr>
              <w:t>Other</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rPr>
            </w:pPr>
            <w:r>
              <w:rPr>
                <w:rFonts w:ascii="Verdana" w:eastAsia="Verdana" w:hAnsi="Verdana" w:cs="Verdana"/>
                <w:i/>
                <w:noProof/>
                <w:color w:val="000000"/>
                <w:sz w:val="18"/>
              </w:rPr>
              <w:t xml:space="preserve"> 574</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1BIPON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612</w:t>
            </w:r>
          </w:p>
        </w:tc>
      </w:tr>
      <w:tr w:rsidR="00135552">
        <w:trPr>
          <w:trHeight w:val="255"/>
        </w:trPr>
        <w:tc>
          <w:tcPr>
            <w:tcW w:w="59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1BIPONER"/>
              <w:rPr>
                <w:rFonts w:ascii="Verdana" w:eastAsia="Verdana" w:hAnsi="Verdana" w:cs="Verdana"/>
                <w:b/>
                <w:noProof/>
                <w:color w:val="000000"/>
                <w:sz w:val="18"/>
              </w:rPr>
            </w:pPr>
            <w:r>
              <w:rPr>
                <w:rFonts w:ascii="Verdana" w:eastAsia="Verdana" w:hAnsi="Verdana" w:cs="Verdana"/>
                <w:b/>
                <w:noProof/>
                <w:color w:val="000000"/>
                <w:sz w:val="18"/>
              </w:rPr>
              <w:t>Total</w:t>
            </w:r>
          </w:p>
        </w:tc>
        <w:tc>
          <w:tcPr>
            <w:tcW w:w="151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1BIPONER"/>
              <w:jc w:val="right"/>
              <w:rPr>
                <w:rFonts w:ascii="Verdana" w:eastAsia="Verdana" w:hAnsi="Verdana" w:cs="Verdana"/>
                <w:b/>
                <w:noProof/>
                <w:color w:val="000000"/>
                <w:sz w:val="18"/>
              </w:rPr>
            </w:pPr>
            <w:r>
              <w:rPr>
                <w:rFonts w:ascii="Verdana" w:eastAsia="Verdana" w:hAnsi="Verdana" w:cs="Verdana"/>
                <w:b/>
                <w:noProof/>
                <w:color w:val="000000"/>
                <w:sz w:val="18"/>
              </w:rPr>
              <w:t>2 072</w:t>
            </w:r>
          </w:p>
        </w:tc>
        <w:tc>
          <w:tcPr>
            <w:tcW w:w="225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1BIPONER"/>
              <w:jc w:val="right"/>
              <w:rPr>
                <w:rFonts w:ascii="Verdana" w:eastAsia="Verdana" w:hAnsi="Verdana" w:cs="Verdana"/>
                <w:b/>
                <w:noProof/>
                <w:color w:val="000000"/>
                <w:sz w:val="18"/>
              </w:rPr>
            </w:pPr>
            <w:r>
              <w:rPr>
                <w:rFonts w:ascii="Verdana" w:eastAsia="Verdana" w:hAnsi="Verdana" w:cs="Verdana"/>
                <w:b/>
                <w:noProof/>
                <w:color w:val="000000"/>
                <w:sz w:val="18"/>
              </w:rPr>
              <w:t>3 312</w:t>
            </w:r>
          </w:p>
        </w:tc>
      </w:tr>
    </w:tbl>
    <w:p w:rsidR="00135552" w:rsidRDefault="004C63B0">
      <w:pPr>
        <w:pStyle w:val="DGTextstand-alone"/>
        <w:spacing w:after="0"/>
      </w:pPr>
      <w:r>
        <w:t>Contributions from third countries are contributions from EFTA countries and pre-accession countries.</w:t>
      </w:r>
    </w:p>
    <w:p w:rsidR="00135552" w:rsidRDefault="004C63B0">
      <w:pPr>
        <w:pStyle w:val="DGTextstand-alone"/>
      </w:pPr>
      <w:r>
        <w:t xml:space="preserve">Staff taxes and contributions revenue relates primarily to the deductions from </w:t>
      </w:r>
      <w:r>
        <w:t>staff salaries. Retirement contributions and income tax represent the substantial amounts within the category.</w:t>
      </w:r>
    </w:p>
    <w:p w:rsidR="00135552" w:rsidRDefault="004C63B0">
      <w:pPr>
        <w:pStyle w:val="DGTextstand-alone"/>
        <w:spacing w:after="0"/>
      </w:pPr>
      <w:r>
        <w:t>Contributions from Member States for external aid are mainly the amounts received to set up the Facility for Refugees in Turkey.</w:t>
      </w:r>
    </w:p>
    <w:p w:rsidR="00135552" w:rsidRDefault="004C63B0">
      <w:pPr>
        <w:pStyle w:val="DGTextstand-alone"/>
        <w:spacing w:after="0"/>
      </w:pPr>
      <w:r>
        <w:t>Transfer of asse</w:t>
      </w:r>
      <w:r>
        <w:t xml:space="preserve">ts revenue relates mainly to the transfer of satellites under the Copernicus programme from the European Space Agency (ESA) to the Commission (see note </w:t>
      </w:r>
      <w:r>
        <w:rPr>
          <w:b/>
        </w:rPr>
        <w:t>2.2</w:t>
      </w:r>
      <w:r>
        <w:t>). This transfer is a non-exchange transaction according to the EU accounting rules and will occur in</w:t>
      </w:r>
      <w:r>
        <w:t xml:space="preserve"> future periods for the remaining Copernicus satellites currently under construction.</w:t>
      </w:r>
    </w:p>
    <w:p w:rsidR="00135552" w:rsidRDefault="004C63B0">
      <w:pPr>
        <w:pStyle w:val="DGTextstand-alone"/>
        <w:spacing w:after="0"/>
      </w:pPr>
      <w:r>
        <w:t>The budgetary adjustments resulted in a negative amount as the positive effect from taking in the budget surplus from the previous year of EUR 1 803 million (2018: EUR 55</w:t>
      </w:r>
      <w:r>
        <w:t>5 million) was overcompensated by GNI/VAT adjustments of EUR 3 443 million (2018: EUR 1 292 million).</w:t>
      </w:r>
    </w:p>
    <w:p w:rsidR="00135552" w:rsidRDefault="004C63B0">
      <w:pPr>
        <w:pStyle w:val="DGTextstand-alone"/>
        <w:spacing w:after="0"/>
      </w:pPr>
      <w:r>
        <w:t xml:space="preserve">Other revenue from non-exchange transactions includes EUR 151 million of Member State contributions to Fusion for Energy, the European Joint Undertdaking </w:t>
      </w:r>
      <w:r>
        <w:t>for ITER and the Development of Fusion Energy.</w:t>
      </w:r>
    </w:p>
    <w:p w:rsidR="00135552" w:rsidRDefault="004C63B0">
      <w:pPr>
        <w:pStyle w:val="HEADERTABLE"/>
        <w:spacing w:before="360" w:after="360"/>
        <w:rPr>
          <w:noProof/>
          <w:lang w:val="en-US"/>
        </w:rPr>
      </w:pPr>
      <w:r>
        <w:rPr>
          <w:noProof/>
          <w:lang w:val="en-US"/>
        </w:rPr>
        <w:t>REVENUE FROM EXCHANGE TRANSACTIONS</w:t>
      </w:r>
    </w:p>
    <w:p w:rsidR="00135552" w:rsidRDefault="004C63B0">
      <w:pPr>
        <w:pStyle w:val="HEADER2NOTES"/>
        <w:rPr>
          <w:noProof/>
          <w:lang w:val="en-US"/>
        </w:rPr>
      </w:pPr>
      <w:r>
        <w:rPr>
          <w:noProof/>
          <w:lang w:val="en-US"/>
        </w:rPr>
        <w:t>FINANCIAL REVENUE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257"/>
        <w:gridCol w:w="1358"/>
      </w:tblGrid>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1BIPFINREV"/>
              <w:rPr>
                <w:rFonts w:ascii="Arial" w:eastAsia="Arial" w:hAnsi="Arial" w:cs="Arial"/>
                <w:noProof/>
                <w:color w:val="000000"/>
                <w:lang w:bidi="en-GB"/>
              </w:rPr>
            </w:pPr>
            <w:bookmarkStart w:id="116" w:name="DOC_TBL00063_1_1"/>
            <w:bookmarkEnd w:id="116"/>
          </w:p>
        </w:tc>
        <w:tc>
          <w:tcPr>
            <w:tcW w:w="125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1BIPFINREV"/>
              <w:rPr>
                <w:rFonts w:ascii="Arial" w:eastAsia="Arial" w:hAnsi="Arial" w:cs="Arial"/>
                <w:noProof/>
                <w:color w:val="000000"/>
              </w:rPr>
            </w:pPr>
          </w:p>
        </w:tc>
        <w:tc>
          <w:tcPr>
            <w:tcW w:w="1358" w:type="dxa"/>
            <w:tcBorders>
              <w:top w:val="nil"/>
              <w:left w:val="nil"/>
              <w:bottom w:val="nil"/>
              <w:right w:val="nil"/>
              <w:tl2br w:val="nil"/>
              <w:tr2bl w:val="nil"/>
            </w:tcBorders>
            <w:shd w:val="solid" w:color="FFFFFF" w:fill="FFFFFF"/>
            <w:tcMar>
              <w:left w:w="60" w:type="dxa"/>
              <w:right w:w="60" w:type="dxa"/>
            </w:tcMar>
            <w:vAlign w:val="bottom"/>
          </w:tcPr>
          <w:p w:rsidR="00135552" w:rsidRDefault="004C63B0">
            <w:pPr>
              <w:pStyle w:val="DMETW17231BIPFINREV"/>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714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1BIPFINREV"/>
              <w:jc w:val="right"/>
              <w:rPr>
                <w:rFonts w:ascii="Verdana" w:eastAsia="Verdana" w:hAnsi="Verdana" w:cs="Verdana"/>
                <w:noProof/>
                <w:color w:val="FFFFFF"/>
              </w:rPr>
            </w:pPr>
          </w:p>
        </w:tc>
        <w:tc>
          <w:tcPr>
            <w:tcW w:w="12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1BIPFINREV"/>
              <w:jc w:val="right"/>
              <w:rPr>
                <w:rFonts w:ascii="Verdana" w:eastAsia="Verdana" w:hAnsi="Verdana" w:cs="Verdana"/>
                <w:noProof/>
                <w:color w:val="FFFFFF"/>
              </w:rPr>
            </w:pPr>
            <w:r>
              <w:rPr>
                <w:rFonts w:ascii="Verdana" w:eastAsia="Verdana" w:hAnsi="Verdana" w:cs="Verdana"/>
                <w:noProof/>
                <w:color w:val="FFFFFF"/>
              </w:rPr>
              <w:t>2019</w:t>
            </w:r>
          </w:p>
        </w:tc>
        <w:tc>
          <w:tcPr>
            <w:tcW w:w="135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1BIPFINREV"/>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Interest on:</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1BIPFINREV"/>
              <w:jc w:val="right"/>
              <w:rPr>
                <w:rFonts w:ascii="Verdana" w:eastAsia="Verdana" w:hAnsi="Verdana" w:cs="Verdana"/>
                <w:i/>
                <w:noProof/>
                <w:color w:val="000000"/>
                <w:sz w:val="18"/>
              </w:rPr>
            </w:pP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1BIPFINREV"/>
              <w:jc w:val="right"/>
              <w:rPr>
                <w:rFonts w:ascii="Verdana" w:eastAsia="Verdana" w:hAnsi="Verdana" w:cs="Verdana"/>
                <w:i/>
                <w:noProof/>
                <w:color w:val="000000"/>
                <w:sz w:val="18"/>
                <w:lang w:bidi="en-GB"/>
              </w:rPr>
            </w:pP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 xml:space="preserve">     Late payments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133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1 458</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 xml:space="preserve">     Loans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1 180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1 265</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 xml:space="preserve">     Other </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70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68</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 xml:space="preserve">Premium on financial guarantee </w:t>
            </w:r>
            <w:r>
              <w:rPr>
                <w:rFonts w:ascii="Verdana" w:eastAsia="Verdana" w:hAnsi="Verdana" w:cs="Verdana"/>
                <w:i/>
                <w:noProof/>
                <w:color w:val="000000"/>
                <w:sz w:val="18"/>
              </w:rPr>
              <w:t>liability</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193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121</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Dividends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29</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103</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Financial revenue from financial assets or liabilities at fair value through surplus or deficit</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125</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Realised gains on available for sale financial assets</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82</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23</w:t>
            </w:r>
          </w:p>
        </w:tc>
      </w:tr>
      <w:tr w:rsidR="00135552">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rPr>
                <w:rFonts w:ascii="Verdana" w:eastAsia="Verdana" w:hAnsi="Verdana" w:cs="Verdana"/>
                <w:i/>
                <w:noProof/>
                <w:color w:val="000000"/>
                <w:sz w:val="18"/>
              </w:rPr>
            </w:pPr>
            <w:r>
              <w:rPr>
                <w:rFonts w:ascii="Verdana" w:eastAsia="Verdana" w:hAnsi="Verdana" w:cs="Verdana"/>
                <w:i/>
                <w:noProof/>
                <w:color w:val="000000"/>
                <w:sz w:val="18"/>
              </w:rPr>
              <w:t>Other</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1BIPFINREV"/>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48</w:t>
            </w:r>
          </w:p>
        </w:tc>
      </w:tr>
      <w:tr w:rsidR="00135552">
        <w:trPr>
          <w:trHeight w:val="255"/>
        </w:trPr>
        <w:tc>
          <w:tcPr>
            <w:tcW w:w="71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1BIPFINREV"/>
              <w:rPr>
                <w:rFonts w:ascii="Verdana" w:eastAsia="Verdana" w:hAnsi="Verdana" w:cs="Verdana"/>
                <w:b/>
                <w:noProof/>
                <w:color w:val="000000"/>
                <w:sz w:val="18"/>
              </w:rPr>
            </w:pPr>
            <w:r>
              <w:rPr>
                <w:rFonts w:ascii="Verdana" w:eastAsia="Verdana" w:hAnsi="Verdana" w:cs="Verdana"/>
                <w:b/>
                <w:noProof/>
                <w:color w:val="000000"/>
                <w:sz w:val="18"/>
              </w:rPr>
              <w:t>Total</w:t>
            </w:r>
          </w:p>
        </w:tc>
        <w:tc>
          <w:tcPr>
            <w:tcW w:w="125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1BIPFINREV"/>
              <w:jc w:val="right"/>
              <w:rPr>
                <w:rFonts w:ascii="Verdana" w:eastAsia="Verdana" w:hAnsi="Verdana" w:cs="Verdana"/>
                <w:b/>
                <w:noProof/>
                <w:color w:val="000000"/>
                <w:sz w:val="18"/>
              </w:rPr>
            </w:pPr>
            <w:r>
              <w:rPr>
                <w:rFonts w:ascii="Verdana" w:eastAsia="Verdana" w:hAnsi="Verdana" w:cs="Verdana"/>
                <w:b/>
                <w:noProof/>
                <w:color w:val="000000"/>
                <w:sz w:val="18"/>
              </w:rPr>
              <w:t>1 817</w:t>
            </w:r>
          </w:p>
        </w:tc>
        <w:tc>
          <w:tcPr>
            <w:tcW w:w="135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1BIPFINREV"/>
              <w:jc w:val="right"/>
              <w:rPr>
                <w:rFonts w:ascii="Verdana" w:eastAsia="Verdana" w:hAnsi="Verdana" w:cs="Verdana"/>
                <w:b/>
                <w:noProof/>
                <w:color w:val="000000"/>
                <w:sz w:val="18"/>
              </w:rPr>
            </w:pPr>
            <w:r>
              <w:rPr>
                <w:rFonts w:ascii="Verdana" w:eastAsia="Verdana" w:hAnsi="Verdana" w:cs="Verdana"/>
                <w:b/>
                <w:noProof/>
                <w:color w:val="000000"/>
                <w:sz w:val="18"/>
              </w:rPr>
              <w:t>3 115</w:t>
            </w:r>
          </w:p>
        </w:tc>
      </w:tr>
    </w:tbl>
    <w:p w:rsidR="00135552" w:rsidRDefault="004C63B0">
      <w:pPr>
        <w:pStyle w:val="Textstand-alone"/>
        <w:spacing w:after="0"/>
      </w:pPr>
      <w:r>
        <w:rPr>
          <w:rFonts w:eastAsia="Calibri"/>
        </w:rPr>
        <w:t xml:space="preserve">The late payment interest of 2018 included a large initial interest revenue on late payments in relation to the UK infringement case and the TOR inspection reports (see note </w:t>
      </w:r>
      <w:r>
        <w:rPr>
          <w:rFonts w:eastAsia="Calibri"/>
          <w:b/>
        </w:rPr>
        <w:t>2.6.1.1</w:t>
      </w:r>
      <w:r>
        <w:rPr>
          <w:rFonts w:eastAsia="Calibri"/>
        </w:rPr>
        <w:t>). This year additional revenue has been recognised for the infringement ca</w:t>
      </w:r>
      <w:r>
        <w:rPr>
          <w:rFonts w:eastAsia="Calibri"/>
        </w:rPr>
        <w:t xml:space="preserve">se as well as a downwards adjustment of interest concerning TOR inspection reports (see note </w:t>
      </w:r>
      <w:r>
        <w:rPr>
          <w:rFonts w:eastAsia="Calibri"/>
          <w:b/>
        </w:rPr>
        <w:t>2.6.1.1</w:t>
      </w:r>
      <w:r>
        <w:rPr>
          <w:rFonts w:eastAsia="Calibri"/>
        </w:rPr>
        <w:t>).</w:t>
      </w:r>
    </w:p>
    <w:p w:rsidR="00135552" w:rsidRDefault="004C63B0">
      <w:pPr>
        <w:pStyle w:val="Textstand-alone"/>
        <w:spacing w:after="0"/>
      </w:pPr>
      <w:r>
        <w:t xml:space="preserve">Interest revenue on loans relates mainly to loans granted for financial assistance (see note </w:t>
      </w:r>
      <w:r>
        <w:rPr>
          <w:b/>
        </w:rPr>
        <w:t>2.4.3</w:t>
      </w:r>
      <w:r>
        <w:t>).</w:t>
      </w:r>
    </w:p>
    <w:p w:rsidR="00135552" w:rsidRDefault="004C63B0">
      <w:pPr>
        <w:pStyle w:val="HEADER2NOTES"/>
        <w:ind w:left="0" w:firstLine="0"/>
        <w:rPr>
          <w:noProof/>
        </w:rPr>
      </w:pPr>
      <w:r>
        <w:rPr>
          <w:noProof/>
        </w:rPr>
        <w:t>OTHER REVENUE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1517"/>
        <w:gridCol w:w="1517"/>
      </w:tblGrid>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3BIPOER"/>
              <w:rPr>
                <w:rFonts w:ascii="Arial" w:eastAsia="Arial" w:hAnsi="Arial" w:cs="Arial"/>
                <w:noProof/>
                <w:color w:val="000000"/>
                <w:lang w:bidi="en-GB"/>
              </w:rPr>
            </w:pPr>
            <w:bookmarkStart w:id="117" w:name="DOC_TBL00064_1_1"/>
            <w:bookmarkEnd w:id="117"/>
          </w:p>
        </w:tc>
        <w:tc>
          <w:tcPr>
            <w:tcW w:w="151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3BIPOER"/>
              <w:rPr>
                <w:rFonts w:ascii="Arial" w:eastAsia="Arial" w:hAnsi="Arial" w:cs="Arial"/>
                <w:noProof/>
                <w:color w:val="000000"/>
              </w:rPr>
            </w:pPr>
          </w:p>
        </w:tc>
        <w:tc>
          <w:tcPr>
            <w:tcW w:w="1517"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53BIPOER"/>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55"/>
        </w:trPr>
        <w:tc>
          <w:tcPr>
            <w:tcW w:w="672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3BIPOER"/>
              <w:jc w:val="right"/>
              <w:rPr>
                <w:rFonts w:ascii="Verdana" w:eastAsia="Verdana" w:hAnsi="Verdana" w:cs="Verdana"/>
                <w:noProof/>
                <w:color w:val="FFFFFF"/>
              </w:rPr>
            </w:pP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3BIPOER"/>
              <w:jc w:val="right"/>
              <w:rPr>
                <w:rFonts w:ascii="Verdana" w:eastAsia="Verdana" w:hAnsi="Verdana" w:cs="Verdana"/>
                <w:noProof/>
                <w:color w:val="FFFFFF"/>
              </w:rPr>
            </w:pPr>
            <w:r>
              <w:rPr>
                <w:rFonts w:ascii="Verdana" w:eastAsia="Verdana" w:hAnsi="Verdana" w:cs="Verdana"/>
                <w:noProof/>
                <w:color w:val="FFFFFF"/>
              </w:rPr>
              <w:t>2019</w:t>
            </w: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3BIPOER"/>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Fee revenue for rendering of services (agencies)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592</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602</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Foreign exchange gains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347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329</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Fee and premium revenue related to financial instruments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43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54</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Share of net result of EIF</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53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37</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Sales of goods</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31</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33</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 xml:space="preserve">Fixed assets </w:t>
            </w:r>
            <w:r>
              <w:rPr>
                <w:rFonts w:ascii="Verdana" w:eastAsia="Verdana" w:hAnsi="Verdana" w:cs="Verdana"/>
                <w:i/>
                <w:noProof/>
                <w:color w:val="000000"/>
                <w:sz w:val="18"/>
              </w:rPr>
              <w:t>related revenue</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27</w:t>
            </w:r>
          </w:p>
        </w:tc>
      </w:tr>
      <w:tr w:rsidR="00135552">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rPr>
                <w:rFonts w:ascii="Verdana" w:eastAsia="Verdana" w:hAnsi="Verdana" w:cs="Verdana"/>
                <w:i/>
                <w:noProof/>
                <w:color w:val="000000"/>
                <w:sz w:val="18"/>
              </w:rPr>
            </w:pPr>
            <w:r>
              <w:rPr>
                <w:rFonts w:ascii="Verdana" w:eastAsia="Verdana" w:hAnsi="Verdana" w:cs="Verdana"/>
                <w:i/>
                <w:noProof/>
                <w:color w:val="000000"/>
                <w:sz w:val="18"/>
              </w:rPr>
              <w:t>Other</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rPr>
            </w:pPr>
            <w:r>
              <w:rPr>
                <w:rFonts w:ascii="Verdana" w:eastAsia="Verdana" w:hAnsi="Verdana" w:cs="Verdana"/>
                <w:i/>
                <w:noProof/>
                <w:color w:val="000000"/>
                <w:sz w:val="18"/>
              </w:rPr>
              <w:t xml:space="preserve"> 227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3BIPOE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297</w:t>
            </w:r>
          </w:p>
        </w:tc>
      </w:tr>
      <w:tr w:rsidR="00135552">
        <w:trPr>
          <w:trHeight w:val="255"/>
        </w:trPr>
        <w:tc>
          <w:tcPr>
            <w:tcW w:w="672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3BIPOER"/>
              <w:rPr>
                <w:rFonts w:ascii="Verdana" w:eastAsia="Verdana" w:hAnsi="Verdana" w:cs="Verdana"/>
                <w:b/>
                <w:noProof/>
                <w:color w:val="000000"/>
                <w:sz w:val="18"/>
              </w:rPr>
            </w:pPr>
            <w:r>
              <w:rPr>
                <w:rFonts w:ascii="Verdana" w:eastAsia="Verdana" w:hAnsi="Verdana" w:cs="Verdana"/>
                <w:b/>
                <w:noProof/>
                <w:color w:val="000000"/>
                <w:sz w:val="18"/>
              </w:rPr>
              <w:t>Total</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3BIPOER"/>
              <w:jc w:val="right"/>
              <w:rPr>
                <w:rFonts w:ascii="Verdana" w:eastAsia="Verdana" w:hAnsi="Verdana" w:cs="Verdana"/>
                <w:b/>
                <w:noProof/>
                <w:color w:val="000000"/>
                <w:sz w:val="18"/>
              </w:rPr>
            </w:pPr>
            <w:r>
              <w:rPr>
                <w:rFonts w:ascii="Verdana" w:eastAsia="Verdana" w:hAnsi="Verdana" w:cs="Verdana"/>
                <w:b/>
                <w:noProof/>
                <w:color w:val="000000"/>
                <w:sz w:val="18"/>
              </w:rPr>
              <w:t>1 298</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3BIPOER"/>
              <w:jc w:val="right"/>
              <w:rPr>
                <w:rFonts w:ascii="Verdana" w:eastAsia="Verdana" w:hAnsi="Verdana" w:cs="Verdana"/>
                <w:b/>
                <w:noProof/>
                <w:color w:val="000000"/>
                <w:sz w:val="18"/>
              </w:rPr>
            </w:pPr>
            <w:r>
              <w:rPr>
                <w:rFonts w:ascii="Verdana" w:eastAsia="Verdana" w:hAnsi="Verdana" w:cs="Verdana"/>
                <w:b/>
                <w:noProof/>
                <w:color w:val="000000"/>
                <w:sz w:val="18"/>
              </w:rPr>
              <w:t>1 379</w:t>
            </w:r>
          </w:p>
        </w:tc>
      </w:tr>
    </w:tbl>
    <w:p w:rsidR="00135552" w:rsidRDefault="004C63B0">
      <w:pPr>
        <w:pStyle w:val="DGTextstand-alone"/>
        <w:spacing w:after="0"/>
        <w:sectPr w:rsidR="00135552">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r>
        <w:t>Fee revenue for rendering of services mainly includes marketing authorisation fees charged by the</w:t>
      </w:r>
      <w:r>
        <w:t xml:space="preserve"> European Medicines Agency and trademark fees collected by the European Union Intellectual Property Office.</w:t>
      </w:r>
      <w:bookmarkEnd w:id="112"/>
    </w:p>
    <w:p w:rsidR="00135552" w:rsidRDefault="004C63B0">
      <w:pPr>
        <w:pStyle w:val="HEADERTABLE"/>
        <w:spacing w:before="360" w:after="360"/>
        <w:rPr>
          <w:noProof/>
        </w:rPr>
        <w:sectPr w:rsidR="00135552">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bookmarkStart w:id="118" w:name="_DMBM_17125"/>
      <w:r>
        <w:rPr>
          <w:noProof/>
        </w:rPr>
        <w:t xml:space="preserve">EXPENSES </w:t>
      </w:r>
      <w:bookmarkEnd w:id="118"/>
    </w:p>
    <w:p w:rsidR="00135552" w:rsidRDefault="004C63B0">
      <w:pPr>
        <w:pStyle w:val="HEADER2NOTES"/>
        <w:rPr>
          <w:noProof/>
          <w:lang w:val="fr-BE"/>
        </w:rPr>
      </w:pPr>
      <w:bookmarkStart w:id="119" w:name="_DMBM_17174"/>
      <w:r>
        <w:rPr>
          <w:noProof/>
          <w:lang w:val="fr-BE"/>
        </w:rPr>
        <w:t>SHARED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9"/>
        <w:gridCol w:w="1669"/>
        <w:gridCol w:w="1670"/>
      </w:tblGrid>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488BIPSM"/>
              <w:rPr>
                <w:rFonts w:ascii="Arial" w:eastAsia="Arial" w:hAnsi="Arial" w:cs="Arial"/>
                <w:noProof/>
                <w:color w:val="000000"/>
                <w:lang w:bidi="en-GB"/>
              </w:rPr>
            </w:pPr>
            <w:bookmarkStart w:id="120" w:name="DOC_TBL00065_1_1"/>
            <w:bookmarkEnd w:id="120"/>
          </w:p>
        </w:tc>
        <w:tc>
          <w:tcPr>
            <w:tcW w:w="166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488BIPSM"/>
              <w:rPr>
                <w:rFonts w:ascii="Arial" w:eastAsia="Arial" w:hAnsi="Arial" w:cs="Arial"/>
                <w:noProof/>
                <w:color w:val="000000"/>
              </w:rPr>
            </w:pPr>
          </w:p>
        </w:tc>
        <w:tc>
          <w:tcPr>
            <w:tcW w:w="16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488BIPSM"/>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4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488BIPSM"/>
              <w:rPr>
                <w:rFonts w:ascii="Verdana" w:eastAsia="Verdana" w:hAnsi="Verdana" w:cs="Verdana"/>
                <w:noProof/>
                <w:color w:val="FFFFFF"/>
                <w:sz w:val="18"/>
              </w:rPr>
            </w:pPr>
            <w:r>
              <w:rPr>
                <w:rFonts w:ascii="Verdana" w:eastAsia="Verdana" w:hAnsi="Verdana" w:cs="Verdana"/>
                <w:noProof/>
                <w:color w:val="FFFFFF"/>
                <w:sz w:val="18"/>
              </w:rPr>
              <w:t>Implemented by Member States</w:t>
            </w:r>
          </w:p>
        </w:tc>
        <w:tc>
          <w:tcPr>
            <w:tcW w:w="166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488BIPSM"/>
              <w:jc w:val="right"/>
              <w:rPr>
                <w:rFonts w:ascii="Verdana" w:eastAsia="Verdana" w:hAnsi="Verdana" w:cs="Verdana"/>
                <w:noProof/>
                <w:color w:val="FFFFFF"/>
              </w:rPr>
            </w:pPr>
            <w:r>
              <w:rPr>
                <w:rFonts w:ascii="Verdana" w:eastAsia="Verdana" w:hAnsi="Verdana" w:cs="Verdana"/>
                <w:noProof/>
                <w:color w:val="FFFFFF"/>
              </w:rPr>
              <w:t>2019</w:t>
            </w:r>
          </w:p>
        </w:tc>
        <w:tc>
          <w:tcPr>
            <w:tcW w:w="167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488BIPSM"/>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rPr>
                <w:rFonts w:ascii="Verdana" w:eastAsia="Verdana" w:hAnsi="Verdana" w:cs="Verdana"/>
                <w:i/>
                <w:noProof/>
                <w:color w:val="000000"/>
                <w:sz w:val="18"/>
              </w:rPr>
            </w:pPr>
            <w:r>
              <w:rPr>
                <w:rFonts w:ascii="Verdana" w:eastAsia="Verdana" w:hAnsi="Verdana" w:cs="Verdana"/>
                <w:i/>
                <w:noProof/>
                <w:color w:val="000000"/>
                <w:sz w:val="18"/>
              </w:rPr>
              <w:t>European Agricultural Guarantee Fund</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rPr>
            </w:pPr>
            <w:r>
              <w:rPr>
                <w:rFonts w:ascii="Verdana" w:eastAsia="Verdana" w:hAnsi="Verdana" w:cs="Verdana"/>
                <w:i/>
                <w:noProof/>
                <w:color w:val="000000"/>
                <w:sz w:val="18"/>
              </w:rPr>
              <w:t>43 951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lang w:bidi="en-GB"/>
              </w:rPr>
            </w:pPr>
            <w:r>
              <w:rPr>
                <w:rFonts w:ascii="Verdana" w:eastAsia="Verdana" w:hAnsi="Verdana" w:cs="Verdana"/>
                <w:i/>
                <w:noProof/>
                <w:color w:val="000000"/>
                <w:sz w:val="18"/>
              </w:rPr>
              <w:t>43 527</w:t>
            </w:r>
          </w:p>
        </w:tc>
      </w:tr>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rPr>
                <w:rFonts w:ascii="Verdana" w:eastAsia="Verdana" w:hAnsi="Verdana" w:cs="Verdana"/>
                <w:i/>
                <w:noProof/>
                <w:color w:val="000000"/>
                <w:sz w:val="18"/>
              </w:rPr>
            </w:pPr>
            <w:r>
              <w:rPr>
                <w:rFonts w:ascii="Verdana" w:eastAsia="Verdana" w:hAnsi="Verdana" w:cs="Verdana"/>
                <w:i/>
                <w:noProof/>
                <w:color w:val="000000"/>
                <w:sz w:val="18"/>
              </w:rPr>
              <w:t>European Agricultural Fund for Rural Development and other rural development instruments</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rPr>
            </w:pPr>
            <w:r>
              <w:rPr>
                <w:rFonts w:ascii="Verdana" w:eastAsia="Verdana" w:hAnsi="Verdana" w:cs="Verdana"/>
                <w:i/>
                <w:noProof/>
                <w:color w:val="000000"/>
                <w:sz w:val="18"/>
              </w:rPr>
              <w:t>13 541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lang w:bidi="en-GB"/>
              </w:rPr>
            </w:pPr>
            <w:r>
              <w:rPr>
                <w:rFonts w:ascii="Verdana" w:eastAsia="Verdana" w:hAnsi="Verdana" w:cs="Verdana"/>
                <w:i/>
                <w:noProof/>
                <w:color w:val="000000"/>
                <w:sz w:val="18"/>
              </w:rPr>
              <w:t>13 149</w:t>
            </w:r>
          </w:p>
        </w:tc>
      </w:tr>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rPr>
                <w:rFonts w:ascii="Verdana" w:eastAsia="Verdana" w:hAnsi="Verdana" w:cs="Verdana"/>
                <w:i/>
                <w:noProof/>
                <w:color w:val="000000"/>
                <w:sz w:val="18"/>
              </w:rPr>
            </w:pPr>
            <w:r>
              <w:rPr>
                <w:rFonts w:ascii="Verdana" w:eastAsia="Verdana" w:hAnsi="Verdana" w:cs="Verdana"/>
                <w:i/>
                <w:noProof/>
                <w:color w:val="000000"/>
                <w:sz w:val="18"/>
              </w:rPr>
              <w:t>European Regional Development Fund and Cohesion Fund</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rPr>
            </w:pPr>
            <w:r>
              <w:rPr>
                <w:rFonts w:ascii="Verdana" w:eastAsia="Verdana" w:hAnsi="Verdana" w:cs="Verdana"/>
                <w:i/>
                <w:noProof/>
                <w:color w:val="000000"/>
                <w:sz w:val="18"/>
              </w:rPr>
              <w:t>35 178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lang w:bidi="en-GB"/>
              </w:rPr>
            </w:pPr>
            <w:r>
              <w:rPr>
                <w:rFonts w:ascii="Verdana" w:eastAsia="Verdana" w:hAnsi="Verdana" w:cs="Verdana"/>
                <w:i/>
                <w:noProof/>
                <w:color w:val="000000"/>
                <w:sz w:val="18"/>
              </w:rPr>
              <w:t>30 230</w:t>
            </w:r>
          </w:p>
        </w:tc>
      </w:tr>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rPr>
                <w:rFonts w:ascii="Verdana" w:eastAsia="Verdana" w:hAnsi="Verdana" w:cs="Verdana"/>
                <w:i/>
                <w:noProof/>
                <w:color w:val="000000"/>
                <w:sz w:val="18"/>
              </w:rPr>
            </w:pPr>
            <w:r>
              <w:rPr>
                <w:rFonts w:ascii="Verdana" w:eastAsia="Verdana" w:hAnsi="Verdana" w:cs="Verdana"/>
                <w:i/>
                <w:noProof/>
                <w:color w:val="000000"/>
                <w:sz w:val="18"/>
              </w:rPr>
              <w:t>European Social Fund</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rPr>
            </w:pPr>
            <w:r>
              <w:rPr>
                <w:rFonts w:ascii="Verdana" w:eastAsia="Verdana" w:hAnsi="Verdana" w:cs="Verdana"/>
                <w:i/>
                <w:noProof/>
                <w:color w:val="000000"/>
                <w:sz w:val="18"/>
              </w:rPr>
              <w:t>11 218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lang w:bidi="en-GB"/>
              </w:rPr>
            </w:pPr>
            <w:r>
              <w:rPr>
                <w:rFonts w:ascii="Verdana" w:eastAsia="Verdana" w:hAnsi="Verdana" w:cs="Verdana"/>
                <w:i/>
                <w:noProof/>
                <w:color w:val="000000"/>
                <w:sz w:val="18"/>
              </w:rPr>
              <w:t>11 935</w:t>
            </w:r>
          </w:p>
        </w:tc>
      </w:tr>
      <w:tr w:rsidR="00135552">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rPr>
                <w:rFonts w:ascii="Verdana" w:eastAsia="Verdana" w:hAnsi="Verdana" w:cs="Verdana"/>
                <w:i/>
                <w:noProof/>
                <w:color w:val="000000"/>
                <w:sz w:val="18"/>
              </w:rPr>
            </w:pPr>
            <w:r>
              <w:rPr>
                <w:rFonts w:ascii="Verdana" w:eastAsia="Verdana" w:hAnsi="Verdana" w:cs="Verdana"/>
                <w:i/>
                <w:noProof/>
                <w:color w:val="000000"/>
                <w:sz w:val="18"/>
              </w:rPr>
              <w:t>Other</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rPr>
            </w:pPr>
            <w:r>
              <w:rPr>
                <w:rFonts w:ascii="Verdana" w:eastAsia="Verdana" w:hAnsi="Verdana" w:cs="Verdana"/>
                <w:i/>
                <w:noProof/>
                <w:color w:val="000000"/>
                <w:sz w:val="18"/>
              </w:rPr>
              <w:t>2 608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488BIPSM"/>
              <w:jc w:val="right"/>
              <w:rPr>
                <w:rFonts w:ascii="Verdana" w:eastAsia="Verdana" w:hAnsi="Verdana" w:cs="Verdana"/>
                <w:i/>
                <w:noProof/>
                <w:color w:val="000000"/>
                <w:sz w:val="18"/>
                <w:lang w:bidi="en-GB"/>
              </w:rPr>
            </w:pPr>
            <w:r>
              <w:rPr>
                <w:rFonts w:ascii="Verdana" w:eastAsia="Verdana" w:hAnsi="Verdana" w:cs="Verdana"/>
                <w:i/>
                <w:noProof/>
                <w:color w:val="000000"/>
                <w:sz w:val="18"/>
              </w:rPr>
              <w:t>2 826</w:t>
            </w:r>
          </w:p>
        </w:tc>
      </w:tr>
      <w:tr w:rsidR="00135552">
        <w:trPr>
          <w:trHeight w:val="255"/>
        </w:trPr>
        <w:tc>
          <w:tcPr>
            <w:tcW w:w="641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488BIPSM"/>
              <w:rPr>
                <w:rFonts w:ascii="Verdana" w:eastAsia="Verdana" w:hAnsi="Verdana" w:cs="Verdana"/>
                <w:b/>
                <w:noProof/>
                <w:color w:val="000000"/>
                <w:sz w:val="18"/>
              </w:rPr>
            </w:pPr>
            <w:r>
              <w:rPr>
                <w:rFonts w:ascii="Verdana" w:eastAsia="Verdana" w:hAnsi="Verdana" w:cs="Verdana"/>
                <w:b/>
                <w:noProof/>
                <w:color w:val="000000"/>
                <w:sz w:val="18"/>
              </w:rPr>
              <w:t>Total</w:t>
            </w:r>
          </w:p>
        </w:tc>
        <w:tc>
          <w:tcPr>
            <w:tcW w:w="1669"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488BIPSM"/>
              <w:jc w:val="right"/>
              <w:rPr>
                <w:rFonts w:ascii="Verdana" w:eastAsia="Verdana" w:hAnsi="Verdana" w:cs="Verdana"/>
                <w:b/>
                <w:noProof/>
                <w:color w:val="000000"/>
                <w:sz w:val="18"/>
              </w:rPr>
            </w:pPr>
            <w:r>
              <w:rPr>
                <w:rFonts w:ascii="Verdana" w:eastAsia="Verdana" w:hAnsi="Verdana" w:cs="Verdana"/>
                <w:b/>
                <w:noProof/>
                <w:color w:val="000000"/>
                <w:sz w:val="18"/>
              </w:rPr>
              <w:t>106 495</w:t>
            </w:r>
          </w:p>
        </w:tc>
        <w:tc>
          <w:tcPr>
            <w:tcW w:w="1670"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488BIPSM"/>
              <w:jc w:val="right"/>
              <w:rPr>
                <w:rFonts w:ascii="Verdana" w:eastAsia="Verdana" w:hAnsi="Verdana" w:cs="Verdana"/>
                <w:b/>
                <w:noProof/>
                <w:color w:val="000000"/>
                <w:sz w:val="18"/>
              </w:rPr>
            </w:pPr>
            <w:r>
              <w:rPr>
                <w:rFonts w:ascii="Verdana" w:eastAsia="Verdana" w:hAnsi="Verdana" w:cs="Verdana"/>
                <w:b/>
                <w:noProof/>
                <w:color w:val="000000"/>
                <w:sz w:val="18"/>
              </w:rPr>
              <w:t>101 666</w:t>
            </w:r>
          </w:p>
        </w:tc>
      </w:tr>
    </w:tbl>
    <w:p w:rsidR="00135552" w:rsidRDefault="004C63B0">
      <w:pPr>
        <w:pStyle w:val="DGTextstand-alone"/>
      </w:pPr>
      <w:r>
        <w:t>The increase mainly concerns cohesion policy (ERDF, CF) where almost all expenses relate to the current programming period, where the work continues to advance.</w:t>
      </w:r>
    </w:p>
    <w:p w:rsidR="00135552" w:rsidRDefault="004C63B0">
      <w:pPr>
        <w:pStyle w:val="DGTextstand-alone"/>
        <w:spacing w:after="0"/>
      </w:pPr>
      <w:r>
        <w:t xml:space="preserve">Other </w:t>
      </w:r>
      <w:r>
        <w:t>expenses mainly include: Asylum and Migration (EUR 0.6 billion), Fund for European Aid to the Most Deprived (EUR 0.5 billion), Internal Security (EUR 0.4 billion), European Union Solidarity Fund (EUR 0.4 billion) and European Maritime and Fisheries Fund (E</w:t>
      </w:r>
      <w:r>
        <w:t>UR 0.7 billion). The decrease compared to last year mainly relates to the European Union Solidarity Fund.</w:t>
      </w:r>
    </w:p>
    <w:p w:rsidR="00135552" w:rsidRDefault="004C63B0">
      <w:pPr>
        <w:pStyle w:val="HEADER2NOTES"/>
        <w:rPr>
          <w:noProof/>
          <w:lang w:val="fr-BE"/>
        </w:rPr>
      </w:pPr>
      <w:r>
        <w:rPr>
          <w:noProof/>
        </w:rPr>
        <w:t xml:space="preserve"> </w:t>
      </w:r>
      <w:r>
        <w:rPr>
          <w:noProof/>
          <w:lang w:val="fr-BE"/>
        </w:rPr>
        <w:t>DIRECT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2BIPDM"/>
              <w:rPr>
                <w:rFonts w:ascii="Arial" w:eastAsia="Arial" w:hAnsi="Arial" w:cs="Arial"/>
                <w:noProof/>
                <w:color w:val="000000"/>
                <w:lang w:bidi="en-GB"/>
              </w:rPr>
            </w:pPr>
            <w:bookmarkStart w:id="121" w:name="DOC_TBL00066_1_1"/>
            <w:bookmarkEnd w:id="121"/>
          </w:p>
        </w:tc>
        <w:tc>
          <w:tcPr>
            <w:tcW w:w="172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2BIPD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2BIPDM"/>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2BIPD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2BIPDM"/>
              <w:jc w:val="right"/>
              <w:rPr>
                <w:rFonts w:ascii="Verdana" w:eastAsia="Verdana" w:hAnsi="Verdana" w:cs="Verdana"/>
                <w:noProof/>
                <w:color w:val="FFFFFF"/>
              </w:rPr>
            </w:pPr>
            <w:r>
              <w:rPr>
                <w:rFonts w:ascii="Verdana" w:eastAsia="Verdana" w:hAnsi="Verdana" w:cs="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2BIPDM"/>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rPr>
                <w:rFonts w:ascii="Verdana" w:eastAsia="Verdana" w:hAnsi="Verdana" w:cs="Verdana"/>
                <w:i/>
                <w:noProof/>
                <w:color w:val="000000"/>
                <w:sz w:val="18"/>
              </w:rPr>
            </w:pPr>
            <w:r>
              <w:rPr>
                <w:rFonts w:ascii="Verdana" w:eastAsia="Verdana" w:hAnsi="Verdana" w:cs="Verdana"/>
                <w:i/>
                <w:noProof/>
                <w:color w:val="000000"/>
                <w:sz w:val="18"/>
              </w:rPr>
              <w:t>Implemented by the Commission</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rPr>
            </w:pPr>
            <w:r>
              <w:rPr>
                <w:rFonts w:ascii="Verdana" w:eastAsia="Verdana" w:hAnsi="Verdana" w:cs="Verdana"/>
                <w:i/>
                <w:noProof/>
                <w:color w:val="000000"/>
                <w:sz w:val="18"/>
              </w:rPr>
              <w:t>8 435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lang w:bidi="en-GB"/>
              </w:rPr>
            </w:pPr>
            <w:r>
              <w:rPr>
                <w:rFonts w:ascii="Verdana" w:eastAsia="Verdana" w:hAnsi="Verdana" w:cs="Verdana"/>
                <w:i/>
                <w:noProof/>
                <w:color w:val="000000"/>
                <w:sz w:val="18"/>
              </w:rPr>
              <w:t>8 120</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rPr>
                <w:rFonts w:ascii="Verdana" w:eastAsia="Verdana" w:hAnsi="Verdana" w:cs="Verdana"/>
                <w:i/>
                <w:noProof/>
                <w:color w:val="000000"/>
                <w:sz w:val="18"/>
              </w:rPr>
            </w:pPr>
            <w:r>
              <w:rPr>
                <w:rFonts w:ascii="Verdana" w:eastAsia="Verdana" w:hAnsi="Verdana" w:cs="Verdana"/>
                <w:i/>
                <w:noProof/>
                <w:color w:val="000000"/>
                <w:sz w:val="18"/>
              </w:rPr>
              <w:t>Implemented by EU Executive Agencies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rPr>
            </w:pPr>
            <w:r>
              <w:rPr>
                <w:rFonts w:ascii="Verdana" w:eastAsia="Verdana" w:hAnsi="Verdana" w:cs="Verdana"/>
                <w:i/>
                <w:noProof/>
                <w:color w:val="000000"/>
                <w:sz w:val="18"/>
              </w:rPr>
              <w:t>10 095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lang w:bidi="en-GB"/>
              </w:rPr>
            </w:pPr>
            <w:r>
              <w:rPr>
                <w:rFonts w:ascii="Verdana" w:eastAsia="Verdana" w:hAnsi="Verdana" w:cs="Verdana"/>
                <w:i/>
                <w:noProof/>
                <w:color w:val="000000"/>
                <w:sz w:val="18"/>
              </w:rPr>
              <w:t>8 964</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rPr>
                <w:rFonts w:ascii="Verdana" w:eastAsia="Verdana" w:hAnsi="Verdana" w:cs="Verdana"/>
                <w:i/>
                <w:noProof/>
                <w:color w:val="000000"/>
                <w:sz w:val="18"/>
              </w:rPr>
            </w:pPr>
            <w:r>
              <w:rPr>
                <w:rFonts w:ascii="Verdana" w:eastAsia="Verdana" w:hAnsi="Verdana" w:cs="Verdana"/>
                <w:i/>
                <w:noProof/>
                <w:color w:val="000000"/>
                <w:sz w:val="18"/>
              </w:rPr>
              <w:t>Implemented by Trust funds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rPr>
            </w:pPr>
            <w:r>
              <w:rPr>
                <w:rFonts w:ascii="Verdana" w:eastAsia="Verdana" w:hAnsi="Verdana" w:cs="Verdana"/>
                <w:i/>
                <w:noProof/>
                <w:color w:val="000000"/>
                <w:sz w:val="18"/>
              </w:rPr>
              <w:t xml:space="preserve"> 412</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DM"/>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468</w:t>
            </w:r>
          </w:p>
        </w:tc>
      </w:tr>
      <w:tr w:rsidR="00135552">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DM"/>
              <w:rPr>
                <w:rFonts w:ascii="Verdana" w:eastAsia="Verdana" w:hAnsi="Verdana" w:cs="Verdana"/>
                <w:b/>
                <w:noProof/>
                <w:color w:val="000000"/>
                <w:sz w:val="18"/>
              </w:rPr>
            </w:pPr>
            <w:r>
              <w:rPr>
                <w:rFonts w:ascii="Verdana" w:eastAsia="Verdana" w:hAnsi="Verdana" w:cs="Verdana"/>
                <w:b/>
                <w:noProof/>
                <w:color w:val="000000"/>
                <w:sz w:val="18"/>
              </w:rPr>
              <w:t>Total</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DM"/>
              <w:jc w:val="right"/>
              <w:rPr>
                <w:rFonts w:ascii="Verdana" w:eastAsia="Verdana" w:hAnsi="Verdana" w:cs="Verdana"/>
                <w:b/>
                <w:noProof/>
                <w:color w:val="000000"/>
                <w:sz w:val="18"/>
              </w:rPr>
            </w:pPr>
            <w:r>
              <w:rPr>
                <w:rFonts w:ascii="Verdana" w:eastAsia="Verdana" w:hAnsi="Verdana" w:cs="Verdana"/>
                <w:b/>
                <w:noProof/>
                <w:color w:val="000000"/>
                <w:sz w:val="18"/>
              </w:rPr>
              <w:t>18 942</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DM"/>
              <w:jc w:val="right"/>
              <w:rPr>
                <w:rFonts w:ascii="Verdana" w:eastAsia="Verdana" w:hAnsi="Verdana" w:cs="Verdana"/>
                <w:b/>
                <w:noProof/>
                <w:color w:val="000000"/>
                <w:sz w:val="18"/>
              </w:rPr>
            </w:pPr>
            <w:r>
              <w:rPr>
                <w:rFonts w:ascii="Verdana" w:eastAsia="Verdana" w:hAnsi="Verdana" w:cs="Verdana"/>
                <w:b/>
                <w:noProof/>
                <w:color w:val="000000"/>
                <w:sz w:val="18"/>
              </w:rPr>
              <w:t>17 551</w:t>
            </w:r>
          </w:p>
        </w:tc>
      </w:tr>
    </w:tbl>
    <w:p w:rsidR="00135552" w:rsidRDefault="004C63B0">
      <w:pPr>
        <w:pStyle w:val="DGTextstand-alone"/>
        <w:spacing w:after="0"/>
      </w:pPr>
      <w:r>
        <w:t xml:space="preserve">These amounts mainly concern the implementation of Research Policy (EUR 7.7 billion), Connecting Europe Facilty (CEF) - transport part (EUR 3.1 billion), Development Co-operation Instrument </w:t>
      </w:r>
      <w:r>
        <w:t>(EUR 1.4 billion), European Neighbourhood Policy (EUR 1.1 billion).</w:t>
      </w:r>
    </w:p>
    <w:p w:rsidR="00135552" w:rsidRDefault="004C63B0">
      <w:pPr>
        <w:pStyle w:val="DGTextstand-alone"/>
        <w:spacing w:after="0"/>
      </w:pPr>
      <w:r>
        <w:t>The increase in direct management expenses implemented by EU Executive agencies refers mainly (EUR 0.8 billion) to the Innovation and Networks Executive Agency (INEA) out of which the bigg</w:t>
      </w:r>
      <w:r>
        <w:t>est part relates to the transport part of the CEF. The CEF for transport is the funding instrument to implement European transport infrastructure policy and aims in building new or upgrading/rehabilitating transport infrastructure in Europe.</w:t>
      </w:r>
    </w:p>
    <w:p w:rsidR="00135552" w:rsidRDefault="004C63B0">
      <w:pPr>
        <w:pStyle w:val="HEADER2NOTES"/>
        <w:rPr>
          <w:noProof/>
          <w:lang w:val="fr-BE"/>
        </w:rPr>
      </w:pPr>
      <w:r>
        <w:rPr>
          <w:noProof/>
          <w:lang w:val="fr-BE"/>
        </w:rPr>
        <w:t>INDIRECT MANAG</w:t>
      </w:r>
      <w:r>
        <w:rPr>
          <w:noProof/>
          <w:lang w:val="fr-BE"/>
        </w:rPr>
        <w: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2BIPIM"/>
              <w:rPr>
                <w:rFonts w:ascii="Arial" w:eastAsia="Arial" w:hAnsi="Arial" w:cs="Arial"/>
                <w:noProof/>
                <w:color w:val="000000"/>
                <w:lang w:bidi="en-GB"/>
              </w:rPr>
            </w:pPr>
            <w:bookmarkStart w:id="122" w:name="DOC_TBL00067_1_1"/>
            <w:bookmarkEnd w:id="122"/>
          </w:p>
        </w:tc>
        <w:tc>
          <w:tcPr>
            <w:tcW w:w="172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2BIPI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2BIPIM"/>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2BIPI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2BIPIM"/>
              <w:jc w:val="right"/>
              <w:rPr>
                <w:rFonts w:ascii="Verdana" w:eastAsia="Verdana" w:hAnsi="Verdana" w:cs="Verdana"/>
                <w:noProof/>
                <w:color w:val="FFFFFF"/>
              </w:rPr>
            </w:pPr>
            <w:r>
              <w:rPr>
                <w:rFonts w:ascii="Verdana" w:eastAsia="Verdana" w:hAnsi="Verdana" w:cs="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2BIPIM"/>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rPr>
                <w:rFonts w:ascii="Verdana" w:eastAsia="Verdana" w:hAnsi="Verdana" w:cs="Verdana"/>
                <w:i/>
                <w:noProof/>
                <w:color w:val="000000"/>
                <w:sz w:val="18"/>
              </w:rPr>
            </w:pPr>
            <w:r>
              <w:rPr>
                <w:rFonts w:ascii="Verdana" w:eastAsia="Verdana" w:hAnsi="Verdana" w:cs="Verdana"/>
                <w:i/>
                <w:noProof/>
                <w:color w:val="000000"/>
                <w:sz w:val="18"/>
              </w:rPr>
              <w:t>Implemented by other EU agencies &amp; bodies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rPr>
            </w:pPr>
            <w:r>
              <w:rPr>
                <w:rFonts w:ascii="Verdana" w:eastAsia="Verdana" w:hAnsi="Verdana" w:cs="Verdana"/>
                <w:i/>
                <w:noProof/>
                <w:color w:val="000000"/>
                <w:sz w:val="18"/>
              </w:rPr>
              <w:t>3 131</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lang w:bidi="en-GB"/>
              </w:rPr>
            </w:pPr>
            <w:r>
              <w:rPr>
                <w:rFonts w:ascii="Verdana" w:eastAsia="Verdana" w:hAnsi="Verdana" w:cs="Verdana"/>
                <w:i/>
                <w:noProof/>
                <w:color w:val="000000"/>
                <w:sz w:val="18"/>
              </w:rPr>
              <w:t>3 396</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rPr>
                <w:rFonts w:ascii="Verdana" w:eastAsia="Verdana" w:hAnsi="Verdana" w:cs="Verdana"/>
                <w:i/>
                <w:noProof/>
                <w:color w:val="000000"/>
                <w:sz w:val="18"/>
              </w:rPr>
            </w:pPr>
            <w:r>
              <w:rPr>
                <w:rFonts w:ascii="Verdana" w:eastAsia="Verdana" w:hAnsi="Verdana" w:cs="Verdana"/>
                <w:i/>
                <w:noProof/>
                <w:color w:val="000000"/>
                <w:sz w:val="18"/>
              </w:rPr>
              <w:t>Implemented by third countries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rPr>
            </w:pPr>
            <w:r>
              <w:rPr>
                <w:rFonts w:ascii="Verdana" w:eastAsia="Verdana" w:hAnsi="Verdana" w:cs="Verdana"/>
                <w:i/>
                <w:noProof/>
                <w:color w:val="000000"/>
                <w:sz w:val="18"/>
              </w:rPr>
              <w:t xml:space="preserve"> 637</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679</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rPr>
                <w:rFonts w:ascii="Verdana" w:eastAsia="Verdana" w:hAnsi="Verdana" w:cs="Verdana"/>
                <w:i/>
                <w:noProof/>
                <w:color w:val="000000"/>
                <w:sz w:val="18"/>
              </w:rPr>
            </w:pPr>
            <w:r>
              <w:rPr>
                <w:rFonts w:ascii="Verdana" w:eastAsia="Verdana" w:hAnsi="Verdana" w:cs="Verdana"/>
                <w:i/>
                <w:noProof/>
                <w:color w:val="000000"/>
                <w:sz w:val="18"/>
              </w:rPr>
              <w:t>Implemented by international organisations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rPr>
            </w:pPr>
            <w:r>
              <w:rPr>
                <w:rFonts w:ascii="Verdana" w:eastAsia="Verdana" w:hAnsi="Verdana" w:cs="Verdana"/>
                <w:i/>
                <w:noProof/>
                <w:color w:val="000000"/>
                <w:sz w:val="18"/>
              </w:rPr>
              <w:t>3 448</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lang w:bidi="en-GB"/>
              </w:rPr>
            </w:pPr>
            <w:r>
              <w:rPr>
                <w:rFonts w:ascii="Verdana" w:eastAsia="Verdana" w:hAnsi="Verdana" w:cs="Verdana"/>
                <w:i/>
                <w:noProof/>
                <w:color w:val="000000"/>
                <w:sz w:val="18"/>
              </w:rPr>
              <w:t>3 337</w:t>
            </w:r>
          </w:p>
        </w:tc>
      </w:tr>
      <w:tr w:rsidR="00135552">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rPr>
                <w:rFonts w:ascii="Verdana" w:eastAsia="Verdana" w:hAnsi="Verdana" w:cs="Verdana"/>
                <w:i/>
                <w:noProof/>
                <w:color w:val="000000"/>
                <w:sz w:val="18"/>
              </w:rPr>
            </w:pPr>
            <w:r>
              <w:rPr>
                <w:rFonts w:ascii="Verdana" w:eastAsia="Verdana" w:hAnsi="Verdana" w:cs="Verdana"/>
                <w:i/>
                <w:noProof/>
                <w:color w:val="000000"/>
                <w:sz w:val="18"/>
              </w:rPr>
              <w:t>Implemented by other entities</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rPr>
            </w:pPr>
            <w:r>
              <w:rPr>
                <w:rFonts w:ascii="Verdana" w:eastAsia="Verdana" w:hAnsi="Verdana" w:cs="Verdana"/>
                <w:i/>
                <w:noProof/>
                <w:color w:val="000000"/>
                <w:sz w:val="18"/>
              </w:rPr>
              <w:t>2 875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2BIPIM"/>
              <w:jc w:val="right"/>
              <w:rPr>
                <w:rFonts w:ascii="Verdana" w:eastAsia="Verdana" w:hAnsi="Verdana" w:cs="Verdana"/>
                <w:i/>
                <w:noProof/>
                <w:color w:val="000000"/>
                <w:sz w:val="18"/>
                <w:lang w:bidi="en-GB"/>
              </w:rPr>
            </w:pPr>
            <w:r>
              <w:rPr>
                <w:rFonts w:ascii="Verdana" w:eastAsia="Verdana" w:hAnsi="Verdana" w:cs="Verdana"/>
                <w:i/>
                <w:noProof/>
                <w:color w:val="000000"/>
                <w:sz w:val="18"/>
              </w:rPr>
              <w:t>3 569</w:t>
            </w:r>
          </w:p>
        </w:tc>
      </w:tr>
      <w:tr w:rsidR="00135552">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IM"/>
              <w:rPr>
                <w:rFonts w:ascii="Verdana" w:eastAsia="Verdana" w:hAnsi="Verdana" w:cs="Verdana"/>
                <w:b/>
                <w:noProof/>
                <w:color w:val="000000"/>
                <w:sz w:val="18"/>
              </w:rPr>
            </w:pPr>
            <w:r>
              <w:rPr>
                <w:rFonts w:ascii="Verdana" w:eastAsia="Verdana" w:hAnsi="Verdana" w:cs="Verdana"/>
                <w:b/>
                <w:noProof/>
                <w:color w:val="000000"/>
                <w:sz w:val="18"/>
              </w:rPr>
              <w:t>Total</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IM"/>
              <w:jc w:val="right"/>
              <w:rPr>
                <w:rFonts w:ascii="Verdana" w:eastAsia="Verdana" w:hAnsi="Verdana" w:cs="Verdana"/>
                <w:b/>
                <w:noProof/>
                <w:color w:val="000000"/>
                <w:sz w:val="18"/>
              </w:rPr>
            </w:pPr>
            <w:r>
              <w:rPr>
                <w:rFonts w:ascii="Verdana" w:eastAsia="Verdana" w:hAnsi="Verdana" w:cs="Verdana"/>
                <w:b/>
                <w:noProof/>
                <w:color w:val="000000"/>
                <w:sz w:val="18"/>
              </w:rPr>
              <w:t>10 091</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2BIPIM"/>
              <w:jc w:val="right"/>
              <w:rPr>
                <w:rFonts w:ascii="Verdana" w:eastAsia="Verdana" w:hAnsi="Verdana" w:cs="Verdana"/>
                <w:b/>
                <w:noProof/>
                <w:color w:val="000000"/>
                <w:sz w:val="18"/>
              </w:rPr>
            </w:pPr>
            <w:r>
              <w:rPr>
                <w:rFonts w:ascii="Verdana" w:eastAsia="Verdana" w:hAnsi="Verdana" w:cs="Verdana"/>
                <w:b/>
                <w:noProof/>
                <w:color w:val="000000"/>
                <w:sz w:val="18"/>
              </w:rPr>
              <w:t>10 981</w:t>
            </w:r>
          </w:p>
        </w:tc>
      </w:tr>
    </w:tbl>
    <w:p w:rsidR="00135552" w:rsidRDefault="004C63B0">
      <w:pPr>
        <w:pStyle w:val="DGTextstand-alone"/>
      </w:pPr>
      <w:r>
        <w:t xml:space="preserve">In indirect management expenses, EUR 4.2 billion relates to external actions (mainly the areas of </w:t>
      </w:r>
      <w:r>
        <w:br/>
        <w:t>pre-accession, humanitarian aid, international co-operation and neighbourhood). A further EUR 5.8 billion is related to increasing Europe's competitiveness (</w:t>
      </w:r>
      <w:r>
        <w:t>in areas such as research, satellite navigation systems and education). The decrease in expenses implemented by other entities mainly relates to education (Erasmus).</w:t>
      </w:r>
      <w:bookmarkEnd w:id="119"/>
    </w:p>
    <w:p w:rsidR="00135552" w:rsidRDefault="00135552">
      <w:pPr>
        <w:pStyle w:val="DGTextstand-alone"/>
        <w:sectPr w:rsidR="00135552">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p>
    <w:p w:rsidR="00135552" w:rsidRDefault="004C63B0">
      <w:pPr>
        <w:pStyle w:val="HEADER2NOTES"/>
        <w:rPr>
          <w:noProof/>
          <w:lang w:val="fr-BE"/>
        </w:rPr>
      </w:pPr>
      <w:bookmarkStart w:id="123" w:name="_DMBM_17161"/>
      <w:r>
        <w:rPr>
          <w:noProof/>
          <w:lang w:val="fr-BE"/>
        </w:rPr>
        <w:t>STAFF AND PENSION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2"/>
        <w:gridCol w:w="1963"/>
        <w:gridCol w:w="1963"/>
      </w:tblGrid>
      <w:tr w:rsidR="00135552">
        <w:trPr>
          <w:trHeight w:val="255"/>
        </w:trPr>
        <w:tc>
          <w:tcPr>
            <w:tcW w:w="583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4BIPSPC"/>
              <w:rPr>
                <w:rFonts w:ascii="Arial" w:eastAsia="Arial" w:hAnsi="Arial" w:cs="Arial"/>
                <w:noProof/>
                <w:color w:val="000000"/>
                <w:lang w:bidi="en-GB"/>
              </w:rPr>
            </w:pPr>
            <w:bookmarkStart w:id="124" w:name="DOC_TBL00068_1_1"/>
            <w:bookmarkEnd w:id="124"/>
          </w:p>
        </w:tc>
        <w:tc>
          <w:tcPr>
            <w:tcW w:w="196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54BIPSPC"/>
              <w:rPr>
                <w:rFonts w:ascii="Arial" w:eastAsia="Arial" w:hAnsi="Arial" w:cs="Arial"/>
                <w:noProof/>
                <w:color w:val="000000"/>
              </w:rPr>
            </w:pPr>
          </w:p>
        </w:tc>
        <w:tc>
          <w:tcPr>
            <w:tcW w:w="1963"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54BIPSPC"/>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8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4BIPSPC"/>
              <w:jc w:val="right"/>
              <w:rPr>
                <w:rFonts w:ascii="Verdana" w:eastAsia="Verdana" w:hAnsi="Verdana" w:cs="Verdana"/>
                <w:noProof/>
                <w:color w:val="FFFFFF"/>
              </w:rPr>
            </w:pP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4BIPSPC"/>
              <w:jc w:val="right"/>
              <w:rPr>
                <w:rFonts w:ascii="Verdana" w:eastAsia="Verdana" w:hAnsi="Verdana" w:cs="Verdana"/>
                <w:noProof/>
                <w:color w:val="FFFFFF"/>
              </w:rPr>
            </w:pPr>
            <w:r>
              <w:rPr>
                <w:rFonts w:ascii="Verdana" w:eastAsia="Verdana" w:hAnsi="Verdana" w:cs="Verdana"/>
                <w:noProof/>
                <w:color w:val="FFFFFF"/>
              </w:rPr>
              <w:t>2019</w:t>
            </w: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4BIPSPC"/>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rPr>
                <w:rFonts w:ascii="Verdana" w:eastAsia="Verdana" w:hAnsi="Verdana" w:cs="Verdana"/>
                <w:i/>
                <w:noProof/>
                <w:color w:val="000000"/>
                <w:sz w:val="18"/>
              </w:rPr>
            </w:pPr>
            <w:r>
              <w:rPr>
                <w:rFonts w:ascii="Verdana" w:eastAsia="Verdana" w:hAnsi="Verdana" w:cs="Verdana"/>
                <w:i/>
                <w:noProof/>
                <w:color w:val="000000"/>
                <w:sz w:val="18"/>
              </w:rPr>
              <w:t>Staff costs</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jc w:val="right"/>
              <w:rPr>
                <w:rFonts w:ascii="Verdana" w:eastAsia="Verdana" w:hAnsi="Verdana" w:cs="Verdana"/>
                <w:i/>
                <w:noProof/>
                <w:color w:val="000000"/>
                <w:sz w:val="18"/>
              </w:rPr>
            </w:pPr>
            <w:r>
              <w:rPr>
                <w:rFonts w:ascii="Verdana" w:eastAsia="Verdana" w:hAnsi="Verdana" w:cs="Verdana"/>
                <w:i/>
                <w:noProof/>
                <w:color w:val="000000"/>
                <w:sz w:val="18"/>
              </w:rPr>
              <w:t>6 692</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jc w:val="right"/>
              <w:rPr>
                <w:rFonts w:ascii="Verdana" w:eastAsia="Verdana" w:hAnsi="Verdana" w:cs="Verdana"/>
                <w:i/>
                <w:noProof/>
                <w:color w:val="000000"/>
                <w:sz w:val="18"/>
                <w:lang w:bidi="en-GB"/>
              </w:rPr>
            </w:pPr>
            <w:r>
              <w:rPr>
                <w:rFonts w:ascii="Verdana" w:eastAsia="Verdana" w:hAnsi="Verdana" w:cs="Verdana"/>
                <w:i/>
                <w:noProof/>
                <w:color w:val="000000"/>
                <w:sz w:val="18"/>
              </w:rPr>
              <w:t>6 454</w:t>
            </w:r>
          </w:p>
        </w:tc>
      </w:tr>
      <w:tr w:rsidR="00135552">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rPr>
                <w:rFonts w:ascii="Verdana" w:eastAsia="Verdana" w:hAnsi="Verdana" w:cs="Verdana"/>
                <w:i/>
                <w:noProof/>
                <w:color w:val="000000"/>
                <w:sz w:val="18"/>
              </w:rPr>
            </w:pPr>
            <w:r>
              <w:rPr>
                <w:rFonts w:ascii="Verdana" w:eastAsia="Verdana" w:hAnsi="Verdana" w:cs="Verdana"/>
                <w:i/>
                <w:noProof/>
                <w:color w:val="000000"/>
                <w:sz w:val="18"/>
              </w:rPr>
              <w:t>Pension costs</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jc w:val="right"/>
              <w:rPr>
                <w:rFonts w:ascii="Verdana" w:eastAsia="Verdana" w:hAnsi="Verdana" w:cs="Verdana"/>
                <w:i/>
                <w:noProof/>
                <w:color w:val="000000"/>
                <w:sz w:val="18"/>
              </w:rPr>
            </w:pPr>
            <w:r>
              <w:rPr>
                <w:rFonts w:ascii="Verdana" w:eastAsia="Verdana" w:hAnsi="Verdana" w:cs="Verdana"/>
                <w:i/>
                <w:noProof/>
                <w:color w:val="000000"/>
                <w:sz w:val="18"/>
              </w:rPr>
              <w:t>4 674</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4BIPSPC"/>
              <w:jc w:val="right"/>
              <w:rPr>
                <w:rFonts w:ascii="Verdana" w:eastAsia="Verdana" w:hAnsi="Verdana" w:cs="Verdana"/>
                <w:i/>
                <w:noProof/>
                <w:color w:val="000000"/>
                <w:sz w:val="18"/>
                <w:lang w:bidi="en-GB"/>
              </w:rPr>
            </w:pPr>
            <w:r>
              <w:rPr>
                <w:rFonts w:ascii="Verdana" w:eastAsia="Verdana" w:hAnsi="Verdana" w:cs="Verdana"/>
                <w:i/>
                <w:noProof/>
                <w:color w:val="000000"/>
                <w:sz w:val="18"/>
              </w:rPr>
              <w:t>4 476</w:t>
            </w:r>
          </w:p>
        </w:tc>
      </w:tr>
      <w:tr w:rsidR="00135552">
        <w:trPr>
          <w:trHeight w:val="255"/>
        </w:trPr>
        <w:tc>
          <w:tcPr>
            <w:tcW w:w="583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4BIPSPC"/>
              <w:rPr>
                <w:rFonts w:ascii="Verdana" w:eastAsia="Verdana" w:hAnsi="Verdana" w:cs="Verdana"/>
                <w:b/>
                <w:noProof/>
                <w:color w:val="000000"/>
                <w:sz w:val="18"/>
              </w:rPr>
            </w:pPr>
            <w:r>
              <w:rPr>
                <w:rFonts w:ascii="Verdana" w:eastAsia="Verdana" w:hAnsi="Verdana" w:cs="Verdana"/>
                <w:b/>
                <w:noProof/>
                <w:color w:val="000000"/>
                <w:sz w:val="18"/>
              </w:rPr>
              <w:t>Total</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4BIPSPC"/>
              <w:jc w:val="right"/>
              <w:rPr>
                <w:rFonts w:ascii="Verdana" w:eastAsia="Verdana" w:hAnsi="Verdana" w:cs="Verdana"/>
                <w:b/>
                <w:noProof/>
                <w:color w:val="000000"/>
                <w:sz w:val="18"/>
              </w:rPr>
            </w:pPr>
            <w:r>
              <w:rPr>
                <w:rFonts w:ascii="Verdana" w:eastAsia="Verdana" w:hAnsi="Verdana" w:cs="Verdana"/>
                <w:b/>
                <w:noProof/>
                <w:color w:val="000000"/>
                <w:sz w:val="18"/>
              </w:rPr>
              <w:t>11 366</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4BIPSPC"/>
              <w:jc w:val="right"/>
              <w:rPr>
                <w:rFonts w:ascii="Verdana" w:eastAsia="Verdana" w:hAnsi="Verdana" w:cs="Verdana"/>
                <w:b/>
                <w:noProof/>
                <w:color w:val="000000"/>
                <w:sz w:val="18"/>
              </w:rPr>
            </w:pPr>
            <w:r>
              <w:rPr>
                <w:rFonts w:ascii="Verdana" w:eastAsia="Verdana" w:hAnsi="Verdana" w:cs="Verdana"/>
                <w:b/>
                <w:noProof/>
                <w:color w:val="000000"/>
                <w:sz w:val="18"/>
              </w:rPr>
              <w:t>10 929</w:t>
            </w:r>
          </w:p>
        </w:tc>
      </w:tr>
    </w:tbl>
    <w:p w:rsidR="00135552" w:rsidRDefault="004C63B0">
      <w:pPr>
        <w:pStyle w:val="DGTextstand-alone"/>
        <w:spacing w:after="0"/>
      </w:pPr>
      <w:r>
        <w:t xml:space="preserve">Pension costs represent elements of the movements that have arisen following the actuarial valuation of the </w:t>
      </w:r>
      <w:r>
        <w:t>employee benefits liabilities other than actuarial assumptions. They do not therefore represent actual pension payments of the year, which are significantly lower.</w:t>
      </w:r>
    </w:p>
    <w:bookmarkEnd w:id="123"/>
    <w:p w:rsidR="00135552" w:rsidRDefault="00135552">
      <w:pPr>
        <w:pStyle w:val="DGTextstand-alone"/>
        <w:spacing w:after="0"/>
        <w:sectPr w:rsidR="00135552">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p>
    <w:p w:rsidR="00135552" w:rsidRDefault="004C63B0">
      <w:pPr>
        <w:pStyle w:val="HEADER2NOTES"/>
        <w:rPr>
          <w:noProof/>
          <w:lang w:val="fr-BE"/>
        </w:rPr>
      </w:pPr>
      <w:bookmarkStart w:id="125" w:name="_DMBM_17122"/>
      <w:r>
        <w:rPr>
          <w:noProof/>
          <w:lang w:val="fr-BE"/>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1626"/>
        <w:gridCol w:w="1626"/>
      </w:tblGrid>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2BIPFINEXP"/>
              <w:rPr>
                <w:rFonts w:ascii="Arial" w:eastAsia="Arial" w:hAnsi="Arial" w:cs="Arial"/>
                <w:noProof/>
                <w:color w:val="000000"/>
                <w:lang w:bidi="en-GB"/>
              </w:rPr>
            </w:pPr>
            <w:bookmarkStart w:id="126" w:name="DOC_TBL00069_1_1"/>
            <w:bookmarkEnd w:id="126"/>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2BIPFINEXP"/>
              <w:rPr>
                <w:rFonts w:ascii="Arial" w:eastAsia="Arial" w:hAnsi="Arial" w:cs="Arial"/>
                <w:noProof/>
                <w:color w:val="000000"/>
              </w:rPr>
            </w:pPr>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135552" w:rsidRDefault="004C63B0">
            <w:pPr>
              <w:pStyle w:val="DMETW17232BIPFINEXP"/>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48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2BIPFINEXP"/>
              <w:jc w:val="right"/>
              <w:rPr>
                <w:rFonts w:ascii="Verdana" w:eastAsia="Verdana" w:hAnsi="Verdana" w:cs="Verdana"/>
                <w:noProof/>
                <w:color w:val="FFFFFF"/>
                <w:sz w:val="18"/>
              </w:rPr>
            </w:pP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2BIPFINEXP"/>
              <w:jc w:val="right"/>
              <w:rPr>
                <w:rFonts w:ascii="Verdana" w:eastAsia="Verdana" w:hAnsi="Verdana" w:cs="Verdana"/>
                <w:noProof/>
                <w:color w:val="FFFFFF"/>
              </w:rPr>
            </w:pPr>
            <w:r>
              <w:rPr>
                <w:rFonts w:ascii="Verdana" w:eastAsia="Verdana" w:hAnsi="Verdana" w:cs="Verdana"/>
                <w:noProof/>
                <w:color w:val="FFFFFF"/>
              </w:rPr>
              <w:t>2019</w:t>
            </w: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2BIPFINEXP"/>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Interest expenses: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2BIPFINEXP"/>
              <w:jc w:val="right"/>
              <w:rPr>
                <w:rFonts w:ascii="Verdana" w:eastAsia="Verdana" w:hAnsi="Verdana" w:cs="Verdana"/>
                <w:i/>
                <w:noProof/>
                <w:color w:val="000000"/>
                <w:sz w:val="18"/>
              </w:rPr>
            </w:pP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2BIPFINEXP"/>
              <w:jc w:val="right"/>
              <w:rPr>
                <w:rFonts w:ascii="Verdana" w:eastAsia="Verdana" w:hAnsi="Verdana" w:cs="Verdana"/>
                <w:i/>
                <w:noProof/>
                <w:color w:val="000000"/>
                <w:sz w:val="18"/>
                <w:lang w:bidi="en-GB"/>
              </w:rPr>
            </w:pP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 xml:space="preserve">     Borrowings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1 174</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1 260</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 xml:space="preserve">     Other</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23</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Impairment losses on loans and receivables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105</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126</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 xml:space="preserve">Loss on financial assets or liabilities at fair value through </w:t>
            </w:r>
            <w:r>
              <w:rPr>
                <w:rFonts w:ascii="Verdana" w:eastAsia="Verdana" w:hAnsi="Verdana" w:cs="Verdana"/>
                <w:i/>
                <w:noProof/>
                <w:color w:val="000000"/>
                <w:sz w:val="18"/>
              </w:rPr>
              <w:t>surplus or deficit</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57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95</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Finance leases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70</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73</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Impairment losses on available for sale financial assets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25</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Realised loss on available for sale financial assets</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21</w:t>
            </w:r>
          </w:p>
        </w:tc>
      </w:tr>
      <w:tr w:rsidR="00135552">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rPr>
                <w:rFonts w:ascii="Verdana" w:eastAsia="Verdana" w:hAnsi="Verdana" w:cs="Verdana"/>
                <w:i/>
                <w:noProof/>
                <w:color w:val="000000"/>
                <w:sz w:val="18"/>
              </w:rPr>
            </w:pPr>
            <w:r>
              <w:rPr>
                <w:rFonts w:ascii="Verdana" w:eastAsia="Verdana" w:hAnsi="Verdana" w:cs="Verdana"/>
                <w:i/>
                <w:noProof/>
                <w:color w:val="000000"/>
                <w:sz w:val="18"/>
              </w:rPr>
              <w:t xml:space="preserve">Other </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2BIPFINEX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50</w:t>
            </w:r>
          </w:p>
        </w:tc>
      </w:tr>
      <w:tr w:rsidR="00135552">
        <w:trPr>
          <w:trHeight w:val="255"/>
        </w:trPr>
        <w:tc>
          <w:tcPr>
            <w:tcW w:w="64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2BIPFINEXP"/>
              <w:rPr>
                <w:rFonts w:ascii="Verdana" w:eastAsia="Verdana" w:hAnsi="Verdana" w:cs="Verdana"/>
                <w:b/>
                <w:noProof/>
                <w:color w:val="000000"/>
                <w:sz w:val="18"/>
              </w:rPr>
            </w:pPr>
            <w:r>
              <w:rPr>
                <w:rFonts w:ascii="Verdana" w:eastAsia="Verdana" w:hAnsi="Verdana" w:cs="Verdana"/>
                <w:b/>
                <w:noProof/>
                <w:color w:val="000000"/>
                <w:sz w:val="18"/>
              </w:rPr>
              <w:t>Total</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2BIPFINEXP"/>
              <w:jc w:val="right"/>
              <w:rPr>
                <w:rFonts w:ascii="Verdana" w:eastAsia="Verdana" w:hAnsi="Verdana" w:cs="Verdana"/>
                <w:b/>
                <w:noProof/>
                <w:color w:val="000000"/>
                <w:sz w:val="18"/>
              </w:rPr>
            </w:pPr>
            <w:r>
              <w:rPr>
                <w:rFonts w:ascii="Verdana" w:eastAsia="Verdana" w:hAnsi="Verdana" w:cs="Verdana"/>
                <w:b/>
                <w:noProof/>
                <w:color w:val="000000"/>
                <w:sz w:val="18"/>
              </w:rPr>
              <w:t>1 491</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2BIPFINEXP"/>
              <w:jc w:val="right"/>
              <w:rPr>
                <w:rFonts w:ascii="Verdana" w:eastAsia="Verdana" w:hAnsi="Verdana" w:cs="Verdana"/>
                <w:b/>
                <w:noProof/>
                <w:color w:val="000000"/>
                <w:sz w:val="18"/>
              </w:rPr>
            </w:pPr>
            <w:r>
              <w:rPr>
                <w:rFonts w:ascii="Verdana" w:eastAsia="Verdana" w:hAnsi="Verdana" w:cs="Verdana"/>
                <w:b/>
                <w:noProof/>
                <w:color w:val="000000"/>
                <w:sz w:val="18"/>
              </w:rPr>
              <w:t>1 677</w:t>
            </w:r>
          </w:p>
        </w:tc>
      </w:tr>
    </w:tbl>
    <w:p w:rsidR="00135552" w:rsidRDefault="004C63B0">
      <w:pPr>
        <w:pStyle w:val="DGTextstand-alone"/>
        <w:spacing w:after="0"/>
      </w:pPr>
      <w:r>
        <w:t xml:space="preserve">The amount of interest expense on </w:t>
      </w:r>
      <w:r>
        <w:t>borrowings corresponds mainly to interest income on loans for financial assistance (back-to-back transactions).</w:t>
      </w:r>
    </w:p>
    <w:p w:rsidR="00135552" w:rsidRDefault="004C63B0">
      <w:pPr>
        <w:pStyle w:val="DGTextstand-alone"/>
        <w:spacing w:after="0"/>
        <w:sectPr w:rsidR="00135552">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t xml:space="preserve"> </w:t>
      </w:r>
      <w:bookmarkEnd w:id="125"/>
    </w:p>
    <w:p w:rsidR="00135552" w:rsidRDefault="004C63B0">
      <w:pPr>
        <w:rPr>
          <w:rFonts w:ascii="Verdana" w:hAnsi="Verdana"/>
          <w:b/>
          <w:noProof/>
          <w:color w:val="016794"/>
          <w:sz w:val="28"/>
          <w:szCs w:val="28"/>
        </w:rPr>
      </w:pPr>
      <w:bookmarkStart w:id="127" w:name="_DMBM_17155"/>
      <w:r>
        <w:rPr>
          <w:noProof/>
        </w:rPr>
        <w:br w:type="page"/>
      </w:r>
    </w:p>
    <w:p w:rsidR="00135552" w:rsidRDefault="004C63B0">
      <w:pPr>
        <w:pStyle w:val="HEADER2NOTES"/>
        <w:spacing w:before="0"/>
        <w:rPr>
          <w:noProof/>
          <w:lang w:val="fr-BE"/>
        </w:rPr>
      </w:pPr>
      <w:r>
        <w:rPr>
          <w:noProof/>
          <w:lang w:val="fr-BE"/>
        </w:rPr>
        <w:t>OTHER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3BIPOE"/>
              <w:rPr>
                <w:rFonts w:ascii="Arial" w:eastAsia="Arial" w:hAnsi="Arial" w:cs="Arial"/>
                <w:noProof/>
                <w:color w:val="000000"/>
                <w:lang w:bidi="en-GB"/>
              </w:rPr>
            </w:pPr>
            <w:bookmarkStart w:id="128" w:name="DOC_TBL00070_1_1"/>
            <w:bookmarkEnd w:id="128"/>
          </w:p>
        </w:tc>
        <w:tc>
          <w:tcPr>
            <w:tcW w:w="150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3BIPOE"/>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3BIPO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3BIPOE"/>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3BIPOE"/>
              <w:jc w:val="right"/>
              <w:rPr>
                <w:rFonts w:ascii="Verdana" w:eastAsia="Verdana" w:hAnsi="Verdana" w:cs="Verdana"/>
                <w:noProof/>
                <w:color w:val="FFFFFF"/>
              </w:rPr>
            </w:pPr>
            <w:r>
              <w:rPr>
                <w:rFonts w:ascii="Verdana" w:eastAsia="Verdana" w:hAnsi="Verdana" w:cs="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3BIPOE"/>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Administrative and IT expenses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2 540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2 313</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Fixed assets related expenses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1 630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1 608</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Adjustment of provisions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1 294</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923</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Foreign exchange losses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 xml:space="preserve"> 343</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341</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Operating lease expenses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 xml:space="preserve"> 442</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424</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Reduction of fines by the Court of Justice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 xml:space="preserve"> 91</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rPr>
                <w:rFonts w:ascii="Verdana" w:eastAsia="Verdana" w:hAnsi="Verdana" w:cs="Verdana"/>
                <w:i/>
                <w:noProof/>
                <w:color w:val="000000"/>
                <w:sz w:val="18"/>
              </w:rPr>
            </w:pPr>
            <w:r>
              <w:rPr>
                <w:rFonts w:ascii="Verdana" w:eastAsia="Verdana" w:hAnsi="Verdana" w:cs="Verdana"/>
                <w:i/>
                <w:noProof/>
                <w:color w:val="000000"/>
                <w:sz w:val="18"/>
              </w:rPr>
              <w:t>Other</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rPr>
            </w:pPr>
            <w:r>
              <w:rPr>
                <w:rFonts w:ascii="Verdana" w:eastAsia="Verdana" w:hAnsi="Verdana" w:cs="Verdana"/>
                <w:i/>
                <w:noProof/>
                <w:color w:val="000000"/>
                <w:sz w:val="18"/>
              </w:rPr>
              <w:t xml:space="preserve"> 769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O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598</w:t>
            </w:r>
          </w:p>
        </w:tc>
      </w:tr>
      <w:tr w:rsidR="00135552">
        <w:trPr>
          <w:trHeight w:val="255"/>
        </w:trPr>
        <w:tc>
          <w:tcPr>
            <w:tcW w:w="67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3BIPOE"/>
              <w:rPr>
                <w:rFonts w:ascii="Verdana" w:eastAsia="Verdana" w:hAnsi="Verdana" w:cs="Verdana"/>
                <w:b/>
                <w:noProof/>
                <w:color w:val="000000"/>
                <w:sz w:val="18"/>
              </w:rPr>
            </w:pPr>
            <w:r>
              <w:rPr>
                <w:rFonts w:ascii="Verdana" w:eastAsia="Verdana" w:hAnsi="Verdana" w:cs="Verdana"/>
                <w:b/>
                <w:noProof/>
                <w:color w:val="000000"/>
                <w:sz w:val="18"/>
              </w:rPr>
              <w:t>Total</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3BIPOE"/>
              <w:jc w:val="right"/>
              <w:rPr>
                <w:rFonts w:ascii="Verdana" w:eastAsia="Verdana" w:hAnsi="Verdana" w:cs="Verdana"/>
                <w:b/>
                <w:noProof/>
                <w:color w:val="000000"/>
                <w:sz w:val="18"/>
              </w:rPr>
            </w:pPr>
            <w:r>
              <w:rPr>
                <w:rFonts w:ascii="Verdana" w:eastAsia="Verdana" w:hAnsi="Verdana" w:cs="Verdana"/>
                <w:b/>
                <w:noProof/>
                <w:color w:val="000000"/>
                <w:sz w:val="18"/>
              </w:rPr>
              <w:t>7 109</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3BIPOE"/>
              <w:jc w:val="right"/>
              <w:rPr>
                <w:rFonts w:ascii="Verdana" w:eastAsia="Verdana" w:hAnsi="Verdana" w:cs="Verdana"/>
                <w:b/>
                <w:noProof/>
                <w:color w:val="000000"/>
                <w:sz w:val="18"/>
              </w:rPr>
            </w:pPr>
            <w:r>
              <w:rPr>
                <w:rFonts w:ascii="Verdana" w:eastAsia="Verdana" w:hAnsi="Verdana" w:cs="Verdana"/>
                <w:b/>
                <w:noProof/>
                <w:color w:val="000000"/>
                <w:sz w:val="18"/>
              </w:rPr>
              <w:t>6 208</w:t>
            </w:r>
          </w:p>
        </w:tc>
      </w:tr>
    </w:tbl>
    <w:p w:rsidR="00135552" w:rsidRDefault="004C63B0">
      <w:pPr>
        <w:pStyle w:val="DGTextstand-alone"/>
      </w:pPr>
      <w:r>
        <w:t>Expenses relating to research and development are included in administrative and IT expenses and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3BIPRD"/>
              <w:rPr>
                <w:rFonts w:ascii="Arial" w:eastAsia="Arial" w:hAnsi="Arial" w:cs="Arial"/>
                <w:noProof/>
                <w:color w:val="000000"/>
                <w:lang w:bidi="en-GB"/>
              </w:rPr>
            </w:pPr>
            <w:bookmarkStart w:id="129" w:name="DOC_TBL00071_1_1"/>
            <w:bookmarkEnd w:id="129"/>
          </w:p>
        </w:tc>
        <w:tc>
          <w:tcPr>
            <w:tcW w:w="150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3BIPRD"/>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3BIPRD"/>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3BIPRD"/>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3BIPRD"/>
              <w:jc w:val="right"/>
              <w:rPr>
                <w:rFonts w:ascii="Verdana" w:eastAsia="Verdana" w:hAnsi="Verdana" w:cs="Verdana"/>
                <w:noProof/>
                <w:color w:val="FFFFFF"/>
              </w:rPr>
            </w:pPr>
            <w:r>
              <w:rPr>
                <w:rFonts w:ascii="Verdana" w:eastAsia="Verdana" w:hAnsi="Verdana" w:cs="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3BIPRD"/>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rPr>
                <w:rFonts w:ascii="Verdana" w:eastAsia="Verdana" w:hAnsi="Verdana" w:cs="Verdana"/>
                <w:i/>
                <w:noProof/>
                <w:color w:val="000000"/>
                <w:sz w:val="18"/>
              </w:rPr>
            </w:pPr>
            <w:r>
              <w:rPr>
                <w:rFonts w:ascii="Verdana" w:eastAsia="Verdana" w:hAnsi="Verdana" w:cs="Verdana"/>
                <w:i/>
                <w:noProof/>
                <w:color w:val="000000"/>
                <w:sz w:val="18"/>
              </w:rPr>
              <w:t>Research costs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i/>
                <w:noProof/>
                <w:color w:val="000000"/>
                <w:sz w:val="18"/>
              </w:rPr>
            </w:pPr>
            <w:r>
              <w:rPr>
                <w:rFonts w:ascii="Verdana" w:eastAsia="Verdana" w:hAnsi="Verdana" w:cs="Verdana"/>
                <w:i/>
                <w:noProof/>
                <w:color w:val="000000"/>
                <w:sz w:val="18"/>
              </w:rPr>
              <w:t xml:space="preserve"> 398</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385</w:t>
            </w:r>
          </w:p>
        </w:tc>
      </w:tr>
      <w:tr w:rsidR="00135552">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rPr>
                <w:rFonts w:ascii="Verdana" w:eastAsia="Verdana" w:hAnsi="Verdana" w:cs="Verdana"/>
                <w:i/>
                <w:noProof/>
                <w:color w:val="000000"/>
                <w:sz w:val="18"/>
              </w:rPr>
            </w:pPr>
            <w:r>
              <w:rPr>
                <w:rFonts w:ascii="Verdana" w:eastAsia="Verdana" w:hAnsi="Verdana" w:cs="Verdana"/>
                <w:i/>
                <w:noProof/>
                <w:color w:val="000000"/>
                <w:sz w:val="18"/>
              </w:rPr>
              <w:t>Non-capitalised development costs</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i/>
                <w:noProof/>
                <w:color w:val="000000"/>
                <w:sz w:val="18"/>
              </w:rPr>
            </w:pPr>
            <w:r>
              <w:rPr>
                <w:rFonts w:ascii="Verdana" w:eastAsia="Verdana" w:hAnsi="Verdana" w:cs="Verdana"/>
                <w:i/>
                <w:noProof/>
                <w:color w:val="000000"/>
                <w:sz w:val="18"/>
              </w:rPr>
              <w:t xml:space="preserve"> 119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106</w:t>
            </w:r>
          </w:p>
        </w:tc>
      </w:tr>
      <w:tr w:rsidR="00135552">
        <w:trPr>
          <w:trHeight w:val="255"/>
        </w:trPr>
        <w:tc>
          <w:tcPr>
            <w:tcW w:w="6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3BIPRD"/>
              <w:rPr>
                <w:rFonts w:ascii="Verdana" w:eastAsia="Verdana" w:hAnsi="Verdana" w:cs="Verdana"/>
                <w:b/>
                <w:noProof/>
                <w:color w:val="000000"/>
                <w:sz w:val="18"/>
              </w:rPr>
            </w:pPr>
            <w:r>
              <w:rPr>
                <w:rFonts w:ascii="Verdana" w:eastAsia="Verdana" w:hAnsi="Verdana" w:cs="Verdana"/>
                <w:b/>
                <w:noProof/>
                <w:color w:val="000000"/>
                <w:sz w:val="18"/>
              </w:rPr>
              <w:t>Total</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b/>
                <w:noProof/>
                <w:color w:val="000000"/>
                <w:sz w:val="18"/>
              </w:rPr>
            </w:pPr>
            <w:r>
              <w:rPr>
                <w:rFonts w:ascii="Verdana" w:eastAsia="Verdana" w:hAnsi="Verdana" w:cs="Verdana"/>
                <w:b/>
                <w:noProof/>
                <w:color w:val="000000"/>
                <w:sz w:val="18"/>
              </w:rPr>
              <w:t xml:space="preserve"> 517</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3BIPRD"/>
              <w:jc w:val="right"/>
              <w:rPr>
                <w:rFonts w:ascii="Verdana" w:eastAsia="Verdana" w:hAnsi="Verdana" w:cs="Verdana"/>
                <w:b/>
                <w:noProof/>
                <w:color w:val="000000"/>
                <w:sz w:val="18"/>
              </w:rPr>
            </w:pPr>
            <w:r>
              <w:rPr>
                <w:rFonts w:ascii="Verdana" w:eastAsia="Verdana" w:hAnsi="Verdana" w:cs="Verdana"/>
                <w:b/>
                <w:noProof/>
                <w:color w:val="000000"/>
                <w:sz w:val="18"/>
              </w:rPr>
              <w:t xml:space="preserve"> 491</w:t>
            </w:r>
          </w:p>
        </w:tc>
      </w:tr>
    </w:tbl>
    <w:p w:rsidR="00135552" w:rsidRDefault="004C63B0">
      <w:pPr>
        <w:pStyle w:val="DGTextstand-alone"/>
        <w:spacing w:before="0" w:after="0"/>
        <w:sectPr w:rsidR="00135552">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9" w:footer="709" w:gutter="0"/>
          <w:cols w:space="708"/>
          <w:docGrid w:linePitch="360"/>
        </w:sectPr>
      </w:pPr>
      <w:r>
        <w:t xml:space="preserve"> </w:t>
      </w:r>
      <w:bookmarkEnd w:id="127"/>
    </w:p>
    <w:p w:rsidR="00135552" w:rsidRDefault="004C63B0">
      <w:pPr>
        <w:pStyle w:val="HEADER2NOTES"/>
        <w:rPr>
          <w:noProof/>
        </w:rPr>
      </w:pPr>
      <w:bookmarkStart w:id="130" w:name="_DMBM_17171"/>
      <w:r>
        <w:rPr>
          <w:noProof/>
        </w:rPr>
        <w:t>SEGMENT REPORTING BY MULTIANNUAL FINANCIAL FRAMEWORK HEADING (MFF)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2"/>
        <w:gridCol w:w="1670"/>
        <w:gridCol w:w="1427"/>
        <w:gridCol w:w="1468"/>
        <w:gridCol w:w="1077"/>
        <w:gridCol w:w="1304"/>
        <w:gridCol w:w="1670"/>
        <w:gridCol w:w="1102"/>
      </w:tblGrid>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lang w:bidi="en-GB"/>
              </w:rPr>
            </w:pPr>
            <w:bookmarkStart w:id="131" w:name="DOC_TBL00072_1_1"/>
            <w:bookmarkEnd w:id="131"/>
          </w:p>
        </w:tc>
        <w:tc>
          <w:tcPr>
            <w:tcW w:w="163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43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05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63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4BIPSEGREP"/>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87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4BIPSEGREP"/>
              <w:jc w:val="right"/>
              <w:rPr>
                <w:rFonts w:ascii="Verdana" w:eastAsia="Verdana" w:hAnsi="Verdana" w:cs="Verdana"/>
                <w:noProof/>
                <w:color w:val="FFFFFF"/>
                <w:sz w:val="16"/>
              </w:rPr>
            </w:pPr>
          </w:p>
        </w:tc>
        <w:tc>
          <w:tcPr>
            <w:tcW w:w="1637"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Smart and inclusive growth</w:t>
            </w:r>
          </w:p>
        </w:tc>
        <w:tc>
          <w:tcPr>
            <w:tcW w:w="139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Sustainable growth</w:t>
            </w:r>
          </w:p>
        </w:tc>
        <w:tc>
          <w:tcPr>
            <w:tcW w:w="1439"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 xml:space="preserve">Security and </w:t>
            </w:r>
            <w:r>
              <w:rPr>
                <w:rFonts w:ascii="Verdana" w:eastAsia="Verdana" w:hAnsi="Verdana" w:cs="Verdana"/>
                <w:noProof/>
                <w:color w:val="FFFFFF"/>
                <w:sz w:val="16"/>
              </w:rPr>
              <w:t>citizenship</w:t>
            </w:r>
          </w:p>
        </w:tc>
        <w:tc>
          <w:tcPr>
            <w:tcW w:w="1055"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Global Europe</w:t>
            </w:r>
          </w:p>
        </w:tc>
        <w:tc>
          <w:tcPr>
            <w:tcW w:w="127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Administration</w:t>
            </w:r>
          </w:p>
        </w:tc>
        <w:tc>
          <w:tcPr>
            <w:tcW w:w="1637"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rPr>
            </w:pPr>
            <w:r>
              <w:rPr>
                <w:rFonts w:ascii="Verdana" w:eastAsia="Verdana" w:hAnsi="Verdana" w:cs="Verdana"/>
                <w:noProof/>
                <w:color w:val="FFFFFF"/>
                <w:sz w:val="16"/>
              </w:rPr>
              <w:t>Not assigned to MFF heading*</w:t>
            </w:r>
          </w:p>
        </w:tc>
        <w:tc>
          <w:tcPr>
            <w:tcW w:w="1080"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4BIPSEGREP"/>
              <w:jc w:val="right"/>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GNI resources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108 820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108 820</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Traditional own resources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21 235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21 235</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VAT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18 128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18 128</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Fines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4 291</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4 291</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Recovery of expenses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1 520</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1 </w:t>
            </w:r>
            <w:r>
              <w:rPr>
                <w:rFonts w:ascii="Verdana" w:eastAsia="Verdana" w:hAnsi="Verdana" w:cs="Verdana"/>
                <w:i/>
                <w:noProof/>
                <w:color w:val="000000"/>
                <w:sz w:val="16"/>
              </w:rPr>
              <w:t>076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22</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2 627</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Other</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1 202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29</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43</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214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5 176</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(4 592)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2 072</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b/>
                <w:noProof/>
                <w:color w:val="000000"/>
                <w:sz w:val="16"/>
              </w:rPr>
            </w:pPr>
            <w:r>
              <w:rPr>
                <w:rFonts w:ascii="Verdana" w:eastAsia="Verdana" w:hAnsi="Verdana" w:cs="Verdana"/>
                <w:b/>
                <w:noProof/>
                <w:color w:val="000000"/>
                <w:sz w:val="16"/>
              </w:rPr>
              <w:t>Revenue from non-exchange transactions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2 722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1 104</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54</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235</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5 176</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147 882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lang w:bidi="en-GB"/>
              </w:rPr>
            </w:pPr>
            <w:r>
              <w:rPr>
                <w:rFonts w:ascii="Verdana" w:eastAsia="Verdana" w:hAnsi="Verdana" w:cs="Verdana"/>
                <w:b/>
                <w:noProof/>
                <w:color w:val="000000"/>
                <w:sz w:val="16"/>
              </w:rPr>
              <w:t>157 174</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Financial revenue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423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11</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1 383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1 817</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Other</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155</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(5)</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13</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283</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864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1 298</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b/>
                <w:noProof/>
                <w:color w:val="000000"/>
                <w:sz w:val="16"/>
              </w:rPr>
            </w:pPr>
            <w:r>
              <w:rPr>
                <w:rFonts w:ascii="Verdana" w:eastAsia="Verdana" w:hAnsi="Verdana" w:cs="Verdana"/>
                <w:b/>
                <w:noProof/>
                <w:color w:val="000000"/>
                <w:sz w:val="16"/>
              </w:rPr>
              <w:t xml:space="preserve">Revenue </w:t>
            </w:r>
            <w:r>
              <w:rPr>
                <w:rFonts w:ascii="Verdana" w:eastAsia="Verdana" w:hAnsi="Verdana" w:cs="Verdana"/>
                <w:b/>
                <w:noProof/>
                <w:color w:val="000000"/>
                <w:sz w:val="16"/>
              </w:rPr>
              <w:t>from exchange transactions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578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(11)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(5)</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24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283</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2 247</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lang w:bidi="en-GB"/>
              </w:rPr>
            </w:pPr>
            <w:r>
              <w:rPr>
                <w:rFonts w:ascii="Verdana" w:eastAsia="Verdana" w:hAnsi="Verdana" w:cs="Verdana"/>
                <w:b/>
                <w:noProof/>
                <w:color w:val="000000"/>
                <w:sz w:val="16"/>
              </w:rPr>
              <w:t>3 116</w:t>
            </w:r>
          </w:p>
        </w:tc>
      </w:tr>
      <w:tr w:rsidR="00135552">
        <w:trPr>
          <w:trHeight w:val="255"/>
        </w:trPr>
        <w:tc>
          <w:tcPr>
            <w:tcW w:w="48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b/>
                <w:noProof/>
                <w:color w:val="000000"/>
                <w:sz w:val="16"/>
              </w:rPr>
            </w:pPr>
            <w:r>
              <w:rPr>
                <w:rFonts w:ascii="Verdana" w:eastAsia="Verdana" w:hAnsi="Verdana" w:cs="Verdana"/>
                <w:b/>
                <w:noProof/>
                <w:color w:val="000000"/>
                <w:sz w:val="16"/>
              </w:rPr>
              <w:t>Total revenue</w:t>
            </w:r>
          </w:p>
        </w:tc>
        <w:tc>
          <w:tcPr>
            <w:tcW w:w="16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3 300</w:t>
            </w:r>
          </w:p>
        </w:tc>
        <w:tc>
          <w:tcPr>
            <w:tcW w:w="13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1 093</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49</w:t>
            </w:r>
          </w:p>
        </w:tc>
        <w:tc>
          <w:tcPr>
            <w:tcW w:w="10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 xml:space="preserve"> 260</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5 459</w:t>
            </w:r>
          </w:p>
        </w:tc>
        <w:tc>
          <w:tcPr>
            <w:tcW w:w="16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150 129</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lang w:bidi="en-GB"/>
              </w:rPr>
            </w:pPr>
            <w:r>
              <w:rPr>
                <w:rFonts w:ascii="Verdana" w:eastAsia="Verdana" w:hAnsi="Verdana" w:cs="Verdana"/>
                <w:b/>
                <w:noProof/>
                <w:color w:val="000000"/>
                <w:sz w:val="16"/>
              </w:rPr>
              <w:t>160 289</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Expenses implemented by Member States: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4BIPSEGREP"/>
              <w:jc w:val="right"/>
              <w:rPr>
                <w:rFonts w:ascii="Verdana" w:eastAsia="Verdana" w:hAnsi="Verdana" w:cs="Verdana"/>
                <w:i/>
                <w:noProof/>
                <w:color w:val="000000"/>
                <w:sz w:val="16"/>
                <w:lang w:bidi="en-GB"/>
              </w:rPr>
            </w:pP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     EAGF</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(43 951)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(43 951)</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     EAFRD &amp; other rural development instruments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(13 541)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(13 541)</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     ERDF &amp; CF</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(35 178)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(35 178)</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     ESF</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(11 218)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(11 218)</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     Other</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(512)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(668)</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(1 382)</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(2 608)</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Implemented by the EC, executive agencies</w:t>
            </w:r>
            <w:r>
              <w:rPr>
                <w:rFonts w:ascii="Verdana" w:eastAsia="Verdana" w:hAnsi="Verdana" w:cs="Verdana"/>
                <w:i/>
                <w:noProof/>
                <w:color w:val="000000"/>
                <w:sz w:val="16"/>
              </w:rPr>
              <w:t xml:space="preserve"> and trust funds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(12 763)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(676)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(1 060)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(4 446)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(19)</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(18 942)</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Implemented by other EU agencies and bodies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(2 799)</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(62)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(927)</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(32)</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689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(3 131)</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Implemented by third countries and int. org.</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(526)</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(242)</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(3 314)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(4 085)</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 xml:space="preserve">Implemented </w:t>
            </w:r>
            <w:r>
              <w:rPr>
                <w:rFonts w:ascii="Verdana" w:eastAsia="Verdana" w:hAnsi="Verdana" w:cs="Verdana"/>
                <w:i/>
                <w:noProof/>
                <w:color w:val="000000"/>
                <w:sz w:val="16"/>
              </w:rPr>
              <w:t>by other entities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(2 037)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(839)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(2 875)</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Staff and Pension costs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(1 637)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(350)</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(444)</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(604)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(7 222)</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(1 110)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(11 366)</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Finance costs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(113)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(56)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(104)</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(1 209)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(1 491)</w:t>
            </w:r>
          </w:p>
        </w:tc>
      </w:tr>
      <w:tr w:rsidR="00135552">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i/>
                <w:noProof/>
                <w:color w:val="000000"/>
                <w:sz w:val="16"/>
              </w:rPr>
            </w:pPr>
            <w:r>
              <w:rPr>
                <w:rFonts w:ascii="Verdana" w:eastAsia="Verdana" w:hAnsi="Verdana" w:cs="Verdana"/>
                <w:i/>
                <w:noProof/>
                <w:color w:val="000000"/>
                <w:sz w:val="16"/>
              </w:rPr>
              <w:t>Other expenses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(2 287)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(493)</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(137)</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(136)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(3 640)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rPr>
            </w:pPr>
            <w:r>
              <w:rPr>
                <w:rFonts w:ascii="Verdana" w:eastAsia="Verdana" w:hAnsi="Verdana" w:cs="Verdana"/>
                <w:i/>
                <w:noProof/>
                <w:color w:val="000000"/>
                <w:sz w:val="16"/>
              </w:rPr>
              <w:t xml:space="preserve"> (415)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i/>
                <w:noProof/>
                <w:color w:val="000000"/>
                <w:sz w:val="16"/>
                <w:lang w:bidi="en-GB"/>
              </w:rPr>
            </w:pPr>
            <w:r>
              <w:rPr>
                <w:rFonts w:ascii="Verdana" w:eastAsia="Verdana" w:hAnsi="Verdana" w:cs="Verdana"/>
                <w:i/>
                <w:noProof/>
                <w:color w:val="000000"/>
                <w:sz w:val="16"/>
              </w:rPr>
              <w:t>(7 109)</w:t>
            </w:r>
          </w:p>
        </w:tc>
      </w:tr>
      <w:tr w:rsidR="00135552">
        <w:trPr>
          <w:trHeight w:val="255"/>
        </w:trPr>
        <w:tc>
          <w:tcPr>
            <w:tcW w:w="4872"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rPr>
                <w:rFonts w:ascii="Verdana" w:eastAsia="Verdana" w:hAnsi="Verdana" w:cs="Verdana"/>
                <w:b/>
                <w:noProof/>
                <w:color w:val="000000"/>
                <w:sz w:val="16"/>
              </w:rPr>
            </w:pPr>
            <w:r>
              <w:rPr>
                <w:rFonts w:ascii="Verdana" w:eastAsia="Verdana" w:hAnsi="Verdana" w:cs="Verdana"/>
                <w:b/>
                <w:noProof/>
                <w:color w:val="000000"/>
                <w:sz w:val="16"/>
              </w:rPr>
              <w:t>Total expenses</w:t>
            </w:r>
          </w:p>
        </w:tc>
        <w:tc>
          <w:tcPr>
            <w:tcW w:w="1637"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(69 070)</w:t>
            </w:r>
          </w:p>
        </w:tc>
        <w:tc>
          <w:tcPr>
            <w:tcW w:w="139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(59 800)</w:t>
            </w:r>
          </w:p>
        </w:tc>
        <w:tc>
          <w:tcPr>
            <w:tcW w:w="1439"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(4 194)</w:t>
            </w:r>
          </w:p>
        </w:tc>
        <w:tc>
          <w:tcPr>
            <w:tcW w:w="1055"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(9 427)</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(10 985)</w:t>
            </w:r>
          </w:p>
        </w:tc>
        <w:tc>
          <w:tcPr>
            <w:tcW w:w="1637"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(2 018)</w:t>
            </w:r>
          </w:p>
        </w:tc>
        <w:tc>
          <w:tcPr>
            <w:tcW w:w="1080" w:type="dxa"/>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lang w:bidi="en-GB"/>
              </w:rPr>
            </w:pPr>
            <w:r>
              <w:rPr>
                <w:rFonts w:ascii="Verdana" w:eastAsia="Verdana" w:hAnsi="Verdana" w:cs="Verdana"/>
                <w:b/>
                <w:noProof/>
                <w:color w:val="000000"/>
                <w:sz w:val="16"/>
              </w:rPr>
              <w:t>(155 493)</w:t>
            </w:r>
          </w:p>
        </w:tc>
      </w:tr>
      <w:tr w:rsidR="00135552">
        <w:trPr>
          <w:trHeight w:val="255"/>
        </w:trPr>
        <w:tc>
          <w:tcPr>
            <w:tcW w:w="4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rPr>
                <w:rFonts w:ascii="Verdana" w:eastAsia="Verdana" w:hAnsi="Verdana" w:cs="Verdana"/>
                <w:b/>
                <w:noProof/>
                <w:color w:val="000000"/>
                <w:sz w:val="16"/>
              </w:rPr>
            </w:pPr>
            <w:r>
              <w:rPr>
                <w:rFonts w:ascii="Verdana" w:eastAsia="Verdana" w:hAnsi="Verdana" w:cs="Verdana"/>
                <w:b/>
                <w:noProof/>
                <w:color w:val="000000"/>
                <w:sz w:val="16"/>
              </w:rPr>
              <w:t>Economic result of the year</w:t>
            </w:r>
          </w:p>
        </w:tc>
        <w:tc>
          <w:tcPr>
            <w:tcW w:w="16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(65 770)</w:t>
            </w:r>
          </w:p>
        </w:tc>
        <w:tc>
          <w:tcPr>
            <w:tcW w:w="13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(58 707)</w:t>
            </w:r>
          </w:p>
        </w:tc>
        <w:tc>
          <w:tcPr>
            <w:tcW w:w="143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(4 145)</w:t>
            </w:r>
          </w:p>
        </w:tc>
        <w:tc>
          <w:tcPr>
            <w:tcW w:w="10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(9 167)</w:t>
            </w:r>
          </w:p>
        </w:tc>
        <w:tc>
          <w:tcPr>
            <w:tcW w:w="12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(5 526)</w:t>
            </w:r>
          </w:p>
        </w:tc>
        <w:tc>
          <w:tcPr>
            <w:tcW w:w="16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148 111</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24BIPSEGREP"/>
              <w:jc w:val="right"/>
              <w:rPr>
                <w:rFonts w:ascii="Verdana" w:eastAsia="Verdana" w:hAnsi="Verdana" w:cs="Verdana"/>
                <w:b/>
                <w:noProof/>
                <w:color w:val="000000"/>
                <w:sz w:val="16"/>
              </w:rPr>
            </w:pPr>
            <w:r>
              <w:rPr>
                <w:rFonts w:ascii="Verdana" w:eastAsia="Verdana" w:hAnsi="Verdana" w:cs="Verdana"/>
                <w:b/>
                <w:noProof/>
                <w:color w:val="000000"/>
                <w:sz w:val="16"/>
              </w:rPr>
              <w:t>4 796</w:t>
            </w:r>
          </w:p>
        </w:tc>
      </w:tr>
    </w:tbl>
    <w:p w:rsidR="00135552" w:rsidRDefault="004C63B0">
      <w:pPr>
        <w:pStyle w:val="Textstand-alone"/>
        <w:tabs>
          <w:tab w:val="left" w:pos="284"/>
        </w:tabs>
        <w:spacing w:before="60"/>
        <w:ind w:left="284" w:hanging="284"/>
        <w:rPr>
          <w:i/>
          <w:sz w:val="14"/>
        </w:rPr>
      </w:pPr>
      <w:r>
        <w:rPr>
          <w:i/>
          <w:sz w:val="14"/>
        </w:rPr>
        <w:t>*</w:t>
      </w:r>
      <w:r>
        <w:rPr>
          <w:i/>
          <w:sz w:val="14"/>
        </w:rPr>
        <w:tab/>
        <w:t xml:space="preserve">‘Not-assigned to MFF heading’ includes consolidated entities' budget </w:t>
      </w:r>
      <w:r>
        <w:rPr>
          <w:i/>
          <w:sz w:val="14"/>
        </w:rPr>
        <w:t>execution and consolidation eliminations, off-budget operations and unallocated programmes with individually immaterial amounts.</w:t>
      </w:r>
    </w:p>
    <w:p w:rsidR="00135552" w:rsidRDefault="004C63B0">
      <w:pPr>
        <w:pStyle w:val="DGTextstand-alone"/>
      </w:pPr>
      <w:r>
        <w:t>The display of revenue and expenses by MFF heading is based on estimation as not all commitments are linked to an MFF heading.</w:t>
      </w:r>
    </w:p>
    <w:bookmarkEnd w:id="130"/>
    <w:p w:rsidR="00135552" w:rsidRDefault="00135552">
      <w:pPr>
        <w:pStyle w:val="DGTextstand-alone"/>
        <w:sectPr w:rsidR="00135552">
          <w:headerReference w:type="even" r:id="rId257"/>
          <w:headerReference w:type="default" r:id="rId258"/>
          <w:footerReference w:type="even" r:id="rId259"/>
          <w:footerReference w:type="default" r:id="rId260"/>
          <w:headerReference w:type="first" r:id="rId261"/>
          <w:footerReference w:type="first" r:id="rId262"/>
          <w:pgSz w:w="16838" w:h="11906" w:orient="landscape"/>
          <w:pgMar w:top="1134" w:right="1134" w:bottom="1134" w:left="1134" w:header="708" w:footer="708" w:gutter="0"/>
          <w:cols w:space="708"/>
          <w:docGrid w:linePitch="360"/>
        </w:sectPr>
      </w:pPr>
    </w:p>
    <w:p w:rsidR="00135552" w:rsidRDefault="004C63B0">
      <w:pPr>
        <w:pStyle w:val="HEADER1NOTES"/>
        <w:rPr>
          <w:noProof/>
        </w:rPr>
      </w:pPr>
      <w:bookmarkStart w:id="132" w:name="_Toc43224169"/>
      <w:bookmarkStart w:id="133" w:name="_DMBM_17151"/>
      <w:r>
        <w:rPr>
          <w:noProof/>
        </w:rPr>
        <w:t>CONTINGENT LIABILITIES AND ASSETS</w:t>
      </w:r>
      <w:bookmarkEnd w:id="132"/>
    </w:p>
    <w:p w:rsidR="00135552" w:rsidRDefault="004C63B0">
      <w:pPr>
        <w:pStyle w:val="HEADER2NOTES"/>
        <w:rPr>
          <w:noProof/>
        </w:rPr>
      </w:pPr>
      <w:r>
        <w:rPr>
          <w:noProof/>
        </w:rPr>
        <w:t>CONTINGENT LIABILITIES</w:t>
      </w:r>
    </w:p>
    <w:p w:rsidR="00135552" w:rsidRDefault="004C63B0">
      <w:pPr>
        <w:pStyle w:val="DGTextstand-alone"/>
        <w:spacing w:after="0"/>
      </w:pPr>
      <w:r>
        <w:t xml:space="preserve">Contingent liabilities are possible future payment obligations for the EU that may arise due to past events or legally binding commitments taken but which will depend on future events not wholly under the control of the EU. They relate mainly to financial </w:t>
      </w:r>
      <w:r>
        <w:t xml:space="preserve">guarantees given (on loans and financial assistance programmes) and to legal risks. All contingent liabilities, except those relating to fines and guarantees covered by funds (see note </w:t>
      </w:r>
      <w:r>
        <w:rPr>
          <w:b/>
        </w:rPr>
        <w:t>2.4.1</w:t>
      </w:r>
      <w:r>
        <w:t xml:space="preserve">), would be financed, should they fall due, by the EU budget (and </w:t>
      </w:r>
      <w:r>
        <w:t>thus the EU Member States) in the years to come.</w:t>
      </w:r>
    </w:p>
    <w:p w:rsidR="00135552" w:rsidRDefault="004C63B0">
      <w:pPr>
        <w:pStyle w:val="HEADER3NOTES"/>
        <w:rPr>
          <w:noProof/>
        </w:rPr>
      </w:pPr>
      <w:r>
        <w:rPr>
          <w:noProof/>
        </w:rPr>
        <w:t>Budgetary guarantees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1145"/>
        <w:gridCol w:w="1144"/>
        <w:gridCol w:w="1144"/>
        <w:gridCol w:w="1144"/>
        <w:gridCol w:w="1144"/>
        <w:gridCol w:w="1145"/>
      </w:tblGrid>
      <w:tr w:rsidR="00135552">
        <w:trPr>
          <w:trHeight w:val="255"/>
        </w:trPr>
        <w:tc>
          <w:tcPr>
            <w:tcW w:w="340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lang w:bidi="en-GB"/>
              </w:rPr>
            </w:pPr>
            <w:bookmarkStart w:id="134" w:name="DOC_TBL00073_1_1"/>
            <w:bookmarkEnd w:id="134"/>
          </w:p>
        </w:tc>
        <w:tc>
          <w:tcPr>
            <w:tcW w:w="133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9BIPGUAR"/>
              <w:rPr>
                <w:rFonts w:ascii="Arial" w:eastAsia="Arial" w:hAnsi="Arial" w:cs="Arial"/>
                <w:noProof/>
                <w:color w:val="000000"/>
              </w:rPr>
            </w:pPr>
          </w:p>
        </w:tc>
        <w:tc>
          <w:tcPr>
            <w:tcW w:w="133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9BIPGUA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9BIPGUAR"/>
              <w:jc w:val="center"/>
              <w:rPr>
                <w:rFonts w:ascii="Verdana" w:eastAsia="Verdana" w:hAnsi="Verdana" w:cs="Verdana"/>
                <w:noProof/>
                <w:color w:val="FFFFFF"/>
              </w:rPr>
            </w:pP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center"/>
              <w:rPr>
                <w:rFonts w:ascii="Verdana" w:eastAsia="Verdana" w:hAnsi="Verdana" w:cs="Verdana"/>
                <w:noProof/>
                <w:color w:val="FFFFFF"/>
              </w:rPr>
            </w:pPr>
            <w:r>
              <w:rPr>
                <w:rFonts w:ascii="Verdana" w:eastAsia="Verdana" w:hAnsi="Verdana" w:cs="Verdana"/>
                <w:noProof/>
                <w:color w:val="FFFFFF"/>
              </w:rPr>
              <w:t>31.12.2019</w:t>
            </w: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9BIPGUAR"/>
              <w:jc w:val="center"/>
              <w:rPr>
                <w:rFonts w:ascii="Verdana" w:eastAsia="Verdana" w:hAnsi="Verdana" w:cs="Verdana"/>
                <w:noProof/>
                <w:color w:val="FFFFFF"/>
              </w:rPr>
            </w:pP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rPr>
            </w:pPr>
            <w:r>
              <w:rPr>
                <w:rFonts w:ascii="Verdana" w:eastAsia="Verdana" w:hAnsi="Verdana" w:cs="Verdana"/>
                <w:noProof/>
                <w:color w:val="FFFFFF"/>
                <w:sz w:val="18"/>
              </w:rPr>
              <w:t>Ceiling</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rPr>
            </w:pPr>
            <w:r>
              <w:rPr>
                <w:rFonts w:ascii="Verdana" w:eastAsia="Verdana" w:hAnsi="Verdana" w:cs="Verdana"/>
                <w:noProof/>
                <w:color w:val="FFFFFF"/>
                <w:sz w:val="18"/>
              </w:rPr>
              <w:t>Signed</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rPr>
            </w:pPr>
            <w:r>
              <w:rPr>
                <w:rFonts w:ascii="Verdana" w:eastAsia="Verdana" w:hAnsi="Verdana" w:cs="Verdana"/>
                <w:noProof/>
                <w:color w:val="FFFFFF"/>
                <w:sz w:val="18"/>
              </w:rPr>
              <w:t>Disbursed</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rPr>
            </w:pPr>
            <w:r>
              <w:rPr>
                <w:rFonts w:ascii="Verdana" w:eastAsia="Verdana" w:hAnsi="Verdana" w:cs="Verdana"/>
                <w:noProof/>
                <w:color w:val="FFFFFF"/>
                <w:sz w:val="18"/>
              </w:rPr>
              <w:t>Ceiling</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rPr>
            </w:pPr>
            <w:r>
              <w:rPr>
                <w:rFonts w:ascii="Verdana" w:eastAsia="Verdana" w:hAnsi="Verdana" w:cs="Verdana"/>
                <w:noProof/>
                <w:color w:val="FFFFFF"/>
                <w:sz w:val="18"/>
              </w:rPr>
              <w:t>Signed</w:t>
            </w:r>
          </w:p>
        </w:tc>
        <w:tc>
          <w:tcPr>
            <w:tcW w:w="133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9BIPGUAR"/>
              <w:jc w:val="right"/>
              <w:rPr>
                <w:rFonts w:ascii="Verdana" w:eastAsia="Verdana" w:hAnsi="Verdana" w:cs="Verdana"/>
                <w:noProof/>
                <w:color w:val="FFFFFF"/>
                <w:sz w:val="18"/>
                <w:lang w:bidi="en-GB"/>
              </w:rPr>
            </w:pPr>
            <w:r>
              <w:rPr>
                <w:rFonts w:ascii="Verdana" w:eastAsia="Verdana" w:hAnsi="Verdana" w:cs="Verdana"/>
                <w:noProof/>
                <w:color w:val="FFFFFF"/>
                <w:sz w:val="18"/>
              </w:rPr>
              <w:t>Disbursed</w:t>
            </w:r>
          </w:p>
        </w:tc>
      </w:tr>
      <w:tr w:rsidR="00135552">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rPr>
                <w:rFonts w:ascii="Verdana" w:eastAsia="Verdana" w:hAnsi="Verdana" w:cs="Verdana"/>
                <w:i/>
                <w:noProof/>
                <w:color w:val="000000"/>
                <w:sz w:val="18"/>
              </w:rPr>
            </w:pPr>
            <w:r>
              <w:rPr>
                <w:rFonts w:ascii="Verdana" w:eastAsia="Verdana" w:hAnsi="Verdana" w:cs="Verdana"/>
                <w:i/>
                <w:noProof/>
                <w:color w:val="000000"/>
                <w:sz w:val="18"/>
              </w:rPr>
              <w:t>EIB external lending mandate guarantees</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37 929</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31 521</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20 014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40 417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30 889</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lang w:bidi="en-GB"/>
              </w:rPr>
            </w:pPr>
            <w:r>
              <w:rPr>
                <w:rFonts w:ascii="Verdana" w:eastAsia="Verdana" w:hAnsi="Verdana" w:cs="Verdana"/>
                <w:i/>
                <w:noProof/>
                <w:color w:val="000000"/>
                <w:sz w:val="18"/>
              </w:rPr>
              <w:t>20 510</w:t>
            </w:r>
          </w:p>
        </w:tc>
      </w:tr>
      <w:tr w:rsidR="00135552">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rPr>
                <w:rFonts w:ascii="Verdana" w:eastAsia="Verdana" w:hAnsi="Verdana" w:cs="Verdana"/>
                <w:i/>
                <w:noProof/>
                <w:color w:val="000000"/>
                <w:sz w:val="18"/>
              </w:rPr>
            </w:pPr>
            <w:r>
              <w:rPr>
                <w:rFonts w:ascii="Verdana" w:eastAsia="Verdana" w:hAnsi="Verdana" w:cs="Verdana"/>
                <w:i/>
                <w:noProof/>
                <w:color w:val="000000"/>
                <w:sz w:val="18"/>
              </w:rPr>
              <w:t xml:space="preserve">EFSI </w:t>
            </w:r>
            <w:r>
              <w:rPr>
                <w:rFonts w:ascii="Verdana" w:eastAsia="Verdana" w:hAnsi="Verdana" w:cs="Verdana"/>
                <w:i/>
                <w:noProof/>
                <w:color w:val="000000"/>
                <w:sz w:val="18"/>
              </w:rPr>
              <w:t>guarantee</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25 797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21 889</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17 634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25 898</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19 842</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lang w:bidi="en-GB"/>
              </w:rPr>
            </w:pPr>
            <w:r>
              <w:rPr>
                <w:rFonts w:ascii="Verdana" w:eastAsia="Verdana" w:hAnsi="Verdana" w:cs="Verdana"/>
                <w:i/>
                <w:noProof/>
                <w:color w:val="000000"/>
                <w:sz w:val="18"/>
              </w:rPr>
              <w:t>15 764</w:t>
            </w:r>
          </w:p>
        </w:tc>
      </w:tr>
      <w:tr w:rsidR="00135552">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rPr>
                <w:rFonts w:ascii="Verdana" w:eastAsia="Verdana" w:hAnsi="Verdana" w:cs="Verdana"/>
                <w:i/>
                <w:noProof/>
                <w:color w:val="000000"/>
                <w:sz w:val="18"/>
              </w:rPr>
            </w:pPr>
            <w:r>
              <w:rPr>
                <w:rFonts w:ascii="Verdana" w:eastAsia="Verdana" w:hAnsi="Verdana" w:cs="Verdana"/>
                <w:i/>
                <w:noProof/>
                <w:color w:val="000000"/>
                <w:sz w:val="18"/>
              </w:rPr>
              <w:t>EFSD guarantee</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 xml:space="preserve"> 50</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9BIPGUA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340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rPr>
                <w:rFonts w:ascii="Verdana" w:eastAsia="Verdana" w:hAnsi="Verdana" w:cs="Verdana"/>
                <w:b/>
                <w:noProof/>
                <w:color w:val="000000"/>
                <w:sz w:val="18"/>
              </w:rPr>
            </w:pPr>
            <w:r>
              <w:rPr>
                <w:rFonts w:ascii="Verdana" w:eastAsia="Verdana" w:hAnsi="Verdana" w:cs="Verdana"/>
                <w:b/>
                <w:noProof/>
                <w:color w:val="000000"/>
                <w:sz w:val="18"/>
              </w:rPr>
              <w:t>Total</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63 775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53 410</w:t>
            </w:r>
          </w:p>
        </w:tc>
        <w:tc>
          <w:tcPr>
            <w:tcW w:w="1331"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37 648</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66 315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50 731</w:t>
            </w:r>
          </w:p>
        </w:tc>
        <w:tc>
          <w:tcPr>
            <w:tcW w:w="133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9BIPGUAR"/>
              <w:jc w:val="right"/>
              <w:rPr>
                <w:rFonts w:ascii="Verdana" w:eastAsia="Verdana" w:hAnsi="Verdana" w:cs="Verdana"/>
                <w:b/>
                <w:noProof/>
                <w:color w:val="000000"/>
                <w:sz w:val="18"/>
              </w:rPr>
            </w:pPr>
            <w:r>
              <w:rPr>
                <w:rFonts w:ascii="Verdana" w:eastAsia="Verdana" w:hAnsi="Verdana" w:cs="Verdana"/>
                <w:b/>
                <w:noProof/>
                <w:color w:val="000000"/>
                <w:sz w:val="18"/>
              </w:rPr>
              <w:t>36 273</w:t>
            </w:r>
          </w:p>
        </w:tc>
      </w:tr>
    </w:tbl>
    <w:p w:rsidR="00135552" w:rsidRDefault="004C63B0">
      <w:pPr>
        <w:pStyle w:val="DGTextstand-alone"/>
      </w:pPr>
      <w:r>
        <w:t xml:space="preserve">The above table shows the extent of the exposure of the EU budget to possible future payments linked to guarantees given to </w:t>
      </w:r>
      <w:r>
        <w:t>the EIB group or other financial institutions. Disbursed amounts represent the amounts already given to final beneficiaries, while signed amounts include these disbursed monies plus agreements already signed with beneficiaries or financial intermediaries b</w:t>
      </w:r>
      <w:r>
        <w:t>ut not yet disbursed (EUR 15 762 million). The ceiling represents the total guarantee that the EU budget, and thus its Member States, have committed to cover, since in order to disclose the maximum exposure faced by the EU at 31 December 2019, one must als</w:t>
      </w:r>
      <w:r>
        <w:t>o include operations authorised to be signed but not yet signed (EUR 10 365 million). The amounts are presented net of financial provisions or financial liabilities recognised for those programmes.</w:t>
      </w:r>
    </w:p>
    <w:p w:rsidR="00135552" w:rsidRDefault="004C63B0">
      <w:pPr>
        <w:pStyle w:val="HEADER5"/>
        <w:rPr>
          <w:noProof/>
        </w:rPr>
      </w:pPr>
      <w:r>
        <w:rPr>
          <w:noProof/>
        </w:rPr>
        <w:t>EIB external lending mandate guarantees</w:t>
      </w:r>
    </w:p>
    <w:p w:rsidR="00135552" w:rsidRDefault="004C63B0">
      <w:pPr>
        <w:pStyle w:val="DGTextstand-alone"/>
      </w:pPr>
      <w:r>
        <w:t xml:space="preserve">The EU budget </w:t>
      </w:r>
      <w:r>
        <w:t>guarantees loans signed and granted by the EIB from the EIB's own resources to third countries. At 31 December 2019 the amount of loans outstanding and covered by the EU guarantee totalled EUR 20 014 million (2018: 20 510 million). The EU budget guarantees</w:t>
      </w:r>
      <w:r>
        <w:t>:</w:t>
      </w:r>
    </w:p>
    <w:p w:rsidR="00135552" w:rsidRDefault="004C63B0">
      <w:pPr>
        <w:pStyle w:val="DGTextstand-alone"/>
        <w:numPr>
          <w:ilvl w:val="0"/>
          <w:numId w:val="29"/>
        </w:numPr>
      </w:pPr>
      <w:r>
        <w:t xml:space="preserve">EUR 19 074 million (2018: EUR 19 360 million) via the Guarantee Fund for external actions (see note </w:t>
      </w:r>
      <w:r>
        <w:rPr>
          <w:b/>
        </w:rPr>
        <w:t>2.4.1</w:t>
      </w:r>
      <w:r>
        <w:t>), and</w:t>
      </w:r>
    </w:p>
    <w:p w:rsidR="00135552" w:rsidRDefault="004C63B0">
      <w:pPr>
        <w:pStyle w:val="DGTextstand-alone"/>
        <w:numPr>
          <w:ilvl w:val="0"/>
          <w:numId w:val="29"/>
        </w:numPr>
      </w:pPr>
      <w:r>
        <w:t>EUR 940 million (2018: EUR 1 150 million) directly for loans granted to Member States before accession.</w:t>
      </w:r>
    </w:p>
    <w:p w:rsidR="00135552" w:rsidRDefault="004C63B0">
      <w:pPr>
        <w:pStyle w:val="DGTextstand-alone"/>
      </w:pPr>
      <w:r>
        <w:t xml:space="preserve">In addition to the EUR 20 014 million </w:t>
      </w:r>
      <w:r>
        <w:t>disclosed above as disbursed, the EU guarantees a further EUR 161 million of outstanding loans to Syria for which provisions have been made, and EUR 20 million recognised as financial guarantee liability for the EIB Economic Resilience Initiative (ERI) Pri</w:t>
      </w:r>
      <w:r>
        <w:t>vate Mandate (see below).</w:t>
      </w:r>
    </w:p>
    <w:p w:rsidR="00135552" w:rsidRDefault="004C63B0">
      <w:pPr>
        <w:pStyle w:val="DGTextstand-alone"/>
      </w:pPr>
      <w:r>
        <w:t>The EU external lending mandate guarantee relating to loans granted by the EIB is limited to 65 % of the outstanding balances for agreements signed after 2007 (mandates 2007-2013 and 2014-2020). For agreements made before 2007, th</w:t>
      </w:r>
      <w:r>
        <w:t>e EU guarantee is limited to a percentage of the ceiling of the credit lines authorised, in most cases 65 % but also 70 %, 75 % or 100 %. Where the ceiling is not reached, the EU guarantee covers the full amount.</w:t>
      </w:r>
    </w:p>
    <w:p w:rsidR="00135552" w:rsidRDefault="004C63B0">
      <w:pPr>
        <w:pStyle w:val="DGTextstand-alone"/>
      </w:pPr>
      <w:r>
        <w:t xml:space="preserve">According to Decision (EU) 2018/412, up to </w:t>
      </w:r>
      <w:r>
        <w:t>EUR 2.3 billion shall be allocated to the new private sector lending mandate for projects directed to the long term economic resilience of refugees, migrants, host and transit communities under the EIB ERI. The EIB has disbursed the first ERI Private Manda</w:t>
      </w:r>
      <w:r>
        <w:t>te operations in 2019. The Union budget is remunerated for the risk taken in relation to guarantees granted for EIB finacing operations under the ERI Private Mandate, hence the ERI Private Mandate guarantee is accounted for as a financial guarantee liabili</w:t>
      </w:r>
      <w:r>
        <w:t xml:space="preserve">ty (see note </w:t>
      </w:r>
      <w:r>
        <w:rPr>
          <w:b/>
        </w:rPr>
        <w:t>2.11.3</w:t>
      </w:r>
      <w:r>
        <w:t>).</w:t>
      </w:r>
    </w:p>
    <w:p w:rsidR="00135552" w:rsidRDefault="004C63B0">
      <w:pPr>
        <w:pStyle w:val="DGTextstand-alone"/>
      </w:pPr>
      <w:r>
        <w:t xml:space="preserve">EU guarantee payments are made by the Guarantee Fund for external actions – see note </w:t>
      </w:r>
      <w:r>
        <w:rPr>
          <w:b/>
        </w:rPr>
        <w:t>2.4.1</w:t>
      </w:r>
      <w:r>
        <w:t>. During 2019, EUR 55 million of guarantee calls have been paid out from the Guarantee Fund for external actions (2018: EUR 56 million).</w:t>
      </w:r>
    </w:p>
    <w:p w:rsidR="00135552" w:rsidRDefault="004C63B0">
      <w:pPr>
        <w:pStyle w:val="HEADER5"/>
        <w:keepNext/>
        <w:rPr>
          <w:noProof/>
        </w:rPr>
      </w:pPr>
      <w:r>
        <w:rPr>
          <w:noProof/>
        </w:rPr>
        <w:t>Europea</w:t>
      </w:r>
      <w:r>
        <w:rPr>
          <w:noProof/>
        </w:rPr>
        <w:t>n Fund for Strategic Investments (EFSI) guarantee</w:t>
      </w:r>
    </w:p>
    <w:p w:rsidR="00135552" w:rsidRDefault="004C63B0">
      <w:pPr>
        <w:pStyle w:val="DGTextstand-alone"/>
      </w:pPr>
      <w:r>
        <w:t xml:space="preserve">EFSI is an initiative that aims to increase the risk bearing capacity of the EIB Group by enabling the EIB to extend its investments in the EU. The objective of EFSI is to support additional investments in </w:t>
      </w:r>
      <w:r>
        <w:t xml:space="preserve">the EU and access to finance for small companies. The EU budget provides a guarantee of up to EUR 26 billion ('EFSI EU guarantee') under an agreement between the EU and the EIB, hereinafter referred to as 'EFSI Agreement', in order to protect the EIB from </w:t>
      </w:r>
      <w:r>
        <w:t>potential losses it may suffer from its financing and investment operations.</w:t>
      </w:r>
    </w:p>
    <w:p w:rsidR="00135552" w:rsidRDefault="004C63B0">
      <w:pPr>
        <w:pStyle w:val="DGTextstand-alone"/>
      </w:pPr>
      <w:r>
        <w:t>The EFSI operations are conducted within two windows: the Infrastructure and Innovation Window (IIW) implemented by the EIB (EFSI EU guarantee of EUR 19.5 billion) and the SME Win</w:t>
      </w:r>
      <w:r>
        <w:t xml:space="preserve">dow (SMEW) implemented by the EIF (EFSI EU guarantee of EUR 6.5 billion), both of which have a debt portfolio and an equity portfolio. The EIF acts under an agreement with the EIB on the basis of an EIB guarantee, which itself is counter-guaranteed by the </w:t>
      </w:r>
      <w:r>
        <w:t>EFSI EU Guarantee under the EFSI Agreement.</w:t>
      </w:r>
    </w:p>
    <w:p w:rsidR="00135552" w:rsidRDefault="004C63B0">
      <w:pPr>
        <w:pStyle w:val="DGTextstand-alone"/>
      </w:pPr>
      <w:r>
        <w:t xml:space="preserve">The EU and the EIB have distinct roles within EFSI. EFSI is established within the EIB who finance the operations (debt and equity investments) and, to do this, borrow the necessary funds on the capital markets. </w:t>
      </w:r>
      <w:r>
        <w:t>The EIB Group takes the investment decisions independently and manages the operations in accordance with its rules and procedures. The EU provides the guarantee for those operations, and covers losses incurred by the EIB up to the ceiling of this guarantee</w:t>
      </w:r>
      <w:r>
        <w:t>.</w:t>
      </w:r>
    </w:p>
    <w:p w:rsidR="00135552" w:rsidRDefault="004C63B0">
      <w:pPr>
        <w:pStyle w:val="DGTextstand-alone"/>
      </w:pPr>
      <w:r>
        <w:t>In order to ensure that investments made under EFSI remain focused on the specific objective of addressing market failures and that they are eligible for the protection of the EU guarantee, a dedicated governance structure has been put in place, includin</w:t>
      </w:r>
      <w:r>
        <w:t>g an Investment Committee of independent experts which examines each project proposed by the EIB under the IIW regarding its eligibility for the EU guarantee coverage and EFSI Steering Board ensuring an oversight over the programme.</w:t>
      </w:r>
    </w:p>
    <w:p w:rsidR="00135552" w:rsidRDefault="004C63B0">
      <w:pPr>
        <w:pStyle w:val="DGTextstand-alone"/>
      </w:pPr>
      <w:r>
        <w:t>As the control criteria</w:t>
      </w:r>
      <w:r>
        <w:t xml:space="preserve"> and accounting requirements for consolidation under the EU accounting rules (and IPSAS) are not met, the related guaranteed assets are not accounted for in the consolidated annual accounts of the EU.</w:t>
      </w:r>
    </w:p>
    <w:p w:rsidR="00135552" w:rsidRDefault="004C63B0">
      <w:pPr>
        <w:pStyle w:val="DGTextstand-alone"/>
      </w:pPr>
      <w:r>
        <w:t>The EU guarantee granted to the EIB Group under EFSI is</w:t>
      </w:r>
      <w:r>
        <w:t xml:space="preserve"> accounted for as a financial guarantee liability in respect of the IIW debt portfolio (see note </w:t>
      </w:r>
      <w:r>
        <w:rPr>
          <w:b/>
        </w:rPr>
        <w:t>2.11.3</w:t>
      </w:r>
      <w:r>
        <w:t>), as a financial provision for the SMEW debt portfolio and as a derivative (financial asset or liability at fair value through surplus or deficit) for b</w:t>
      </w:r>
      <w:r>
        <w:t xml:space="preserve">oth equity portfolios (see note </w:t>
      </w:r>
      <w:r>
        <w:rPr>
          <w:b/>
        </w:rPr>
        <w:t>2.4.2</w:t>
      </w:r>
      <w:r>
        <w:t>). In addition, a contingent liability related to the EFSI guarantee given is disclosed in this note. The EFSI contingent liability includes operations of the COSME, H2020, CCS LGF and EaSI programmes for the part cover</w:t>
      </w:r>
      <w:r>
        <w:t xml:space="preserve">ed by the EFSI EU guarantee under SMEW debt portfolio, and is presented net of EUR 74 million of financial provisions recognised for this portfolio, as included under the heading financial provisions in the note </w:t>
      </w:r>
      <w:r>
        <w:rPr>
          <w:b/>
        </w:rPr>
        <w:t>2.10</w:t>
      </w:r>
      <w:r>
        <w:t>.</w:t>
      </w:r>
    </w:p>
    <w:p w:rsidR="00135552" w:rsidRDefault="004C63B0">
      <w:pPr>
        <w:pStyle w:val="DGTextstand-alone"/>
      </w:pPr>
      <w:r>
        <w:t xml:space="preserve">EU guarantee payments, not covered by </w:t>
      </w:r>
      <w:r>
        <w:t xml:space="preserve">the EU revenues standing in credit on the EFSI settlement account at the EIB, are made by the EFSI Guarantee Fund – see note </w:t>
      </w:r>
      <w:r>
        <w:rPr>
          <w:b/>
        </w:rPr>
        <w:t>2.4.1</w:t>
      </w:r>
      <w:r>
        <w:t>. During 2019 no guarantee calls have been paid out from the EFSI Guarantee Fund (2018: EUR 61 million).</w:t>
      </w:r>
    </w:p>
    <w:p w:rsidR="00135552" w:rsidRDefault="004C63B0">
      <w:pPr>
        <w:pStyle w:val="HEADER5"/>
        <w:keepNext/>
        <w:rPr>
          <w:noProof/>
        </w:rPr>
      </w:pPr>
      <w:r>
        <w:rPr>
          <w:noProof/>
        </w:rPr>
        <w:t>European Fund for Sus</w:t>
      </w:r>
      <w:r>
        <w:rPr>
          <w:noProof/>
        </w:rPr>
        <w:t>tainable Development (EFSD)</w:t>
      </w:r>
    </w:p>
    <w:p w:rsidR="00135552" w:rsidRDefault="004C63B0">
      <w:pPr>
        <w:pStyle w:val="HEADER3NOTES"/>
        <w:numPr>
          <w:ilvl w:val="0"/>
          <w:numId w:val="0"/>
        </w:numPr>
        <w:jc w:val="both"/>
        <w:rPr>
          <w:rFonts w:eastAsia="Calibri"/>
          <w:noProof/>
          <w:color w:val="auto"/>
          <w:sz w:val="18"/>
          <w:szCs w:val="18"/>
        </w:rPr>
      </w:pPr>
      <w:r>
        <w:rPr>
          <w:rFonts w:eastAsia="Calibri"/>
          <w:noProof/>
          <w:color w:val="auto"/>
          <w:sz w:val="18"/>
          <w:szCs w:val="18"/>
        </w:rPr>
        <w:t>The European Fund for Sustainable Development, established by the EFSD Regulation, is an initiative aiming to support investments in Africa and the European Neighbourhood as a means to contribute to the achievement of the sustai</w:t>
      </w:r>
      <w:r>
        <w:rPr>
          <w:rFonts w:eastAsia="Calibri"/>
          <w:noProof/>
          <w:color w:val="auto"/>
          <w:sz w:val="18"/>
          <w:szCs w:val="18"/>
        </w:rPr>
        <w:t>nable development and to address specific socioeconomic root causes of migration. Under the EFSD Regulation, the EU should make available guarantees of EUR 1.5 billion (further increased by external contributions) to implementing partners for their investm</w:t>
      </w:r>
      <w:r>
        <w:rPr>
          <w:rFonts w:eastAsia="Calibri"/>
          <w:noProof/>
          <w:color w:val="auto"/>
          <w:sz w:val="18"/>
          <w:szCs w:val="18"/>
        </w:rPr>
        <w:t xml:space="preserve">ent and financing operations, in order to reduce their investment risks. The EFSD Guarantee is backed by the EFSD Guarantee Fund (see note </w:t>
      </w:r>
      <w:r>
        <w:rPr>
          <w:rFonts w:eastAsia="Calibri"/>
          <w:b/>
          <w:noProof/>
          <w:color w:val="auto"/>
          <w:sz w:val="18"/>
          <w:szCs w:val="18"/>
        </w:rPr>
        <w:t>2.4.1</w:t>
      </w:r>
      <w:r>
        <w:rPr>
          <w:rFonts w:eastAsia="Calibri"/>
          <w:noProof/>
          <w:color w:val="auto"/>
          <w:sz w:val="18"/>
          <w:szCs w:val="18"/>
        </w:rPr>
        <w:t>). As at 31 December 2019, one EFSD guarantee agreement ’Framework to Scale Up Renewable Energy Investments‘, wa</w:t>
      </w:r>
      <w:r>
        <w:rPr>
          <w:rFonts w:eastAsia="Calibri"/>
          <w:noProof/>
          <w:color w:val="auto"/>
          <w:sz w:val="18"/>
          <w:szCs w:val="18"/>
        </w:rPr>
        <w:t>s effective, but no underlying financing operations were signed by the implementing partner, EBRD.</w:t>
      </w:r>
    </w:p>
    <w:p w:rsidR="00135552" w:rsidRDefault="004C63B0">
      <w:pPr>
        <w:rPr>
          <w:rFonts w:ascii="Verdana" w:hAnsi="Verdana"/>
          <w:noProof/>
          <w:color w:val="016794"/>
          <w:sz w:val="20"/>
          <w:szCs w:val="20"/>
        </w:rPr>
      </w:pPr>
      <w:r>
        <w:rPr>
          <w:noProof/>
        </w:rPr>
        <w:br w:type="page"/>
      </w:r>
    </w:p>
    <w:p w:rsidR="00135552" w:rsidRDefault="004C63B0">
      <w:pPr>
        <w:pStyle w:val="HEADER3NOTES"/>
        <w:rPr>
          <w:noProof/>
        </w:rPr>
      </w:pPr>
      <w:r>
        <w:rPr>
          <w:noProof/>
        </w:rPr>
        <w:t>Guarantees relating to financial assistance (borrowing and lending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310"/>
        <w:gridCol w:w="1312"/>
        <w:gridCol w:w="1310"/>
        <w:gridCol w:w="1312"/>
        <w:gridCol w:w="1310"/>
        <w:gridCol w:w="1312"/>
      </w:tblGrid>
      <w:tr w:rsidR="00135552">
        <w:trPr>
          <w:trHeight w:val="255"/>
        </w:trPr>
        <w:tc>
          <w:tcPr>
            <w:tcW w:w="170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lang w:bidi="en-GB"/>
              </w:rPr>
            </w:pPr>
            <w:bookmarkStart w:id="135" w:name="DOC_TBL00074_1_1"/>
            <w:bookmarkEnd w:id="135"/>
          </w:p>
        </w:tc>
        <w:tc>
          <w:tcPr>
            <w:tcW w:w="11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GUARF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8BIPGUARFA"/>
              <w:rPr>
                <w:rFonts w:ascii="Verdana" w:eastAsia="Verdana" w:hAnsi="Verdana" w:cs="Verdana"/>
                <w:noProof/>
                <w:color w:val="FFFFFF"/>
              </w:rPr>
            </w:pPr>
          </w:p>
        </w:tc>
        <w:tc>
          <w:tcPr>
            <w:tcW w:w="1178"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center"/>
              <w:rPr>
                <w:rFonts w:ascii="Verdana" w:eastAsia="Verdana" w:hAnsi="Verdana" w:cs="Verdana"/>
                <w:noProof/>
                <w:color w:val="FFFFFF"/>
              </w:rPr>
            </w:pPr>
            <w:r>
              <w:rPr>
                <w:rFonts w:ascii="Verdana" w:eastAsia="Verdana" w:hAnsi="Verdana" w:cs="Verdana"/>
                <w:noProof/>
                <w:color w:val="FFFFFF"/>
              </w:rPr>
              <w:t>31.12.2019</w:t>
            </w:r>
          </w:p>
        </w:tc>
        <w:tc>
          <w:tcPr>
            <w:tcW w:w="1179"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8BIPGUARFA"/>
              <w:rPr>
                <w:rFonts w:ascii="Verdana" w:eastAsia="Verdana" w:hAnsi="Verdana" w:cs="Verdana"/>
                <w:noProof/>
                <w:color w:val="FFFFFF"/>
              </w:rPr>
            </w:pP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rPr>
            </w:pPr>
            <w:r>
              <w:rPr>
                <w:rFonts w:ascii="Verdana" w:eastAsia="Verdana" w:hAnsi="Verdana" w:cs="Verdana"/>
                <w:noProof/>
                <w:color w:val="FFFFFF"/>
              </w:rPr>
              <w:t>Drawn</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rPr>
            </w:pPr>
            <w:r>
              <w:rPr>
                <w:rFonts w:ascii="Verdana" w:eastAsia="Verdana" w:hAnsi="Verdana" w:cs="Verdana"/>
                <w:noProof/>
                <w:color w:val="FFFFFF"/>
              </w:rPr>
              <w:t>Undrawn</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rPr>
            </w:pPr>
            <w:r>
              <w:rPr>
                <w:rFonts w:ascii="Verdana" w:eastAsia="Verdana" w:hAnsi="Verdana" w:cs="Verdana"/>
                <w:noProof/>
                <w:color w:val="FFFFFF"/>
              </w:rPr>
              <w:t>Total</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rPr>
            </w:pPr>
            <w:r>
              <w:rPr>
                <w:rFonts w:ascii="Verdana" w:eastAsia="Verdana" w:hAnsi="Verdana" w:cs="Verdana"/>
                <w:noProof/>
                <w:color w:val="FFFFFF"/>
              </w:rPr>
              <w:t>Drawn</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rPr>
            </w:pPr>
            <w:r>
              <w:rPr>
                <w:rFonts w:ascii="Verdana" w:eastAsia="Verdana" w:hAnsi="Verdana" w:cs="Verdana"/>
                <w:noProof/>
                <w:color w:val="FFFFFF"/>
              </w:rPr>
              <w:t>Undrawn</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GUARFA"/>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rPr>
                <w:rFonts w:ascii="Verdana" w:eastAsia="Verdana" w:hAnsi="Verdana" w:cs="Verdana"/>
                <w:i/>
                <w:noProof/>
                <w:color w:val="000000"/>
                <w:sz w:val="18"/>
              </w:rPr>
            </w:pPr>
            <w:r>
              <w:rPr>
                <w:rFonts w:ascii="Verdana" w:eastAsia="Verdana" w:hAnsi="Verdana" w:cs="Verdana"/>
                <w:i/>
                <w:noProof/>
                <w:color w:val="000000"/>
                <w:sz w:val="18"/>
              </w:rPr>
              <w:t>EFSM</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47 400</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lang w:bidi="en-GB"/>
              </w:rPr>
            </w:pPr>
            <w:r>
              <w:rPr>
                <w:rFonts w:ascii="Verdana" w:eastAsia="Verdana" w:hAnsi="Verdana" w:cs="Verdana"/>
                <w:i/>
                <w:noProof/>
                <w:color w:val="000000"/>
                <w:sz w:val="18"/>
              </w:rPr>
              <w:t>47 400</w:t>
            </w:r>
          </w:p>
        </w:tc>
      </w:tr>
      <w:tr w:rsidR="00135552">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rPr>
                <w:rFonts w:ascii="Verdana" w:eastAsia="Verdana" w:hAnsi="Verdana" w:cs="Verdana"/>
                <w:i/>
                <w:noProof/>
                <w:color w:val="000000"/>
                <w:sz w:val="18"/>
              </w:rPr>
            </w:pPr>
            <w:r>
              <w:rPr>
                <w:rFonts w:ascii="Verdana" w:eastAsia="Verdana" w:hAnsi="Verdana" w:cs="Verdana"/>
                <w:i/>
                <w:noProof/>
                <w:color w:val="000000"/>
                <w:sz w:val="18"/>
              </w:rPr>
              <w:t>BOP</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1 734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lang w:bidi="en-GB"/>
              </w:rPr>
            </w:pPr>
            <w:r>
              <w:rPr>
                <w:rFonts w:ascii="Verdana" w:eastAsia="Verdana" w:hAnsi="Verdana" w:cs="Verdana"/>
                <w:i/>
                <w:noProof/>
                <w:color w:val="000000"/>
                <w:sz w:val="18"/>
              </w:rPr>
              <w:t>1 734</w:t>
            </w:r>
          </w:p>
        </w:tc>
      </w:tr>
      <w:tr w:rsidR="00135552">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rPr>
                <w:rFonts w:ascii="Verdana" w:eastAsia="Verdana" w:hAnsi="Verdana" w:cs="Verdana"/>
                <w:i/>
                <w:noProof/>
                <w:color w:val="000000"/>
                <w:sz w:val="18"/>
              </w:rPr>
            </w:pPr>
            <w:r>
              <w:rPr>
                <w:rFonts w:ascii="Verdana" w:eastAsia="Verdana" w:hAnsi="Verdana" w:cs="Verdana"/>
                <w:i/>
                <w:noProof/>
                <w:color w:val="000000"/>
                <w:sz w:val="18"/>
              </w:rPr>
              <w:t>MFA</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4 754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560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5 314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4 388</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980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lang w:bidi="en-GB"/>
              </w:rPr>
            </w:pPr>
            <w:r>
              <w:rPr>
                <w:rFonts w:ascii="Verdana" w:eastAsia="Verdana" w:hAnsi="Verdana" w:cs="Verdana"/>
                <w:i/>
                <w:noProof/>
                <w:color w:val="000000"/>
                <w:sz w:val="18"/>
              </w:rPr>
              <w:t>5 368</w:t>
            </w:r>
          </w:p>
        </w:tc>
      </w:tr>
      <w:tr w:rsidR="00135552">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rPr>
                <w:rFonts w:ascii="Verdana" w:eastAsia="Verdana" w:hAnsi="Verdana" w:cs="Verdana"/>
                <w:i/>
                <w:noProof/>
                <w:color w:val="000000"/>
                <w:sz w:val="18"/>
              </w:rPr>
            </w:pPr>
            <w:r>
              <w:rPr>
                <w:rFonts w:ascii="Verdana" w:eastAsia="Verdana" w:hAnsi="Verdana" w:cs="Verdana"/>
                <w:i/>
                <w:noProof/>
                <w:color w:val="000000"/>
                <w:sz w:val="18"/>
              </w:rPr>
              <w:t>Euratom</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200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414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254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rPr>
            </w:pPr>
            <w:r>
              <w:rPr>
                <w:rFonts w:ascii="Verdana" w:eastAsia="Verdana" w:hAnsi="Verdana" w:cs="Verdana"/>
                <w:i/>
                <w:noProof/>
                <w:color w:val="000000"/>
                <w:sz w:val="18"/>
              </w:rPr>
              <w:t xml:space="preserve"> 200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GUARF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454</w:t>
            </w:r>
          </w:p>
        </w:tc>
      </w:tr>
      <w:tr w:rsidR="00135552">
        <w:trPr>
          <w:trHeight w:val="255"/>
        </w:trPr>
        <w:tc>
          <w:tcPr>
            <w:tcW w:w="1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rPr>
                <w:rFonts w:ascii="Verdana" w:eastAsia="Verdana" w:hAnsi="Verdana" w:cs="Verdana"/>
                <w:b/>
                <w:noProof/>
                <w:color w:val="000000"/>
                <w:sz w:val="18"/>
              </w:rPr>
            </w:pPr>
            <w:r>
              <w:rPr>
                <w:rFonts w:ascii="Verdana" w:eastAsia="Verdana" w:hAnsi="Verdana" w:cs="Verdana"/>
                <w:b/>
                <w:noProof/>
                <w:color w:val="000000"/>
                <w:sz w:val="18"/>
              </w:rPr>
              <w:t>Total</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52 564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 xml:space="preserve"> 760</w:t>
            </w:r>
          </w:p>
        </w:tc>
        <w:tc>
          <w:tcPr>
            <w:tcW w:w="1178"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53 324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53 775</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1 180</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GUARFA"/>
              <w:jc w:val="right"/>
              <w:rPr>
                <w:rFonts w:ascii="Verdana" w:eastAsia="Verdana" w:hAnsi="Verdana" w:cs="Verdana"/>
                <w:b/>
                <w:noProof/>
                <w:color w:val="000000"/>
                <w:sz w:val="18"/>
              </w:rPr>
            </w:pPr>
            <w:r>
              <w:rPr>
                <w:rFonts w:ascii="Verdana" w:eastAsia="Verdana" w:hAnsi="Verdana" w:cs="Verdana"/>
                <w:b/>
                <w:noProof/>
                <w:color w:val="000000"/>
                <w:sz w:val="18"/>
              </w:rPr>
              <w:t>54 955</w:t>
            </w:r>
          </w:p>
        </w:tc>
      </w:tr>
    </w:tbl>
    <w:p w:rsidR="00135552" w:rsidRDefault="004C63B0">
      <w:pPr>
        <w:pStyle w:val="DGTextstand-alone"/>
      </w:pPr>
      <w:r>
        <w:t xml:space="preserve">The EU budget guarantees the borrowings of the Commission taken to finance lending to Member and non-Member States in back-to-back transactions. These borrowings are already recognised as liabilities on the EU balance sheet – see note </w:t>
      </w:r>
      <w:r>
        <w:rPr>
          <w:b/>
        </w:rPr>
        <w:t>2.11.1</w:t>
      </w:r>
      <w:r>
        <w:t>. However, shou</w:t>
      </w:r>
      <w:r>
        <w:t>ld there be a default on the back-to-back-loans given out with these borrowings, the EU budget, based on Article 14 of Council Regulation 2014/609, would have to bear the full cost of the amount defaulted:</w:t>
      </w:r>
    </w:p>
    <w:p w:rsidR="00135552" w:rsidRDefault="004C63B0">
      <w:pPr>
        <w:pStyle w:val="DGTextstand-alone"/>
        <w:numPr>
          <w:ilvl w:val="0"/>
          <w:numId w:val="30"/>
        </w:numPr>
      </w:pPr>
      <w:r>
        <w:t>Borrowings related to loans disbursed under the EF</w:t>
      </w:r>
      <w:r>
        <w:t>SM are guaranteed solely by the EU budget;</w:t>
      </w:r>
    </w:p>
    <w:p w:rsidR="00135552" w:rsidRDefault="004C63B0">
      <w:pPr>
        <w:pStyle w:val="DGTextstand-alone"/>
        <w:numPr>
          <w:ilvl w:val="0"/>
          <w:numId w:val="30"/>
        </w:numPr>
      </w:pPr>
      <w:r>
        <w:t>Borrowings related to BOP loans are guaranteed solely by the EU budget;</w:t>
      </w:r>
    </w:p>
    <w:p w:rsidR="00135552" w:rsidRDefault="004C63B0">
      <w:pPr>
        <w:pStyle w:val="DGTextstand-alone"/>
        <w:numPr>
          <w:ilvl w:val="0"/>
          <w:numId w:val="30"/>
        </w:numPr>
      </w:pPr>
      <w:r>
        <w:t xml:space="preserve">MFA loans are firstly guaranteed by the Guarantee Fund for external actions (see note </w:t>
      </w:r>
      <w:r>
        <w:rPr>
          <w:b/>
        </w:rPr>
        <w:t>2.4.1</w:t>
      </w:r>
      <w:r>
        <w:t xml:space="preserve">) and then by the EU budget; and </w:t>
      </w:r>
    </w:p>
    <w:p w:rsidR="00135552" w:rsidRDefault="004C63B0">
      <w:pPr>
        <w:pStyle w:val="DGTextstand-alone"/>
        <w:numPr>
          <w:ilvl w:val="0"/>
          <w:numId w:val="30"/>
        </w:numPr>
      </w:pPr>
      <w:r>
        <w:t xml:space="preserve">Guarantees from </w:t>
      </w:r>
      <w:r>
        <w:t>third parties are the first cover for the entire amounts of the outstanding Euratom loans. The Guarantee Fund would cover the external lending amounts should the third party guarantors not provide for them.</w:t>
      </w:r>
    </w:p>
    <w:p w:rsidR="00135552" w:rsidRDefault="004C63B0">
      <w:pPr>
        <w:pStyle w:val="HEADER3NOTES"/>
        <w:rPr>
          <w:noProof/>
        </w:rPr>
      </w:pPr>
      <w:r>
        <w:rPr>
          <w:noProof/>
        </w:rPr>
        <w:t>Guarantees given for EU financial instruments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2089"/>
        <w:gridCol w:w="2178"/>
      </w:tblGrid>
      <w:tr w:rsidR="00135552">
        <w:trPr>
          <w:trHeight w:val="255"/>
        </w:trPr>
        <w:tc>
          <w:tcPr>
            <w:tcW w:w="370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INSGUA"/>
              <w:rPr>
                <w:rFonts w:ascii="Arial" w:eastAsia="Arial" w:hAnsi="Arial" w:cs="Arial"/>
                <w:noProof/>
                <w:color w:val="000000"/>
                <w:lang w:bidi="en-GB"/>
              </w:rPr>
            </w:pPr>
            <w:bookmarkStart w:id="136" w:name="DOC_TBL00075_1_1"/>
            <w:bookmarkEnd w:id="136"/>
          </w:p>
        </w:tc>
        <w:tc>
          <w:tcPr>
            <w:tcW w:w="141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58BIPINSGUA"/>
              <w:rPr>
                <w:rFonts w:ascii="Arial" w:eastAsia="Arial" w:hAnsi="Arial" w:cs="Arial"/>
                <w:noProof/>
                <w:color w:val="000000"/>
              </w:rPr>
            </w:pPr>
          </w:p>
        </w:tc>
        <w:tc>
          <w:tcPr>
            <w:tcW w:w="14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6"/>
                <w:lang w:bidi="en-GB"/>
              </w:rPr>
            </w:pPr>
            <w:r>
              <w:rPr>
                <w:rFonts w:ascii="Verdana" w:eastAsia="Verdana" w:hAnsi="Verdana" w:cs="Verdana"/>
                <w:i/>
                <w:noProof/>
                <w:color w:val="000000"/>
                <w:sz w:val="16"/>
              </w:rPr>
              <w:t>E</w:t>
            </w:r>
            <w:r>
              <w:rPr>
                <w:rFonts w:ascii="Verdana" w:eastAsia="Verdana" w:hAnsi="Verdana" w:cs="Verdana"/>
                <w:i/>
                <w:noProof/>
                <w:color w:val="000000"/>
                <w:sz w:val="16"/>
              </w:rPr>
              <w:t>UR million</w:t>
            </w:r>
          </w:p>
        </w:tc>
      </w:tr>
      <w:tr w:rsidR="00135552">
        <w:trPr>
          <w:trHeight w:val="255"/>
        </w:trPr>
        <w:tc>
          <w:tcPr>
            <w:tcW w:w="370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58BIPINSGUA"/>
              <w:rPr>
                <w:rFonts w:ascii="Verdana" w:eastAsia="Verdana" w:hAnsi="Verdana" w:cs="Verdana"/>
                <w:noProof/>
                <w:color w:val="FFFFFF"/>
              </w:rPr>
            </w:pPr>
          </w:p>
        </w:tc>
        <w:tc>
          <w:tcPr>
            <w:tcW w:w="141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INSGUA"/>
              <w:jc w:val="right"/>
              <w:rPr>
                <w:rFonts w:ascii="Verdana" w:eastAsia="Verdana" w:hAnsi="Verdana" w:cs="Verdana"/>
                <w:noProof/>
                <w:color w:val="FFFFFF"/>
              </w:rPr>
            </w:pPr>
            <w:r>
              <w:rPr>
                <w:rFonts w:ascii="Verdana" w:eastAsia="Verdana" w:hAnsi="Verdana" w:cs="Verdana"/>
                <w:noProof/>
                <w:color w:val="FFFFFF"/>
              </w:rPr>
              <w:t>31.12.2019</w:t>
            </w:r>
          </w:p>
        </w:tc>
        <w:tc>
          <w:tcPr>
            <w:tcW w:w="147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58BIPINSGUA"/>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INSGUA"/>
              <w:rPr>
                <w:rFonts w:ascii="Verdana" w:eastAsia="Verdana" w:hAnsi="Verdana" w:cs="Verdana"/>
                <w:i/>
                <w:noProof/>
                <w:color w:val="000000"/>
                <w:sz w:val="18"/>
              </w:rPr>
            </w:pPr>
            <w:r>
              <w:rPr>
                <w:rFonts w:ascii="Verdana" w:eastAsia="Verdana" w:hAnsi="Verdana" w:cs="Verdana"/>
                <w:i/>
                <w:noProof/>
                <w:color w:val="000000"/>
                <w:sz w:val="18"/>
              </w:rPr>
              <w:t>Horizon 2020</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rPr>
            </w:pPr>
            <w:r>
              <w:rPr>
                <w:rFonts w:ascii="Verdana" w:eastAsia="Verdana" w:hAnsi="Verdana" w:cs="Verdana"/>
                <w:i/>
                <w:noProof/>
                <w:color w:val="000000"/>
                <w:sz w:val="18"/>
              </w:rPr>
              <w:t>1 584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lang w:bidi="en-GB"/>
              </w:rPr>
            </w:pPr>
            <w:r>
              <w:rPr>
                <w:rFonts w:ascii="Verdana" w:eastAsia="Verdana" w:hAnsi="Verdana" w:cs="Verdana"/>
                <w:i/>
                <w:noProof/>
                <w:color w:val="000000"/>
                <w:sz w:val="18"/>
              </w:rPr>
              <w:t>1 467</w:t>
            </w:r>
          </w:p>
        </w:tc>
      </w:tr>
      <w:tr w:rsidR="00135552">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INSGUA"/>
              <w:rPr>
                <w:rFonts w:ascii="Verdana" w:eastAsia="Verdana" w:hAnsi="Verdana" w:cs="Verdana"/>
                <w:i/>
                <w:noProof/>
                <w:color w:val="000000"/>
                <w:sz w:val="18"/>
              </w:rPr>
            </w:pPr>
            <w:r>
              <w:rPr>
                <w:rFonts w:ascii="Verdana" w:eastAsia="Verdana" w:hAnsi="Verdana" w:cs="Verdana"/>
                <w:i/>
                <w:noProof/>
                <w:color w:val="000000"/>
                <w:sz w:val="18"/>
              </w:rPr>
              <w:t>Risk Sharing Finance Facility</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rPr>
            </w:pPr>
            <w:r>
              <w:rPr>
                <w:rFonts w:ascii="Verdana" w:eastAsia="Verdana" w:hAnsi="Verdana" w:cs="Verdana"/>
                <w:i/>
                <w:noProof/>
                <w:color w:val="000000"/>
                <w:sz w:val="18"/>
              </w:rPr>
              <w:t xml:space="preserve"> 110</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642</w:t>
            </w:r>
          </w:p>
        </w:tc>
      </w:tr>
      <w:tr w:rsidR="00135552">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INSGUA"/>
              <w:rPr>
                <w:rFonts w:ascii="Verdana" w:eastAsia="Verdana" w:hAnsi="Verdana" w:cs="Verdana"/>
                <w:i/>
                <w:noProof/>
                <w:color w:val="000000"/>
                <w:sz w:val="18"/>
              </w:rPr>
            </w:pPr>
            <w:r>
              <w:rPr>
                <w:rFonts w:ascii="Verdana" w:eastAsia="Verdana" w:hAnsi="Verdana" w:cs="Verdana"/>
                <w:i/>
                <w:noProof/>
                <w:color w:val="000000"/>
                <w:sz w:val="18"/>
              </w:rPr>
              <w:t>Connecting Europe Facility</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rPr>
            </w:pPr>
            <w:r>
              <w:rPr>
                <w:rFonts w:ascii="Verdana" w:eastAsia="Verdana" w:hAnsi="Verdana" w:cs="Verdana"/>
                <w:i/>
                <w:noProof/>
                <w:color w:val="000000"/>
                <w:sz w:val="18"/>
              </w:rPr>
              <w:t xml:space="preserve"> 684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579</w:t>
            </w:r>
          </w:p>
        </w:tc>
      </w:tr>
      <w:tr w:rsidR="00135552">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58BIPINSGUA"/>
              <w:rPr>
                <w:rFonts w:ascii="Verdana" w:eastAsia="Verdana" w:hAnsi="Verdana" w:cs="Verdana"/>
                <w:i/>
                <w:noProof/>
                <w:color w:val="000000"/>
                <w:sz w:val="18"/>
              </w:rPr>
            </w:pPr>
            <w:r>
              <w:rPr>
                <w:rFonts w:ascii="Verdana" w:eastAsia="Verdana" w:hAnsi="Verdana" w:cs="Verdana"/>
                <w:i/>
                <w:noProof/>
                <w:color w:val="000000"/>
                <w:sz w:val="18"/>
              </w:rPr>
              <w:t>Other</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rPr>
            </w:pPr>
            <w:r>
              <w:rPr>
                <w:rFonts w:ascii="Verdana" w:eastAsia="Verdana" w:hAnsi="Verdana" w:cs="Verdana"/>
                <w:i/>
                <w:noProof/>
                <w:color w:val="000000"/>
                <w:sz w:val="18"/>
              </w:rPr>
              <w:t xml:space="preserve"> 38</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58BIPINSGU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w:t>
            </w:r>
          </w:p>
        </w:tc>
      </w:tr>
      <w:tr w:rsidR="00135552">
        <w:trPr>
          <w:trHeight w:val="255"/>
        </w:trPr>
        <w:tc>
          <w:tcPr>
            <w:tcW w:w="370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58BIPINSGUA"/>
              <w:rPr>
                <w:rFonts w:ascii="Verdana" w:eastAsia="Verdana" w:hAnsi="Verdana" w:cs="Verdana"/>
                <w:b/>
                <w:noProof/>
                <w:color w:val="000000"/>
                <w:sz w:val="18"/>
              </w:rPr>
            </w:pPr>
            <w:r>
              <w:rPr>
                <w:rFonts w:ascii="Verdana" w:eastAsia="Verdana" w:hAnsi="Verdana" w:cs="Verdana"/>
                <w:b/>
                <w:noProof/>
                <w:color w:val="000000"/>
                <w:sz w:val="18"/>
              </w:rPr>
              <w:t>Total</w:t>
            </w:r>
          </w:p>
        </w:tc>
        <w:tc>
          <w:tcPr>
            <w:tcW w:w="1410"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58BIPINSGUA"/>
              <w:jc w:val="right"/>
              <w:rPr>
                <w:rFonts w:ascii="Verdana" w:eastAsia="Verdana" w:hAnsi="Verdana" w:cs="Verdana"/>
                <w:b/>
                <w:noProof/>
                <w:color w:val="000000"/>
                <w:sz w:val="18"/>
              </w:rPr>
            </w:pPr>
            <w:r>
              <w:rPr>
                <w:rFonts w:ascii="Verdana" w:eastAsia="Verdana" w:hAnsi="Verdana" w:cs="Verdana"/>
                <w:b/>
                <w:noProof/>
                <w:color w:val="000000"/>
                <w:sz w:val="18"/>
              </w:rPr>
              <w:t>2 416</w:t>
            </w:r>
          </w:p>
        </w:tc>
        <w:tc>
          <w:tcPr>
            <w:tcW w:w="1470" w:type="dxa"/>
            <w:tcBorders>
              <w:top w:val="nil"/>
              <w:left w:val="nil"/>
              <w:bottom w:val="nil"/>
              <w:right w:val="nil"/>
              <w:tl2br w:val="nil"/>
              <w:tr2bl w:val="nil"/>
            </w:tcBorders>
            <w:shd w:val="solid" w:color="CCE1EA" w:fill="FFFFFF"/>
            <w:tcMar>
              <w:left w:w="60" w:type="dxa"/>
              <w:right w:w="60" w:type="dxa"/>
            </w:tcMar>
            <w:vAlign w:val="bottom"/>
          </w:tcPr>
          <w:p w:rsidR="00135552" w:rsidRDefault="004C63B0">
            <w:pPr>
              <w:pStyle w:val="DMETW16558BIPINSGUA"/>
              <w:jc w:val="right"/>
              <w:rPr>
                <w:rFonts w:ascii="Verdana" w:eastAsia="Verdana" w:hAnsi="Verdana" w:cs="Verdana"/>
                <w:b/>
                <w:noProof/>
                <w:color w:val="000000"/>
                <w:sz w:val="18"/>
              </w:rPr>
            </w:pPr>
            <w:r>
              <w:rPr>
                <w:rFonts w:ascii="Verdana" w:eastAsia="Verdana" w:hAnsi="Verdana" w:cs="Verdana"/>
                <w:b/>
                <w:noProof/>
                <w:color w:val="000000"/>
                <w:sz w:val="18"/>
              </w:rPr>
              <w:t>2 717</w:t>
            </w:r>
          </w:p>
        </w:tc>
      </w:tr>
    </w:tbl>
    <w:p w:rsidR="00135552" w:rsidRDefault="004C63B0">
      <w:pPr>
        <w:pStyle w:val="DGTextstand-alone"/>
      </w:pPr>
      <w:r>
        <w:t>As mentioned in Article 210(1) FR, the budgetary expenditure linked to a financial instrument and the financial liability of the EU shall in no case exceed the amount of the relevant budgetary commitment made for it, thus excluding contingent liabilities f</w:t>
      </w:r>
      <w:r>
        <w:t>or the budget. In practice, it means that these liabilities have a counter-part on the asset side of the balance sheet or are covered by the outstanding budgetary commitments not yet expensed. The contingent liabilities above are shown net of financial pro</w:t>
      </w:r>
      <w:r>
        <w:t xml:space="preserve">visions and financial liabilities recognised for these instruments – see notes </w:t>
      </w:r>
      <w:r>
        <w:rPr>
          <w:b/>
        </w:rPr>
        <w:t>2.10</w:t>
      </w:r>
      <w:r>
        <w:t xml:space="preserve"> and </w:t>
      </w:r>
      <w:r>
        <w:rPr>
          <w:b/>
        </w:rPr>
        <w:t>2.11.2</w:t>
      </w:r>
      <w:r>
        <w:t>.</w:t>
      </w:r>
    </w:p>
    <w:p w:rsidR="00135552" w:rsidRDefault="004C63B0">
      <w:pPr>
        <w:pStyle w:val="HEADER3NOTES"/>
        <w:rPr>
          <w:noProof/>
        </w:rPr>
      </w:pPr>
      <w:r>
        <w:rPr>
          <w:noProof/>
        </w:rPr>
        <w:t>Legal cases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686"/>
        <w:gridCol w:w="1686"/>
      </w:tblGrid>
      <w:tr w:rsidR="00135552">
        <w:trPr>
          <w:trHeight w:val="255"/>
        </w:trPr>
        <w:tc>
          <w:tcPr>
            <w:tcW w:w="63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6BIPCL"/>
              <w:rPr>
                <w:rFonts w:ascii="Arial" w:eastAsia="Arial" w:hAnsi="Arial" w:cs="Arial"/>
                <w:noProof/>
                <w:color w:val="000000"/>
                <w:lang w:bidi="en-GB"/>
              </w:rPr>
            </w:pPr>
            <w:bookmarkStart w:id="137" w:name="DOC_TBL00076_1_1"/>
            <w:bookmarkEnd w:id="137"/>
          </w:p>
        </w:tc>
        <w:tc>
          <w:tcPr>
            <w:tcW w:w="168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6BIPCL"/>
              <w:rPr>
                <w:rFonts w:ascii="Arial" w:eastAsia="Arial" w:hAnsi="Arial" w:cs="Arial"/>
                <w:noProof/>
                <w:color w:val="000000"/>
              </w:rPr>
            </w:pPr>
          </w:p>
        </w:tc>
        <w:tc>
          <w:tcPr>
            <w:tcW w:w="168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36BIPC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638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6BIPCL"/>
              <w:jc w:val="right"/>
              <w:rPr>
                <w:rFonts w:ascii="Verdana" w:eastAsia="Verdana" w:hAnsi="Verdana" w:cs="Verdana"/>
                <w:noProof/>
                <w:color w:val="FFFFFF"/>
              </w:rPr>
            </w:pP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6BIPCL"/>
              <w:jc w:val="right"/>
              <w:rPr>
                <w:rFonts w:ascii="Verdana" w:eastAsia="Verdana" w:hAnsi="Verdana" w:cs="Verdana"/>
                <w:noProof/>
                <w:color w:val="FFFFFF"/>
              </w:rPr>
            </w:pPr>
            <w:r>
              <w:rPr>
                <w:rFonts w:ascii="Verdana" w:eastAsia="Verdana" w:hAnsi="Verdana" w:cs="Verdana"/>
                <w:noProof/>
                <w:color w:val="FFFFFF"/>
              </w:rPr>
              <w:t>31.12.2019</w:t>
            </w: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6BIPCL"/>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rPr>
                <w:rFonts w:ascii="Verdana" w:eastAsia="Verdana" w:hAnsi="Verdana" w:cs="Verdana"/>
                <w:i/>
                <w:noProof/>
                <w:color w:val="000000"/>
                <w:sz w:val="18"/>
              </w:rPr>
            </w:pPr>
            <w:r>
              <w:rPr>
                <w:rFonts w:ascii="Verdana" w:eastAsia="Verdana" w:hAnsi="Verdana" w:cs="Verdana"/>
                <w:i/>
                <w:noProof/>
                <w:color w:val="000000"/>
                <w:sz w:val="18"/>
              </w:rPr>
              <w:t>Fines</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rPr>
            </w:pPr>
            <w:r>
              <w:rPr>
                <w:rFonts w:ascii="Verdana" w:eastAsia="Verdana" w:hAnsi="Verdana" w:cs="Verdana"/>
                <w:i/>
                <w:noProof/>
                <w:color w:val="000000"/>
                <w:sz w:val="18"/>
              </w:rPr>
              <w:t>3 128</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lang w:bidi="en-GB"/>
              </w:rPr>
            </w:pPr>
            <w:r>
              <w:rPr>
                <w:rFonts w:ascii="Verdana" w:eastAsia="Verdana" w:hAnsi="Verdana" w:cs="Verdana"/>
                <w:i/>
                <w:noProof/>
                <w:color w:val="000000"/>
                <w:sz w:val="18"/>
              </w:rPr>
              <w:t>3 187</w:t>
            </w:r>
          </w:p>
        </w:tc>
      </w:tr>
      <w:tr w:rsidR="00135552">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rPr>
                <w:rFonts w:ascii="Verdana" w:eastAsia="Verdana" w:hAnsi="Verdana" w:cs="Verdana"/>
                <w:i/>
                <w:noProof/>
                <w:color w:val="000000"/>
                <w:sz w:val="18"/>
              </w:rPr>
            </w:pPr>
            <w:r>
              <w:rPr>
                <w:rFonts w:ascii="Verdana" w:eastAsia="Verdana" w:hAnsi="Verdana" w:cs="Verdana"/>
                <w:i/>
                <w:noProof/>
                <w:color w:val="000000"/>
                <w:sz w:val="18"/>
              </w:rPr>
              <w:t>Agriculture</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rPr>
            </w:pPr>
            <w:r>
              <w:rPr>
                <w:rFonts w:ascii="Verdana" w:eastAsia="Verdana" w:hAnsi="Verdana" w:cs="Verdana"/>
                <w:i/>
                <w:noProof/>
                <w:color w:val="000000"/>
                <w:sz w:val="18"/>
              </w:rPr>
              <w:t xml:space="preserve"> 199</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653</w:t>
            </w:r>
          </w:p>
        </w:tc>
      </w:tr>
      <w:tr w:rsidR="00135552">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rPr>
                <w:rFonts w:ascii="Verdana" w:eastAsia="Verdana" w:hAnsi="Verdana" w:cs="Verdana"/>
                <w:i/>
                <w:noProof/>
                <w:color w:val="000000"/>
                <w:sz w:val="18"/>
              </w:rPr>
            </w:pPr>
            <w:r>
              <w:rPr>
                <w:rFonts w:ascii="Verdana" w:eastAsia="Verdana" w:hAnsi="Verdana" w:cs="Verdana"/>
                <w:i/>
                <w:noProof/>
                <w:color w:val="000000"/>
                <w:sz w:val="18"/>
              </w:rPr>
              <w:t>Cohesion</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rPr>
            </w:pPr>
            <w:r>
              <w:rPr>
                <w:rFonts w:ascii="Verdana" w:eastAsia="Verdana" w:hAnsi="Verdana" w:cs="Verdana"/>
                <w:i/>
                <w:noProof/>
                <w:color w:val="000000"/>
                <w:sz w:val="18"/>
              </w:rPr>
              <w:t xml:space="preserve"> 341</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w:t>
            </w:r>
          </w:p>
        </w:tc>
      </w:tr>
      <w:tr w:rsidR="00135552">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rPr>
                <w:rFonts w:ascii="Verdana" w:eastAsia="Verdana" w:hAnsi="Verdana" w:cs="Verdana"/>
                <w:i/>
                <w:noProof/>
                <w:color w:val="000000"/>
                <w:sz w:val="18"/>
              </w:rPr>
            </w:pPr>
            <w:r>
              <w:rPr>
                <w:rFonts w:ascii="Verdana" w:eastAsia="Verdana" w:hAnsi="Verdana" w:cs="Verdana"/>
                <w:i/>
                <w:noProof/>
                <w:color w:val="000000"/>
                <w:sz w:val="18"/>
              </w:rPr>
              <w:t>Other</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rPr>
            </w:pPr>
            <w:r>
              <w:rPr>
                <w:rFonts w:ascii="Verdana" w:eastAsia="Verdana" w:hAnsi="Verdana" w:cs="Verdana"/>
                <w:i/>
                <w:noProof/>
                <w:color w:val="000000"/>
                <w:sz w:val="18"/>
              </w:rPr>
              <w:t>2 137</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6BIPCL"/>
              <w:jc w:val="right"/>
              <w:rPr>
                <w:rFonts w:ascii="Verdana" w:eastAsia="Verdana" w:hAnsi="Verdana" w:cs="Verdana"/>
                <w:i/>
                <w:noProof/>
                <w:color w:val="000000"/>
                <w:sz w:val="18"/>
                <w:lang w:bidi="en-GB"/>
              </w:rPr>
            </w:pPr>
            <w:r>
              <w:rPr>
                <w:rFonts w:ascii="Verdana" w:eastAsia="Verdana" w:hAnsi="Verdana" w:cs="Verdana"/>
                <w:i/>
                <w:noProof/>
                <w:color w:val="000000"/>
                <w:sz w:val="18"/>
              </w:rPr>
              <w:t>1 867</w:t>
            </w:r>
          </w:p>
        </w:tc>
      </w:tr>
      <w:tr w:rsidR="00135552">
        <w:trPr>
          <w:trHeight w:val="255"/>
        </w:trPr>
        <w:tc>
          <w:tcPr>
            <w:tcW w:w="63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L"/>
              <w:rPr>
                <w:rFonts w:ascii="Verdana" w:eastAsia="Verdana" w:hAnsi="Verdana" w:cs="Verdana"/>
                <w:b/>
                <w:noProof/>
                <w:color w:val="000000"/>
                <w:sz w:val="18"/>
              </w:rPr>
            </w:pPr>
            <w:r>
              <w:rPr>
                <w:rFonts w:ascii="Verdana" w:eastAsia="Verdana" w:hAnsi="Verdana" w:cs="Verdana"/>
                <w:b/>
                <w:noProof/>
                <w:color w:val="000000"/>
                <w:sz w:val="18"/>
              </w:rPr>
              <w:t>Total</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L"/>
              <w:jc w:val="right"/>
              <w:rPr>
                <w:rFonts w:ascii="Verdana" w:eastAsia="Verdana" w:hAnsi="Verdana" w:cs="Verdana"/>
                <w:b/>
                <w:noProof/>
                <w:color w:val="000000"/>
                <w:sz w:val="18"/>
              </w:rPr>
            </w:pPr>
            <w:r>
              <w:rPr>
                <w:rFonts w:ascii="Verdana" w:eastAsia="Verdana" w:hAnsi="Verdana" w:cs="Verdana"/>
                <w:b/>
                <w:noProof/>
                <w:color w:val="000000"/>
                <w:sz w:val="18"/>
              </w:rPr>
              <w:t>5 805</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L"/>
              <w:jc w:val="right"/>
              <w:rPr>
                <w:rFonts w:ascii="Verdana" w:eastAsia="Verdana" w:hAnsi="Verdana" w:cs="Verdana"/>
                <w:b/>
                <w:noProof/>
                <w:color w:val="000000"/>
                <w:sz w:val="18"/>
              </w:rPr>
            </w:pPr>
            <w:r>
              <w:rPr>
                <w:rFonts w:ascii="Verdana" w:eastAsia="Verdana" w:hAnsi="Verdana" w:cs="Verdana"/>
                <w:b/>
                <w:noProof/>
                <w:color w:val="000000"/>
                <w:sz w:val="18"/>
              </w:rPr>
              <w:t>5 732</w:t>
            </w:r>
          </w:p>
        </w:tc>
      </w:tr>
    </w:tbl>
    <w:p w:rsidR="00135552" w:rsidRDefault="00135552">
      <w:pPr>
        <w:pStyle w:val="Heading9pNormalLeft"/>
        <w:rPr>
          <w:noProof/>
          <w:lang w:bidi="en-GB"/>
        </w:rPr>
      </w:pPr>
    </w:p>
    <w:p w:rsidR="00135552" w:rsidRDefault="004C63B0">
      <w:pPr>
        <w:rPr>
          <w:rFonts w:ascii="Verdana" w:hAnsi="Verdana"/>
          <w:noProof/>
          <w:color w:val="016794"/>
          <w:sz w:val="18"/>
          <w:szCs w:val="18"/>
        </w:rPr>
      </w:pPr>
      <w:r>
        <w:rPr>
          <w:noProof/>
        </w:rPr>
        <w:br w:type="page"/>
      </w:r>
    </w:p>
    <w:p w:rsidR="00135552" w:rsidRDefault="004C63B0">
      <w:pPr>
        <w:pStyle w:val="HEADER5"/>
        <w:rPr>
          <w:noProof/>
        </w:rPr>
      </w:pPr>
      <w:r>
        <w:rPr>
          <w:noProof/>
        </w:rPr>
        <w:t>Fines</w:t>
      </w:r>
    </w:p>
    <w:p w:rsidR="00135552" w:rsidRDefault="004C63B0">
      <w:pPr>
        <w:pStyle w:val="DGTextstand-alone"/>
      </w:pPr>
      <w:r>
        <w:t xml:space="preserve">These amounts </w:t>
      </w:r>
      <w:r>
        <w:rPr>
          <w:lang w:val="en-US"/>
        </w:rPr>
        <w:t xml:space="preserve">mainly </w:t>
      </w:r>
      <w:r>
        <w:t>concern fines imposed by the Commission for infringement of competition rules that have been provisionally paid by fined companies and where either an appeal has been lodged or where it is unknown whether an appeal will be made. The co</w:t>
      </w:r>
      <w:r>
        <w:t>ntingent liability will be maintained until a decision by the Court of Justice on the case is final or until the expiry of the period for appeal. Interest earned on provisional payments is included in the economic result of the year and also as a contingen</w:t>
      </w:r>
      <w:r>
        <w:t>t liability to reflect the uncertainty of the Commission’s title to these amounts.</w:t>
      </w:r>
    </w:p>
    <w:p w:rsidR="00135552" w:rsidRDefault="004C63B0">
      <w:pPr>
        <w:pStyle w:val="DGTextstand-alone"/>
      </w:pPr>
      <w:r>
        <w:t xml:space="preserve">Should the EU lose any of the cases relating to fines imposed, the amounts that have been provisionally received will be returned to the companies without budgetary impact. </w:t>
      </w:r>
      <w:r>
        <w:t>The amount of fines is only recognised as budgetary revenue when the fines are definitive (Article 107 FR).</w:t>
      </w:r>
    </w:p>
    <w:p w:rsidR="00135552" w:rsidRDefault="004C63B0">
      <w:pPr>
        <w:pStyle w:val="DGTextstand-alone"/>
        <w:spacing w:after="120"/>
        <w:rPr>
          <w:color w:val="016794"/>
          <w:szCs w:val="20"/>
        </w:rPr>
      </w:pPr>
      <w:r>
        <w:rPr>
          <w:color w:val="016794"/>
          <w:szCs w:val="20"/>
        </w:rPr>
        <w:t>Agriculture</w:t>
      </w:r>
    </w:p>
    <w:p w:rsidR="00135552" w:rsidRDefault="004C63B0">
      <w:pPr>
        <w:pStyle w:val="DGTextstand-alone"/>
      </w:pPr>
      <w:r>
        <w:t>These are contingent liabilities towards the Member States connected with EAGF and rural development conformity decisions pending judgem</w:t>
      </w:r>
      <w:r>
        <w:t>ent of the Court of Justice. The determination of the final amount of the liability and the year in which the effect of successful appeals will be charged to the budget will depend on the length of the procedure before the Court.</w:t>
      </w:r>
    </w:p>
    <w:p w:rsidR="00135552" w:rsidRDefault="004C63B0">
      <w:pPr>
        <w:pStyle w:val="DGTextstand-alone"/>
        <w:spacing w:after="120"/>
        <w:rPr>
          <w:color w:val="016794"/>
          <w:szCs w:val="20"/>
        </w:rPr>
      </w:pPr>
      <w:r>
        <w:rPr>
          <w:color w:val="016794"/>
          <w:szCs w:val="20"/>
        </w:rPr>
        <w:t>Cohesion</w:t>
      </w:r>
    </w:p>
    <w:p w:rsidR="00135552" w:rsidRDefault="004C63B0">
      <w:pPr>
        <w:pStyle w:val="DGTextstand-alone"/>
      </w:pPr>
      <w:r>
        <w:t>These are conting</w:t>
      </w:r>
      <w:r>
        <w:t>ent liabilities towards the Member States in connection with actions under cohesion policy awaiting the oral hearing date or pending judgement of the Court of Justice. The increase comes from two cases concerning eligible expenses and Member States account</w:t>
      </w:r>
      <w:r>
        <w:t>s.</w:t>
      </w:r>
    </w:p>
    <w:p w:rsidR="00135552" w:rsidRDefault="004C63B0">
      <w:pPr>
        <w:pStyle w:val="DGTextstand-alone"/>
        <w:spacing w:after="120"/>
        <w:rPr>
          <w:color w:val="016794"/>
          <w:szCs w:val="20"/>
        </w:rPr>
      </w:pPr>
      <w:r>
        <w:rPr>
          <w:color w:val="016794"/>
          <w:szCs w:val="20"/>
        </w:rPr>
        <w:t>Other legal cases</w:t>
      </w:r>
    </w:p>
    <w:p w:rsidR="00135552" w:rsidRDefault="004C63B0">
      <w:pPr>
        <w:pStyle w:val="DGTextstand-alone"/>
        <w:spacing w:after="0"/>
      </w:pPr>
      <w:r>
        <w:t>This heading relates to actions for damages currently being brought against the EU, other legal disputes and the estimated legal costs. It should be noted that in an action for damages under Article 340 TFEU, the applicant must demonst</w:t>
      </w:r>
      <w:r>
        <w:t xml:space="preserve">rate a sufficiently serious breach by the institution of a rule of law intended to confer rights on individuals, real harm suffered by the applicant, and a direct causal link between the unlawful act and the harm. </w:t>
      </w:r>
      <w:r>
        <w:rPr>
          <w:bdr w:val="none" w:sz="0" w:space="0" w:color="auto" w:frame="1"/>
        </w:rPr>
        <w:t>The amount for 2019 (as in 2018) mainly co</w:t>
      </w:r>
      <w:r>
        <w:rPr>
          <w:bdr w:val="none" w:sz="0" w:space="0" w:color="auto" w:frame="1"/>
        </w:rPr>
        <w:t>ncerns a damages claim against the Commission for a merger prohibition decision, where, in the absence of a reliable estimate, the amount disclosed relates to the claimed amount. The increase in 2019 relates to damages claims concerning a Commission delega</w:t>
      </w:r>
      <w:r>
        <w:rPr>
          <w:bdr w:val="none" w:sz="0" w:space="0" w:color="auto" w:frame="1"/>
        </w:rPr>
        <w:t>ted regulation, annuled by the General Court.</w:t>
      </w:r>
    </w:p>
    <w:p w:rsidR="00135552" w:rsidRDefault="004C63B0">
      <w:pPr>
        <w:pStyle w:val="DGTextstand-alone"/>
        <w:spacing w:before="0" w:after="0"/>
      </w:pPr>
      <w:r>
        <w:t xml:space="preserve"> </w:t>
      </w:r>
    </w:p>
    <w:p w:rsidR="00135552" w:rsidRDefault="004C63B0">
      <w:pPr>
        <w:pStyle w:val="HEADER2NOTES"/>
        <w:rPr>
          <w:noProof/>
          <w:lang w:val="fr-BE"/>
        </w:rPr>
      </w:pPr>
      <w:r>
        <w:rPr>
          <w:noProof/>
          <w:lang w:val="fr-BE"/>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1989"/>
        <w:gridCol w:w="1989"/>
      </w:tblGrid>
      <w:tr w:rsidR="00135552">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6BIPCA"/>
              <w:rPr>
                <w:rFonts w:ascii="Arial" w:eastAsia="Arial" w:hAnsi="Arial" w:cs="Arial"/>
                <w:noProof/>
                <w:color w:val="000000"/>
                <w:lang w:bidi="en-GB"/>
              </w:rPr>
            </w:pPr>
            <w:bookmarkStart w:id="138" w:name="DOC_TBL00077_1_1"/>
            <w:bookmarkEnd w:id="138"/>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6BIPCA"/>
              <w:rPr>
                <w:rFonts w:ascii="Arial" w:eastAsia="Arial" w:hAnsi="Arial" w:cs="Arial"/>
                <w:noProof/>
                <w:color w:val="000000"/>
              </w:rPr>
            </w:pPr>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135552" w:rsidRDefault="004C63B0">
            <w:pPr>
              <w:pStyle w:val="DMETW17236BIPC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578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6BIPCA"/>
              <w:jc w:val="right"/>
              <w:rPr>
                <w:rFonts w:ascii="Verdana" w:eastAsia="Verdana" w:hAnsi="Verdana" w:cs="Verdana"/>
                <w:noProof/>
                <w:color w:val="FFFFFF"/>
              </w:rPr>
            </w:pP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6BIPCA"/>
              <w:jc w:val="right"/>
              <w:rPr>
                <w:rFonts w:ascii="Verdana" w:eastAsia="Verdana" w:hAnsi="Verdana" w:cs="Verdana"/>
                <w:noProof/>
                <w:color w:val="FFFFFF"/>
              </w:rPr>
            </w:pPr>
            <w:r>
              <w:rPr>
                <w:rFonts w:ascii="Verdana" w:eastAsia="Verdana" w:hAnsi="Verdana" w:cs="Verdana"/>
                <w:noProof/>
                <w:color w:val="FFFFFF"/>
              </w:rPr>
              <w:t>31.12.2019</w:t>
            </w: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6BIPCA"/>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rPr>
                <w:rFonts w:ascii="Verdana" w:eastAsia="Verdana" w:hAnsi="Verdana" w:cs="Verdana"/>
                <w:i/>
                <w:noProof/>
                <w:color w:val="000000"/>
                <w:sz w:val="18"/>
              </w:rPr>
            </w:pPr>
            <w:r>
              <w:rPr>
                <w:rFonts w:ascii="Verdana" w:eastAsia="Verdana" w:hAnsi="Verdana" w:cs="Verdana"/>
                <w:i/>
                <w:noProof/>
                <w:color w:val="000000"/>
                <w:sz w:val="18"/>
              </w:rPr>
              <w:t>Guarantees received:</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6BIPC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36BIPCA"/>
              <w:jc w:val="right"/>
              <w:rPr>
                <w:rFonts w:ascii="Verdana" w:eastAsia="Verdana" w:hAnsi="Verdana" w:cs="Verdana"/>
                <w:i/>
                <w:noProof/>
                <w:color w:val="000000"/>
                <w:sz w:val="18"/>
                <w:lang w:bidi="en-GB"/>
              </w:rPr>
            </w:pPr>
          </w:p>
        </w:tc>
      </w:tr>
      <w:tr w:rsidR="00135552">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rPr>
                <w:rFonts w:ascii="Verdana" w:eastAsia="Verdana" w:hAnsi="Verdana" w:cs="Verdana"/>
                <w:i/>
                <w:noProof/>
                <w:color w:val="000000"/>
                <w:sz w:val="18"/>
              </w:rPr>
            </w:pPr>
            <w:r>
              <w:rPr>
                <w:rFonts w:ascii="Verdana" w:eastAsia="Verdana" w:hAnsi="Verdana" w:cs="Verdana"/>
                <w:i/>
                <w:noProof/>
                <w:color w:val="000000"/>
                <w:sz w:val="18"/>
              </w:rPr>
              <w:t xml:space="preserve">     Performance guarantees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rPr>
            </w:pPr>
            <w:r>
              <w:rPr>
                <w:rFonts w:ascii="Verdana" w:eastAsia="Verdana" w:hAnsi="Verdana" w:cs="Verdana"/>
                <w:i/>
                <w:noProof/>
                <w:color w:val="000000"/>
                <w:sz w:val="18"/>
              </w:rPr>
              <w:t xml:space="preserve"> 349</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321</w:t>
            </w:r>
          </w:p>
        </w:tc>
      </w:tr>
      <w:tr w:rsidR="00135552">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rPr>
                <w:rFonts w:ascii="Verdana" w:eastAsia="Verdana" w:hAnsi="Verdana" w:cs="Verdana"/>
                <w:i/>
                <w:noProof/>
                <w:color w:val="000000"/>
                <w:sz w:val="18"/>
              </w:rPr>
            </w:pPr>
            <w:r>
              <w:rPr>
                <w:rFonts w:ascii="Verdana" w:eastAsia="Verdana" w:hAnsi="Verdana" w:cs="Verdana"/>
                <w:i/>
                <w:noProof/>
                <w:color w:val="000000"/>
                <w:sz w:val="18"/>
              </w:rPr>
              <w:t xml:space="preserve">     Other guarantees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19</w:t>
            </w:r>
          </w:p>
        </w:tc>
      </w:tr>
      <w:tr w:rsidR="00135552">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rPr>
                <w:rFonts w:ascii="Verdana" w:eastAsia="Verdana" w:hAnsi="Verdana" w:cs="Verdana"/>
                <w:i/>
                <w:noProof/>
                <w:color w:val="000000"/>
                <w:sz w:val="18"/>
              </w:rPr>
            </w:pPr>
            <w:r>
              <w:rPr>
                <w:rFonts w:ascii="Verdana" w:eastAsia="Verdana" w:hAnsi="Verdana" w:cs="Verdana"/>
                <w:i/>
                <w:noProof/>
                <w:color w:val="000000"/>
                <w:sz w:val="18"/>
              </w:rPr>
              <w:t>Other contingent assets</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rPr>
            </w:pPr>
            <w:r>
              <w:rPr>
                <w:rFonts w:ascii="Verdana" w:eastAsia="Verdana" w:hAnsi="Verdana" w:cs="Verdana"/>
                <w:i/>
                <w:noProof/>
                <w:color w:val="000000"/>
                <w:sz w:val="18"/>
              </w:rPr>
              <w:t xml:space="preserve"> 65</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6BIPC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25</w:t>
            </w:r>
          </w:p>
        </w:tc>
      </w:tr>
      <w:tr w:rsidR="00135552">
        <w:trPr>
          <w:trHeight w:hRule="exact" w:val="255"/>
        </w:trPr>
        <w:tc>
          <w:tcPr>
            <w:tcW w:w="578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A"/>
              <w:rPr>
                <w:rFonts w:ascii="Verdana" w:eastAsia="Verdana" w:hAnsi="Verdana" w:cs="Verdana"/>
                <w:b/>
                <w:noProof/>
                <w:color w:val="000000"/>
                <w:sz w:val="18"/>
              </w:rPr>
            </w:pPr>
            <w:r>
              <w:rPr>
                <w:rFonts w:ascii="Verdana" w:eastAsia="Verdana" w:hAnsi="Verdana" w:cs="Verdana"/>
                <w:b/>
                <w:noProof/>
                <w:color w:val="000000"/>
                <w:sz w:val="18"/>
              </w:rPr>
              <w:t>Total</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A"/>
              <w:jc w:val="right"/>
              <w:rPr>
                <w:rFonts w:ascii="Verdana" w:eastAsia="Verdana" w:hAnsi="Verdana" w:cs="Verdana"/>
                <w:b/>
                <w:noProof/>
                <w:color w:val="000000"/>
                <w:sz w:val="18"/>
              </w:rPr>
            </w:pPr>
            <w:r>
              <w:rPr>
                <w:rFonts w:ascii="Verdana" w:eastAsia="Verdana" w:hAnsi="Verdana" w:cs="Verdana"/>
                <w:b/>
                <w:noProof/>
                <w:color w:val="000000"/>
                <w:sz w:val="18"/>
              </w:rPr>
              <w:t xml:space="preserve"> 430</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6BIPCA"/>
              <w:jc w:val="right"/>
              <w:rPr>
                <w:rFonts w:ascii="Verdana" w:eastAsia="Verdana" w:hAnsi="Verdana" w:cs="Verdana"/>
                <w:b/>
                <w:noProof/>
                <w:color w:val="000000"/>
                <w:sz w:val="18"/>
              </w:rPr>
            </w:pPr>
            <w:r>
              <w:rPr>
                <w:rFonts w:ascii="Verdana" w:eastAsia="Verdana" w:hAnsi="Verdana" w:cs="Verdana"/>
                <w:b/>
                <w:noProof/>
                <w:color w:val="000000"/>
                <w:sz w:val="18"/>
              </w:rPr>
              <w:t xml:space="preserve"> 366</w:t>
            </w:r>
          </w:p>
        </w:tc>
      </w:tr>
    </w:tbl>
    <w:p w:rsidR="00135552" w:rsidRDefault="004C63B0">
      <w:pPr>
        <w:pStyle w:val="DGTextstand-alone"/>
        <w:spacing w:after="0"/>
      </w:pPr>
      <w:r>
        <w:t>Performance guarantees are requested to ensure that beneficiaries of EU funding meet the obligations of their contracts with the EU.</w:t>
      </w:r>
      <w:bookmarkEnd w:id="133"/>
    </w:p>
    <w:p w:rsidR="00135552" w:rsidRDefault="00135552">
      <w:pPr>
        <w:pStyle w:val="DGTextstand-alone"/>
        <w:spacing w:after="0"/>
      </w:pPr>
    </w:p>
    <w:p w:rsidR="00135552" w:rsidRDefault="00135552">
      <w:pPr>
        <w:pStyle w:val="DGTextstand-alone"/>
        <w:spacing w:after="0"/>
        <w:sectPr w:rsidR="00135552">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p>
    <w:p w:rsidR="00135552" w:rsidRDefault="004C63B0">
      <w:pPr>
        <w:rPr>
          <w:rFonts w:ascii="Verdana" w:hAnsi="Verdana"/>
          <w:b/>
          <w:noProof/>
          <w:color w:val="016794"/>
          <w:sz w:val="32"/>
          <w:szCs w:val="32"/>
        </w:rPr>
      </w:pPr>
      <w:bookmarkStart w:id="139" w:name="_DMBM_17106"/>
      <w:r>
        <w:rPr>
          <w:noProof/>
        </w:rPr>
        <w:br w:type="page"/>
      </w:r>
    </w:p>
    <w:p w:rsidR="00135552" w:rsidRDefault="004C63B0">
      <w:pPr>
        <w:pStyle w:val="HEADER1NOTES"/>
        <w:spacing w:before="360" w:after="360"/>
        <w:rPr>
          <w:noProof/>
        </w:rPr>
      </w:pPr>
      <w:bookmarkStart w:id="140" w:name="_Toc43224170"/>
      <w:r>
        <w:rPr>
          <w:noProof/>
        </w:rPr>
        <w:t xml:space="preserve">BUDGETARY AND LEGAL </w:t>
      </w:r>
      <w:r>
        <w:rPr>
          <w:noProof/>
        </w:rPr>
        <w:t>COMMITMENTS</w:t>
      </w:r>
      <w:bookmarkEnd w:id="140"/>
    </w:p>
    <w:p w:rsidR="00135552" w:rsidRDefault="004C63B0">
      <w:pPr>
        <w:pStyle w:val="DGTextstand-alone"/>
      </w:pPr>
      <w:r>
        <w:t>This note provides information on the budgetary process and future funding needs and not on liabilities existing as at 31 December 2019.</w:t>
      </w:r>
    </w:p>
    <w:p w:rsidR="00135552" w:rsidRDefault="004C63B0">
      <w:pPr>
        <w:pStyle w:val="DGTextstand-alone"/>
      </w:pPr>
      <w:r>
        <w:t>The multiannual financial framework (MFF) agreed by the Member States defines the programmes and sets out t</w:t>
      </w:r>
      <w:r>
        <w:t>he heading ceilings for commitment appropriations and the total for payment appropriations within which the EU may enter into budgetary and legal commitments, and ultimately make payments for a period of 7 years – see table 1.1 in the notes to the budgetar</w:t>
      </w:r>
      <w:r>
        <w:t>y implementation reports.</w:t>
      </w:r>
    </w:p>
    <w:p w:rsidR="00135552" w:rsidRDefault="004C63B0">
      <w:pPr>
        <w:pStyle w:val="DGTextstand-alone"/>
      </w:pPr>
      <w:r>
        <w:t>The MFF ceilings were adopted by the Council (Member States), with the consent of the European Parliament, and Article 16 of Regulation 2013/1306 on the financing of the CAP makes a direct link between the annual ceiling of EAGF e</w:t>
      </w:r>
      <w:r>
        <w:t>xpenditure and the MFF Regulation. The European Parliament and the Council also adopted the respective basic acts for the EAGF expenditure that set out the expenditure per Member State for the entire period 2014-2020.</w:t>
      </w:r>
    </w:p>
    <w:p w:rsidR="00135552" w:rsidRDefault="004C63B0">
      <w:pPr>
        <w:pStyle w:val="DGTextstand-alone"/>
      </w:pPr>
      <w:r>
        <w:t>Legal commitments correspond to progra</w:t>
      </w:r>
      <w:r>
        <w:t>mmes, projects, agreements or contracts signed, thus legally binding the EU. A legal commitment is the act whereby the authorising officer enters or establishes an obligation (for the EU) which results in a charge (Article 2(37) FR).</w:t>
      </w:r>
    </w:p>
    <w:p w:rsidR="00135552" w:rsidRDefault="004C63B0">
      <w:pPr>
        <w:pStyle w:val="DGTextstand-alone"/>
      </w:pPr>
      <w:r>
        <w:t>A budgetary commitment</w:t>
      </w:r>
      <w:r>
        <w:t xml:space="preserve"> is in principle made before the legal commitment, but for some multiannual programmes/projects it is the reverse, the relevant budgetary commitments being made in annual instalments, over several years, when the basic act so provides for. For example, for</w:t>
      </w:r>
      <w:r>
        <w:t xml:space="preserve"> cohesion, Article 76 of the Common Provisions Regulation (CPR) (Regulation (EU) No 2013/1303) provides that the decision of the Commission adopting a programme shall constitute a legal commitment within the meaning of the Financial Regulation but that the</w:t>
      </w:r>
      <w:r>
        <w:t xml:space="preserve"> budget commitments of the Union in respect of each programme shall be made in annual instalments for each fund during the period between 1 January 2014 and 31 December 2020. Other legal bases may contain similar provisions. For this reason, there may be a</w:t>
      </w:r>
      <w:r>
        <w:t xml:space="preserve">mounts that the EU has legally committed to pay, but where the budgetary commitment has not yet been made – see notes </w:t>
      </w:r>
      <w:r>
        <w:rPr>
          <w:b/>
        </w:rPr>
        <w:t>5.2</w:t>
      </w:r>
      <w:r>
        <w:t xml:space="preserve"> and </w:t>
      </w:r>
      <w:r>
        <w:rPr>
          <w:b/>
        </w:rPr>
        <w:t>5.3</w:t>
      </w:r>
      <w:r>
        <w:t xml:space="preserve"> below.</w:t>
      </w:r>
    </w:p>
    <w:p w:rsidR="00135552" w:rsidRDefault="004C63B0">
      <w:pPr>
        <w:pStyle w:val="DGTextstand-alone"/>
      </w:pPr>
      <w:r>
        <w:t>If the budgetary commitment has been made but the subsequent payments are not yet made, the amount of outstanding commi</w:t>
      </w:r>
      <w:r>
        <w:t>tments is called ‘Reste à Liquider’ (RAL). This can represent programmes or projects, often multiannual, signed and for which payments will only be made in later years. They represent payment obligations for future years. As the financial statements are pr</w:t>
      </w:r>
      <w:r>
        <w:t xml:space="preserve">epared on an accrual basis, whereas the budgetary implementation reports are prepared on a cash basis, part of the overall amounts unpaid (RAL) has already been expensed and is recognised as a liability on the balance sheet (see notes </w:t>
      </w:r>
      <w:r>
        <w:rPr>
          <w:b/>
        </w:rPr>
        <w:t>2.12</w:t>
      </w:r>
      <w:r>
        <w:t xml:space="preserve"> and </w:t>
      </w:r>
      <w:r>
        <w:rPr>
          <w:b/>
        </w:rPr>
        <w:t>2.13</w:t>
      </w:r>
      <w:r>
        <w:t>). The c</w:t>
      </w:r>
      <w:r>
        <w:t xml:space="preserve">alculation of these expenses is made based either on cost claims/invoices received or on the estimated implementation of a programme or project where no claims have been notified yet to the EU until the reporting date – see note </w:t>
      </w:r>
      <w:r>
        <w:rPr>
          <w:b/>
        </w:rPr>
        <w:t>5.1</w:t>
      </w:r>
      <w:r>
        <w:t xml:space="preserve"> below. Once the payment</w:t>
      </w:r>
      <w:r>
        <w:t>s relating to the RAL are made, the liability on the balance sheet is derecognised. The part of the RAL not expensed yet is not included under liabilities but is instead disclosed below.</w:t>
      </w:r>
    </w:p>
    <w:p w:rsidR="00135552" w:rsidRDefault="004C63B0">
      <w:pPr>
        <w:pStyle w:val="DGTextstand-alone"/>
      </w:pPr>
      <w:r>
        <w:t>The disclosures below thus represent amounts at 31 December 2019 that</w:t>
      </w:r>
      <w:r>
        <w:t xml:space="preserve"> the EU has committed to pay based on the fulfilment of the contractual agreements and which are therefore intended to be funded by future EU budgets.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6"/>
        <w:gridCol w:w="1397"/>
        <w:gridCol w:w="1397"/>
        <w:gridCol w:w="1398"/>
      </w:tblGrid>
      <w:tr w:rsidR="00135552">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37BIPOBULEG"/>
              <w:rPr>
                <w:rFonts w:ascii="Verdana" w:eastAsia="Verdana" w:hAnsi="Verdana" w:cs="Verdana"/>
                <w:i/>
                <w:noProof/>
                <w:color w:val="FFFFFF"/>
                <w:sz w:val="16"/>
                <w:lang w:bidi="en-GB"/>
              </w:rPr>
            </w:pPr>
            <w:bookmarkStart w:id="141" w:name="DOC_TBL00078_1_1"/>
            <w:bookmarkEnd w:id="141"/>
          </w:p>
        </w:tc>
        <w:tc>
          <w:tcPr>
            <w:tcW w:w="139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OBULEG"/>
              <w:rPr>
                <w:rFonts w:ascii="Arial" w:eastAsia="Arial" w:hAnsi="Arial" w:cs="Arial"/>
                <w:noProof/>
                <w:color w:val="000000"/>
              </w:rPr>
            </w:pPr>
          </w:p>
        </w:tc>
        <w:tc>
          <w:tcPr>
            <w:tcW w:w="139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OBULEG"/>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37BIPOBULEG"/>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56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7BIPOBULEG"/>
              <w:rPr>
                <w:rFonts w:ascii="Verdana" w:eastAsia="Verdana" w:hAnsi="Verdana" w:cs="Verdana"/>
                <w:noProof/>
                <w:color w:val="FFFFFF"/>
              </w:rPr>
            </w:pP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OBULEG"/>
              <w:jc w:val="center"/>
              <w:rPr>
                <w:rFonts w:ascii="Verdana" w:eastAsia="Verdana" w:hAnsi="Verdana" w:cs="Verdana"/>
                <w:noProof/>
                <w:color w:val="FFFFFF"/>
              </w:rPr>
            </w:pPr>
            <w:r>
              <w:rPr>
                <w:rFonts w:ascii="Verdana" w:eastAsia="Verdana" w:hAnsi="Verdana" w:cs="Verdana"/>
                <w:noProof/>
                <w:color w:val="FFFFFF"/>
              </w:rPr>
              <w:t>Note</w:t>
            </w: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OBULEG"/>
              <w:jc w:val="right"/>
              <w:rPr>
                <w:rFonts w:ascii="Verdana" w:eastAsia="Verdana" w:hAnsi="Verdana" w:cs="Verdana"/>
                <w:noProof/>
                <w:color w:val="FFFFFF"/>
              </w:rPr>
            </w:pPr>
            <w:r>
              <w:rPr>
                <w:rFonts w:ascii="Verdana" w:eastAsia="Verdana" w:hAnsi="Verdana" w:cs="Verdana"/>
                <w:noProof/>
                <w:color w:val="FFFFFF"/>
              </w:rPr>
              <w:t>31.12.2019</w:t>
            </w:r>
          </w:p>
        </w:tc>
        <w:tc>
          <w:tcPr>
            <w:tcW w:w="139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OBULEG"/>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rPr>
                <w:rFonts w:ascii="Verdana" w:eastAsia="Verdana" w:hAnsi="Verdana" w:cs="Verdana"/>
                <w:i/>
                <w:noProof/>
                <w:color w:val="000000"/>
                <w:sz w:val="18"/>
              </w:rPr>
            </w:pPr>
            <w:r>
              <w:rPr>
                <w:rFonts w:ascii="Verdana" w:eastAsia="Verdana" w:hAnsi="Verdana" w:cs="Verdana"/>
                <w:i/>
                <w:noProof/>
                <w:color w:val="000000"/>
                <w:sz w:val="18"/>
              </w:rPr>
              <w:t>Outstanding budgetary commitments not yet expensed</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center"/>
              <w:rPr>
                <w:rFonts w:ascii="Verdana" w:eastAsia="Verdana" w:hAnsi="Verdana" w:cs="Verdana"/>
                <w:i/>
                <w:noProof/>
                <w:color w:val="000000"/>
                <w:sz w:val="18"/>
              </w:rPr>
            </w:pPr>
            <w:r>
              <w:rPr>
                <w:rFonts w:ascii="Verdana" w:eastAsia="Verdana" w:hAnsi="Verdana" w:cs="Verdana"/>
                <w:i/>
                <w:noProof/>
                <w:color w:val="000000"/>
                <w:sz w:val="18"/>
              </w:rPr>
              <w:t>5.1</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rPr>
            </w:pPr>
            <w:r>
              <w:rPr>
                <w:rFonts w:ascii="Verdana" w:eastAsia="Verdana" w:hAnsi="Verdana" w:cs="Verdana"/>
                <w:i/>
                <w:noProof/>
                <w:color w:val="000000"/>
                <w:sz w:val="18"/>
              </w:rPr>
              <w:t xml:space="preserve">249 </w:t>
            </w:r>
            <w:r>
              <w:rPr>
                <w:rFonts w:ascii="Verdana" w:eastAsia="Verdana" w:hAnsi="Verdana" w:cs="Verdana"/>
                <w:i/>
                <w:noProof/>
                <w:color w:val="000000"/>
                <w:sz w:val="18"/>
              </w:rPr>
              <w:t>686</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lang w:bidi="en-GB"/>
              </w:rPr>
            </w:pPr>
            <w:r>
              <w:rPr>
                <w:rFonts w:ascii="Verdana" w:eastAsia="Verdana" w:hAnsi="Verdana" w:cs="Verdana"/>
                <w:i/>
                <w:noProof/>
                <w:color w:val="000000"/>
                <w:sz w:val="18"/>
              </w:rPr>
              <w:t>235 836</w:t>
            </w:r>
          </w:p>
        </w:tc>
      </w:tr>
      <w:tr w:rsidR="00135552">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rPr>
                <w:rFonts w:ascii="Verdana" w:eastAsia="Verdana" w:hAnsi="Verdana" w:cs="Verdana"/>
                <w:i/>
                <w:noProof/>
                <w:color w:val="000000"/>
                <w:sz w:val="18"/>
              </w:rPr>
            </w:pPr>
            <w:r>
              <w:rPr>
                <w:rFonts w:ascii="Verdana" w:eastAsia="Verdana" w:hAnsi="Verdana" w:cs="Verdana"/>
                <w:i/>
                <w:noProof/>
                <w:color w:val="000000"/>
                <w:sz w:val="18"/>
              </w:rPr>
              <w:t>Shared management legal commitments under the current MFF pending implementation</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center"/>
              <w:rPr>
                <w:rFonts w:ascii="Verdana" w:eastAsia="Verdana" w:hAnsi="Verdana" w:cs="Verdana"/>
                <w:i/>
                <w:noProof/>
                <w:color w:val="000000"/>
                <w:sz w:val="18"/>
              </w:rPr>
            </w:pPr>
            <w:r>
              <w:rPr>
                <w:rFonts w:ascii="Verdana" w:eastAsia="Verdana" w:hAnsi="Verdana" w:cs="Verdana"/>
                <w:i/>
                <w:noProof/>
                <w:color w:val="000000"/>
                <w:sz w:val="18"/>
              </w:rPr>
              <w:t>5.2</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rPr>
            </w:pPr>
            <w:r>
              <w:rPr>
                <w:rFonts w:ascii="Verdana" w:eastAsia="Verdana" w:hAnsi="Verdana" w:cs="Verdana"/>
                <w:i/>
                <w:noProof/>
                <w:color w:val="000000"/>
                <w:sz w:val="18"/>
              </w:rPr>
              <w:t>72 832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lang w:bidi="en-GB"/>
              </w:rPr>
            </w:pPr>
            <w:r>
              <w:rPr>
                <w:rFonts w:ascii="Verdana" w:eastAsia="Verdana" w:hAnsi="Verdana" w:cs="Verdana"/>
                <w:i/>
                <w:noProof/>
                <w:color w:val="000000"/>
                <w:sz w:val="18"/>
              </w:rPr>
              <w:t>143 883</w:t>
            </w:r>
          </w:p>
        </w:tc>
      </w:tr>
      <w:tr w:rsidR="00135552">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rPr>
                <w:rFonts w:ascii="Verdana" w:eastAsia="Verdana" w:hAnsi="Verdana" w:cs="Verdana"/>
                <w:i/>
                <w:noProof/>
                <w:color w:val="000000"/>
                <w:sz w:val="18"/>
              </w:rPr>
            </w:pPr>
            <w:r>
              <w:rPr>
                <w:rFonts w:ascii="Verdana" w:eastAsia="Verdana" w:hAnsi="Verdana" w:cs="Verdana"/>
                <w:i/>
                <w:noProof/>
                <w:color w:val="000000"/>
                <w:sz w:val="18"/>
              </w:rPr>
              <w:t>Significant legal commitments in other areas</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center"/>
              <w:rPr>
                <w:rFonts w:ascii="Verdana" w:eastAsia="Verdana" w:hAnsi="Verdana" w:cs="Verdana"/>
                <w:i/>
                <w:noProof/>
                <w:color w:val="000000"/>
                <w:sz w:val="18"/>
              </w:rPr>
            </w:pPr>
            <w:r>
              <w:rPr>
                <w:rFonts w:ascii="Verdana" w:eastAsia="Verdana" w:hAnsi="Verdana" w:cs="Verdana"/>
                <w:i/>
                <w:noProof/>
                <w:color w:val="000000"/>
                <w:sz w:val="18"/>
              </w:rPr>
              <w:t>5.3</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rPr>
            </w:pPr>
            <w:r>
              <w:rPr>
                <w:rFonts w:ascii="Verdana" w:eastAsia="Verdana" w:hAnsi="Verdana" w:cs="Verdana"/>
                <w:i/>
                <w:noProof/>
                <w:color w:val="000000"/>
                <w:sz w:val="18"/>
              </w:rPr>
              <w:t>13 941</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BULEG"/>
              <w:jc w:val="right"/>
              <w:rPr>
                <w:rFonts w:ascii="Verdana" w:eastAsia="Verdana" w:hAnsi="Verdana" w:cs="Verdana"/>
                <w:i/>
                <w:noProof/>
                <w:color w:val="000000"/>
                <w:sz w:val="18"/>
                <w:lang w:bidi="en-GB"/>
              </w:rPr>
            </w:pPr>
            <w:r>
              <w:rPr>
                <w:rFonts w:ascii="Verdana" w:eastAsia="Verdana" w:hAnsi="Verdana" w:cs="Verdana"/>
                <w:i/>
                <w:noProof/>
                <w:color w:val="000000"/>
                <w:sz w:val="18"/>
              </w:rPr>
              <w:t>18 126</w:t>
            </w:r>
          </w:p>
        </w:tc>
      </w:tr>
      <w:tr w:rsidR="00135552">
        <w:trPr>
          <w:trHeight w:val="255"/>
        </w:trPr>
        <w:tc>
          <w:tcPr>
            <w:tcW w:w="556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OBULEG"/>
              <w:rPr>
                <w:rFonts w:ascii="Verdana" w:eastAsia="Verdana" w:hAnsi="Verdana" w:cs="Verdana"/>
                <w:b/>
                <w:noProof/>
                <w:color w:val="000000"/>
                <w:sz w:val="18"/>
              </w:rPr>
            </w:pPr>
            <w:r>
              <w:rPr>
                <w:rFonts w:ascii="Verdana" w:eastAsia="Verdana" w:hAnsi="Verdana" w:cs="Verdana"/>
                <w:b/>
                <w:noProof/>
                <w:color w:val="000000"/>
                <w:sz w:val="18"/>
              </w:rPr>
              <w:t>Total</w:t>
            </w: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37BIPOBULEG"/>
              <w:jc w:val="center"/>
              <w:rPr>
                <w:rFonts w:ascii="Verdana" w:eastAsia="Verdana" w:hAnsi="Verdana" w:cs="Verdana"/>
                <w:noProof/>
                <w:color w:val="000000"/>
                <w:sz w:val="18"/>
              </w:rPr>
            </w:pP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OBULEG"/>
              <w:jc w:val="right"/>
              <w:rPr>
                <w:rFonts w:ascii="Verdana" w:eastAsia="Verdana" w:hAnsi="Verdana" w:cs="Verdana"/>
                <w:b/>
                <w:noProof/>
                <w:color w:val="000000"/>
                <w:sz w:val="18"/>
              </w:rPr>
            </w:pPr>
            <w:r>
              <w:rPr>
                <w:rFonts w:ascii="Verdana" w:eastAsia="Verdana" w:hAnsi="Verdana" w:cs="Verdana"/>
                <w:b/>
                <w:noProof/>
                <w:color w:val="000000"/>
                <w:sz w:val="18"/>
              </w:rPr>
              <w:t>336 459</w:t>
            </w:r>
          </w:p>
        </w:tc>
        <w:tc>
          <w:tcPr>
            <w:tcW w:w="13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OBULEG"/>
              <w:jc w:val="right"/>
              <w:rPr>
                <w:rFonts w:ascii="Verdana" w:eastAsia="Verdana" w:hAnsi="Verdana" w:cs="Verdana"/>
                <w:b/>
                <w:noProof/>
                <w:color w:val="000000"/>
                <w:sz w:val="18"/>
              </w:rPr>
            </w:pPr>
            <w:r>
              <w:rPr>
                <w:rFonts w:ascii="Verdana" w:eastAsia="Verdana" w:hAnsi="Verdana" w:cs="Verdana"/>
                <w:b/>
                <w:noProof/>
                <w:color w:val="000000"/>
                <w:sz w:val="18"/>
              </w:rPr>
              <w:t>397 845</w:t>
            </w:r>
          </w:p>
        </w:tc>
      </w:tr>
    </w:tbl>
    <w:p w:rsidR="00135552" w:rsidRDefault="00135552">
      <w:pPr>
        <w:rPr>
          <w:rFonts w:ascii="Verdana" w:hAnsi="Verdana"/>
          <w:b/>
          <w:noProof/>
          <w:color w:val="016794"/>
          <w:sz w:val="28"/>
          <w:szCs w:val="28"/>
        </w:rPr>
      </w:pPr>
    </w:p>
    <w:p w:rsidR="00135552" w:rsidRDefault="004C63B0">
      <w:pPr>
        <w:rPr>
          <w:rFonts w:ascii="Verdana" w:hAnsi="Verdana"/>
          <w:b/>
          <w:noProof/>
          <w:color w:val="016794"/>
          <w:sz w:val="28"/>
          <w:szCs w:val="28"/>
        </w:rPr>
      </w:pPr>
      <w:r>
        <w:rPr>
          <w:noProof/>
        </w:rPr>
        <w:br w:type="page"/>
      </w:r>
    </w:p>
    <w:p w:rsidR="00135552" w:rsidRDefault="004C63B0">
      <w:pPr>
        <w:pStyle w:val="HEADER2NOTES"/>
        <w:rPr>
          <w:noProof/>
        </w:rPr>
      </w:pPr>
      <w:r>
        <w:rPr>
          <w:noProof/>
        </w:rPr>
        <w:t>OUTSTANDING BUDGETARY COMMITMENTS NOT YET EXPENSED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5"/>
        <w:gridCol w:w="1608"/>
        <w:gridCol w:w="1645"/>
      </w:tblGrid>
      <w:tr w:rsidR="00135552">
        <w:trPr>
          <w:cantSplit/>
          <w:trHeight w:val="255"/>
        </w:trPr>
        <w:tc>
          <w:tcPr>
            <w:tcW w:w="650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OCNYE"/>
              <w:rPr>
                <w:rFonts w:ascii="Arial" w:eastAsia="Arial" w:hAnsi="Arial" w:cs="Arial"/>
                <w:noProof/>
                <w:color w:val="000000"/>
                <w:lang w:bidi="en-GB"/>
              </w:rPr>
            </w:pPr>
            <w:bookmarkStart w:id="142" w:name="DOC_TBL00079_1_1"/>
            <w:bookmarkEnd w:id="142"/>
          </w:p>
        </w:tc>
        <w:tc>
          <w:tcPr>
            <w:tcW w:w="160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OCNYE"/>
              <w:rPr>
                <w:rFonts w:ascii="Arial" w:eastAsia="Arial" w:hAnsi="Arial" w:cs="Arial"/>
                <w:noProof/>
                <w:color w:val="000000"/>
              </w:rPr>
            </w:pPr>
          </w:p>
        </w:tc>
        <w:tc>
          <w:tcPr>
            <w:tcW w:w="1645"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37BIPOCNY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cantSplit/>
          <w:trHeight w:val="255"/>
        </w:trPr>
        <w:tc>
          <w:tcPr>
            <w:tcW w:w="650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7BIPOCNYE"/>
              <w:jc w:val="right"/>
              <w:rPr>
                <w:rFonts w:ascii="Verdana" w:eastAsia="Verdana" w:hAnsi="Verdana" w:cs="Verdana"/>
                <w:noProof/>
                <w:color w:val="FFFFFF"/>
              </w:rPr>
            </w:pPr>
          </w:p>
        </w:tc>
        <w:tc>
          <w:tcPr>
            <w:tcW w:w="160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OCNYE"/>
              <w:jc w:val="right"/>
              <w:rPr>
                <w:rFonts w:ascii="Verdana" w:eastAsia="Verdana" w:hAnsi="Verdana" w:cs="Verdana"/>
                <w:noProof/>
                <w:color w:val="FFFFFF"/>
              </w:rPr>
            </w:pPr>
            <w:r>
              <w:rPr>
                <w:rFonts w:ascii="Verdana" w:eastAsia="Verdana" w:hAnsi="Verdana" w:cs="Verdana"/>
                <w:noProof/>
                <w:color w:val="FFFFFF"/>
              </w:rPr>
              <w:t>31.12.2019</w:t>
            </w:r>
          </w:p>
        </w:tc>
        <w:tc>
          <w:tcPr>
            <w:tcW w:w="164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OCNYE"/>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65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CNYE"/>
              <w:rPr>
                <w:rFonts w:ascii="Verdana" w:eastAsia="Verdana" w:hAnsi="Verdana" w:cs="Verdana"/>
                <w:i/>
                <w:noProof/>
                <w:color w:val="000000"/>
                <w:sz w:val="18"/>
              </w:rPr>
            </w:pPr>
            <w:r>
              <w:rPr>
                <w:rFonts w:ascii="Verdana" w:eastAsia="Verdana" w:hAnsi="Verdana" w:cs="Verdana"/>
                <w:i/>
                <w:noProof/>
                <w:color w:val="000000"/>
                <w:sz w:val="18"/>
              </w:rPr>
              <w:t>Outstanding budgetary commitments not yet expensed</w:t>
            </w:r>
          </w:p>
        </w:tc>
        <w:tc>
          <w:tcPr>
            <w:tcW w:w="160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CNYE"/>
              <w:jc w:val="right"/>
              <w:rPr>
                <w:rFonts w:ascii="Verdana" w:eastAsia="Verdana" w:hAnsi="Verdana" w:cs="Verdana"/>
                <w:i/>
                <w:noProof/>
                <w:color w:val="000000"/>
                <w:sz w:val="18"/>
              </w:rPr>
            </w:pPr>
            <w:r>
              <w:rPr>
                <w:rFonts w:ascii="Verdana" w:eastAsia="Verdana" w:hAnsi="Verdana" w:cs="Verdana"/>
                <w:i/>
                <w:noProof/>
                <w:color w:val="000000"/>
                <w:sz w:val="18"/>
              </w:rPr>
              <w:t>249 686</w:t>
            </w:r>
          </w:p>
        </w:tc>
        <w:tc>
          <w:tcPr>
            <w:tcW w:w="16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OCNYE"/>
              <w:jc w:val="right"/>
              <w:rPr>
                <w:rFonts w:ascii="Verdana" w:eastAsia="Verdana" w:hAnsi="Verdana" w:cs="Verdana"/>
                <w:i/>
                <w:noProof/>
                <w:color w:val="000000"/>
                <w:sz w:val="18"/>
              </w:rPr>
            </w:pPr>
            <w:r>
              <w:rPr>
                <w:rFonts w:ascii="Verdana" w:eastAsia="Verdana" w:hAnsi="Verdana" w:cs="Verdana"/>
                <w:i/>
                <w:noProof/>
                <w:color w:val="000000"/>
                <w:sz w:val="18"/>
              </w:rPr>
              <w:t>235 836</w:t>
            </w:r>
          </w:p>
        </w:tc>
      </w:tr>
    </w:tbl>
    <w:p w:rsidR="00135552" w:rsidRDefault="004C63B0">
      <w:pPr>
        <w:pStyle w:val="DGTextstand-alone"/>
      </w:pPr>
      <w:r>
        <w:t xml:space="preserve">The amount disclosed above is the budgetary RAL (‘Reste à Liquider’) of EUR 297 693 million (see table 4.4 in the notes to the budgetary </w:t>
      </w:r>
      <w:r>
        <w:t xml:space="preserve">implementation reports), less related amounts that have been included as liabilities on the balance sheet and as expenses in the statement of financial performance. The budgetary RAL is an amount representing the open commitments for which payments and/or </w:t>
      </w:r>
      <w:r>
        <w:t>de-commitments have not yet been made. As explained above, this is the normal consequence of the existence of multiannual programmes.</w:t>
      </w:r>
    </w:p>
    <w:p w:rsidR="00135552" w:rsidRDefault="004C63B0">
      <w:pPr>
        <w:pStyle w:val="DGTextstand-alone"/>
      </w:pPr>
      <w:r>
        <w:t xml:space="preserve">It should be noted that outstanding pre-financing advances at 31 December 2019 totalled EUR 51 billion (see note </w:t>
      </w:r>
      <w:r>
        <w:rPr>
          <w:b/>
        </w:rPr>
        <w:t>2.5</w:t>
      </w:r>
      <w:r>
        <w:t>). Thi</w:t>
      </w:r>
      <w:r>
        <w:t>s represents budgetary commitments that have been paid, decreasing the RAL, but where the amounts paid are still considered as belonging to the EU and not to the beneficiary, until the relevant contractual obligations are fulfilled. They are thus, like the</w:t>
      </w:r>
      <w:r>
        <w:t xml:space="preserve"> RAL disclosed above, not yet expensed.</w:t>
      </w:r>
    </w:p>
    <w:p w:rsidR="00135552" w:rsidRDefault="004C63B0">
      <w:pPr>
        <w:pStyle w:val="HEADER2NOTES"/>
        <w:rPr>
          <w:noProof/>
        </w:rPr>
      </w:pPr>
      <w:r>
        <w:rPr>
          <w:noProof/>
        </w:rPr>
        <w:t>SHARED MANAGEMENT LEGAL COMMITMENTS UNDER THE CURRENT MFF PENDING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659"/>
        <w:gridCol w:w="1659"/>
        <w:gridCol w:w="1659"/>
        <w:gridCol w:w="1659"/>
      </w:tblGrid>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1BIPSTRUCAC"/>
              <w:rPr>
                <w:rFonts w:ascii="Arial" w:eastAsia="Arial" w:hAnsi="Arial" w:cs="Arial"/>
                <w:noProof/>
                <w:color w:val="000000"/>
                <w:lang w:bidi="en-GB"/>
              </w:rPr>
            </w:pPr>
            <w:bookmarkStart w:id="143" w:name="DOC_TBL00080_1_1"/>
            <w:bookmarkEnd w:id="143"/>
          </w:p>
        </w:tc>
        <w:tc>
          <w:tcPr>
            <w:tcW w:w="165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61BIPSTRUCAC"/>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12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1BIPSTRUCAC"/>
              <w:rPr>
                <w:rFonts w:ascii="Verdana" w:eastAsia="Verdana" w:hAnsi="Verdana" w:cs="Verdana"/>
                <w:noProof/>
                <w:color w:val="FFFFFF"/>
                <w:sz w:val="18"/>
              </w:rPr>
            </w:pPr>
            <w:r>
              <w:rPr>
                <w:rFonts w:ascii="Verdana" w:eastAsia="Verdana" w:hAnsi="Verdana" w:cs="Verdana"/>
                <w:noProof/>
                <w:color w:val="FFFFFF"/>
                <w:sz w:val="18"/>
              </w:rPr>
              <w:t>Funds</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1BIPSTRUCAC"/>
              <w:jc w:val="right"/>
              <w:rPr>
                <w:rFonts w:ascii="Verdana" w:eastAsia="Verdana" w:hAnsi="Verdana" w:cs="Verdana"/>
                <w:noProof/>
                <w:color w:val="FFFFFF"/>
                <w:sz w:val="18"/>
              </w:rPr>
            </w:pPr>
            <w:r>
              <w:rPr>
                <w:rFonts w:ascii="Verdana" w:eastAsia="Verdana" w:hAnsi="Verdana" w:cs="Verdana"/>
                <w:noProof/>
                <w:color w:val="FFFFFF"/>
                <w:sz w:val="18"/>
              </w:rPr>
              <w:t>Financial framework 2014-2020 (A)</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1BIPSTRUCAC"/>
              <w:jc w:val="right"/>
              <w:rPr>
                <w:rFonts w:ascii="Verdana" w:eastAsia="Verdana" w:hAnsi="Verdana" w:cs="Verdana"/>
                <w:noProof/>
                <w:color w:val="FFFFFF"/>
                <w:sz w:val="18"/>
              </w:rPr>
            </w:pPr>
            <w:r>
              <w:rPr>
                <w:rFonts w:ascii="Verdana" w:eastAsia="Verdana" w:hAnsi="Verdana" w:cs="Verdana"/>
                <w:noProof/>
                <w:color w:val="FFFFFF"/>
                <w:sz w:val="18"/>
              </w:rPr>
              <w:t>Legal commitments according to latest Commission Decision (B)</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1BIPSTRUCAC"/>
              <w:jc w:val="right"/>
              <w:rPr>
                <w:rFonts w:ascii="Verdana" w:eastAsia="Verdana" w:hAnsi="Verdana" w:cs="Verdana"/>
                <w:noProof/>
                <w:color w:val="FFFFFF"/>
                <w:sz w:val="18"/>
              </w:rPr>
            </w:pPr>
            <w:r>
              <w:rPr>
                <w:rFonts w:ascii="Verdana" w:eastAsia="Verdana" w:hAnsi="Verdana" w:cs="Verdana"/>
                <w:noProof/>
                <w:color w:val="FFFFFF"/>
                <w:sz w:val="18"/>
              </w:rPr>
              <w:t xml:space="preserve">Budget </w:t>
            </w:r>
            <w:r>
              <w:rPr>
                <w:rFonts w:ascii="Verdana" w:eastAsia="Verdana" w:hAnsi="Verdana" w:cs="Verdana"/>
                <w:noProof/>
                <w:color w:val="FFFFFF"/>
                <w:sz w:val="18"/>
              </w:rPr>
              <w:t>commitments including decommitments (C)</w:t>
            </w:r>
          </w:p>
        </w:tc>
        <w:tc>
          <w:tcPr>
            <w:tcW w:w="165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61BIPSTRUCAC"/>
              <w:jc w:val="right"/>
              <w:rPr>
                <w:rFonts w:ascii="Verdana" w:eastAsia="Verdana" w:hAnsi="Verdana" w:cs="Verdana"/>
                <w:noProof/>
                <w:color w:val="FFFFFF"/>
                <w:sz w:val="18"/>
                <w:lang w:bidi="en-GB"/>
              </w:rPr>
            </w:pPr>
            <w:r>
              <w:rPr>
                <w:rFonts w:ascii="Verdana" w:eastAsia="Verdana" w:hAnsi="Verdana" w:cs="Verdana"/>
                <w:noProof/>
                <w:color w:val="FFFFFF"/>
                <w:sz w:val="18"/>
              </w:rPr>
              <w:t>Legal commitments pending implementation (B-C)</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European Regional Development Fund and Cohesion Fund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262 585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262 407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220 447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41 960</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European Social Fund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92 912</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92 751</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78 841</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13 910</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 xml:space="preserve">European Neighbourhood Policy </w:t>
            </w:r>
            <w:r>
              <w:rPr>
                <w:rFonts w:ascii="Verdana" w:eastAsia="Verdana" w:hAnsi="Verdana" w:cs="Verdana"/>
                <w:i/>
                <w:noProof/>
                <w:color w:val="000000"/>
                <w:sz w:val="18"/>
              </w:rPr>
              <w:t>Instrument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Fund for European Aid to the most Deprived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3 814</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3 813</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3 235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578</w:t>
            </w:r>
          </w:p>
        </w:tc>
      </w:tr>
      <w:tr w:rsidR="00135552">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b/>
                <w:noProof/>
                <w:color w:val="000000"/>
                <w:sz w:val="18"/>
              </w:rPr>
            </w:pPr>
            <w:r>
              <w:rPr>
                <w:rFonts w:ascii="Verdana" w:eastAsia="Verdana" w:hAnsi="Verdana" w:cs="Verdana"/>
                <w:b/>
                <w:noProof/>
                <w:color w:val="000000"/>
                <w:sz w:val="18"/>
              </w:rPr>
              <w:t>HEADING 1B: COHESION POLICY FUNDS</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359 310</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358 971</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302 524</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lang w:bidi="en-GB"/>
              </w:rPr>
            </w:pPr>
            <w:r>
              <w:rPr>
                <w:rFonts w:ascii="Verdana" w:eastAsia="Verdana" w:hAnsi="Verdana" w:cs="Verdana"/>
                <w:b/>
                <w:noProof/>
                <w:color w:val="000000"/>
                <w:sz w:val="18"/>
              </w:rPr>
              <w:t>56 448</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 xml:space="preserve">European Agricultural Fund for Rural Development </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100 079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100 079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85 404</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14 675</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 xml:space="preserve">European Maritime and </w:t>
            </w:r>
            <w:r>
              <w:rPr>
                <w:rFonts w:ascii="Verdana" w:eastAsia="Verdana" w:hAnsi="Verdana" w:cs="Verdana"/>
                <w:i/>
                <w:noProof/>
                <w:color w:val="000000"/>
                <w:sz w:val="18"/>
              </w:rPr>
              <w:t>Fisheries Fund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5 749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5 687</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4 828</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859</w:t>
            </w:r>
          </w:p>
        </w:tc>
      </w:tr>
      <w:tr w:rsidR="00135552">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b/>
                <w:noProof/>
                <w:color w:val="000000"/>
                <w:sz w:val="18"/>
              </w:rPr>
            </w:pPr>
            <w:r>
              <w:rPr>
                <w:rFonts w:ascii="Verdana" w:eastAsia="Verdana" w:hAnsi="Verdana" w:cs="Verdana"/>
                <w:b/>
                <w:noProof/>
                <w:color w:val="000000"/>
                <w:sz w:val="18"/>
              </w:rPr>
              <w:t>HEADING 2: NATURAL RESOURCES</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105 829</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105 766</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90 232</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lang w:bidi="en-GB"/>
              </w:rPr>
            </w:pPr>
            <w:r>
              <w:rPr>
                <w:rFonts w:ascii="Verdana" w:eastAsia="Verdana" w:hAnsi="Verdana" w:cs="Verdana"/>
                <w:b/>
                <w:noProof/>
                <w:color w:val="000000"/>
                <w:sz w:val="18"/>
              </w:rPr>
              <w:t>15 534</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Asylum and Migration Fund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4 575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4 482</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4 032</w:t>
            </w: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450</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i/>
                <w:noProof/>
                <w:color w:val="000000"/>
                <w:sz w:val="18"/>
              </w:rPr>
            </w:pPr>
            <w:r>
              <w:rPr>
                <w:rFonts w:ascii="Verdana" w:eastAsia="Verdana" w:hAnsi="Verdana" w:cs="Verdana"/>
                <w:i/>
                <w:noProof/>
                <w:color w:val="000000"/>
                <w:sz w:val="18"/>
              </w:rPr>
              <w:t>Internal Security Fund</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3 159</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3 095</w:t>
            </w:r>
          </w:p>
        </w:tc>
        <w:tc>
          <w:tcPr>
            <w:tcW w:w="165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rPr>
            </w:pPr>
            <w:r>
              <w:rPr>
                <w:rFonts w:ascii="Verdana" w:eastAsia="Verdana" w:hAnsi="Verdana" w:cs="Verdana"/>
                <w:i/>
                <w:noProof/>
                <w:color w:val="000000"/>
                <w:sz w:val="18"/>
              </w:rPr>
              <w:t>2 695</w:t>
            </w: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401</w:t>
            </w:r>
          </w:p>
        </w:tc>
      </w:tr>
      <w:tr w:rsidR="00135552">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rPr>
                <w:rFonts w:ascii="Verdana" w:eastAsia="Verdana" w:hAnsi="Verdana" w:cs="Verdana"/>
                <w:b/>
                <w:noProof/>
                <w:color w:val="000000"/>
                <w:sz w:val="18"/>
              </w:rPr>
            </w:pPr>
            <w:r>
              <w:rPr>
                <w:rFonts w:ascii="Verdana" w:eastAsia="Verdana" w:hAnsi="Verdana" w:cs="Verdana"/>
                <w:b/>
                <w:noProof/>
                <w:color w:val="000000"/>
                <w:sz w:val="18"/>
              </w:rPr>
              <w:t>HEADING 3: SECURITY &amp; CITIZENSHIP</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7 733</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7 577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6 727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851</w:t>
            </w:r>
          </w:p>
        </w:tc>
      </w:tr>
      <w:tr w:rsidR="00135552">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6561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6561BIPSTRUCAC"/>
              <w:rPr>
                <w:rFonts w:ascii="Arial" w:eastAsia="Arial" w:hAnsi="Arial" w:cs="Arial"/>
                <w:noProof/>
                <w:color w:val="000000"/>
                <w:lang w:bidi="en-GB"/>
              </w:rPr>
            </w:pPr>
          </w:p>
        </w:tc>
      </w:tr>
      <w:tr w:rsidR="00135552">
        <w:trPr>
          <w:trHeight w:val="255"/>
        </w:trPr>
        <w:tc>
          <w:tcPr>
            <w:tcW w:w="312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1BIPSTRUCAC"/>
              <w:rPr>
                <w:rFonts w:ascii="Verdana" w:eastAsia="Verdana" w:hAnsi="Verdana" w:cs="Verdana"/>
                <w:b/>
                <w:noProof/>
                <w:color w:val="000000"/>
                <w:sz w:val="18"/>
              </w:rPr>
            </w:pPr>
            <w:r>
              <w:rPr>
                <w:rFonts w:ascii="Verdana" w:eastAsia="Verdana" w:hAnsi="Verdana" w:cs="Verdana"/>
                <w:b/>
                <w:noProof/>
                <w:color w:val="000000"/>
                <w:sz w:val="18"/>
              </w:rPr>
              <w:t>Total</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472 872</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472 315</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399 483</w:t>
            </w:r>
          </w:p>
        </w:tc>
        <w:tc>
          <w:tcPr>
            <w:tcW w:w="165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6561BIPSTRUCAC"/>
              <w:jc w:val="right"/>
              <w:rPr>
                <w:rFonts w:ascii="Verdana" w:eastAsia="Verdana" w:hAnsi="Verdana" w:cs="Verdana"/>
                <w:b/>
                <w:noProof/>
                <w:color w:val="000000"/>
                <w:sz w:val="18"/>
              </w:rPr>
            </w:pPr>
            <w:r>
              <w:rPr>
                <w:rFonts w:ascii="Verdana" w:eastAsia="Verdana" w:hAnsi="Verdana" w:cs="Verdana"/>
                <w:b/>
                <w:noProof/>
                <w:color w:val="000000"/>
                <w:sz w:val="18"/>
              </w:rPr>
              <w:t>72 832</w:t>
            </w:r>
          </w:p>
        </w:tc>
      </w:tr>
    </w:tbl>
    <w:p w:rsidR="00135552" w:rsidRDefault="004C63B0">
      <w:pPr>
        <w:pStyle w:val="DGTextstand-alone"/>
      </w:pPr>
      <w:r>
        <w:t xml:space="preserve">These are legal obligations that the EU has committed to paying when adopting the operational programmes related to shared management. The decision of the Commission adopting an operational programme constitutes a </w:t>
      </w:r>
      <w:r>
        <w:t>financing decision within the meaning of Article 110 FR and once notified to the Member State concerned, a legal commitment within the meaning of that Regulation.</w:t>
      </w:r>
    </w:p>
    <w:p w:rsidR="00135552" w:rsidRDefault="004C63B0">
      <w:pPr>
        <w:pStyle w:val="DGTextstand-alone"/>
      </w:pPr>
      <w:r>
        <w:t>Article 76 of the CPR for European Structural and Investment Funds (ESIF) states:</w:t>
      </w:r>
    </w:p>
    <w:p w:rsidR="00135552" w:rsidRDefault="004C63B0">
      <w:pPr>
        <w:pStyle w:val="DGTextstand-alone"/>
        <w:rPr>
          <w:i/>
        </w:rPr>
      </w:pPr>
      <w:r>
        <w:rPr>
          <w:i/>
        </w:rPr>
        <w:t>‘The budget</w:t>
      </w:r>
      <w:r>
        <w:rPr>
          <w:i/>
        </w:rPr>
        <w:t xml:space="preserve"> commitments of the Union in respect of each programme shall be made in annual instalments for each Fund during the period between 1 January 2014 and 31 December 2020. The budget commitments relating to the performance reserve in each programme shall be ma</w:t>
      </w:r>
      <w:r>
        <w:rPr>
          <w:i/>
        </w:rPr>
        <w:t>de separately from the remaining allocation to the programme.’</w:t>
      </w:r>
    </w:p>
    <w:p w:rsidR="00135552" w:rsidRDefault="004C63B0">
      <w:pPr>
        <w:pStyle w:val="DGTextstand-alone"/>
      </w:pPr>
      <w:r>
        <w:t xml:space="preserve">The table above provides an overview of the legal and budgetary commitments related to the headings 1B, 2 and 3 of the MFF 2014-2020. The table starts by disclosing the total MFF amounts voted </w:t>
      </w:r>
      <w:r>
        <w:t>for the period (column A). Column B shows the legal commitments concluded by the EU at year-end, some of which are not yet covered by budgetary commitments. Column C contains the budgetary commitments already made to cover the above mentioned legal commitm</w:t>
      </w:r>
      <w:r>
        <w:t>ents. The difference between these two columns represents the outstanding amounts that the EU will commit budgetarily and then pay after 31 December 2019. As the end of the MFF period approaches, the difference between legal commitments and budgetary commi</w:t>
      </w:r>
      <w:r>
        <w:t>tments reduces significantly (EUR 72.8 billion compared to EUR 143.8 billion in 2018).</w:t>
      </w:r>
    </w:p>
    <w:p w:rsidR="00135552" w:rsidRDefault="004C63B0">
      <w:pPr>
        <w:pStyle w:val="HEADER2NOTES"/>
        <w:rPr>
          <w:noProof/>
        </w:rPr>
      </w:pPr>
      <w:r>
        <w:rPr>
          <w:noProof/>
        </w:rPr>
        <w:t>SIGNIFICANT LEGAL COMMITMENTS IN OTHER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2357"/>
        <w:gridCol w:w="2358"/>
      </w:tblGrid>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LEGCOM"/>
              <w:rPr>
                <w:rFonts w:ascii="Arial" w:eastAsia="Arial" w:hAnsi="Arial" w:cs="Arial"/>
                <w:noProof/>
                <w:color w:val="000000"/>
                <w:lang w:bidi="en-GB"/>
              </w:rPr>
            </w:pPr>
            <w:bookmarkStart w:id="144" w:name="DOC_TBL00081_1_1"/>
            <w:bookmarkEnd w:id="144"/>
          </w:p>
        </w:tc>
        <w:tc>
          <w:tcPr>
            <w:tcW w:w="235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37BIPLEGCOM"/>
              <w:rPr>
                <w:rFonts w:ascii="Arial" w:eastAsia="Arial" w:hAnsi="Arial" w:cs="Arial"/>
                <w:noProof/>
                <w:color w:val="000000"/>
              </w:rPr>
            </w:pPr>
          </w:p>
        </w:tc>
        <w:tc>
          <w:tcPr>
            <w:tcW w:w="235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37BIPLEGCOM"/>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504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7BIPLEGCOM"/>
              <w:jc w:val="right"/>
              <w:rPr>
                <w:rFonts w:ascii="Verdana" w:eastAsia="Verdana" w:hAnsi="Verdana" w:cs="Verdana"/>
                <w:noProof/>
                <w:color w:val="FFFFFF"/>
              </w:rPr>
            </w:pPr>
          </w:p>
        </w:tc>
        <w:tc>
          <w:tcPr>
            <w:tcW w:w="23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LEGCOM"/>
              <w:jc w:val="right"/>
              <w:rPr>
                <w:rFonts w:ascii="Verdana" w:eastAsia="Verdana" w:hAnsi="Verdana" w:cs="Verdana"/>
                <w:noProof/>
                <w:color w:val="FFFFFF"/>
              </w:rPr>
            </w:pPr>
            <w:r>
              <w:rPr>
                <w:rFonts w:ascii="Verdana" w:eastAsia="Verdana" w:hAnsi="Verdana" w:cs="Verdana"/>
                <w:noProof/>
                <w:color w:val="FFFFFF"/>
              </w:rPr>
              <w:t>31.12.2019</w:t>
            </w:r>
          </w:p>
        </w:tc>
        <w:tc>
          <w:tcPr>
            <w:tcW w:w="235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7BIPLEGCOM"/>
              <w:jc w:val="right"/>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Connecting Europe Facility</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7 680</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11 554</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ITER</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1 676</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1 489</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Copernicus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 xml:space="preserve"> 601</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1 267</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 xml:space="preserve">Galileo </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 xml:space="preserve"> 438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493</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Fisheries agreements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 xml:space="preserve"> 223</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Operating lease commitments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2 535</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2 352</w:t>
            </w:r>
          </w:p>
        </w:tc>
      </w:tr>
      <w:tr w:rsidR="00135552">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rPr>
                <w:rFonts w:ascii="Verdana" w:eastAsia="Verdana" w:hAnsi="Verdana" w:cs="Verdana"/>
                <w:i/>
                <w:noProof/>
                <w:color w:val="000000"/>
                <w:sz w:val="18"/>
              </w:rPr>
            </w:pPr>
            <w:r>
              <w:rPr>
                <w:rFonts w:ascii="Verdana" w:eastAsia="Verdana" w:hAnsi="Verdana" w:cs="Verdana"/>
                <w:i/>
                <w:noProof/>
                <w:color w:val="000000"/>
                <w:sz w:val="18"/>
              </w:rPr>
              <w:t>Other contractual commitments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rPr>
            </w:pPr>
            <w:r>
              <w:rPr>
                <w:rFonts w:ascii="Verdana" w:eastAsia="Verdana" w:hAnsi="Verdana" w:cs="Verdana"/>
                <w:i/>
                <w:noProof/>
                <w:color w:val="000000"/>
                <w:sz w:val="18"/>
              </w:rPr>
              <w:t xml:space="preserve"> 788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37BIPLEGCOM"/>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924</w:t>
            </w:r>
          </w:p>
        </w:tc>
      </w:tr>
      <w:tr w:rsidR="00135552">
        <w:trPr>
          <w:trHeight w:val="255"/>
        </w:trPr>
        <w:tc>
          <w:tcPr>
            <w:tcW w:w="50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LEGCOM"/>
              <w:rPr>
                <w:rFonts w:ascii="Verdana" w:eastAsia="Verdana" w:hAnsi="Verdana" w:cs="Verdana"/>
                <w:b/>
                <w:noProof/>
                <w:color w:val="000000"/>
                <w:sz w:val="18"/>
              </w:rPr>
            </w:pPr>
            <w:r>
              <w:rPr>
                <w:rFonts w:ascii="Verdana" w:eastAsia="Verdana" w:hAnsi="Verdana" w:cs="Verdana"/>
                <w:b/>
                <w:noProof/>
                <w:color w:val="000000"/>
                <w:sz w:val="18"/>
              </w:rPr>
              <w:t>Total</w:t>
            </w:r>
          </w:p>
        </w:tc>
        <w:tc>
          <w:tcPr>
            <w:tcW w:w="235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LEGCOM"/>
              <w:jc w:val="right"/>
              <w:rPr>
                <w:rFonts w:ascii="Verdana" w:eastAsia="Verdana" w:hAnsi="Verdana" w:cs="Verdana"/>
                <w:b/>
                <w:noProof/>
                <w:color w:val="000000"/>
                <w:sz w:val="18"/>
              </w:rPr>
            </w:pPr>
            <w:r>
              <w:rPr>
                <w:rFonts w:ascii="Verdana" w:eastAsia="Verdana" w:hAnsi="Verdana" w:cs="Verdana"/>
                <w:b/>
                <w:noProof/>
                <w:color w:val="000000"/>
                <w:sz w:val="18"/>
              </w:rPr>
              <w:t>13 941</w:t>
            </w:r>
          </w:p>
        </w:tc>
        <w:tc>
          <w:tcPr>
            <w:tcW w:w="235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37BIPLEGCOM"/>
              <w:jc w:val="right"/>
              <w:rPr>
                <w:rFonts w:ascii="Verdana" w:eastAsia="Verdana" w:hAnsi="Verdana" w:cs="Verdana"/>
                <w:b/>
                <w:noProof/>
                <w:color w:val="000000"/>
                <w:sz w:val="18"/>
              </w:rPr>
            </w:pPr>
            <w:r>
              <w:rPr>
                <w:rFonts w:ascii="Verdana" w:eastAsia="Verdana" w:hAnsi="Verdana" w:cs="Verdana"/>
                <w:b/>
                <w:noProof/>
                <w:color w:val="000000"/>
                <w:sz w:val="18"/>
              </w:rPr>
              <w:t>18 126</w:t>
            </w:r>
          </w:p>
        </w:tc>
      </w:tr>
    </w:tbl>
    <w:p w:rsidR="00135552" w:rsidRDefault="004C63B0">
      <w:pPr>
        <w:pStyle w:val="DGTextstand-alone"/>
      </w:pPr>
      <w:r>
        <w:t xml:space="preserve">These amounts reflect the long-term legal commitments that were not yet covered by commitment </w:t>
      </w:r>
      <w:r>
        <w:t>appropriations in the budget at year-end. These binding obligations will be budgeted in annual instalments in future years and paid.</w:t>
      </w:r>
    </w:p>
    <w:p w:rsidR="00135552" w:rsidRDefault="004C63B0">
      <w:pPr>
        <w:pStyle w:val="DGTextstand-alone"/>
      </w:pPr>
      <w:r>
        <w:t>Certain important programmes (see below) may be implemented by annual instalments according to Article 112(2) FR. This allo</w:t>
      </w:r>
      <w:r>
        <w:t xml:space="preserve">ws the EU to make legal commitments (sign grant agreements, delegation agreements and procurement contracts) in excess of the available commitment appropriations of a given year. Therefore a substantial amount of the overall allocation for the current MFF </w:t>
      </w:r>
      <w:r>
        <w:t>may be already committed. This applies in particular for the programmes described below:</w:t>
      </w:r>
    </w:p>
    <w:p w:rsidR="00135552" w:rsidRDefault="004C63B0">
      <w:pPr>
        <w:pStyle w:val="HEADER5"/>
        <w:rPr>
          <w:noProof/>
        </w:rPr>
      </w:pPr>
      <w:r>
        <w:rPr>
          <w:noProof/>
        </w:rPr>
        <w:t>Connecting Europe Facility (CEF)</w:t>
      </w:r>
    </w:p>
    <w:p w:rsidR="00135552" w:rsidRDefault="004C63B0">
      <w:pPr>
        <w:pStyle w:val="DGTextstand-alone"/>
      </w:pPr>
      <w:r>
        <w:t>The CEF provides financial assistance to trans-European networks in order to support projects of common interest in the sectors of tra</w:t>
      </w:r>
      <w:r>
        <w:t>nsport, telecommunications and energy infrastructures. The legal commitments for the CEF programme cover an implementation period running from 2014 until 2023 for the CEF Transport and up to 31.12.2024 for CEF Energy. The legal basis of these commitments i</w:t>
      </w:r>
      <w:r>
        <w:t>s Regulation (EU) No 2013/1316 of the EP and of the Council of 11 December 2013 establishing the Connecting Europe Facility, amending Regulation (EU) No 2010/913 and repealing Regulations (EC) No 2007/680 and (EC) No 2010/67 Text with EEA relevance (OJ L 3</w:t>
      </w:r>
      <w:r>
        <w:t>48, 20 December 2013) which foresees the use of the annual instalment in its article 19.</w:t>
      </w:r>
    </w:p>
    <w:p w:rsidR="00135552" w:rsidRDefault="004C63B0">
      <w:pPr>
        <w:pStyle w:val="HEADER5"/>
        <w:rPr>
          <w:noProof/>
        </w:rPr>
      </w:pPr>
      <w:r>
        <w:rPr>
          <w:noProof/>
        </w:rPr>
        <w:t>Copernicus</w:t>
      </w:r>
    </w:p>
    <w:p w:rsidR="00135552" w:rsidRDefault="004C63B0">
      <w:pPr>
        <w:pStyle w:val="DGTextstand-alone"/>
      </w:pPr>
      <w:r>
        <w:t xml:space="preserve">Copernicus is the European Earth observation programme – see also note </w:t>
      </w:r>
      <w:r>
        <w:rPr>
          <w:b/>
        </w:rPr>
        <w:t>2.2</w:t>
      </w:r>
      <w:r>
        <w:t>. These commitments are made for the period until 2020. Based on Regulation (EU) 2</w:t>
      </w:r>
      <w:r>
        <w:t>014/377 of the EP and Council of 3 April 2014 (OJ L 122/44 of 24 April 2014) the Commission signed delegation agreements with the European Space Agency (ESA), EUMETSAT, Mercator and the European Centre for Medium Range weather forecasts. Article 8 of Regul</w:t>
      </w:r>
      <w:r>
        <w:t>ation 2014/377 authorises the use of annual instalments.</w:t>
      </w:r>
    </w:p>
    <w:p w:rsidR="00135552" w:rsidRDefault="004C63B0">
      <w:pPr>
        <w:pStyle w:val="HEADER5"/>
        <w:rPr>
          <w:noProof/>
        </w:rPr>
      </w:pPr>
      <w:r>
        <w:rPr>
          <w:noProof/>
        </w:rPr>
        <w:t>ITER – International Thermonuclear Experimental Reactor</w:t>
      </w:r>
    </w:p>
    <w:p w:rsidR="00135552" w:rsidRDefault="004C63B0">
      <w:pPr>
        <w:pStyle w:val="DGTextstand-alone"/>
      </w:pPr>
      <w:r>
        <w:t xml:space="preserve">These commitments are intended to cover future funding needs of the ITER facilities up to 2021. The EU (Euratom) contribution to ITER </w:t>
      </w:r>
      <w:r>
        <w:t>International is given through the Fusion for Energy Agency, including also the contributions from Member States and from Switzerland. These commitments are made on the basis of Council decision (Euratom) 2013/791 of 13 December 2013 amending decision (Eur</w:t>
      </w:r>
      <w:r>
        <w:t xml:space="preserve">atom) 2007/198 establishing the European Joint Undertaking for ITER and the Development of Fusion Energy which authorises the use of annual instalments. ITER was created to manage and to encourage the exploitation of the ITER facilities, to promote public </w:t>
      </w:r>
      <w:r>
        <w:t>understanding and acceptance of fusion energy, and to undertake any other activities that are necessary to achieve its purpose. ITER involves the EU, China, India, Russia, South Korea, Japan and the USA.</w:t>
      </w:r>
    </w:p>
    <w:p w:rsidR="00135552" w:rsidRDefault="004C63B0">
      <w:pPr>
        <w:pStyle w:val="HEADER5"/>
        <w:rPr>
          <w:noProof/>
        </w:rPr>
      </w:pPr>
      <w:r>
        <w:rPr>
          <w:noProof/>
        </w:rPr>
        <w:t>Galileo</w:t>
      </w:r>
    </w:p>
    <w:p w:rsidR="00135552" w:rsidRDefault="004C63B0">
      <w:pPr>
        <w:pStyle w:val="DGTextstand-alone"/>
      </w:pPr>
      <w:r>
        <w:t>These are amounts committed to the Galileo p</w:t>
      </w:r>
      <w:r>
        <w:t xml:space="preserve">rogramme developing a European Global Navigation Satellite System – see also note </w:t>
      </w:r>
      <w:r>
        <w:rPr>
          <w:b/>
        </w:rPr>
        <w:t>2.2</w:t>
      </w:r>
      <w:r>
        <w:t>. These commitments are made for the period until 2020. Based on Regulation (EU) 2013/1285 of the EP and Council of 11 December 2013 (OJ L 347/1 of 20 December 2013) the C</w:t>
      </w:r>
      <w:r>
        <w:t>ommission signed a delegation agreement with ESA. Article 9 of Regulation (EU) 2013/1285 authorises the use of annual instalments.</w:t>
      </w:r>
    </w:p>
    <w:p w:rsidR="00135552" w:rsidRDefault="004C63B0">
      <w:pPr>
        <w:pStyle w:val="HEADER5"/>
        <w:rPr>
          <w:noProof/>
        </w:rPr>
      </w:pPr>
      <w:r>
        <w:rPr>
          <w:noProof/>
        </w:rPr>
        <w:t>Fisheries agreements</w:t>
      </w:r>
    </w:p>
    <w:p w:rsidR="00135552" w:rsidRDefault="004C63B0">
      <w:pPr>
        <w:pStyle w:val="DGTextstand-alone"/>
      </w:pPr>
      <w:r>
        <w:t>These represent commitments entered into with third countries for operations under international fisheri</w:t>
      </w:r>
      <w:r>
        <w:t>es agreements up to 2025. The commitments made are based on Council decisions for each third country (e.g. Agreement between the EU and the Kingdom of Morocco, the Implementation Protocol thereto and the Exchange of Letters accompanying the Agreement; OJ L</w:t>
      </w:r>
      <w:r>
        <w:t xml:space="preserve"> 77, 20.3.2019) and are considered specific international treaties with multiannual rights and obligations.</w:t>
      </w:r>
    </w:p>
    <w:p w:rsidR="00135552" w:rsidRDefault="004C63B0">
      <w:pPr>
        <w:pStyle w:val="HEADER5"/>
        <w:rPr>
          <w:noProof/>
        </w:rPr>
      </w:pPr>
      <w:r>
        <w:rPr>
          <w:noProof/>
        </w:rPr>
        <w:t>Operating lease commitments</w:t>
      </w:r>
    </w:p>
    <w:p w:rsidR="00135552" w:rsidRDefault="004C63B0">
      <w:pPr>
        <w:pStyle w:val="DGTextstand-alone"/>
      </w:pPr>
      <w:r>
        <w:t>Minimum amounts committed to be paid according to the underlying contracts during the remaining term of these lease cont</w:t>
      </w:r>
      <w:r>
        <w:t>racts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641"/>
        <w:gridCol w:w="1642"/>
        <w:gridCol w:w="1642"/>
        <w:gridCol w:w="1642"/>
      </w:tblGrid>
      <w:tr w:rsidR="00135552">
        <w:trPr>
          <w:trHeight w:val="255"/>
        </w:trPr>
        <w:tc>
          <w:tcPr>
            <w:tcW w:w="3191"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3BIPPPERE"/>
              <w:rPr>
                <w:rFonts w:ascii="Arial" w:eastAsia="Arial" w:hAnsi="Arial" w:cs="Arial"/>
                <w:noProof/>
                <w:color w:val="000000"/>
                <w:lang w:bidi="en-GB"/>
              </w:rPr>
            </w:pPr>
            <w:bookmarkStart w:id="145" w:name="DOC_TBL00082_1_1"/>
            <w:bookmarkEnd w:id="145"/>
          </w:p>
        </w:tc>
        <w:tc>
          <w:tcPr>
            <w:tcW w:w="1641"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135552" w:rsidRDefault="004C63B0">
            <w:pPr>
              <w:pStyle w:val="DMETW17233BIPPPER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191"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3BIPPPERE"/>
              <w:jc w:val="center"/>
              <w:rPr>
                <w:rFonts w:ascii="Verdana" w:eastAsia="Verdana" w:hAnsi="Verdana" w:cs="Verdana"/>
                <w:noProof/>
                <w:color w:val="FFFFFF"/>
              </w:rPr>
            </w:pPr>
          </w:p>
        </w:tc>
        <w:tc>
          <w:tcPr>
            <w:tcW w:w="1641"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33BIPPPERE"/>
              <w:jc w:val="center"/>
              <w:rPr>
                <w:rFonts w:ascii="Verdana" w:eastAsia="Verdana" w:hAnsi="Verdana" w:cs="Verdana"/>
                <w:noProof/>
                <w:color w:val="FFFFFF"/>
                <w:lang w:bidi="en-GB"/>
              </w:rPr>
            </w:pPr>
            <w:r>
              <w:rPr>
                <w:rFonts w:ascii="Verdana" w:eastAsia="Verdana" w:hAnsi="Verdana" w:cs="Verdana"/>
                <w:noProof/>
                <w:color w:val="FFFFFF"/>
              </w:rPr>
              <w:t>Minimum lease payments</w:t>
            </w:r>
          </w:p>
        </w:tc>
      </w:tr>
      <w:tr w:rsidR="00135552">
        <w:trPr>
          <w:trHeight w:val="255"/>
        </w:trPr>
        <w:tc>
          <w:tcPr>
            <w:tcW w:w="334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33BIPPPERE"/>
              <w:jc w:val="center"/>
              <w:rPr>
                <w:rFonts w:ascii="Verdana" w:eastAsia="Verdana" w:hAnsi="Verdana" w:cs="Verdana"/>
                <w:noProof/>
                <w:color w:val="FFFFFF"/>
              </w:rPr>
            </w:pP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33BIPPPERE"/>
              <w:jc w:val="right"/>
              <w:rPr>
                <w:rFonts w:ascii="Verdana" w:eastAsia="Verdana" w:hAnsi="Verdana" w:cs="Verdana"/>
                <w:noProof/>
                <w:color w:val="FFFFFF"/>
              </w:rPr>
            </w:pPr>
            <w:r>
              <w:rPr>
                <w:rFonts w:ascii="Verdana" w:eastAsia="Verdana" w:hAnsi="Verdana" w:cs="Verdana"/>
                <w:noProof/>
                <w:color w:val="FFFFFF"/>
              </w:rPr>
              <w:t>&lt; 1 year</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33BIPPPERE"/>
              <w:jc w:val="right"/>
              <w:rPr>
                <w:rFonts w:ascii="Verdana" w:eastAsia="Verdana" w:hAnsi="Verdana" w:cs="Verdana"/>
                <w:noProof/>
                <w:color w:val="FFFFFF"/>
              </w:rPr>
            </w:pPr>
            <w:r>
              <w:rPr>
                <w:rFonts w:ascii="Verdana" w:eastAsia="Verdana" w:hAnsi="Verdana" w:cs="Verdana"/>
                <w:noProof/>
                <w:color w:val="FFFFFF"/>
              </w:rPr>
              <w:t>1- 5 years</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33BIPPPERE"/>
              <w:jc w:val="right"/>
              <w:rPr>
                <w:rFonts w:ascii="Verdana" w:eastAsia="Verdana" w:hAnsi="Verdana" w:cs="Verdana"/>
                <w:noProof/>
                <w:color w:val="FFFFFF"/>
              </w:rPr>
            </w:pPr>
            <w:r>
              <w:rPr>
                <w:rFonts w:ascii="Verdana" w:eastAsia="Verdana" w:hAnsi="Verdana" w:cs="Verdana"/>
                <w:noProof/>
                <w:color w:val="FFFFFF"/>
              </w:rPr>
              <w:t>&gt; 5 years</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33BIPPPERE"/>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rPr>
                <w:rFonts w:ascii="Verdana" w:eastAsia="Verdana" w:hAnsi="Verdana" w:cs="Verdana"/>
                <w:i/>
                <w:noProof/>
                <w:color w:val="000000"/>
                <w:sz w:val="18"/>
              </w:rPr>
            </w:pPr>
            <w:r>
              <w:rPr>
                <w:rFonts w:ascii="Verdana" w:eastAsia="Verdana" w:hAnsi="Verdana" w:cs="Verdana"/>
                <w:i/>
                <w:noProof/>
                <w:color w:val="000000"/>
                <w:sz w:val="18"/>
              </w:rPr>
              <w:t>Buildings</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 xml:space="preserve"> 429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 xml:space="preserve"> 981</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1 079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lang w:bidi="en-GB"/>
              </w:rPr>
            </w:pPr>
            <w:r>
              <w:rPr>
                <w:rFonts w:ascii="Verdana" w:eastAsia="Verdana" w:hAnsi="Verdana" w:cs="Verdana"/>
                <w:i/>
                <w:noProof/>
                <w:color w:val="000000"/>
                <w:sz w:val="18"/>
              </w:rPr>
              <w:t>2 490</w:t>
            </w:r>
          </w:p>
        </w:tc>
      </w:tr>
      <w:tr w:rsidR="00135552">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rPr>
                <w:rFonts w:ascii="Verdana" w:eastAsia="Verdana" w:hAnsi="Verdana" w:cs="Verdana"/>
                <w:i/>
                <w:noProof/>
                <w:color w:val="000000"/>
                <w:sz w:val="18"/>
              </w:rPr>
            </w:pPr>
            <w:r>
              <w:rPr>
                <w:rFonts w:ascii="Verdana" w:eastAsia="Verdana" w:hAnsi="Verdana" w:cs="Verdana"/>
                <w:i/>
                <w:noProof/>
                <w:color w:val="000000"/>
                <w:sz w:val="18"/>
              </w:rPr>
              <w:t>IT materials and other equipment</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 xml:space="preserve"> 26</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45</w:t>
            </w:r>
          </w:p>
        </w:tc>
      </w:tr>
      <w:tr w:rsidR="00135552">
        <w:trPr>
          <w:trHeight w:val="255"/>
        </w:trPr>
        <w:tc>
          <w:tcPr>
            <w:tcW w:w="319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233BIPPPERE"/>
              <w:rPr>
                <w:rFonts w:ascii="Verdana" w:eastAsia="Verdana" w:hAnsi="Verdana" w:cs="Verdana"/>
                <w:b/>
                <w:noProof/>
                <w:color w:val="000000"/>
                <w:sz w:val="18"/>
              </w:rPr>
            </w:pPr>
            <w:r>
              <w:rPr>
                <w:rFonts w:ascii="Verdana" w:eastAsia="Verdana" w:hAnsi="Verdana" w:cs="Verdana"/>
                <w:b/>
                <w:noProof/>
                <w:color w:val="000000"/>
                <w:sz w:val="18"/>
              </w:rPr>
              <w:t>Total</w:t>
            </w:r>
          </w:p>
        </w:tc>
        <w:tc>
          <w:tcPr>
            <w:tcW w:w="164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b/>
                <w:noProof/>
                <w:color w:val="000000"/>
                <w:sz w:val="18"/>
              </w:rPr>
            </w:pPr>
            <w:r>
              <w:rPr>
                <w:rFonts w:ascii="Verdana" w:eastAsia="Verdana" w:hAnsi="Verdana" w:cs="Verdana"/>
                <w:b/>
                <w:noProof/>
                <w:color w:val="000000"/>
                <w:sz w:val="18"/>
              </w:rPr>
              <w:t xml:space="preserve"> 439</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b/>
                <w:noProof/>
                <w:color w:val="000000"/>
                <w:sz w:val="18"/>
              </w:rPr>
            </w:pPr>
            <w:r>
              <w:rPr>
                <w:rFonts w:ascii="Verdana" w:eastAsia="Verdana" w:hAnsi="Verdana" w:cs="Verdana"/>
                <w:b/>
                <w:noProof/>
                <w:color w:val="000000"/>
                <w:sz w:val="18"/>
              </w:rPr>
              <w:t>1 008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b/>
                <w:noProof/>
                <w:color w:val="000000"/>
                <w:sz w:val="18"/>
              </w:rPr>
            </w:pPr>
            <w:r>
              <w:rPr>
                <w:rFonts w:ascii="Verdana" w:eastAsia="Verdana" w:hAnsi="Verdana" w:cs="Verdana"/>
                <w:b/>
                <w:noProof/>
                <w:color w:val="000000"/>
                <w:sz w:val="18"/>
              </w:rPr>
              <w:t>1 088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233BIPPPERE"/>
              <w:jc w:val="right"/>
              <w:rPr>
                <w:rFonts w:ascii="Verdana" w:eastAsia="Verdana" w:hAnsi="Verdana" w:cs="Verdana"/>
                <w:b/>
                <w:noProof/>
                <w:color w:val="000000"/>
                <w:sz w:val="18"/>
              </w:rPr>
            </w:pPr>
            <w:r>
              <w:rPr>
                <w:rFonts w:ascii="Verdana" w:eastAsia="Verdana" w:hAnsi="Verdana" w:cs="Verdana"/>
                <w:b/>
                <w:noProof/>
                <w:color w:val="000000"/>
                <w:sz w:val="18"/>
              </w:rPr>
              <w:t>2 535</w:t>
            </w:r>
          </w:p>
        </w:tc>
      </w:tr>
    </w:tbl>
    <w:p w:rsidR="00135552" w:rsidRDefault="00135552">
      <w:pPr>
        <w:pStyle w:val="Heading7pNormalCentered"/>
        <w:rPr>
          <w:lang w:bidi="en-GB"/>
        </w:rPr>
      </w:pPr>
    </w:p>
    <w:p w:rsidR="00135552" w:rsidRDefault="004C63B0">
      <w:pPr>
        <w:pStyle w:val="DGTextstand-alone"/>
      </w:pPr>
      <w:r>
        <w:t xml:space="preserve">In March 2019, in the context of the </w:t>
      </w:r>
      <w:r>
        <w:t xml:space="preserve">United Kingdom’s notification of its intention to withdraw from the EU, and as a result of Regulation (EU) 2018/1718 of the European Parliament and of the Council of 14 November 2018 amending Regulation (EC) No 2004/726, the seat of the European Medicines </w:t>
      </w:r>
      <w:r>
        <w:t xml:space="preserve">Agency (EMA) was relocated from London to Amsterdam. On 2 July 2019, the Agency reached an agreement with its landlord and since then has sublet its premises to a subtenant under conditions that are consistent with the ones of the headlease, including the </w:t>
      </w:r>
      <w:r>
        <w:t>sublease term that extends until the expiry of EMA’s headlease in June 2039.</w:t>
      </w:r>
    </w:p>
    <w:p w:rsidR="00135552" w:rsidRDefault="004C63B0">
      <w:pPr>
        <w:pStyle w:val="DGTextstand-alone"/>
      </w:pPr>
      <w:r>
        <w:t>The amounts disclosed in the table above include EUR 418 million still due under the headlease contract. An equal amount of payments is expected to be received by the subtenant un</w:t>
      </w:r>
      <w:r>
        <w:t>der the non-cancellable sublease.</w:t>
      </w:r>
    </w:p>
    <w:p w:rsidR="00135552" w:rsidRDefault="004C63B0">
      <w:pPr>
        <w:pStyle w:val="HEADER5"/>
        <w:rPr>
          <w:noProof/>
        </w:rPr>
      </w:pPr>
      <w:r>
        <w:rPr>
          <w:noProof/>
        </w:rPr>
        <w:t>Other contractual commitments</w:t>
      </w:r>
    </w:p>
    <w:p w:rsidR="00135552" w:rsidRDefault="004C63B0">
      <w:pPr>
        <w:pStyle w:val="DGTextstand-alone"/>
      </w:pPr>
      <w:r>
        <w:t>The amounts included under this disclosure correspond to amounts committed to be paid during the term of the contracts. The most significant amount included here relates to a building contract</w:t>
      </w:r>
      <w:r>
        <w:t xml:space="preserve"> (JMO2) of the Commission in Luxembourg (EUR 381 million).</w:t>
      </w:r>
      <w:bookmarkEnd w:id="139"/>
    </w:p>
    <w:p w:rsidR="00135552" w:rsidRDefault="00135552">
      <w:pPr>
        <w:pStyle w:val="DGTextstand-alone"/>
        <w:sectPr w:rsidR="00135552">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1134" w:right="1134" w:bottom="1134" w:left="1134" w:header="709" w:footer="709" w:gutter="0"/>
          <w:cols w:space="708"/>
          <w:docGrid w:linePitch="360"/>
        </w:sectPr>
      </w:pPr>
    </w:p>
    <w:p w:rsidR="00135552" w:rsidRDefault="004C63B0">
      <w:pPr>
        <w:pStyle w:val="HEADER1NOTES"/>
        <w:rPr>
          <w:noProof/>
        </w:rPr>
      </w:pPr>
      <w:bookmarkStart w:id="146" w:name="_Toc43224171"/>
      <w:bookmarkStart w:id="147" w:name="_DMBM_17172"/>
      <w:r>
        <w:rPr>
          <w:noProof/>
        </w:rPr>
        <w:t>FINANCIAL RISK MANAGEMENT</w:t>
      </w:r>
      <w:bookmarkEnd w:id="146"/>
    </w:p>
    <w:p w:rsidR="00135552" w:rsidRDefault="004C63B0">
      <w:pPr>
        <w:pStyle w:val="DGTextstand-alone"/>
      </w:pPr>
      <w:r>
        <w:t xml:space="preserve">The following disclosures with regard to the financial risk management </w:t>
      </w:r>
      <w:r>
        <w:t>of the EU relate to:</w:t>
      </w:r>
    </w:p>
    <w:p w:rsidR="00135552" w:rsidRDefault="004C63B0">
      <w:pPr>
        <w:pStyle w:val="DGTextstand-alone"/>
        <w:numPr>
          <w:ilvl w:val="0"/>
          <w:numId w:val="31"/>
        </w:numPr>
      </w:pPr>
      <w:r>
        <w:t>Borrowing and lending activities for financial assistance carried out by the Commission through EFSM, BOP, MFA, and Euratom actions;</w:t>
      </w:r>
    </w:p>
    <w:p w:rsidR="00135552" w:rsidRDefault="004C63B0">
      <w:pPr>
        <w:pStyle w:val="DGTextstand-alone"/>
        <w:numPr>
          <w:ilvl w:val="0"/>
          <w:numId w:val="31"/>
        </w:numPr>
      </w:pPr>
      <w:r>
        <w:t>The treasury operations carried out by the Commission in order to implement the EU budget, including t</w:t>
      </w:r>
      <w:r>
        <w:t>he receipt of fines;</w:t>
      </w:r>
    </w:p>
    <w:p w:rsidR="00135552" w:rsidRDefault="004C63B0">
      <w:pPr>
        <w:pStyle w:val="DGTextstand-alone"/>
        <w:numPr>
          <w:ilvl w:val="0"/>
          <w:numId w:val="31"/>
        </w:numPr>
      </w:pPr>
      <w:r>
        <w:t>Assets held in funds for budgetary guarantees: the Guarantee Fund for external actions, the EFSI Guarantee Fund and the EFSD Guarantee Fund; and</w:t>
      </w:r>
    </w:p>
    <w:p w:rsidR="00135552" w:rsidRDefault="004C63B0">
      <w:pPr>
        <w:pStyle w:val="DGTextstand-alone"/>
        <w:numPr>
          <w:ilvl w:val="0"/>
          <w:numId w:val="31"/>
        </w:numPr>
      </w:pPr>
      <w:r>
        <w:t>Financial instruments financed by the EU budget.</w:t>
      </w:r>
    </w:p>
    <w:p w:rsidR="00135552" w:rsidRDefault="004C63B0">
      <w:pPr>
        <w:pStyle w:val="HEADER2NOTES"/>
        <w:rPr>
          <w:noProof/>
        </w:rPr>
      </w:pPr>
      <w:r>
        <w:rPr>
          <w:noProof/>
        </w:rPr>
        <w:t>TYPES OF RISK</w:t>
      </w:r>
    </w:p>
    <w:p w:rsidR="00135552" w:rsidRDefault="004C63B0">
      <w:pPr>
        <w:pStyle w:val="DGTextstand-alone"/>
      </w:pPr>
      <w:r>
        <w:rPr>
          <w:b/>
        </w:rPr>
        <w:t>Market risk</w:t>
      </w:r>
      <w:r>
        <w:t xml:space="preserve"> is the risk tha</w:t>
      </w:r>
      <w:r>
        <w:t xml:space="preserve">t the fair value or future cash flows of a financial instrument will fluctuate, because of variations in market prices. Market risk embodies not only the potential for loss, but also the potential for gain. It comprises </w:t>
      </w:r>
      <w:r>
        <w:rPr>
          <w:i/>
        </w:rPr>
        <w:t>currency risk, interest rate risk an</w:t>
      </w:r>
      <w:r>
        <w:rPr>
          <w:i/>
        </w:rPr>
        <w:t>d other price risk</w:t>
      </w:r>
      <w:r>
        <w:t xml:space="preserve"> (the EU has no significant other price risk).</w:t>
      </w:r>
    </w:p>
    <w:p w:rsidR="00135552" w:rsidRDefault="004C63B0">
      <w:pPr>
        <w:pStyle w:val="DGTextstand-alone"/>
        <w:numPr>
          <w:ilvl w:val="0"/>
          <w:numId w:val="32"/>
        </w:numPr>
      </w:pPr>
      <w:r>
        <w:rPr>
          <w:i/>
        </w:rPr>
        <w:t>Currency risk</w:t>
      </w:r>
      <w:r>
        <w:t xml:space="preserve"> is the risk that the EU's operations or its investments' value will be affected by changes in exchange rates. This risk arises from the change in price of one currency against a</w:t>
      </w:r>
      <w:r>
        <w:t>nother.</w:t>
      </w:r>
    </w:p>
    <w:p w:rsidR="00135552" w:rsidRDefault="004C63B0">
      <w:pPr>
        <w:pStyle w:val="DGTextstand-alone"/>
        <w:numPr>
          <w:ilvl w:val="0"/>
          <w:numId w:val="32"/>
        </w:numPr>
      </w:pPr>
      <w:r>
        <w:rPr>
          <w:i/>
        </w:rPr>
        <w:t>Interest rate risk</w:t>
      </w:r>
      <w:r>
        <w:t xml:space="preserve"> is the possibility of a reduction in the value of a security, especially a bond, resulting from an increase in interest rates. In general, higher interest rates will lead to lower prices of fixed rate bonds, and vice versa.</w:t>
      </w:r>
    </w:p>
    <w:p w:rsidR="00135552" w:rsidRDefault="004C63B0">
      <w:pPr>
        <w:pStyle w:val="DGTextstand-alone"/>
      </w:pPr>
      <w:r>
        <w:rPr>
          <w:b/>
        </w:rPr>
        <w:t>Credi</w:t>
      </w:r>
      <w:r>
        <w:rPr>
          <w:b/>
        </w:rPr>
        <w:t>t risk</w:t>
      </w:r>
      <w:r>
        <w:t xml:space="preserve"> is the risk of loss due to a debtor's / borrower's non-payment of a loan or other line of credit (either the principal or interest or both) or other failure to meet a contractual obligation. The default events include a delay in repayments, restruct</w:t>
      </w:r>
      <w:r>
        <w:t>uring of borrower repayments and bankruptcy.</w:t>
      </w:r>
    </w:p>
    <w:p w:rsidR="00135552" w:rsidRDefault="004C63B0">
      <w:pPr>
        <w:pStyle w:val="DGTextstand-alone"/>
      </w:pPr>
      <w:r>
        <w:rPr>
          <w:b/>
        </w:rPr>
        <w:t>Liquidity risk</w:t>
      </w:r>
      <w:r>
        <w:t xml:space="preserve"> is the risk that arises from the difficulty in selling an asset; for example, the risk that a given security or asset cannot be traded quickly enough in the market to prevent a loss or meet an obl</w:t>
      </w:r>
      <w:r>
        <w:t>igation.</w:t>
      </w:r>
    </w:p>
    <w:p w:rsidR="00135552" w:rsidRDefault="004C63B0">
      <w:pPr>
        <w:pStyle w:val="HEADER2NOTES"/>
        <w:rPr>
          <w:noProof/>
        </w:rPr>
      </w:pPr>
      <w:r>
        <w:rPr>
          <w:noProof/>
        </w:rPr>
        <w:t xml:space="preserve">RISK MANAGEMENT POLICIES </w:t>
      </w:r>
    </w:p>
    <w:p w:rsidR="00135552" w:rsidRDefault="004C63B0">
      <w:pPr>
        <w:pStyle w:val="DGTextstand-alone"/>
      </w:pPr>
      <w:r>
        <w:t xml:space="preserve">The implementation of the EU budget relies increasingly on the use of operational programme financial instruments. For more information on the amounts concerned, see note </w:t>
      </w:r>
      <w:r>
        <w:rPr>
          <w:b/>
        </w:rPr>
        <w:t>2.4.1</w:t>
      </w:r>
      <w:r>
        <w:t>.</w:t>
      </w:r>
    </w:p>
    <w:p w:rsidR="00135552" w:rsidRDefault="004C63B0">
      <w:pPr>
        <w:pStyle w:val="DGTextstand-alone"/>
      </w:pPr>
      <w:r>
        <w:t>Common to most financial instruments is the</w:t>
      </w:r>
      <w:r>
        <w:t xml:space="preserve"> fact that the implementation is delegated to either the EIB group (including EIF) or to other financial institutions based on an agreement between the Commission and the financial institution. Agreements signed with these financial institutions include st</w:t>
      </w:r>
      <w:r>
        <w:t xml:space="preserve">rict conditions and obligations on the intermediaries so as to ensure that EU monies are properly managed and reported on. Once a financial contribution to one of the instruments has been committed, the funds are transferred to a specifically created bank </w:t>
      </w:r>
      <w:r>
        <w:t>account opened by the financial institution in its name but on behalf of the Commission (i.e. a fiduciary account). The financial institution may, depending on the instrument in question, use the funds on this fiduciary account to provide loans, issue debt</w:t>
      </w:r>
      <w:r>
        <w:t xml:space="preserve"> instruments, invest in equity instruments or cover the guarantee calls. Proceeds from financial instruments have, as a general rule, to be reimbursed to the EU budget.</w:t>
      </w:r>
    </w:p>
    <w:p w:rsidR="00135552" w:rsidRDefault="004C63B0">
      <w:pPr>
        <w:pStyle w:val="DGTextstand-alone"/>
      </w:pPr>
      <w:r>
        <w:t>The risk as regards these financial instruments is limited to a ceiling as indicated in</w:t>
      </w:r>
      <w:r>
        <w:t xml:space="preserve"> the underlying agreements, which is the budgeted amount foreseen for the instrument. As the Commission often bears the ’first loss piece‘ and since instruments are intended to finance riskier beneficiaries (who have difficulties in obtaining funding from </w:t>
      </w:r>
      <w:r>
        <w:t>commercial lenders), it is therefore likely that some losses to the EU budget will occur.</w:t>
      </w:r>
    </w:p>
    <w:p w:rsidR="00135552" w:rsidRDefault="004C63B0">
      <w:pPr>
        <w:pStyle w:val="HEADER5"/>
        <w:rPr>
          <w:noProof/>
        </w:rPr>
      </w:pPr>
      <w:r>
        <w:rPr>
          <w:noProof/>
        </w:rPr>
        <w:t>Measurement of financial instruments</w:t>
      </w:r>
    </w:p>
    <w:p w:rsidR="00135552" w:rsidRDefault="004C63B0">
      <w:pPr>
        <w:pStyle w:val="DGTextstand-alone"/>
      </w:pPr>
      <w:r>
        <w:t>The following classes of financial assets and liabilities are not measured at fair value: cash and cash equivalents, loans, excha</w:t>
      </w:r>
      <w:r>
        <w:t>nge receivables and non-exchange recoverables, borrowings and other financial liabilities measured at amortised cost. The carrying amount of those financial assets and liabilities is considered as a reasonable approximation of their fair value.</w:t>
      </w:r>
    </w:p>
    <w:p w:rsidR="00135552" w:rsidRDefault="004C63B0">
      <w:pPr>
        <w:pStyle w:val="HEADER5"/>
        <w:rPr>
          <w:noProof/>
        </w:rPr>
      </w:pPr>
      <w:r>
        <w:rPr>
          <w:noProof/>
        </w:rPr>
        <w:t>Borrowing a</w:t>
      </w:r>
      <w:r>
        <w:rPr>
          <w:noProof/>
        </w:rPr>
        <w:t>nd lending activities for financial assistance</w:t>
      </w:r>
    </w:p>
    <w:p w:rsidR="00135552" w:rsidRDefault="004C63B0">
      <w:pPr>
        <w:pStyle w:val="DGTextstand-alone"/>
      </w:pPr>
      <w:r>
        <w:t>The borrowing and lending transactions are carried out by the EU according to the respective Council Regulations, Council and EP Decisions, and, if applicable, internal guidelines. Written procedure manuals co</w:t>
      </w:r>
      <w:r>
        <w:t>vering specific areas such as borrowings and loans have been developed and are used by the relevant operational units. Lending operations are financed by ’back-to-back‘ borrowings, which thus do not generate open interest rate or currency positions.</w:t>
      </w:r>
    </w:p>
    <w:p w:rsidR="00135552" w:rsidRDefault="004C63B0">
      <w:pPr>
        <w:pStyle w:val="HEADER5"/>
        <w:rPr>
          <w:noProof/>
        </w:rPr>
      </w:pPr>
      <w:r>
        <w:rPr>
          <w:noProof/>
        </w:rPr>
        <w:t>Treasu</w:t>
      </w:r>
      <w:r>
        <w:rPr>
          <w:noProof/>
        </w:rPr>
        <w:t>ry</w:t>
      </w:r>
    </w:p>
    <w:p w:rsidR="00135552" w:rsidRDefault="004C63B0">
      <w:pPr>
        <w:pStyle w:val="DGTextstand-alone"/>
      </w:pPr>
      <w:r>
        <w:t>The rules and principles for the management of the Commission's treasury operations are laid down in the Council Regulation 2014/609 (as amended by Council Regulation 2016/804) and in the Financial Regulation.</w:t>
      </w:r>
    </w:p>
    <w:p w:rsidR="00135552" w:rsidRDefault="004C63B0">
      <w:pPr>
        <w:pStyle w:val="DGTextstand-alone"/>
      </w:pPr>
      <w:r>
        <w:t>As a result of the above regulations, the f</w:t>
      </w:r>
      <w:r>
        <w:t>ollowing main principles apply:</w:t>
      </w:r>
    </w:p>
    <w:p w:rsidR="00135552" w:rsidRDefault="004C63B0">
      <w:pPr>
        <w:pStyle w:val="DGTextstand-alone"/>
        <w:numPr>
          <w:ilvl w:val="0"/>
          <w:numId w:val="33"/>
        </w:numPr>
      </w:pPr>
      <w:r>
        <w:t>Own resources are paid by the Member States into accounts opened for this purpose in the name of the Commission with the treasury or national central bank. The Commission may draw on the above accounts solely to cover its ca</w:t>
      </w:r>
      <w:r>
        <w:t>sh requirements.</w:t>
      </w:r>
    </w:p>
    <w:p w:rsidR="00135552" w:rsidRDefault="004C63B0">
      <w:pPr>
        <w:pStyle w:val="DGTextstand-alone"/>
        <w:numPr>
          <w:ilvl w:val="0"/>
          <w:numId w:val="33"/>
        </w:numPr>
      </w:pPr>
      <w:r>
        <w:t>Own resources are paid by Member States in their own national currencies, while the Commission's payments are mostly denominated in EUR.</w:t>
      </w:r>
    </w:p>
    <w:p w:rsidR="00135552" w:rsidRDefault="004C63B0">
      <w:pPr>
        <w:pStyle w:val="DGTextstand-alone"/>
        <w:numPr>
          <w:ilvl w:val="0"/>
          <w:numId w:val="33"/>
        </w:numPr>
      </w:pPr>
      <w:r>
        <w:t xml:space="preserve">Bank accounts opened in the name of the Commission may not be overdrawn. This restriction does not </w:t>
      </w:r>
      <w:r>
        <w:t>apply to the Commission's own resource accounts in case of a default on loans contracted or guaranteed pursuant to EU Council regulations and decisions and under certain conditions in case the cash resource requirements are in excess of the cash held in th</w:t>
      </w:r>
      <w:r>
        <w:t>ose accounts.</w:t>
      </w:r>
    </w:p>
    <w:p w:rsidR="00135552" w:rsidRDefault="004C63B0">
      <w:pPr>
        <w:pStyle w:val="DGTextstand-alone"/>
        <w:numPr>
          <w:ilvl w:val="0"/>
          <w:numId w:val="33"/>
        </w:numPr>
      </w:pPr>
      <w:r>
        <w:t>Funds held in bank accounts denominated in currencies other than EUR are either used for payments in the same currencies or periodically converted in EUR.</w:t>
      </w:r>
    </w:p>
    <w:p w:rsidR="00135552" w:rsidRDefault="004C63B0">
      <w:pPr>
        <w:pStyle w:val="DGTextstand-alone"/>
      </w:pPr>
      <w:r>
        <w:t>In addition to the own resources accounts, other bank accounts are opened by the Commis</w:t>
      </w:r>
      <w:r>
        <w:t>sion, with central banks and commercial banks, for the purpose of executing payments and receiving receipts other than the Member State contributions to the budget.</w:t>
      </w:r>
    </w:p>
    <w:p w:rsidR="00135552" w:rsidRDefault="004C63B0">
      <w:pPr>
        <w:pStyle w:val="DGTextstand-alone"/>
      </w:pPr>
      <w:r>
        <w:t>Treasury and payment operations are highly automated and rely on modern information systems</w:t>
      </w:r>
      <w:r>
        <w:t>. Specific procedures are applied to guarantee system security and to ensure segregation of duties in line with the Financial Regulation, the Commission’s internal control standards, and audit principles.</w:t>
      </w:r>
    </w:p>
    <w:p w:rsidR="00135552" w:rsidRDefault="004C63B0">
      <w:pPr>
        <w:pStyle w:val="DGTextstand-alone"/>
      </w:pPr>
      <w:r>
        <w:t>A written set of guidelines and procedures regulate</w:t>
      </w:r>
      <w:r>
        <w:t xml:space="preserve"> the management of the Commission's treasury and payment operations with the objective of limiting operational and financial risk and ensuring an adequate level of control. They cover different areas of operation (for example: payment execution and cash ma</w:t>
      </w:r>
      <w:r>
        <w:t>nagement, cashflow forecasting, business continuity, etc.), and compliance with the guidelines and procedures is checked regularly.</w:t>
      </w:r>
    </w:p>
    <w:p w:rsidR="00135552" w:rsidRDefault="004C63B0">
      <w:pPr>
        <w:pStyle w:val="DGTextstand-alone"/>
        <w:rPr>
          <w:color w:val="016794"/>
        </w:rPr>
      </w:pPr>
      <w:r>
        <w:br w:type="page"/>
      </w:r>
    </w:p>
    <w:p w:rsidR="00135552" w:rsidRDefault="004C63B0">
      <w:pPr>
        <w:pStyle w:val="HEADER5"/>
        <w:rPr>
          <w:noProof/>
        </w:rPr>
      </w:pPr>
      <w:r>
        <w:rPr>
          <w:noProof/>
        </w:rPr>
        <w:t>Fines</w:t>
      </w:r>
    </w:p>
    <w:p w:rsidR="00135552" w:rsidRDefault="004C63B0">
      <w:pPr>
        <w:pStyle w:val="Textstand-alone"/>
        <w:rPr>
          <w:i/>
        </w:rPr>
      </w:pPr>
      <w:r>
        <w:rPr>
          <w:i/>
        </w:rPr>
        <w:t>Provisionally cashed fines: deposits</w:t>
      </w:r>
    </w:p>
    <w:p w:rsidR="00135552" w:rsidRDefault="004C63B0">
      <w:pPr>
        <w:pStyle w:val="DGTextstand-alone"/>
      </w:pPr>
      <w:r>
        <w:t>Amounts received before 2010 remain in bank accounts with banks specifically se</w:t>
      </w:r>
      <w:r>
        <w:t xml:space="preserve">lected for the deposit of provisionally cashed fines. The selection of banks is conducted in compliance with tender procedures defined by the Financial Regulation. Placement of funds with specific banks is determined by the internal risk management policy </w:t>
      </w:r>
      <w:r>
        <w:t>defining the credit rating requirements and the amount of funds which could be placed in proportion to the counterparty equity. Financial and operational risks are identified and evaluated and compliance with internal policies and procedures is checked reg</w:t>
      </w:r>
      <w:r>
        <w:t>ularly.</w:t>
      </w:r>
    </w:p>
    <w:p w:rsidR="00135552" w:rsidRDefault="004C63B0">
      <w:pPr>
        <w:pStyle w:val="Textstand-alone"/>
        <w:rPr>
          <w:i/>
        </w:rPr>
      </w:pPr>
      <w:r>
        <w:rPr>
          <w:i/>
        </w:rPr>
        <w:t>Provisionally cashed fines: BUFI portfolio</w:t>
      </w:r>
    </w:p>
    <w:p w:rsidR="00135552" w:rsidRDefault="004C63B0">
      <w:pPr>
        <w:pStyle w:val="DGTextstand-alone"/>
      </w:pPr>
      <w:r>
        <w:t>Fines imposed and provisionally cashed from 2010 onwards are invested in a specifically created portfolio, BUFI. The main objectives of the portfolio are the reduction of risks associated with financial ma</w:t>
      </w:r>
      <w:r>
        <w:t xml:space="preserve">rkets and the equal treatment of all entities by applying a guaranteed return calculated on the same basis to the nominal amount of fines. However, the guaranteed return applied to entities fined before the entry into force of the new Financial Regulation </w:t>
      </w:r>
      <w:r>
        <w:t>in August 2018 is floored at zero. The asset management for provisionally cashed fines is carried out by the Commission in accordance with internal asset management guidelines. Procedural manuals covering specific areas such as treasury management have bee</w:t>
      </w:r>
      <w:r>
        <w:t>n developed and are used by the relevant operational units. Financial and operational risks are identified and evaluated and compliance with internal guidelines and procedures is checked regularly.</w:t>
      </w:r>
    </w:p>
    <w:p w:rsidR="00135552" w:rsidRDefault="004C63B0">
      <w:pPr>
        <w:pStyle w:val="DGTextstand-alone"/>
        <w:spacing w:after="120"/>
      </w:pPr>
      <w:r>
        <w:t>The objectives of the asset management activities are to i</w:t>
      </w:r>
      <w:r>
        <w:t>nvest the fines provisionally paid to the Commission in such a way as to:</w:t>
      </w:r>
    </w:p>
    <w:p w:rsidR="00135552" w:rsidRDefault="004C63B0">
      <w:pPr>
        <w:pStyle w:val="DGTextstand-alone"/>
        <w:numPr>
          <w:ilvl w:val="0"/>
          <w:numId w:val="34"/>
        </w:numPr>
        <w:spacing w:before="120" w:after="120"/>
      </w:pPr>
      <w:r>
        <w:t>ensure that the funds are easily available when needed, while</w:t>
      </w:r>
    </w:p>
    <w:p w:rsidR="00135552" w:rsidRDefault="004C63B0">
      <w:pPr>
        <w:pStyle w:val="DGTextstand-alone"/>
        <w:numPr>
          <w:ilvl w:val="0"/>
          <w:numId w:val="34"/>
        </w:numPr>
        <w:spacing w:before="120"/>
      </w:pPr>
      <w:r>
        <w:t>aiming at delivering, under normal circumstances, a return which on average is in line with the return of the BUFI Bench</w:t>
      </w:r>
      <w:r>
        <w:t>mark minus costs incurred, while preserving the nominal amount for the fines which were imposed by the Commission before the entry into force of the new Financial Regulation in August 2018.</w:t>
      </w:r>
    </w:p>
    <w:p w:rsidR="00135552" w:rsidRDefault="004C63B0">
      <w:pPr>
        <w:pStyle w:val="DGTextstand-alone"/>
      </w:pPr>
      <w:r>
        <w:t>Investments are restricted essentially to the following categories</w:t>
      </w:r>
      <w:r>
        <w:t>: term deposits with Member States' central banks, sovereign debt agencies, fully state-owned or state-guaranteed banks or supranational institutions, and bonds, bills and certificates of deposit issued by either sovereign or supranational institutions.</w:t>
      </w:r>
    </w:p>
    <w:p w:rsidR="00135552" w:rsidRDefault="004C63B0">
      <w:pPr>
        <w:pStyle w:val="Textstand-alone"/>
        <w:rPr>
          <w:i/>
        </w:rPr>
      </w:pPr>
      <w:r>
        <w:rPr>
          <w:i/>
        </w:rPr>
        <w:t>Fi</w:t>
      </w:r>
      <w:r>
        <w:rPr>
          <w:i/>
        </w:rPr>
        <w:t>nancial guarantees</w:t>
      </w:r>
    </w:p>
    <w:p w:rsidR="00135552" w:rsidRDefault="004C63B0">
      <w:pPr>
        <w:pStyle w:val="DGTextstand-alone"/>
      </w:pPr>
      <w:r>
        <w:t xml:space="preserve">Significant amounts of guarantees issued by financial institutions are held by the Commission in relation to the fines it imposes on companies breaching EU competition rules (see note </w:t>
      </w:r>
      <w:r>
        <w:rPr>
          <w:b/>
        </w:rPr>
        <w:t>2.6.1.2</w:t>
      </w:r>
      <w:r>
        <w:t>). These guarantees are provided by fined comp</w:t>
      </w:r>
      <w:r>
        <w:t xml:space="preserve">anies as an alternative to making provisional payments. The guarantees are managed in compliance with the internal risk management policy. Financial and operational risks are identified and evaluated and compliance with internal policies and procedures is </w:t>
      </w:r>
      <w:r>
        <w:t>checked regularly.</w:t>
      </w:r>
    </w:p>
    <w:p w:rsidR="00135552" w:rsidRDefault="004C63B0">
      <w:pPr>
        <w:pStyle w:val="HEADER5"/>
        <w:rPr>
          <w:b/>
          <w:noProof/>
        </w:rPr>
      </w:pPr>
      <w:r>
        <w:rPr>
          <w:noProof/>
        </w:rPr>
        <w:t>Guarantee Fund for external actions</w:t>
      </w:r>
    </w:p>
    <w:p w:rsidR="00135552" w:rsidRDefault="004C63B0">
      <w:pPr>
        <w:pStyle w:val="DGTextstand-alone"/>
      </w:pPr>
      <w:r>
        <w:t>The rules and principles for the asset management of the Guarantee Fund are laid out in the Convention between the Commission and the EIB dated 25 November 1994 and the subsequent amendments. This Guar</w:t>
      </w:r>
      <w:r>
        <w:t>antee Fund operates only in euros. It exclusively invests in this currency in order to avoid any foreign currency risk. Management of the assets is based upon the traditional rules of prudence adhered to for financial activities. It is required to pay part</w:t>
      </w:r>
      <w:r>
        <w:t>icular attention to reducing the risks and to ensuring that the managed assets can be sold or transferred without significant delay, taking into account the commitments covered.</w:t>
      </w:r>
    </w:p>
    <w:p w:rsidR="00135552" w:rsidRDefault="004C63B0">
      <w:pPr>
        <w:pStyle w:val="HEADER5"/>
        <w:rPr>
          <w:noProof/>
        </w:rPr>
      </w:pPr>
      <w:r>
        <w:rPr>
          <w:noProof/>
        </w:rPr>
        <w:t>EFSI Guarantee Fund</w:t>
      </w:r>
    </w:p>
    <w:p w:rsidR="00135552" w:rsidRDefault="004C63B0">
      <w:pPr>
        <w:pStyle w:val="DGTextstand-alone"/>
      </w:pPr>
      <w:r>
        <w:t>The EFSI Guarantee Fund was established by the EFSI Regula</w:t>
      </w:r>
      <w:r>
        <w:t>tion – see note</w:t>
      </w:r>
      <w:r>
        <w:rPr>
          <w:b/>
        </w:rPr>
        <w:t xml:space="preserve"> 2.4.1.</w:t>
      </w:r>
      <w:r>
        <w:t xml:space="preserve"> The rules and principles for the asset management of the fund are laid out in the Commission Decision C(2016)165 of 21 January 2016. The fund is managed by the Commission, which is authorised to invest the assets of the EFSI Guarante</w:t>
      </w:r>
      <w:r>
        <w:t>e Fund on the financial markets in accordance with the principle of sound financial management following appropriate prudential rules. The managed assets shall provide sufficient liquidity in relation to potential guarantee calls, while still aiming at opt</w:t>
      </w:r>
      <w:r>
        <w:t>imising the return and risk level that is compatible with maintaining a high degree of security and stability.</w:t>
      </w:r>
    </w:p>
    <w:p w:rsidR="00135552" w:rsidRDefault="004C63B0">
      <w:pPr>
        <w:pStyle w:val="HEADER5"/>
        <w:rPr>
          <w:noProof/>
        </w:rPr>
      </w:pPr>
      <w:r>
        <w:rPr>
          <w:noProof/>
        </w:rPr>
        <w:t>EFSD Guarantee Fund</w:t>
      </w:r>
    </w:p>
    <w:p w:rsidR="00135552" w:rsidRDefault="004C63B0">
      <w:pPr>
        <w:pStyle w:val="DGTextstand-alone"/>
      </w:pPr>
      <w:r>
        <w:t xml:space="preserve">EFSD Guarantee Fund has been established pursuant to the EFSD Regulation – see note </w:t>
      </w:r>
      <w:r>
        <w:rPr>
          <w:b/>
        </w:rPr>
        <w:t>2.4.1</w:t>
      </w:r>
      <w:r>
        <w:t>. The management of the EFSD Guarant</w:t>
      </w:r>
      <w:r>
        <w:t>ee Fund assets is carried out by the Commission in accordance with internal guidelines and asset management guidelines which are included as Annex 1 to Commission Decision C(2017)7693 of 22 November 2017. The Commission is authorised to invest the assets o</w:t>
      </w:r>
      <w:r>
        <w:t>f the EFSD Guarantee Fund on the financial markets following the principle of sound financial management and appropriate prudential rules. The assets are managed in such a way so as to provide sufficient liquidity in relation to the potential guarantee cal</w:t>
      </w:r>
      <w:r>
        <w:t>ls, while still aiming at optimising the return and risk level that is compatible with maintaining a high degree of security and stability.</w:t>
      </w:r>
    </w:p>
    <w:p w:rsidR="00135552" w:rsidRDefault="004C63B0">
      <w:pPr>
        <w:pStyle w:val="HEADER2NOTES"/>
        <w:rPr>
          <w:noProof/>
        </w:rPr>
      </w:pPr>
      <w:r>
        <w:rPr>
          <w:noProof/>
        </w:rPr>
        <w:t xml:space="preserve"> CURRENCY RISK</w:t>
      </w:r>
    </w:p>
    <w:p w:rsidR="00135552" w:rsidRDefault="004C63B0">
      <w:pPr>
        <w:pStyle w:val="HEADER5"/>
        <w:rPr>
          <w:noProof/>
        </w:rPr>
      </w:pPr>
      <w:r>
        <w:rPr>
          <w:noProof/>
        </w:rPr>
        <w:t>Financial instruments exposure of the EU to currency risk at year-end – net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11"/>
        <w:gridCol w:w="880"/>
        <w:gridCol w:w="815"/>
        <w:gridCol w:w="880"/>
        <w:gridCol w:w="1027"/>
        <w:gridCol w:w="880"/>
        <w:gridCol w:w="1076"/>
      </w:tblGrid>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lang w:bidi="en-GB"/>
              </w:rPr>
            </w:pPr>
            <w:bookmarkStart w:id="148" w:name="DOC_TBL00083_1_1"/>
            <w:bookmarkEnd w:id="148"/>
          </w:p>
        </w:tc>
        <w:tc>
          <w:tcPr>
            <w:tcW w:w="101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CRCY"/>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CRCY"/>
              <w:jc w:val="right"/>
              <w:rPr>
                <w:rFonts w:ascii="Verdana" w:eastAsia="Verdana" w:hAnsi="Verdana" w:cs="Verdana"/>
                <w:noProof/>
                <w:color w:val="FFFFFF"/>
              </w:rPr>
            </w:pPr>
          </w:p>
        </w:tc>
        <w:tc>
          <w:tcPr>
            <w:tcW w:w="1011" w:type="dxa"/>
            <w:gridSpan w:val="7"/>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center"/>
              <w:rPr>
                <w:rFonts w:ascii="Verdana" w:eastAsia="Verdana" w:hAnsi="Verdana" w:cs="Verdana"/>
                <w:noProof/>
                <w:color w:val="FFFFFF"/>
                <w:lang w:bidi="en-GB"/>
              </w:rPr>
            </w:pPr>
            <w:r>
              <w:rPr>
                <w:rFonts w:ascii="Verdana" w:eastAsia="Verdana" w:hAnsi="Verdana" w:cs="Verdana"/>
                <w:noProof/>
                <w:color w:val="FFFFFF"/>
              </w:rPr>
              <w:t>31.12.2019</w:t>
            </w:r>
          </w:p>
        </w:tc>
      </w:tr>
      <w:tr w:rsidR="00135552">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CRCY"/>
              <w:jc w:val="right"/>
              <w:rPr>
                <w:rFonts w:ascii="Verdana" w:eastAsia="Verdana" w:hAnsi="Verdana" w:cs="Verdana"/>
                <w:noProof/>
                <w:color w:val="FFFFFF"/>
              </w:rPr>
            </w:pPr>
          </w:p>
        </w:tc>
        <w:tc>
          <w:tcPr>
            <w:tcW w:w="101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USD</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GBP</w:t>
            </w:r>
          </w:p>
        </w:tc>
        <w:tc>
          <w:tcPr>
            <w:tcW w:w="81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rPr>
            </w:pPr>
            <w:r>
              <w:rPr>
                <w:rFonts w:ascii="Verdana" w:eastAsia="Verdana" w:hAnsi="Verdana" w:cs="Verdana"/>
                <w:noProof/>
                <w:color w:val="FFFFFF"/>
              </w:rPr>
              <w:t>Other</w:t>
            </w:r>
          </w:p>
        </w:tc>
        <w:tc>
          <w:tcPr>
            <w:tcW w:w="107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CY"/>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b/>
                <w:noProof/>
                <w:color w:val="000000"/>
                <w:sz w:val="18"/>
              </w:rPr>
            </w:pPr>
            <w:r>
              <w:rPr>
                <w:rFonts w:ascii="Verdana" w:eastAsia="Verdana" w:hAnsi="Verdana" w:cs="Verdana"/>
                <w:b/>
                <w:noProof/>
                <w:color w:val="000000"/>
                <w:sz w:val="18"/>
              </w:rPr>
              <w:t>Financial assets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lang w:bidi="en-GB"/>
              </w:rPr>
            </w:pP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Available for sale financial assets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577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62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17 723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18 407</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(393)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529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137</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Loans*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65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121</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Receivables and recoverables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804</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62</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93</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22 751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233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23 974</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Cash and cash equivalents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311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319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432</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16 910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1 673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19 745</w:t>
            </w:r>
          </w:p>
        </w:tc>
      </w:tr>
      <w:tr w:rsidR="00135552">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332</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1 209</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533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57 979</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1 934</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lang w:bidi="en-GB"/>
              </w:rPr>
            </w:pPr>
            <w:r>
              <w:rPr>
                <w:rFonts w:ascii="Verdana" w:eastAsia="Verdana" w:hAnsi="Verdana" w:cs="Verdana"/>
                <w:b/>
                <w:noProof/>
                <w:color w:val="000000"/>
                <w:sz w:val="18"/>
              </w:rPr>
              <w:t>62 384</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b/>
                <w:noProof/>
                <w:color w:val="000000"/>
                <w:sz w:val="18"/>
              </w:rPr>
            </w:pPr>
            <w:r>
              <w:rPr>
                <w:rFonts w:ascii="Verdana" w:eastAsia="Verdana" w:hAnsi="Verdana" w:cs="Verdana"/>
                <w:b/>
                <w:noProof/>
                <w:color w:val="000000"/>
                <w:sz w:val="18"/>
              </w:rPr>
              <w:t>Financial liabilities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CY"/>
              <w:rPr>
                <w:rFonts w:ascii="Arial" w:eastAsia="Arial" w:hAnsi="Arial" w:cs="Arial"/>
                <w:noProof/>
                <w:color w:val="000000"/>
                <w:lang w:bidi="en-GB"/>
              </w:rPr>
            </w:pP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 xml:space="preserve">Financial liabilities at fair value </w:t>
            </w:r>
            <w:r>
              <w:rPr>
                <w:rFonts w:ascii="Verdana" w:eastAsia="Verdana" w:hAnsi="Verdana" w:cs="Verdana"/>
                <w:i/>
                <w:noProof/>
                <w:color w:val="000000"/>
                <w:sz w:val="18"/>
              </w:rPr>
              <w:t>through surplus or deficit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w:t>
            </w:r>
          </w:p>
        </w:tc>
      </w:tr>
      <w:tr w:rsidR="00135552">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(27 200)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rPr>
            </w:pPr>
            <w:r>
              <w:rPr>
                <w:rFonts w:ascii="Verdana" w:eastAsia="Verdana" w:hAnsi="Verdana" w:cs="Verdana"/>
                <w:i/>
                <w:noProof/>
                <w:color w:val="000000"/>
                <w:sz w:val="18"/>
              </w:rPr>
              <w:t xml:space="preserve"> (33)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i/>
                <w:noProof/>
                <w:color w:val="000000"/>
                <w:sz w:val="18"/>
                <w:lang w:bidi="en-GB"/>
              </w:rPr>
            </w:pPr>
            <w:r>
              <w:rPr>
                <w:rFonts w:ascii="Verdana" w:eastAsia="Verdana" w:hAnsi="Verdana" w:cs="Verdana"/>
                <w:i/>
                <w:noProof/>
                <w:color w:val="000000"/>
                <w:sz w:val="18"/>
              </w:rPr>
              <w:t>(27 241)</w:t>
            </w:r>
          </w:p>
        </w:tc>
      </w:tr>
      <w:tr w:rsidR="00135552">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(27 211)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(35)</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lang w:bidi="en-GB"/>
              </w:rPr>
            </w:pPr>
            <w:r>
              <w:rPr>
                <w:rFonts w:ascii="Verdana" w:eastAsia="Verdana" w:hAnsi="Verdana" w:cs="Verdana"/>
                <w:b/>
                <w:noProof/>
                <w:color w:val="000000"/>
                <w:sz w:val="18"/>
              </w:rPr>
              <w:t>(27 254)</w:t>
            </w:r>
          </w:p>
        </w:tc>
      </w:tr>
      <w:tr w:rsidR="00135552">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rPr>
                <w:rFonts w:ascii="Verdana" w:eastAsia="Verdana" w:hAnsi="Verdana" w:cs="Verdana"/>
                <w:b/>
                <w:noProof/>
                <w:color w:val="000000"/>
                <w:sz w:val="18"/>
              </w:rPr>
            </w:pPr>
            <w:r>
              <w:rPr>
                <w:rFonts w:ascii="Verdana" w:eastAsia="Verdana" w:hAnsi="Verdana" w:cs="Verdana"/>
                <w:b/>
                <w:noProof/>
                <w:color w:val="000000"/>
                <w:sz w:val="18"/>
              </w:rPr>
              <w:t>Total</w:t>
            </w: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326</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1 208</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 xml:space="preserve"> 532</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30 768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1 898</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CY"/>
              <w:jc w:val="right"/>
              <w:rPr>
                <w:rFonts w:ascii="Verdana" w:eastAsia="Verdana" w:hAnsi="Verdana" w:cs="Verdana"/>
                <w:b/>
                <w:noProof/>
                <w:color w:val="000000"/>
                <w:sz w:val="18"/>
              </w:rPr>
            </w:pPr>
            <w:r>
              <w:rPr>
                <w:rFonts w:ascii="Verdana" w:eastAsia="Verdana" w:hAnsi="Verdana" w:cs="Verdana"/>
                <w:b/>
                <w:noProof/>
                <w:color w:val="000000"/>
                <w:sz w:val="18"/>
              </w:rPr>
              <w:t>35 130</w:t>
            </w:r>
          </w:p>
        </w:tc>
      </w:tr>
    </w:tbl>
    <w:p w:rsidR="00135552" w:rsidRDefault="004C63B0">
      <w:pPr>
        <w:pStyle w:val="Textstand-alone"/>
        <w:spacing w:before="60" w:after="0"/>
        <w:rPr>
          <w:i/>
          <w:sz w:val="14"/>
        </w:rPr>
      </w:pPr>
      <w:r>
        <w:rPr>
          <w:i/>
          <w:sz w:val="14"/>
        </w:rPr>
        <w:t xml:space="preserve">* Excluding back-to-back loans for financial </w:t>
      </w:r>
      <w:r>
        <w:rPr>
          <w:i/>
          <w:sz w:val="14"/>
        </w:rPr>
        <w:t>assistance.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009"/>
        <w:gridCol w:w="879"/>
        <w:gridCol w:w="817"/>
        <w:gridCol w:w="880"/>
        <w:gridCol w:w="1027"/>
        <w:gridCol w:w="880"/>
        <w:gridCol w:w="1078"/>
      </w:tblGrid>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lang w:bidi="en-GB"/>
              </w:rPr>
            </w:pPr>
            <w:bookmarkStart w:id="149" w:name="DOC_TBL00084_1_1"/>
            <w:bookmarkEnd w:id="149"/>
          </w:p>
        </w:tc>
        <w:tc>
          <w:tcPr>
            <w:tcW w:w="100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CRPY"/>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CRPY"/>
              <w:jc w:val="right"/>
              <w:rPr>
                <w:rFonts w:ascii="Verdana" w:eastAsia="Verdana" w:hAnsi="Verdana" w:cs="Verdana"/>
                <w:noProof/>
                <w:color w:val="FFFFFF"/>
              </w:rPr>
            </w:pPr>
          </w:p>
        </w:tc>
        <w:tc>
          <w:tcPr>
            <w:tcW w:w="1009" w:type="dxa"/>
            <w:gridSpan w:val="7"/>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CRPY"/>
              <w:jc w:val="right"/>
              <w:rPr>
                <w:rFonts w:ascii="Verdana" w:eastAsia="Verdana" w:hAnsi="Verdana" w:cs="Verdana"/>
                <w:noProof/>
                <w:color w:val="FFFFFF"/>
              </w:rPr>
            </w:pPr>
          </w:p>
        </w:tc>
        <w:tc>
          <w:tcPr>
            <w:tcW w:w="100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USD</w:t>
            </w:r>
          </w:p>
        </w:tc>
        <w:tc>
          <w:tcPr>
            <w:tcW w:w="87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GBP</w:t>
            </w:r>
          </w:p>
        </w:tc>
        <w:tc>
          <w:tcPr>
            <w:tcW w:w="81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rPr>
            </w:pPr>
            <w:r>
              <w:rPr>
                <w:rFonts w:ascii="Verdana" w:eastAsia="Verdana" w:hAnsi="Verdana" w:cs="Verdana"/>
                <w:noProof/>
                <w:color w:val="FFFFFF"/>
              </w:rPr>
              <w:t>Other</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CRPY"/>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b/>
                <w:noProof/>
                <w:color w:val="000000"/>
                <w:sz w:val="18"/>
              </w:rPr>
            </w:pPr>
            <w:r>
              <w:rPr>
                <w:rFonts w:ascii="Verdana" w:eastAsia="Verdana" w:hAnsi="Verdana" w:cs="Verdana"/>
                <w:b/>
                <w:noProof/>
                <w:color w:val="000000"/>
                <w:sz w:val="18"/>
              </w:rPr>
              <w:t>Financial assets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lang w:bidi="en-GB"/>
              </w:rPr>
            </w:pP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Available for sale financial assets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619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57</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14 725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15 443</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(475)</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491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Loans*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56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67</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Receivables and recoverables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4 109</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99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109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20 026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303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24 664</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Cash and cash equivalents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49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1 524</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290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406</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14 338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1 505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18 113</w:t>
            </w:r>
          </w:p>
        </w:tc>
      </w:tr>
      <w:tr w:rsidR="00135552">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218</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5 690</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49 635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1 830</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lang w:bidi="en-GB"/>
              </w:rPr>
            </w:pPr>
            <w:r>
              <w:rPr>
                <w:rFonts w:ascii="Verdana" w:eastAsia="Verdana" w:hAnsi="Verdana" w:cs="Verdana"/>
                <w:b/>
                <w:noProof/>
                <w:color w:val="000000"/>
                <w:sz w:val="18"/>
              </w:rPr>
              <w:t>58 303</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b/>
                <w:noProof/>
                <w:color w:val="000000"/>
                <w:sz w:val="18"/>
              </w:rPr>
            </w:pPr>
            <w:r>
              <w:rPr>
                <w:rFonts w:ascii="Verdana" w:eastAsia="Verdana" w:hAnsi="Verdana" w:cs="Verdana"/>
                <w:b/>
                <w:noProof/>
                <w:color w:val="000000"/>
                <w:sz w:val="18"/>
              </w:rPr>
              <w:t>Financial liabilities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5BIPCRPY"/>
              <w:rPr>
                <w:rFonts w:ascii="Arial" w:eastAsia="Arial" w:hAnsi="Arial" w:cs="Arial"/>
                <w:noProof/>
                <w:color w:val="000000"/>
                <w:lang w:bidi="en-GB"/>
              </w:rPr>
            </w:pP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 xml:space="preserve">Financial </w:t>
            </w:r>
            <w:r>
              <w:rPr>
                <w:rFonts w:ascii="Verdana" w:eastAsia="Verdana" w:hAnsi="Verdana" w:cs="Verdana"/>
                <w:i/>
                <w:noProof/>
                <w:color w:val="000000"/>
                <w:sz w:val="18"/>
              </w:rPr>
              <w:t>liabilities at fair value through surplus or deficit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(20)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(22)</w:t>
            </w:r>
          </w:p>
        </w:tc>
      </w:tr>
      <w:tr w:rsidR="00135552">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(32 218)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i/>
                <w:noProof/>
                <w:color w:val="000000"/>
                <w:sz w:val="18"/>
                <w:lang w:bidi="en-GB"/>
              </w:rPr>
            </w:pPr>
            <w:r>
              <w:rPr>
                <w:rFonts w:ascii="Verdana" w:eastAsia="Verdana" w:hAnsi="Verdana" w:cs="Verdana"/>
                <w:i/>
                <w:noProof/>
                <w:color w:val="000000"/>
                <w:sz w:val="18"/>
              </w:rPr>
              <w:t>(32 227)</w:t>
            </w:r>
          </w:p>
        </w:tc>
      </w:tr>
      <w:tr w:rsidR="00135552">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(32 238)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lang w:bidi="en-GB"/>
              </w:rPr>
            </w:pPr>
            <w:r>
              <w:rPr>
                <w:rFonts w:ascii="Verdana" w:eastAsia="Verdana" w:hAnsi="Verdana" w:cs="Verdana"/>
                <w:b/>
                <w:noProof/>
                <w:color w:val="000000"/>
                <w:sz w:val="18"/>
              </w:rPr>
              <w:t>(32 249)</w:t>
            </w:r>
          </w:p>
        </w:tc>
      </w:tr>
      <w:tr w:rsidR="00135552">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rPr>
                <w:rFonts w:ascii="Verdana" w:eastAsia="Verdana" w:hAnsi="Verdana" w:cs="Verdana"/>
                <w:b/>
                <w:noProof/>
                <w:color w:val="000000"/>
                <w:sz w:val="18"/>
              </w:rPr>
            </w:pPr>
            <w:r>
              <w:rPr>
                <w:rFonts w:ascii="Verdana" w:eastAsia="Verdana" w:hAnsi="Verdana" w:cs="Verdana"/>
                <w:b/>
                <w:noProof/>
                <w:color w:val="000000"/>
                <w:sz w:val="18"/>
              </w:rPr>
              <w:t>Total</w:t>
            </w: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216</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5 689</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17 397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1 824</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5BIPCRPY"/>
              <w:jc w:val="right"/>
              <w:rPr>
                <w:rFonts w:ascii="Verdana" w:eastAsia="Verdana" w:hAnsi="Verdana" w:cs="Verdana"/>
                <w:b/>
                <w:noProof/>
                <w:color w:val="000000"/>
                <w:sz w:val="18"/>
              </w:rPr>
            </w:pPr>
            <w:r>
              <w:rPr>
                <w:rFonts w:ascii="Verdana" w:eastAsia="Verdana" w:hAnsi="Verdana" w:cs="Verdana"/>
                <w:b/>
                <w:noProof/>
                <w:color w:val="000000"/>
                <w:sz w:val="18"/>
              </w:rPr>
              <w:t>26 055</w:t>
            </w:r>
          </w:p>
        </w:tc>
      </w:tr>
    </w:tbl>
    <w:p w:rsidR="00135552" w:rsidRDefault="004C63B0">
      <w:pPr>
        <w:pStyle w:val="DGTextstand-alone"/>
        <w:spacing w:before="0"/>
      </w:pPr>
      <w:r>
        <w:rPr>
          <w:i/>
          <w:sz w:val="14"/>
        </w:rPr>
        <w:t xml:space="preserve">* Excluding back-to-back loans </w:t>
      </w:r>
      <w:r>
        <w:rPr>
          <w:i/>
          <w:sz w:val="14"/>
        </w:rPr>
        <w:t>for financial assistance.</w:t>
      </w:r>
    </w:p>
    <w:p w:rsidR="00135552" w:rsidRDefault="004C63B0">
      <w:pPr>
        <w:rPr>
          <w:rFonts w:ascii="Verdana" w:eastAsia="Calibri" w:hAnsi="Verdana"/>
          <w:noProof/>
          <w:sz w:val="18"/>
          <w:szCs w:val="18"/>
        </w:rPr>
      </w:pPr>
      <w:r>
        <w:rPr>
          <w:noProof/>
        </w:rPr>
        <w:br w:type="page"/>
      </w:r>
    </w:p>
    <w:p w:rsidR="00135552" w:rsidRDefault="004C63B0">
      <w:pPr>
        <w:pStyle w:val="DGTextstand-alone"/>
      </w:pPr>
      <w:r>
        <w:t>If the EUR had strengthened against other currencies by 10 %, then it would have had the following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S"/>
              <w:rPr>
                <w:rFonts w:ascii="Arial" w:eastAsia="Arial" w:hAnsi="Arial" w:cs="Arial"/>
                <w:noProof/>
                <w:color w:val="000000"/>
                <w:lang w:bidi="en-GB"/>
              </w:rPr>
            </w:pPr>
            <w:bookmarkStart w:id="150" w:name="DOC_TBL00085_1_1"/>
            <w:bookmarkEnd w:id="150"/>
          </w:p>
        </w:tc>
        <w:tc>
          <w:tcPr>
            <w:tcW w:w="129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SD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SDS"/>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S"/>
              <w:jc w:val="center"/>
              <w:rPr>
                <w:rFonts w:ascii="Verdana" w:eastAsia="Verdana" w:hAnsi="Verdana" w:cs="Verdana"/>
                <w:noProof/>
                <w:color w:val="FFFFFF"/>
                <w:lang w:bidi="en-GB"/>
              </w:rPr>
            </w:pPr>
            <w:r>
              <w:rPr>
                <w:rFonts w:ascii="Verdana" w:eastAsia="Verdana" w:hAnsi="Verdana" w:cs="Verdana"/>
                <w:noProof/>
                <w:color w:val="FFFFFF"/>
              </w:rPr>
              <w:t>Economic result</w:t>
            </w:r>
          </w:p>
        </w:tc>
      </w:tr>
      <w:tr w:rsidR="00135552">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SDS"/>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S"/>
              <w:jc w:val="right"/>
              <w:rPr>
                <w:rFonts w:ascii="Verdana" w:eastAsia="Verdana" w:hAnsi="Verdana" w:cs="Verdana"/>
                <w:noProof/>
                <w:color w:val="FFFFFF"/>
              </w:rPr>
            </w:pPr>
            <w:r>
              <w:rPr>
                <w:rFonts w:ascii="Verdana" w:eastAsia="Verdana" w:hAnsi="Verdana" w:cs="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S"/>
              <w:jc w:val="right"/>
              <w:rPr>
                <w:rFonts w:ascii="Verdana" w:eastAsia="Verdana" w:hAnsi="Verdana" w:cs="Verdana"/>
                <w:noProof/>
                <w:color w:val="FFFFFF"/>
              </w:rPr>
            </w:pPr>
            <w:r>
              <w:rPr>
                <w:rFonts w:ascii="Verdana" w:eastAsia="Verdana" w:hAnsi="Verdana" w:cs="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S"/>
              <w:jc w:val="right"/>
              <w:rPr>
                <w:rFonts w:ascii="Verdana" w:eastAsia="Verdana" w:hAnsi="Verdana" w:cs="Verdana"/>
                <w:noProof/>
                <w:color w:val="FFFFFF"/>
              </w:rPr>
            </w:pPr>
            <w:r>
              <w:rPr>
                <w:rFonts w:ascii="Verdana" w:eastAsia="Verdana" w:hAnsi="Verdana" w:cs="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S"/>
              <w:jc w:val="right"/>
              <w:rPr>
                <w:rFonts w:ascii="Verdana" w:eastAsia="Verdana" w:hAnsi="Verdana" w:cs="Verdana"/>
                <w:noProof/>
                <w:color w:val="FFFFFF"/>
                <w:lang w:bidi="en-GB"/>
              </w:rPr>
            </w:pPr>
            <w:r>
              <w:rPr>
                <w:rFonts w:ascii="Verdana" w:eastAsia="Verdana" w:hAnsi="Verdana" w:cs="Verdana"/>
                <w:noProof/>
                <w:color w:val="FFFFFF"/>
              </w:rPr>
              <w:t>SEK</w:t>
            </w:r>
          </w:p>
        </w:tc>
      </w:tr>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rPr>
                <w:rFonts w:ascii="Verdana" w:eastAsia="Verdana" w:hAnsi="Verdana" w:cs="Verdana"/>
                <w:i/>
                <w:noProof/>
                <w:color w:val="000000"/>
                <w:sz w:val="18"/>
              </w:rPr>
            </w:pPr>
            <w:r>
              <w:rPr>
                <w:rFonts w:ascii="Verdana" w:eastAsia="Verdana" w:hAnsi="Verdana" w:cs="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(14)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(104)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(48)</w:t>
            </w:r>
          </w:p>
        </w:tc>
      </w:tr>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rPr>
                <w:rFonts w:ascii="Verdana" w:eastAsia="Verdana" w:hAnsi="Verdana" w:cs="Verdana"/>
                <w:i/>
                <w:noProof/>
                <w:color w:val="000000"/>
                <w:sz w:val="18"/>
              </w:rPr>
            </w:pPr>
            <w:r>
              <w:rPr>
                <w:rFonts w:ascii="Verdana" w:eastAsia="Verdana" w:hAnsi="Verdana" w:cs="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(512)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S"/>
              <w:jc w:val="right"/>
              <w:rPr>
                <w:rFonts w:ascii="Verdana" w:eastAsia="Verdana" w:hAnsi="Verdana" w:cs="Verdana"/>
                <w:i/>
                <w:noProof/>
                <w:color w:val="000000"/>
                <w:sz w:val="18"/>
              </w:rPr>
            </w:pPr>
            <w:r>
              <w:rPr>
                <w:rFonts w:ascii="Verdana" w:eastAsia="Verdana" w:hAnsi="Verdana" w:cs="Verdana"/>
                <w:i/>
                <w:noProof/>
                <w:color w:val="000000"/>
                <w:sz w:val="18"/>
              </w:rPr>
              <w:t xml:space="preserve"> (47)</w:t>
            </w:r>
          </w:p>
        </w:tc>
      </w:tr>
    </w:tbl>
    <w:p w:rsidR="00135552" w:rsidRDefault="00135552">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S"/>
              <w:rPr>
                <w:rFonts w:ascii="Arial" w:eastAsia="Arial" w:hAnsi="Arial" w:cs="Arial"/>
                <w:noProof/>
                <w:color w:val="000000"/>
                <w:lang w:bidi="en-GB"/>
              </w:rPr>
            </w:pPr>
            <w:bookmarkStart w:id="151" w:name="DOC_TBL00086_1_1"/>
            <w:bookmarkEnd w:id="151"/>
          </w:p>
        </w:tc>
        <w:tc>
          <w:tcPr>
            <w:tcW w:w="139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S"/>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S"/>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S"/>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NA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NAS"/>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S"/>
              <w:jc w:val="center"/>
              <w:rPr>
                <w:rFonts w:ascii="Verdana" w:eastAsia="Verdana" w:hAnsi="Verdana" w:cs="Verdana"/>
                <w:noProof/>
                <w:color w:val="FFFFFF"/>
                <w:lang w:bidi="en-GB"/>
              </w:rPr>
            </w:pPr>
            <w:r>
              <w:rPr>
                <w:rFonts w:ascii="Verdana" w:eastAsia="Verdana" w:hAnsi="Verdana" w:cs="Verdana"/>
                <w:noProof/>
                <w:color w:val="FFFFFF"/>
              </w:rPr>
              <w:t>Net assets</w:t>
            </w:r>
          </w:p>
        </w:tc>
      </w:tr>
      <w:tr w:rsidR="00135552">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NAS"/>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S"/>
              <w:jc w:val="right"/>
              <w:rPr>
                <w:rFonts w:ascii="Verdana" w:eastAsia="Verdana" w:hAnsi="Verdana" w:cs="Verdana"/>
                <w:noProof/>
                <w:color w:val="FFFFFF"/>
              </w:rPr>
            </w:pPr>
            <w:r>
              <w:rPr>
                <w:rFonts w:ascii="Verdana" w:eastAsia="Verdana" w:hAnsi="Verdana" w:cs="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S"/>
              <w:jc w:val="right"/>
              <w:rPr>
                <w:rFonts w:ascii="Verdana" w:eastAsia="Verdana" w:hAnsi="Verdana" w:cs="Verdana"/>
                <w:noProof/>
                <w:color w:val="FFFFFF"/>
              </w:rPr>
            </w:pPr>
            <w:r>
              <w:rPr>
                <w:rFonts w:ascii="Verdana" w:eastAsia="Verdana" w:hAnsi="Verdana" w:cs="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S"/>
              <w:jc w:val="right"/>
              <w:rPr>
                <w:rFonts w:ascii="Verdana" w:eastAsia="Verdana" w:hAnsi="Verdana" w:cs="Verdana"/>
                <w:noProof/>
                <w:color w:val="FFFFFF"/>
              </w:rPr>
            </w:pPr>
            <w:r>
              <w:rPr>
                <w:rFonts w:ascii="Verdana" w:eastAsia="Verdana" w:hAnsi="Verdana" w:cs="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S"/>
              <w:jc w:val="right"/>
              <w:rPr>
                <w:rFonts w:ascii="Verdana" w:eastAsia="Verdana" w:hAnsi="Verdana" w:cs="Verdana"/>
                <w:noProof/>
                <w:color w:val="FFFFFF"/>
                <w:lang w:bidi="en-GB"/>
              </w:rPr>
            </w:pPr>
            <w:r>
              <w:rPr>
                <w:rFonts w:ascii="Verdana" w:eastAsia="Verdana" w:hAnsi="Verdana" w:cs="Verdana"/>
                <w:noProof/>
                <w:color w:val="FFFFFF"/>
              </w:rPr>
              <w:t>SEK</w:t>
            </w:r>
          </w:p>
        </w:tc>
      </w:tr>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rPr>
                <w:rFonts w:ascii="Verdana" w:eastAsia="Verdana" w:hAnsi="Verdana" w:cs="Verdana"/>
                <w:i/>
                <w:noProof/>
                <w:color w:val="000000"/>
                <w:sz w:val="18"/>
              </w:rPr>
            </w:pPr>
            <w:r>
              <w:rPr>
                <w:rFonts w:ascii="Verdana" w:eastAsia="Verdana" w:hAnsi="Verdana" w:cs="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rPr>
                <w:rFonts w:ascii="Verdana" w:eastAsia="Verdana" w:hAnsi="Verdana" w:cs="Verdana"/>
                <w:i/>
                <w:noProof/>
                <w:color w:val="000000"/>
                <w:sz w:val="18"/>
              </w:rPr>
            </w:pPr>
            <w:r>
              <w:rPr>
                <w:rFonts w:ascii="Verdana" w:eastAsia="Verdana" w:hAnsi="Verdana" w:cs="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(13)</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S"/>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r>
    </w:tbl>
    <w:p w:rsidR="00135552" w:rsidRDefault="00135552">
      <w:pPr>
        <w:pStyle w:val="Textstand-alone"/>
      </w:pPr>
    </w:p>
    <w:p w:rsidR="00135552" w:rsidRDefault="004C63B0">
      <w:pPr>
        <w:pStyle w:val="Textstand-alone"/>
      </w:pPr>
      <w:r>
        <w:t>If the EUR had weakened against these currencies by 10 %, then it would have had the following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W"/>
              <w:rPr>
                <w:rFonts w:ascii="Arial" w:eastAsia="Arial" w:hAnsi="Arial" w:cs="Arial"/>
                <w:noProof/>
                <w:color w:val="000000"/>
                <w:lang w:bidi="en-GB"/>
              </w:rPr>
            </w:pPr>
            <w:bookmarkStart w:id="152" w:name="DOC_TBL00087_1_1"/>
            <w:bookmarkEnd w:id="152"/>
          </w:p>
        </w:tc>
        <w:tc>
          <w:tcPr>
            <w:tcW w:w="1293"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SDW"/>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SDW"/>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W"/>
              <w:jc w:val="center"/>
              <w:rPr>
                <w:rFonts w:ascii="Verdana" w:eastAsia="Verdana" w:hAnsi="Verdana" w:cs="Verdana"/>
                <w:noProof/>
                <w:color w:val="FFFFFF"/>
                <w:lang w:bidi="en-GB"/>
              </w:rPr>
            </w:pPr>
            <w:r>
              <w:rPr>
                <w:rFonts w:ascii="Verdana" w:eastAsia="Verdana" w:hAnsi="Verdana" w:cs="Verdana"/>
                <w:noProof/>
                <w:color w:val="FFFFFF"/>
              </w:rPr>
              <w:t>Economic result</w:t>
            </w:r>
          </w:p>
        </w:tc>
      </w:tr>
      <w:tr w:rsidR="00135552">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SDW"/>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W"/>
              <w:jc w:val="right"/>
              <w:rPr>
                <w:rFonts w:ascii="Verdana" w:eastAsia="Verdana" w:hAnsi="Verdana" w:cs="Verdana"/>
                <w:noProof/>
                <w:color w:val="FFFFFF"/>
              </w:rPr>
            </w:pPr>
            <w:r>
              <w:rPr>
                <w:rFonts w:ascii="Verdana" w:eastAsia="Verdana" w:hAnsi="Verdana" w:cs="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W"/>
              <w:jc w:val="right"/>
              <w:rPr>
                <w:rFonts w:ascii="Verdana" w:eastAsia="Verdana" w:hAnsi="Verdana" w:cs="Verdana"/>
                <w:noProof/>
                <w:color w:val="FFFFFF"/>
              </w:rPr>
            </w:pPr>
            <w:r>
              <w:rPr>
                <w:rFonts w:ascii="Verdana" w:eastAsia="Verdana" w:hAnsi="Verdana" w:cs="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W"/>
              <w:jc w:val="right"/>
              <w:rPr>
                <w:rFonts w:ascii="Verdana" w:eastAsia="Verdana" w:hAnsi="Verdana" w:cs="Verdana"/>
                <w:noProof/>
                <w:color w:val="FFFFFF"/>
              </w:rPr>
            </w:pPr>
            <w:r>
              <w:rPr>
                <w:rFonts w:ascii="Verdana" w:eastAsia="Verdana" w:hAnsi="Verdana" w:cs="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SDW"/>
              <w:jc w:val="right"/>
              <w:rPr>
                <w:rFonts w:ascii="Verdana" w:eastAsia="Verdana" w:hAnsi="Verdana" w:cs="Verdana"/>
                <w:noProof/>
                <w:color w:val="FFFFFF"/>
                <w:lang w:bidi="en-GB"/>
              </w:rPr>
            </w:pPr>
            <w:r>
              <w:rPr>
                <w:rFonts w:ascii="Verdana" w:eastAsia="Verdana" w:hAnsi="Verdana" w:cs="Verdana"/>
                <w:noProof/>
                <w:color w:val="FFFFFF"/>
              </w:rPr>
              <w:t>SEK</w:t>
            </w:r>
          </w:p>
        </w:tc>
      </w:tr>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rPr>
                <w:rFonts w:ascii="Verdana" w:eastAsia="Verdana" w:hAnsi="Verdana" w:cs="Verdana"/>
                <w:i/>
                <w:noProof/>
                <w:color w:val="000000"/>
                <w:sz w:val="18"/>
              </w:rPr>
            </w:pPr>
            <w:r>
              <w:rPr>
                <w:rFonts w:ascii="Verdana" w:eastAsia="Verdana" w:hAnsi="Verdana" w:cs="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127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42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58</w:t>
            </w:r>
          </w:p>
        </w:tc>
      </w:tr>
      <w:tr w:rsidR="00135552">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rPr>
                <w:rFonts w:ascii="Verdana" w:eastAsia="Verdana" w:hAnsi="Verdana" w:cs="Verdana"/>
                <w:i/>
                <w:noProof/>
                <w:color w:val="000000"/>
                <w:sz w:val="18"/>
              </w:rPr>
            </w:pPr>
            <w:r>
              <w:rPr>
                <w:rFonts w:ascii="Verdana" w:eastAsia="Verdana" w:hAnsi="Verdana" w:cs="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625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43</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SDW"/>
              <w:jc w:val="right"/>
              <w:rPr>
                <w:rFonts w:ascii="Verdana" w:eastAsia="Verdana" w:hAnsi="Verdana" w:cs="Verdana"/>
                <w:i/>
                <w:noProof/>
                <w:color w:val="000000"/>
                <w:sz w:val="18"/>
              </w:rPr>
            </w:pPr>
            <w:r>
              <w:rPr>
                <w:rFonts w:ascii="Verdana" w:eastAsia="Verdana" w:hAnsi="Verdana" w:cs="Verdana"/>
                <w:i/>
                <w:noProof/>
                <w:color w:val="000000"/>
                <w:sz w:val="18"/>
              </w:rPr>
              <w:t xml:space="preserve"> 57</w:t>
            </w:r>
          </w:p>
        </w:tc>
      </w:tr>
    </w:tbl>
    <w:p w:rsidR="00135552" w:rsidRDefault="00135552">
      <w:pPr>
        <w:pStyle w:val="HEADER5"/>
        <w:spacing w:before="24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W"/>
              <w:rPr>
                <w:rFonts w:ascii="Arial" w:eastAsia="Arial" w:hAnsi="Arial" w:cs="Arial"/>
                <w:noProof/>
                <w:color w:val="000000"/>
                <w:lang w:bidi="en-GB"/>
              </w:rPr>
            </w:pPr>
            <w:bookmarkStart w:id="153" w:name="DOC_TBL00088_1_1"/>
            <w:bookmarkEnd w:id="153"/>
          </w:p>
        </w:tc>
        <w:tc>
          <w:tcPr>
            <w:tcW w:w="139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W"/>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W"/>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5BIPNAW"/>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5BIPNAW"/>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NAW"/>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W"/>
              <w:jc w:val="center"/>
              <w:rPr>
                <w:rFonts w:ascii="Verdana" w:eastAsia="Verdana" w:hAnsi="Verdana" w:cs="Verdana"/>
                <w:noProof/>
                <w:color w:val="FFFFFF"/>
                <w:lang w:bidi="en-GB"/>
              </w:rPr>
            </w:pPr>
            <w:r>
              <w:rPr>
                <w:rFonts w:ascii="Verdana" w:eastAsia="Verdana" w:hAnsi="Verdana" w:cs="Verdana"/>
                <w:noProof/>
                <w:color w:val="FFFFFF"/>
              </w:rPr>
              <w:t>Net assets</w:t>
            </w:r>
          </w:p>
        </w:tc>
      </w:tr>
      <w:tr w:rsidR="00135552">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5BIPNAW"/>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W"/>
              <w:jc w:val="right"/>
              <w:rPr>
                <w:rFonts w:ascii="Verdana" w:eastAsia="Verdana" w:hAnsi="Verdana" w:cs="Verdana"/>
                <w:noProof/>
                <w:color w:val="FFFFFF"/>
              </w:rPr>
            </w:pPr>
            <w:r>
              <w:rPr>
                <w:rFonts w:ascii="Verdana" w:eastAsia="Verdana" w:hAnsi="Verdana" w:cs="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W"/>
              <w:jc w:val="right"/>
              <w:rPr>
                <w:rFonts w:ascii="Verdana" w:eastAsia="Verdana" w:hAnsi="Verdana" w:cs="Verdana"/>
                <w:noProof/>
                <w:color w:val="FFFFFF"/>
              </w:rPr>
            </w:pPr>
            <w:r>
              <w:rPr>
                <w:rFonts w:ascii="Verdana" w:eastAsia="Verdana" w:hAnsi="Verdana" w:cs="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W"/>
              <w:jc w:val="right"/>
              <w:rPr>
                <w:rFonts w:ascii="Verdana" w:eastAsia="Verdana" w:hAnsi="Verdana" w:cs="Verdana"/>
                <w:noProof/>
                <w:color w:val="FFFFFF"/>
              </w:rPr>
            </w:pPr>
            <w:r>
              <w:rPr>
                <w:rFonts w:ascii="Verdana" w:eastAsia="Verdana" w:hAnsi="Verdana" w:cs="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5BIPNAW"/>
              <w:jc w:val="right"/>
              <w:rPr>
                <w:rFonts w:ascii="Verdana" w:eastAsia="Verdana" w:hAnsi="Verdana" w:cs="Verdana"/>
                <w:noProof/>
                <w:color w:val="FFFFFF"/>
                <w:lang w:bidi="en-GB"/>
              </w:rPr>
            </w:pPr>
            <w:r>
              <w:rPr>
                <w:rFonts w:ascii="Verdana" w:eastAsia="Verdana" w:hAnsi="Verdana" w:cs="Verdana"/>
                <w:noProof/>
                <w:color w:val="FFFFFF"/>
              </w:rPr>
              <w:t>SEK</w:t>
            </w:r>
          </w:p>
        </w:tc>
      </w:tr>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rPr>
                <w:rFonts w:ascii="Verdana" w:eastAsia="Verdana" w:hAnsi="Verdana" w:cs="Verdana"/>
                <w:i/>
                <w:noProof/>
                <w:color w:val="000000"/>
                <w:sz w:val="18"/>
              </w:rPr>
            </w:pPr>
            <w:r>
              <w:rPr>
                <w:rFonts w:ascii="Verdana" w:eastAsia="Verdana" w:hAnsi="Verdana" w:cs="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20</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rsidR="00135552">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rPr>
                <w:rFonts w:ascii="Verdana" w:eastAsia="Verdana" w:hAnsi="Verdana" w:cs="Verdana"/>
                <w:i/>
                <w:noProof/>
                <w:color w:val="000000"/>
                <w:sz w:val="18"/>
              </w:rPr>
            </w:pPr>
            <w:r>
              <w:rPr>
                <w:rFonts w:ascii="Verdana" w:eastAsia="Verdana" w:hAnsi="Verdana" w:cs="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5BIPNAW"/>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r>
    </w:tbl>
    <w:p w:rsidR="00135552" w:rsidRDefault="00135552">
      <w:pPr>
        <w:pStyle w:val="HEADER5"/>
        <w:spacing w:before="240"/>
        <w:rPr>
          <w:noProof/>
        </w:rPr>
      </w:pPr>
    </w:p>
    <w:p w:rsidR="00135552" w:rsidRDefault="004C63B0">
      <w:pPr>
        <w:pStyle w:val="HEADER5"/>
        <w:spacing w:before="240"/>
        <w:rPr>
          <w:b/>
          <w:noProof/>
        </w:rPr>
      </w:pPr>
      <w:r>
        <w:rPr>
          <w:noProof/>
        </w:rPr>
        <w:t>Borrowing and lending activities for financial assistance</w:t>
      </w:r>
    </w:p>
    <w:p w:rsidR="00135552" w:rsidRDefault="004C63B0">
      <w:pPr>
        <w:pStyle w:val="Textstand-alone"/>
      </w:pPr>
      <w:r>
        <w:t xml:space="preserve">Financial assets and liabilities are currently only in EUR, so </w:t>
      </w:r>
      <w:r>
        <w:t>the EU has no foreign currency risk.</w:t>
      </w:r>
    </w:p>
    <w:p w:rsidR="00135552" w:rsidRDefault="004C63B0">
      <w:pPr>
        <w:pStyle w:val="HEADER5"/>
        <w:rPr>
          <w:b/>
          <w:noProof/>
        </w:rPr>
      </w:pPr>
      <w:r>
        <w:rPr>
          <w:noProof/>
        </w:rPr>
        <w:t>Treasury</w:t>
      </w:r>
    </w:p>
    <w:p w:rsidR="00135552" w:rsidRDefault="004C63B0">
      <w:pPr>
        <w:pStyle w:val="Textstand-alone"/>
      </w:pPr>
      <w:r>
        <w:t xml:space="preserve">Own resources paid by Member States in currencies other than EUR are kept on the own resources accounts, in accordance with Council Regulation 2014/609 (as amended by Council regulation 2016/804). They are </w:t>
      </w:r>
      <w:r>
        <w:t>converted into EUR when they are needed for the execution of payments. The procedures applied for the management of these funds are laid down by the above referred regulation. In a limited number of cases, these funds are directly used for payments to be e</w:t>
      </w:r>
      <w:r>
        <w:t>xecuted in the same currencies.</w:t>
      </w:r>
    </w:p>
    <w:p w:rsidR="00135552" w:rsidRDefault="004C63B0">
      <w:pPr>
        <w:pStyle w:val="Textstand-alone"/>
      </w:pPr>
      <w:r>
        <w:t>A number of accounts in EU currencies other than EUR, and in USD and CHF, are held by the Commission with commercial banks, for the purpose of executing payments denominated in these same currencies. These accounts are reple</w:t>
      </w:r>
      <w:r>
        <w:t>nished depending on the amount of payments to be executed, as a consequence their balances do not represent exposure to currency risk.</w:t>
      </w:r>
    </w:p>
    <w:p w:rsidR="00135552" w:rsidRDefault="004C63B0">
      <w:pPr>
        <w:pStyle w:val="Textstand-alone"/>
      </w:pPr>
      <w:r>
        <w:t>When miscellaneous receipts (receipts other than own resources) are received in currencies other than EUR, they are eithe</w:t>
      </w:r>
      <w:r>
        <w:t>r transferred to Commission's accounts held in the same currencies, if they are needed to cover the execution of payments, or converted into EUR and transferred to accounts held in EUR. Imprest accounts held in currencies other than EUR are replenished dep</w:t>
      </w:r>
      <w:r>
        <w:t>ending on the estimated short-term local payment needs in the same currencies. Balances on these accounts are kept within their respective ceilings.</w:t>
      </w:r>
    </w:p>
    <w:p w:rsidR="00135552" w:rsidRDefault="004C63B0">
      <w:pPr>
        <w:rPr>
          <w:rFonts w:ascii="Verdana" w:hAnsi="Verdana"/>
          <w:noProof/>
          <w:color w:val="016794"/>
          <w:sz w:val="18"/>
          <w:szCs w:val="18"/>
        </w:rPr>
      </w:pPr>
      <w:r>
        <w:rPr>
          <w:noProof/>
        </w:rPr>
        <w:br w:type="page"/>
      </w:r>
    </w:p>
    <w:p w:rsidR="00135552" w:rsidRDefault="004C63B0">
      <w:pPr>
        <w:pStyle w:val="HEADER5"/>
        <w:rPr>
          <w:b/>
          <w:noProof/>
        </w:rPr>
      </w:pPr>
      <w:r>
        <w:rPr>
          <w:noProof/>
        </w:rPr>
        <w:t>Fines</w:t>
      </w:r>
    </w:p>
    <w:p w:rsidR="00135552" w:rsidRDefault="004C63B0">
      <w:pPr>
        <w:pStyle w:val="Textstand-alone"/>
      </w:pPr>
      <w:r>
        <w:t>All fines are imposed, paid or provisionally covered in EUR and therefore do not pose any foreign c</w:t>
      </w:r>
      <w:r>
        <w:t>urrency risk.</w:t>
      </w:r>
    </w:p>
    <w:p w:rsidR="00135552" w:rsidRDefault="004C63B0">
      <w:pPr>
        <w:pStyle w:val="HEADER5"/>
        <w:rPr>
          <w:b/>
          <w:noProof/>
        </w:rPr>
      </w:pPr>
      <w:r>
        <w:rPr>
          <w:noProof/>
        </w:rPr>
        <w:t>Guarantee Fund for external actions</w:t>
      </w:r>
    </w:p>
    <w:p w:rsidR="00135552" w:rsidRDefault="004C63B0">
      <w:pPr>
        <w:pStyle w:val="Textstand-alone"/>
      </w:pPr>
      <w:r>
        <w:t>The financial assets of this fund are in EUR so there is no currency risk. The loans subrogated to the EU as result of calls on the fund, following payment defaults by a loan beneficiary, are carried out in</w:t>
      </w:r>
      <w:r>
        <w:t xml:space="preserve"> their original currency and therefore expose the EU to currency risk. There are no activities to compensate foreign currency variations (‘hedging‘ activities) due to uncertainty relating to the loans’ repayment timing.</w:t>
      </w:r>
    </w:p>
    <w:p w:rsidR="00135552" w:rsidRDefault="004C63B0">
      <w:pPr>
        <w:pStyle w:val="HEADER5"/>
        <w:rPr>
          <w:b/>
          <w:noProof/>
        </w:rPr>
      </w:pPr>
      <w:r>
        <w:rPr>
          <w:noProof/>
        </w:rPr>
        <w:t>EFSI Guarantee Fund</w:t>
      </w:r>
    </w:p>
    <w:p w:rsidR="00135552" w:rsidRDefault="004C63B0">
      <w:pPr>
        <w:pStyle w:val="Textstand-alone"/>
      </w:pPr>
      <w:r>
        <w:t>The EFSI Guarant</w:t>
      </w:r>
      <w:r>
        <w:t>ee Fund currently operates in both EUR and USD. Currency risk is managed through entering into derivative contracts (foreign exchange forward contracts) hedging the market value of the USD investments portfolio. The limit for maximum unhedged foreign excha</w:t>
      </w:r>
      <w:r>
        <w:t>nge exposure is set at 1 % of the total portfolio value within the benchmark and annual strategy allocations. Thus, upward or downward movements in the USD investments' market value above or below the 1 % limit would trigger a rebalancing trade (a new forw</w:t>
      </w:r>
      <w:r>
        <w:t>ard contract with the same or opposite direction), adjusting or reversing the hedged position accordingly. Readjustment of the hedge may also be prompted by movements of the EUR/USD exchange rate.</w:t>
      </w:r>
    </w:p>
    <w:p w:rsidR="00135552" w:rsidRDefault="004C63B0">
      <w:pPr>
        <w:pStyle w:val="Textstand-alone"/>
      </w:pPr>
      <w:r>
        <w:t>The loans subrogated to the EU as result of calls on the fu</w:t>
      </w:r>
      <w:r>
        <w:t xml:space="preserve">nd following payment defaults by a loan beneficiary are carried out in their original currency and therefore expose the EU to currency risk. For the subrogated loans, there are no activities to compensate foreign currency variations (‘hedging‘ activities) </w:t>
      </w:r>
      <w:r>
        <w:t>due to uncertainty relating to the loans’ repayment timing.</w:t>
      </w:r>
    </w:p>
    <w:p w:rsidR="00135552" w:rsidRDefault="004C63B0">
      <w:pPr>
        <w:pStyle w:val="HEADER5"/>
        <w:rPr>
          <w:b/>
          <w:noProof/>
        </w:rPr>
      </w:pPr>
      <w:r>
        <w:rPr>
          <w:noProof/>
        </w:rPr>
        <w:t>EFSD Guarantee Fund</w:t>
      </w:r>
    </w:p>
    <w:p w:rsidR="00135552" w:rsidRDefault="004C63B0">
      <w:pPr>
        <w:pStyle w:val="Textstand-alone"/>
      </w:pPr>
      <w:r>
        <w:t>The EFSD Guarantee Fund currently operates in EUR only, but the asset management guidelines for the EFSD Guarantee Fund provide for the possibility to invest in certain non-EUR</w:t>
      </w:r>
      <w:r>
        <w:t xml:space="preserve"> denominated assets.</w:t>
      </w:r>
    </w:p>
    <w:p w:rsidR="00135552" w:rsidRDefault="004C63B0">
      <w:pPr>
        <w:pStyle w:val="HEADER2NOTES"/>
        <w:rPr>
          <w:noProof/>
        </w:rPr>
      </w:pPr>
      <w:r>
        <w:rPr>
          <w:noProof/>
        </w:rPr>
        <w:t>INTEREST RATE RISK</w:t>
      </w:r>
    </w:p>
    <w:p w:rsidR="00135552" w:rsidRDefault="004C63B0">
      <w:pPr>
        <w:pStyle w:val="DGTextstand-alone"/>
      </w:pPr>
      <w:r>
        <w:t>The following table illustrates the interest rate sensitivity of available for sale financial assets assuming a possible change in interest rates of +/- 100 basis points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2905"/>
        <w:gridCol w:w="2764"/>
      </w:tblGrid>
      <w:tr w:rsidR="00135552">
        <w:trPr>
          <w:trHeight w:val="255"/>
        </w:trPr>
        <w:tc>
          <w:tcPr>
            <w:tcW w:w="408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6BIPIRR"/>
              <w:rPr>
                <w:rFonts w:ascii="Arial" w:eastAsia="Arial" w:hAnsi="Arial" w:cs="Arial"/>
                <w:noProof/>
                <w:color w:val="000000"/>
                <w:lang w:bidi="en-GB"/>
              </w:rPr>
            </w:pPr>
            <w:bookmarkStart w:id="154" w:name="DOC_TBL00089_1_1"/>
            <w:bookmarkEnd w:id="154"/>
          </w:p>
        </w:tc>
        <w:tc>
          <w:tcPr>
            <w:tcW w:w="290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6BIPIRR"/>
              <w:rPr>
                <w:rFonts w:ascii="Arial" w:eastAsia="Arial" w:hAnsi="Arial" w:cs="Arial"/>
                <w:noProof/>
                <w:color w:val="000000"/>
              </w:rPr>
            </w:pPr>
          </w:p>
        </w:tc>
        <w:tc>
          <w:tcPr>
            <w:tcW w:w="2764"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6BIPIR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408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6BIPIRR"/>
              <w:jc w:val="right"/>
              <w:rPr>
                <w:rFonts w:ascii="Verdana" w:eastAsia="Verdana" w:hAnsi="Verdana" w:cs="Verdana"/>
                <w:noProof/>
                <w:color w:val="FFFFFF"/>
              </w:rPr>
            </w:pPr>
          </w:p>
        </w:tc>
        <w:tc>
          <w:tcPr>
            <w:tcW w:w="290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6BIPIRR"/>
              <w:jc w:val="right"/>
              <w:rPr>
                <w:rFonts w:ascii="Verdana" w:eastAsia="Verdana" w:hAnsi="Verdana" w:cs="Verdana"/>
                <w:noProof/>
                <w:color w:val="FFFFFF"/>
              </w:rPr>
            </w:pPr>
            <w:r>
              <w:rPr>
                <w:rFonts w:ascii="Verdana" w:eastAsia="Verdana" w:hAnsi="Verdana" w:cs="Verdana"/>
                <w:noProof/>
                <w:color w:val="FFFFFF"/>
              </w:rPr>
              <w:t>Increase (+) / decrease</w:t>
            </w:r>
            <w:r>
              <w:rPr>
                <w:rFonts w:ascii="Verdana" w:eastAsia="Verdana" w:hAnsi="Verdana" w:cs="Verdana"/>
                <w:noProof/>
                <w:color w:val="FFFFFF"/>
              </w:rPr>
              <w:t xml:space="preserve"> (-) in basis points</w:t>
            </w:r>
          </w:p>
        </w:tc>
        <w:tc>
          <w:tcPr>
            <w:tcW w:w="276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6BIPIRR"/>
              <w:jc w:val="right"/>
              <w:rPr>
                <w:rFonts w:ascii="Verdana" w:eastAsia="Verdana" w:hAnsi="Verdana" w:cs="Verdana"/>
                <w:noProof/>
                <w:color w:val="FFFFFF"/>
                <w:lang w:bidi="en-GB"/>
              </w:rPr>
            </w:pPr>
            <w:r>
              <w:rPr>
                <w:rFonts w:ascii="Verdana" w:eastAsia="Verdana" w:hAnsi="Verdana" w:cs="Verdana"/>
                <w:noProof/>
                <w:color w:val="FFFFFF"/>
              </w:rPr>
              <w:t>Effect on net assets</w:t>
            </w:r>
          </w:p>
        </w:tc>
      </w:tr>
      <w:tr w:rsidR="00135552">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rPr>
                <w:rFonts w:ascii="Verdana" w:eastAsia="Verdana" w:hAnsi="Verdana" w:cs="Verdana"/>
                <w:i/>
                <w:noProof/>
                <w:color w:val="000000"/>
                <w:sz w:val="18"/>
              </w:rPr>
            </w:pPr>
            <w:r>
              <w:rPr>
                <w:rFonts w:ascii="Verdana" w:eastAsia="Verdana" w:hAnsi="Verdana" w:cs="Verdana"/>
                <w:i/>
                <w:noProof/>
                <w:color w:val="000000"/>
                <w:sz w:val="18"/>
              </w:rPr>
              <w:t>2019: Available for sale financial assets</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rPr>
            </w:pPr>
            <w:r>
              <w:rPr>
                <w:rFonts w:ascii="Verdana" w:eastAsia="Verdana" w:hAnsi="Verdana" w:cs="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(447)</w:t>
            </w:r>
          </w:p>
        </w:tc>
      </w:tr>
      <w:tr w:rsidR="00135552">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rPr>
            </w:pPr>
            <w:r>
              <w:rPr>
                <w:rFonts w:ascii="Verdana" w:eastAsia="Verdana" w:hAnsi="Verdana" w:cs="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483</w:t>
            </w:r>
          </w:p>
        </w:tc>
      </w:tr>
      <w:tr w:rsidR="00135552">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rPr>
                <w:rFonts w:ascii="Verdana" w:eastAsia="Verdana" w:hAnsi="Verdana" w:cs="Verdana"/>
                <w:i/>
                <w:noProof/>
                <w:color w:val="000000"/>
                <w:sz w:val="18"/>
              </w:rPr>
            </w:pPr>
            <w:r>
              <w:rPr>
                <w:rFonts w:ascii="Verdana" w:eastAsia="Verdana" w:hAnsi="Verdana" w:cs="Verdana"/>
                <w:i/>
                <w:noProof/>
                <w:color w:val="000000"/>
                <w:sz w:val="18"/>
              </w:rPr>
              <w:t>2018: Available for sale financial assets</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rPr>
            </w:pPr>
            <w:r>
              <w:rPr>
                <w:rFonts w:ascii="Verdana" w:eastAsia="Verdana" w:hAnsi="Verdana" w:cs="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(348)</w:t>
            </w:r>
          </w:p>
        </w:tc>
      </w:tr>
      <w:tr w:rsidR="00135552">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rPr>
            </w:pPr>
            <w:r>
              <w:rPr>
                <w:rFonts w:ascii="Verdana" w:eastAsia="Verdana" w:hAnsi="Verdana" w:cs="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6BIPIRR"/>
              <w:jc w:val="right"/>
              <w:rPr>
                <w:rFonts w:ascii="Verdana" w:eastAsia="Verdana" w:hAnsi="Verdana" w:cs="Verdana"/>
                <w:i/>
                <w:noProof/>
                <w:color w:val="000000"/>
                <w:sz w:val="18"/>
              </w:rPr>
            </w:pPr>
            <w:r>
              <w:rPr>
                <w:rFonts w:ascii="Verdana" w:eastAsia="Verdana" w:hAnsi="Verdana" w:cs="Verdana"/>
                <w:i/>
                <w:noProof/>
                <w:color w:val="000000"/>
                <w:sz w:val="18"/>
              </w:rPr>
              <w:t xml:space="preserve"> 374</w:t>
            </w:r>
          </w:p>
        </w:tc>
      </w:tr>
    </w:tbl>
    <w:p w:rsidR="00135552" w:rsidRDefault="004C63B0">
      <w:pPr>
        <w:pStyle w:val="HEADER5"/>
        <w:spacing w:before="240"/>
        <w:rPr>
          <w:noProof/>
        </w:rPr>
      </w:pPr>
      <w:r>
        <w:rPr>
          <w:noProof/>
        </w:rPr>
        <w:t>Borrowing and lending activities for financial assistance</w:t>
      </w:r>
    </w:p>
    <w:p w:rsidR="00135552" w:rsidRDefault="004C63B0">
      <w:pPr>
        <w:pStyle w:val="DGTextstand-alone"/>
      </w:pPr>
      <w:r>
        <w:t xml:space="preserve">Due to the nature of </w:t>
      </w:r>
      <w:r>
        <w:t>its borrowing and lending activities, the EU has significant interest-bearing assets and liabilities. However, there is no interest rate risk since the borrowings are offset by equivalent loans at the same terms and conditions (back-to-back).</w:t>
      </w:r>
    </w:p>
    <w:p w:rsidR="00135552" w:rsidRDefault="004C63B0">
      <w:pPr>
        <w:pStyle w:val="HEADER5"/>
        <w:rPr>
          <w:noProof/>
        </w:rPr>
      </w:pPr>
      <w:r>
        <w:rPr>
          <w:noProof/>
        </w:rPr>
        <w:t>Treasury</w:t>
      </w:r>
    </w:p>
    <w:p w:rsidR="00135552" w:rsidRDefault="004C63B0">
      <w:pPr>
        <w:pStyle w:val="DGTextstand-alone"/>
      </w:pPr>
      <w:r>
        <w:t xml:space="preserve">The </w:t>
      </w:r>
      <w:r>
        <w:t>Commission's treasury does not borrow money; so as a consequence, it is not exposed to interest rate risk. Interest is however calculated on balances held on the different bank accounts. The Commission has therefore put in place measures to ensure that int</w:t>
      </w:r>
      <w:r>
        <w:t>erest earned on its bank accounts regularly reflects market interest rates, as well as their possible fluctuation.</w:t>
      </w:r>
    </w:p>
    <w:p w:rsidR="00135552" w:rsidRDefault="004C63B0">
      <w:pPr>
        <w:pStyle w:val="DGTextstand-alone"/>
      </w:pPr>
      <w:r>
        <w:t>Accounts opened with Member States treasuries for own resources receipts are non-interest bearing and free of charge. Accounts held with nati</w:t>
      </w:r>
      <w:r>
        <w:t>onal central banks (own resources and other) may be remunerated at the official rates applied by each institution. As some of the remunerations applied to these accounts may currently be negative, cash management procedures are in place to minimise balance</w:t>
      </w:r>
      <w:r>
        <w:t>s kept on these accounts. Own resources accounts are protected from any impact of negative interest in accordance with Council Regulation 2014/609 and as amended by Council Regulation 2016/804.</w:t>
      </w:r>
    </w:p>
    <w:p w:rsidR="00135552" w:rsidRDefault="004C63B0">
      <w:pPr>
        <w:pStyle w:val="DGTextstand-alone"/>
      </w:pPr>
      <w:r>
        <w:t>Overnight balances held on commercial bank accounts earn inter</w:t>
      </w:r>
      <w:r>
        <w:t>est on a daily basis. This is based on variable market rates to which a contractual margin (positive or negative) is applied. The rates applied by commercial banks are in general floored at zero for operational balances up to a specified ceiling.</w:t>
      </w:r>
    </w:p>
    <w:p w:rsidR="00135552" w:rsidRDefault="004C63B0">
      <w:pPr>
        <w:pStyle w:val="DGTextstand-alone"/>
      </w:pPr>
      <w:r>
        <w:t>Sensitivi</w:t>
      </w:r>
      <w:r>
        <w:t>ty to interests rate changes of a given portfolio of money market instruments and bonds increases with its duration. The duration of the main asset portfolios managed by the Commission is described below.</w:t>
      </w:r>
    </w:p>
    <w:p w:rsidR="00135552" w:rsidRDefault="004C63B0">
      <w:pPr>
        <w:pStyle w:val="HEADER5"/>
        <w:rPr>
          <w:noProof/>
        </w:rPr>
      </w:pPr>
      <w:r>
        <w:rPr>
          <w:noProof/>
        </w:rPr>
        <w:t>Fines</w:t>
      </w:r>
    </w:p>
    <w:p w:rsidR="00135552" w:rsidRDefault="004C63B0">
      <w:pPr>
        <w:pStyle w:val="DGTextstand-alone"/>
      </w:pPr>
      <w:r>
        <w:rPr>
          <w:rFonts w:eastAsia="Times New Roman"/>
        </w:rPr>
        <w:t>The provisionally cashed fines are invested i</w:t>
      </w:r>
      <w:r>
        <w:rPr>
          <w:rFonts w:eastAsia="Times New Roman"/>
        </w:rPr>
        <w:t>n a portfolio of money market instruments and long-term bonds with an average portfolio duration of 2.57 years</w:t>
      </w:r>
      <w:r>
        <w:t xml:space="preserve">. </w:t>
      </w:r>
    </w:p>
    <w:p w:rsidR="00135552" w:rsidRDefault="004C63B0">
      <w:pPr>
        <w:pStyle w:val="HEADER5"/>
        <w:rPr>
          <w:noProof/>
        </w:rPr>
      </w:pPr>
      <w:r>
        <w:rPr>
          <w:noProof/>
        </w:rPr>
        <w:t>Guarantee Fund for external actions</w:t>
      </w:r>
    </w:p>
    <w:p w:rsidR="00135552" w:rsidRDefault="004C63B0">
      <w:pPr>
        <w:pStyle w:val="DGTextstand-alone"/>
      </w:pPr>
      <w:r>
        <w:t>The budget provisioned in the Guarantee Fund is invested in a portfolio of money market instruments and lon</w:t>
      </w:r>
      <w:r>
        <w:t xml:space="preserve">g-term bonds with a total average portfolio duration of 2.99 years. </w:t>
      </w:r>
    </w:p>
    <w:p w:rsidR="00135552" w:rsidRDefault="004C63B0">
      <w:pPr>
        <w:pStyle w:val="HEADER5"/>
        <w:rPr>
          <w:noProof/>
        </w:rPr>
      </w:pPr>
      <w:r>
        <w:rPr>
          <w:noProof/>
        </w:rPr>
        <w:t>EFSI Guarantee Fund</w:t>
      </w:r>
    </w:p>
    <w:p w:rsidR="00135552" w:rsidRDefault="004C63B0">
      <w:pPr>
        <w:pStyle w:val="DGTextstand-alone"/>
      </w:pPr>
      <w:r>
        <w:t>The budget provisioned in the EFSI Guarantee Fund is invested in a portfolio of money market instruments and long-term bonds with a total average portfolio duration of</w:t>
      </w:r>
      <w:r>
        <w:t xml:space="preserve"> 3.07 years.</w:t>
      </w:r>
    </w:p>
    <w:p w:rsidR="00135552" w:rsidRDefault="004C63B0">
      <w:pPr>
        <w:pStyle w:val="HEADER5"/>
        <w:rPr>
          <w:noProof/>
        </w:rPr>
      </w:pPr>
      <w:r>
        <w:rPr>
          <w:noProof/>
        </w:rPr>
        <w:t>EFSD Guarantee Fund</w:t>
      </w:r>
    </w:p>
    <w:p w:rsidR="00135552" w:rsidRDefault="004C63B0">
      <w:pPr>
        <w:pStyle w:val="DGTextstand-alone"/>
      </w:pPr>
      <w:r>
        <w:t>The budget provisioned in the EFSD Guarantee Fund is invested in a portfolio of money market instruments and long-term bonds with a total average portfolio duration of 2.51 years.</w:t>
      </w:r>
    </w:p>
    <w:p w:rsidR="00135552" w:rsidRDefault="004C63B0">
      <w:pPr>
        <w:pStyle w:val="HEADER2NOTES"/>
        <w:rPr>
          <w:noProof/>
        </w:rPr>
      </w:pPr>
      <w:r>
        <w:rPr>
          <w:noProof/>
        </w:rPr>
        <w:t>CREDIT RISK</w:t>
      </w:r>
    </w:p>
    <w:p w:rsidR="00135552" w:rsidRDefault="004C63B0">
      <w:pPr>
        <w:pStyle w:val="DGTextstand-alone"/>
      </w:pPr>
      <w:r>
        <w:t xml:space="preserve">The amounts that represent the EU's exposure to credit risk at the end of the reporting period are the carrying amounts of the financial instruments as disclosed in note </w:t>
      </w:r>
      <w:r>
        <w:rPr>
          <w:b/>
        </w:rPr>
        <w:t>2</w:t>
      </w:r>
      <w:r>
        <w:t>.</w:t>
      </w:r>
    </w:p>
    <w:p w:rsidR="00135552" w:rsidRDefault="004C63B0">
      <w:pPr>
        <w:pStyle w:val="HEADER5"/>
        <w:rPr>
          <w:noProof/>
        </w:rPr>
      </w:pPr>
      <w:r>
        <w:rPr>
          <w:noProof/>
        </w:rPr>
        <w:t>Analysis of the age of financial assets that are not impaired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1376"/>
        <w:gridCol w:w="1376"/>
        <w:gridCol w:w="1376"/>
        <w:gridCol w:w="1376"/>
        <w:gridCol w:w="1376"/>
      </w:tblGrid>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CDTR"/>
              <w:rPr>
                <w:rFonts w:ascii="Arial" w:eastAsia="Arial" w:hAnsi="Arial" w:cs="Arial"/>
                <w:noProof/>
                <w:color w:val="000000"/>
                <w:lang w:bidi="en-GB"/>
              </w:rPr>
            </w:pPr>
            <w:bookmarkStart w:id="155" w:name="DOC_TBL00090_1_1"/>
            <w:bookmarkEnd w:id="155"/>
          </w:p>
        </w:tc>
        <w:tc>
          <w:tcPr>
            <w:tcW w:w="13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7BIPCDT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cantSplit/>
          <w:trHeight w:val="255"/>
        </w:trPr>
        <w:tc>
          <w:tcPr>
            <w:tcW w:w="2878"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CDTR"/>
              <w:jc w:val="center"/>
              <w:rPr>
                <w:rFonts w:ascii="Verdana" w:eastAsia="Verdana" w:hAnsi="Verdana" w:cs="Verdana"/>
                <w:noProof/>
                <w:color w:val="FFFFFF"/>
              </w:rPr>
            </w:pP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CDTR"/>
              <w:jc w:val="right"/>
              <w:rPr>
                <w:rFonts w:ascii="Verdana" w:eastAsia="Verdana" w:hAnsi="Verdana" w:cs="Verdana"/>
                <w:noProof/>
                <w:color w:val="FFFFFF"/>
              </w:rPr>
            </w:pPr>
            <w:r>
              <w:rPr>
                <w:rFonts w:ascii="Verdana" w:eastAsia="Verdana" w:hAnsi="Verdana" w:cs="Verdana"/>
                <w:noProof/>
                <w:color w:val="FFFFFF"/>
              </w:rPr>
              <w:t>Total</w:t>
            </w: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CDTR"/>
              <w:jc w:val="right"/>
              <w:rPr>
                <w:rFonts w:ascii="Verdana" w:eastAsia="Verdana" w:hAnsi="Verdana" w:cs="Verdana"/>
                <w:noProof/>
                <w:color w:val="FFFFFF"/>
              </w:rPr>
            </w:pPr>
            <w:r>
              <w:rPr>
                <w:rFonts w:ascii="Verdana" w:eastAsia="Verdana" w:hAnsi="Verdana" w:cs="Verdana"/>
                <w:noProof/>
                <w:color w:val="FFFFFF"/>
              </w:rPr>
              <w:t>Neither past due nor impaired</w:t>
            </w:r>
          </w:p>
        </w:tc>
        <w:tc>
          <w:tcPr>
            <w:tcW w:w="1376"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7BIPCDTR"/>
              <w:jc w:val="center"/>
              <w:rPr>
                <w:rFonts w:ascii="Verdana" w:eastAsia="Verdana" w:hAnsi="Verdana" w:cs="Verdana"/>
                <w:noProof/>
                <w:color w:val="FFFFFF"/>
                <w:lang w:bidi="en-GB"/>
              </w:rPr>
            </w:pPr>
            <w:r>
              <w:rPr>
                <w:rFonts w:ascii="Verdana" w:eastAsia="Verdana" w:hAnsi="Verdana" w:cs="Verdana"/>
                <w:noProof/>
                <w:color w:val="FFFFFF"/>
              </w:rPr>
              <w:t>Past due but not impaired</w:t>
            </w:r>
          </w:p>
        </w:tc>
      </w:tr>
      <w:tr w:rsidR="00135552">
        <w:trPr>
          <w:cantSplit/>
          <w:trHeight w:val="255"/>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CDTR"/>
              <w:jc w:val="center"/>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135552" w:rsidRDefault="00135552">
            <w:pPr>
              <w:pStyle w:val="DMETW17227BIPCDTR"/>
              <w:jc w:val="right"/>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135552" w:rsidRDefault="00135552">
            <w:pPr>
              <w:pStyle w:val="DMETW17227BIPCDTR"/>
              <w:jc w:val="right"/>
              <w:rPr>
                <w:rFonts w:ascii="Verdana" w:eastAsia="Verdana" w:hAnsi="Verdana" w:cs="Verdana"/>
                <w:noProof/>
                <w:color w:val="FFFFFF"/>
              </w:rPr>
            </w:pP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27BIPCDTR"/>
              <w:jc w:val="right"/>
              <w:rPr>
                <w:rFonts w:ascii="Verdana" w:eastAsia="Verdana" w:hAnsi="Verdana" w:cs="Verdana"/>
                <w:noProof/>
                <w:color w:val="FFFFFF"/>
              </w:rPr>
            </w:pPr>
            <w:r>
              <w:rPr>
                <w:rFonts w:ascii="Verdana" w:eastAsia="Verdana" w:hAnsi="Verdana" w:cs="Verdana"/>
                <w:noProof/>
                <w:color w:val="FFFFFF"/>
              </w:rPr>
              <w:t>&lt; 1 year</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27BIPCDTR"/>
              <w:jc w:val="right"/>
              <w:rPr>
                <w:rFonts w:ascii="Verdana" w:eastAsia="Verdana" w:hAnsi="Verdana" w:cs="Verdana"/>
                <w:noProof/>
                <w:color w:val="FFFFFF"/>
              </w:rPr>
            </w:pPr>
            <w:r>
              <w:rPr>
                <w:rFonts w:ascii="Verdana" w:eastAsia="Verdana" w:hAnsi="Verdana" w:cs="Verdana"/>
                <w:noProof/>
                <w:color w:val="FFFFFF"/>
              </w:rPr>
              <w:t>1-5 years</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27BIPCDTR"/>
              <w:jc w:val="right"/>
              <w:rPr>
                <w:rFonts w:ascii="Verdana" w:eastAsia="Verdana" w:hAnsi="Verdana" w:cs="Verdana"/>
                <w:noProof/>
                <w:color w:val="FFFFFF"/>
                <w:lang w:bidi="en-GB"/>
              </w:rPr>
            </w:pPr>
            <w:r>
              <w:rPr>
                <w:rFonts w:ascii="Verdana" w:eastAsia="Verdana" w:hAnsi="Verdana" w:cs="Verdana"/>
                <w:noProof/>
                <w:color w:val="FFFFFF"/>
              </w:rPr>
              <w:t>&gt; 5 years</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Loans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52 684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52 683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Receivables and recoverables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23 974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9 410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2 726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11 543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295</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cantSplit/>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76 795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62 231</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2 727</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11 543</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295</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Loans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Receivables and recoverables</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24 664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14 737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6 585</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3 209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134</w:t>
            </w:r>
          </w:p>
        </w:tc>
      </w:tr>
      <w:tr w:rsidR="00135552">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i/>
                <w:noProof/>
                <w:color w:val="000000"/>
                <w:sz w:val="18"/>
              </w:rPr>
            </w:pPr>
            <w:r>
              <w:rPr>
                <w:rFonts w:ascii="Verdana" w:eastAsia="Verdana" w:hAnsi="Verdana" w:cs="Verdana"/>
                <w:i/>
                <w:noProof/>
                <w:color w:val="000000"/>
                <w:sz w:val="18"/>
              </w:rPr>
              <w:t>Financial assets at fair value through surplus or deficit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rsidR="00135552">
        <w:trPr>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rPr>
                <w:rFonts w:ascii="Verdana" w:eastAsia="Verdana" w:hAnsi="Verdana" w:cs="Verdana"/>
                <w:b/>
                <w:noProof/>
                <w:color w:val="000000"/>
                <w:sz w:val="18"/>
              </w:rPr>
            </w:pPr>
            <w:r>
              <w:rPr>
                <w:rFonts w:ascii="Verdana" w:eastAsia="Verdana" w:hAnsi="Verdana" w:cs="Verdana"/>
                <w:b/>
                <w:noProof/>
                <w:color w:val="000000"/>
                <w:sz w:val="18"/>
              </w:rPr>
              <w:t>Total at 31.12.2018</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78 620</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68 692</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 xml:space="preserve">6 </w:t>
            </w:r>
            <w:r>
              <w:rPr>
                <w:rFonts w:ascii="Verdana" w:eastAsia="Verdana" w:hAnsi="Verdana" w:cs="Verdana"/>
                <w:b/>
                <w:noProof/>
                <w:color w:val="000000"/>
                <w:sz w:val="18"/>
              </w:rPr>
              <w:t>585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3 209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134</w:t>
            </w:r>
          </w:p>
        </w:tc>
      </w:tr>
    </w:tbl>
    <w:p w:rsidR="00135552" w:rsidRDefault="00135552">
      <w:pPr>
        <w:pStyle w:val="HEADER5"/>
        <w:rPr>
          <w:rFonts w:eastAsia="Calibri"/>
          <w:noProof/>
          <w:color w:val="auto"/>
        </w:rPr>
      </w:pPr>
    </w:p>
    <w:p w:rsidR="00135552" w:rsidRDefault="004C63B0">
      <w:pPr>
        <w:pStyle w:val="DGTextstand-alone"/>
      </w:pPr>
      <w:r>
        <w:t xml:space="preserve">Receivables and recoverables past due for less than 1 year include recoverables related to competition fines of EUR 1 799 million. Receivables and recoverables past due between 1 and 5 years contain recoverables concerning competition </w:t>
      </w:r>
      <w:r>
        <w:t>fines of EUR 9 212 million and receivables and recoverables past due for more than 5 years contain recoverables from competition fines of EUR 257 million. The previously mentioned amounts are largely covered by bank guarantees, thus making the Commission’s</w:t>
      </w:r>
      <w:r>
        <w:t xml:space="preserve"> exposure to the credit risk low. Fined companies provide these guarantees as an alternative to making provisional payments. In addition to these, the receivables and recoverables past due for less than 1 year and those past due between 1 and 5 years conta</w:t>
      </w:r>
      <w:r>
        <w:t>in EUR 0.8 billion receivables and EUR 2.1 billion recoverables respectively that relate to the infringement case referred to in note</w:t>
      </w:r>
      <w:r>
        <w:rPr>
          <w:b/>
        </w:rPr>
        <w:t xml:space="preserve"> 2.6.1.1</w:t>
      </w:r>
      <w:r>
        <w:t>.</w:t>
      </w:r>
    </w:p>
    <w:p w:rsidR="00135552" w:rsidRDefault="004C63B0">
      <w:pPr>
        <w:pStyle w:val="HEADER5"/>
        <w:rPr>
          <w:noProof/>
        </w:rPr>
      </w:pPr>
      <w:r>
        <w:rPr>
          <w:noProof/>
        </w:rPr>
        <w:t>Credit quality of financial assets that are neither past due nor impaired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001"/>
        <w:gridCol w:w="1352"/>
      </w:tblGrid>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lang w:bidi="en-GB"/>
              </w:rPr>
            </w:pPr>
            <w:bookmarkStart w:id="156" w:name="DOC_TBL00091_1_1"/>
            <w:bookmarkEnd w:id="156"/>
          </w:p>
        </w:tc>
        <w:tc>
          <w:tcPr>
            <w:tcW w:w="114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rPr>
            </w:pPr>
          </w:p>
        </w:tc>
        <w:tc>
          <w:tcPr>
            <w:tcW w:w="100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CY"/>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7BIPFARCCY"/>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FARCCY"/>
              <w:jc w:val="center"/>
              <w:rPr>
                <w:rFonts w:ascii="Verdana" w:eastAsia="Verdana" w:hAnsi="Verdana" w:cs="Verdana"/>
                <w:noProof/>
                <w:color w:val="FFFFFF"/>
              </w:rPr>
            </w:pPr>
          </w:p>
        </w:tc>
        <w:tc>
          <w:tcPr>
            <w:tcW w:w="1148" w:type="dxa"/>
            <w:gridSpan w:val="6"/>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7BIPFARCCY"/>
              <w:jc w:val="center"/>
              <w:rPr>
                <w:rFonts w:ascii="Verdana" w:eastAsia="Verdana" w:hAnsi="Verdana" w:cs="Verdana"/>
                <w:noProof/>
                <w:color w:val="FFFFFF"/>
                <w:lang w:bidi="en-GB"/>
              </w:rPr>
            </w:pPr>
            <w:r>
              <w:rPr>
                <w:rFonts w:ascii="Verdana" w:eastAsia="Verdana" w:hAnsi="Verdana" w:cs="Verdana"/>
                <w:noProof/>
                <w:color w:val="FFFFFF"/>
              </w:rPr>
              <w:t>31.12.2019</w:t>
            </w:r>
          </w:p>
        </w:tc>
      </w:tr>
      <w:tr w:rsidR="00135552">
        <w:trPr>
          <w:trHeight w:val="255"/>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FARCC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rPr>
            </w:pPr>
            <w:r>
              <w:rPr>
                <w:rFonts w:ascii="Verdana" w:eastAsia="Verdana" w:hAnsi="Verdana" w:cs="Verdana"/>
                <w:noProof/>
                <w:color w:val="FFFFFF"/>
              </w:rPr>
              <w:t>AFS*</w:t>
            </w:r>
          </w:p>
        </w:tc>
        <w:tc>
          <w:tcPr>
            <w:tcW w:w="114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rPr>
            </w:pPr>
            <w:r>
              <w:rPr>
                <w:rFonts w:ascii="Verdana" w:eastAsia="Verdana" w:hAnsi="Verdana" w:cs="Verdana"/>
                <w:noProof/>
                <w:color w:val="FFFFFF"/>
              </w:rPr>
              <w:t>Financial assets at FVSD**</w:t>
            </w:r>
          </w:p>
        </w:tc>
        <w:tc>
          <w:tcPr>
            <w:tcW w:w="1211"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rPr>
            </w:pPr>
            <w:r>
              <w:rPr>
                <w:rFonts w:ascii="Verdana" w:eastAsia="Verdana" w:hAnsi="Verdana" w:cs="Verdana"/>
                <w:noProof/>
                <w:color w:val="FFFFFF"/>
              </w:rPr>
              <w:t>Loans</w:t>
            </w:r>
          </w:p>
        </w:tc>
        <w:tc>
          <w:tcPr>
            <w:tcW w:w="142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rPr>
            </w:pPr>
            <w:r>
              <w:rPr>
                <w:rFonts w:ascii="Verdana" w:eastAsia="Verdana" w:hAnsi="Verdana" w:cs="Verdana"/>
                <w:noProof/>
                <w:color w:val="FFFFFF"/>
              </w:rPr>
              <w:t>Receivables and recoverables</w:t>
            </w:r>
          </w:p>
        </w:tc>
        <w:tc>
          <w:tcPr>
            <w:tcW w:w="1001"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rPr>
            </w:pPr>
            <w:r>
              <w:rPr>
                <w:rFonts w:ascii="Verdana" w:eastAsia="Verdana" w:hAnsi="Verdana" w:cs="Verdana"/>
                <w:noProof/>
                <w:color w:val="FFFFFF"/>
              </w:rPr>
              <w:t>Cash</w:t>
            </w:r>
          </w:p>
        </w:tc>
        <w:tc>
          <w:tcPr>
            <w:tcW w:w="135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CY"/>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2476" w:type="dxa"/>
            <w:gridSpan w:val="2"/>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b/>
                <w:noProof/>
                <w:color w:val="000000"/>
                <w:sz w:val="18"/>
              </w:rPr>
            </w:pPr>
            <w:r>
              <w:rPr>
                <w:rFonts w:ascii="Verdana" w:eastAsia="Verdana" w:hAnsi="Verdana" w:cs="Verdana"/>
                <w:b/>
                <w:noProof/>
                <w:color w:val="000000"/>
                <w:sz w:val="18"/>
              </w:rPr>
              <w:t>Counterparties with external credit rating</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lang w:bidi="en-GB"/>
              </w:rPr>
            </w:pP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Prime and high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8 848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137</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32</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3 632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15 452</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28 101</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Upper medium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3 588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23 013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1 444</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3 688</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31 734</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Lower medium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2 </w:t>
            </w:r>
            <w:r>
              <w:rPr>
                <w:rFonts w:ascii="Verdana" w:eastAsia="Verdana" w:hAnsi="Verdana" w:cs="Verdana"/>
                <w:i/>
                <w:noProof/>
                <w:color w:val="000000"/>
                <w:sz w:val="18"/>
              </w:rPr>
              <w:t>298</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24 711</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1 867</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322</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29 198</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Non-investment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264</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4 855</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478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262</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5 858</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52 610</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7 422</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19 724</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lang w:bidi="en-GB"/>
              </w:rPr>
            </w:pPr>
            <w:r>
              <w:rPr>
                <w:rFonts w:ascii="Verdana" w:eastAsia="Verdana" w:hAnsi="Verdana" w:cs="Verdana"/>
                <w:b/>
                <w:noProof/>
                <w:color w:val="000000"/>
                <w:sz w:val="18"/>
              </w:rPr>
              <w:t>94 891</w:t>
            </w:r>
          </w:p>
        </w:tc>
      </w:tr>
      <w:tr w:rsidR="00135552">
        <w:trPr>
          <w:trHeight w:val="255"/>
        </w:trPr>
        <w:tc>
          <w:tcPr>
            <w:tcW w:w="2476"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b/>
                <w:noProof/>
                <w:color w:val="000000"/>
                <w:sz w:val="18"/>
              </w:rPr>
            </w:pPr>
            <w:r>
              <w:rPr>
                <w:rFonts w:ascii="Verdana" w:eastAsia="Verdana" w:hAnsi="Verdana" w:cs="Verdana"/>
                <w:b/>
                <w:noProof/>
                <w:color w:val="000000"/>
                <w:sz w:val="18"/>
              </w:rPr>
              <w:t>Counterparties without external credit rating</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lang w:bidi="en-GB"/>
              </w:rPr>
            </w:pP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Group 1</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73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1 987</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2 082</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i/>
                <w:noProof/>
                <w:color w:val="000000"/>
                <w:sz w:val="18"/>
              </w:rPr>
            </w:pPr>
            <w:r>
              <w:rPr>
                <w:rFonts w:ascii="Verdana" w:eastAsia="Verdana" w:hAnsi="Verdana" w:cs="Verdana"/>
                <w:i/>
                <w:noProof/>
                <w:color w:val="000000"/>
                <w:sz w:val="18"/>
              </w:rPr>
              <w:t>Group 2</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 xml:space="preserve"> 73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1 989</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 xml:space="preserve"> 21</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lang w:bidi="en-GB"/>
              </w:rPr>
            </w:pPr>
            <w:r>
              <w:rPr>
                <w:rFonts w:ascii="Verdana" w:eastAsia="Verdana" w:hAnsi="Verdana" w:cs="Verdana"/>
                <w:b/>
                <w:noProof/>
                <w:color w:val="000000"/>
                <w:sz w:val="18"/>
              </w:rPr>
              <w:t>2 083</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rPr>
                <w:rFonts w:ascii="Verdana" w:eastAsia="Verdana" w:hAnsi="Verdana" w:cs="Verdana"/>
                <w:b/>
                <w:noProof/>
                <w:color w:val="000000"/>
                <w:sz w:val="18"/>
              </w:rPr>
            </w:pPr>
            <w:r>
              <w:rPr>
                <w:rFonts w:ascii="Verdana" w:eastAsia="Verdana" w:hAnsi="Verdana" w:cs="Verdana"/>
                <w:b/>
                <w:noProof/>
                <w:color w:val="000000"/>
                <w:sz w:val="18"/>
              </w:rPr>
              <w:t>Total</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52 683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9 410</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19 745</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CY"/>
              <w:jc w:val="right"/>
              <w:rPr>
                <w:rFonts w:ascii="Verdana" w:eastAsia="Verdana" w:hAnsi="Verdana" w:cs="Verdana"/>
                <w:b/>
                <w:noProof/>
                <w:color w:val="000000"/>
                <w:sz w:val="18"/>
              </w:rPr>
            </w:pPr>
            <w:r>
              <w:rPr>
                <w:rFonts w:ascii="Verdana" w:eastAsia="Verdana" w:hAnsi="Verdana" w:cs="Verdana"/>
                <w:b/>
                <w:noProof/>
                <w:color w:val="000000"/>
                <w:sz w:val="18"/>
              </w:rPr>
              <w:t>96 974</w:t>
            </w:r>
          </w:p>
        </w:tc>
      </w:tr>
    </w:tbl>
    <w:p w:rsidR="00135552" w:rsidRDefault="00135552">
      <w:pPr>
        <w:pStyle w:val="DG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001"/>
        <w:gridCol w:w="1352"/>
      </w:tblGrid>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lang w:bidi="en-GB"/>
              </w:rPr>
            </w:pPr>
            <w:bookmarkStart w:id="157" w:name="DOC_TBL00092_1_1"/>
            <w:bookmarkEnd w:id="157"/>
          </w:p>
        </w:tc>
        <w:tc>
          <w:tcPr>
            <w:tcW w:w="114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rPr>
            </w:pPr>
          </w:p>
        </w:tc>
        <w:tc>
          <w:tcPr>
            <w:tcW w:w="100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7BIPFARCPY"/>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7BIPFARCPY"/>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FARCPY"/>
              <w:jc w:val="center"/>
              <w:rPr>
                <w:rFonts w:ascii="Verdana" w:eastAsia="Verdana" w:hAnsi="Verdana" w:cs="Verdana"/>
                <w:noProof/>
                <w:color w:val="FFFFFF"/>
              </w:rPr>
            </w:pPr>
          </w:p>
        </w:tc>
        <w:tc>
          <w:tcPr>
            <w:tcW w:w="1148" w:type="dxa"/>
            <w:gridSpan w:val="6"/>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7BIPFARCPY"/>
              <w:jc w:val="center"/>
              <w:rPr>
                <w:rFonts w:ascii="Verdana" w:eastAsia="Verdana" w:hAnsi="Verdana" w:cs="Verdana"/>
                <w:noProof/>
                <w:color w:val="FFFFFF"/>
                <w:lang w:bidi="en-GB"/>
              </w:rPr>
            </w:pPr>
            <w:r>
              <w:rPr>
                <w:rFonts w:ascii="Verdana" w:eastAsia="Verdana" w:hAnsi="Verdana" w:cs="Verdana"/>
                <w:noProof/>
                <w:color w:val="FFFFFF"/>
              </w:rPr>
              <w:t>31.12.2018</w:t>
            </w:r>
          </w:p>
        </w:tc>
      </w:tr>
      <w:tr w:rsidR="00135552">
        <w:trPr>
          <w:trHeight w:val="255"/>
        </w:trPr>
        <w:tc>
          <w:tcPr>
            <w:tcW w:w="393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7BIPFARCP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rPr>
            </w:pPr>
            <w:r>
              <w:rPr>
                <w:rFonts w:ascii="Verdana" w:eastAsia="Verdana" w:hAnsi="Verdana" w:cs="Verdana"/>
                <w:noProof/>
                <w:color w:val="FFFFFF"/>
              </w:rPr>
              <w:t>AFS*</w:t>
            </w:r>
          </w:p>
        </w:tc>
        <w:tc>
          <w:tcPr>
            <w:tcW w:w="1148"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rPr>
            </w:pPr>
            <w:r>
              <w:rPr>
                <w:rFonts w:ascii="Verdana" w:eastAsia="Verdana" w:hAnsi="Verdana" w:cs="Verdana"/>
                <w:noProof/>
                <w:color w:val="FFFFFF"/>
              </w:rPr>
              <w:t>Financial assets at FVSD**</w:t>
            </w:r>
          </w:p>
        </w:tc>
        <w:tc>
          <w:tcPr>
            <w:tcW w:w="1211"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rPr>
            </w:pPr>
            <w:r>
              <w:rPr>
                <w:rFonts w:ascii="Verdana" w:eastAsia="Verdana" w:hAnsi="Verdana" w:cs="Verdana"/>
                <w:noProof/>
                <w:color w:val="FFFFFF"/>
              </w:rPr>
              <w:t>Loans</w:t>
            </w:r>
          </w:p>
        </w:tc>
        <w:tc>
          <w:tcPr>
            <w:tcW w:w="142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rPr>
            </w:pPr>
            <w:r>
              <w:rPr>
                <w:rFonts w:ascii="Verdana" w:eastAsia="Verdana" w:hAnsi="Verdana" w:cs="Verdana"/>
                <w:noProof/>
                <w:color w:val="FFFFFF"/>
              </w:rPr>
              <w:t>Receivables and recoverables</w:t>
            </w:r>
          </w:p>
        </w:tc>
        <w:tc>
          <w:tcPr>
            <w:tcW w:w="1001"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rPr>
            </w:pPr>
            <w:r>
              <w:rPr>
                <w:rFonts w:ascii="Verdana" w:eastAsia="Verdana" w:hAnsi="Verdana" w:cs="Verdana"/>
                <w:noProof/>
                <w:color w:val="FFFFFF"/>
              </w:rPr>
              <w:t>Cash</w:t>
            </w:r>
          </w:p>
        </w:tc>
        <w:tc>
          <w:tcPr>
            <w:tcW w:w="1352" w:type="dxa"/>
            <w:tcBorders>
              <w:top w:val="nil"/>
              <w:left w:val="nil"/>
              <w:bottom w:val="nil"/>
              <w:right w:val="nil"/>
              <w:tl2br w:val="nil"/>
              <w:tr2bl w:val="nil"/>
            </w:tcBorders>
            <w:shd w:val="solid" w:color="016794" w:fill="FFFFFF"/>
            <w:tcMar>
              <w:left w:w="60" w:type="dxa"/>
              <w:right w:w="60" w:type="dxa"/>
            </w:tcMar>
          </w:tcPr>
          <w:p w:rsidR="00135552" w:rsidRDefault="004C63B0">
            <w:pPr>
              <w:pStyle w:val="DMETW17227BIPFARCPY"/>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2476" w:type="dxa"/>
            <w:gridSpan w:val="2"/>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b/>
                <w:noProof/>
                <w:color w:val="000000"/>
                <w:sz w:val="18"/>
              </w:rPr>
            </w:pPr>
            <w:r>
              <w:rPr>
                <w:rFonts w:ascii="Verdana" w:eastAsia="Verdana" w:hAnsi="Verdana" w:cs="Verdana"/>
                <w:b/>
                <w:noProof/>
                <w:color w:val="000000"/>
                <w:sz w:val="18"/>
              </w:rPr>
              <w:t>Counterparties with external credit rating</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lang w:bidi="en-GB"/>
              </w:rPr>
            </w:pP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Prime and high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9 019</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98</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9 064</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14 </w:t>
            </w:r>
            <w:r>
              <w:rPr>
                <w:rFonts w:ascii="Verdana" w:eastAsia="Verdana" w:hAnsi="Verdana" w:cs="Verdana"/>
                <w:i/>
                <w:noProof/>
                <w:color w:val="000000"/>
                <w:sz w:val="18"/>
              </w:rPr>
              <w:t>950</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33 146</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Upper medium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3 209</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23 513</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755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2 740</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30 217</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Lower medium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1 765</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25 775</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1 456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181</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29 177</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Non-investment grade</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4 488</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200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221</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4 909</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13 993</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 xml:space="preserve"> 16</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53 874</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11 475</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18 092</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lang w:bidi="en-GB"/>
              </w:rPr>
            </w:pPr>
            <w:r>
              <w:rPr>
                <w:rFonts w:ascii="Verdana" w:eastAsia="Verdana" w:hAnsi="Verdana" w:cs="Verdana"/>
                <w:b/>
                <w:noProof/>
                <w:color w:val="000000"/>
                <w:sz w:val="18"/>
              </w:rPr>
              <w:t>97 449</w:t>
            </w:r>
          </w:p>
        </w:tc>
      </w:tr>
      <w:tr w:rsidR="00135552">
        <w:trPr>
          <w:trHeight w:val="255"/>
        </w:trPr>
        <w:tc>
          <w:tcPr>
            <w:tcW w:w="2476"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b/>
                <w:noProof/>
                <w:color w:val="000000"/>
                <w:sz w:val="18"/>
              </w:rPr>
            </w:pPr>
            <w:r>
              <w:rPr>
                <w:rFonts w:ascii="Verdana" w:eastAsia="Verdana" w:hAnsi="Verdana" w:cs="Verdana"/>
                <w:b/>
                <w:noProof/>
                <w:color w:val="000000"/>
                <w:sz w:val="18"/>
              </w:rPr>
              <w:t>Counterparties without external credit rating</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lang w:bidi="en-GB"/>
              </w:rPr>
            </w:pP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Group 1</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64</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3 262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3 347</w:t>
            </w:r>
          </w:p>
        </w:tc>
      </w:tr>
      <w:tr w:rsidR="00135552">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i/>
                <w:noProof/>
                <w:color w:val="000000"/>
                <w:sz w:val="18"/>
              </w:rPr>
            </w:pPr>
            <w:r>
              <w:rPr>
                <w:rFonts w:ascii="Verdana" w:eastAsia="Verdana" w:hAnsi="Verdana" w:cs="Verdana"/>
                <w:i/>
                <w:noProof/>
                <w:color w:val="000000"/>
                <w:sz w:val="18"/>
              </w:rPr>
              <w:t>Group 2</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4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135552">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 xml:space="preserve"> 66</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3 262</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 xml:space="preserve"> 21</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lang w:bidi="en-GB"/>
              </w:rPr>
            </w:pPr>
            <w:r>
              <w:rPr>
                <w:rFonts w:ascii="Verdana" w:eastAsia="Verdana" w:hAnsi="Verdana" w:cs="Verdana"/>
                <w:b/>
                <w:noProof/>
                <w:color w:val="000000"/>
                <w:sz w:val="18"/>
              </w:rPr>
              <w:t>3 349</w:t>
            </w:r>
          </w:p>
        </w:tc>
      </w:tr>
      <w:tr w:rsidR="00135552">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rPr>
                <w:rFonts w:ascii="Verdana" w:eastAsia="Verdana" w:hAnsi="Verdana" w:cs="Verdana"/>
                <w:b/>
                <w:noProof/>
                <w:color w:val="000000"/>
                <w:sz w:val="18"/>
              </w:rPr>
            </w:pPr>
            <w:r>
              <w:rPr>
                <w:rFonts w:ascii="Verdana" w:eastAsia="Verdana" w:hAnsi="Verdana" w:cs="Verdana"/>
                <w:b/>
                <w:noProof/>
                <w:color w:val="000000"/>
                <w:sz w:val="18"/>
              </w:rPr>
              <w:t>Total</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13 993</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 xml:space="preserve"> 16</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53 939</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14 737</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18 113</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7BIPFARCPY"/>
              <w:jc w:val="right"/>
              <w:rPr>
                <w:rFonts w:ascii="Verdana" w:eastAsia="Verdana" w:hAnsi="Verdana" w:cs="Verdana"/>
                <w:b/>
                <w:noProof/>
                <w:color w:val="000000"/>
                <w:sz w:val="18"/>
              </w:rPr>
            </w:pPr>
            <w:r>
              <w:rPr>
                <w:rFonts w:ascii="Verdana" w:eastAsia="Verdana" w:hAnsi="Verdana" w:cs="Verdana"/>
                <w:b/>
                <w:noProof/>
                <w:color w:val="000000"/>
                <w:sz w:val="18"/>
              </w:rPr>
              <w:t>100 797</w:t>
            </w:r>
          </w:p>
        </w:tc>
      </w:tr>
    </w:tbl>
    <w:p w:rsidR="00135552" w:rsidRDefault="004C63B0">
      <w:pPr>
        <w:pStyle w:val="Textstand-alone"/>
        <w:tabs>
          <w:tab w:val="left" w:pos="284"/>
        </w:tabs>
        <w:spacing w:before="60" w:after="0"/>
        <w:rPr>
          <w:i/>
          <w:sz w:val="14"/>
        </w:rPr>
      </w:pPr>
      <w:r>
        <w:rPr>
          <w:i/>
          <w:sz w:val="14"/>
        </w:rPr>
        <w:t xml:space="preserve">* </w:t>
      </w:r>
      <w:r>
        <w:rPr>
          <w:i/>
          <w:sz w:val="14"/>
        </w:rPr>
        <w:tab/>
        <w:t>Available for sale financial assets (excluding investments in money market funds and equity instruments).</w:t>
      </w:r>
    </w:p>
    <w:p w:rsidR="00135552" w:rsidRDefault="004C63B0">
      <w:pPr>
        <w:pStyle w:val="Textstand-alone"/>
        <w:tabs>
          <w:tab w:val="left" w:pos="284"/>
        </w:tabs>
        <w:spacing w:before="0" w:after="0"/>
        <w:rPr>
          <w:i/>
          <w:sz w:val="14"/>
        </w:rPr>
      </w:pPr>
      <w:r>
        <w:rPr>
          <w:i/>
          <w:sz w:val="14"/>
        </w:rPr>
        <w:t>**</w:t>
      </w:r>
      <w:r>
        <w:rPr>
          <w:i/>
          <w:sz w:val="14"/>
        </w:rPr>
        <w:tab/>
        <w:t xml:space="preserve">Financial </w:t>
      </w:r>
      <w:r>
        <w:rPr>
          <w:i/>
          <w:sz w:val="14"/>
        </w:rPr>
        <w:t>assets at fair value through surplus or deficit.</w:t>
      </w:r>
    </w:p>
    <w:p w:rsidR="00135552" w:rsidRDefault="004C63B0">
      <w:pPr>
        <w:pStyle w:val="DGTextstand-alone"/>
      </w:pPr>
      <w:r>
        <w:t>Not included in the above table are available for sale financial assets in the form of equity instruments without external credit rating. The four risk categories mentioned above are in principle based on th</w:t>
      </w:r>
      <w:r>
        <w:t>e rating categories of external rating agencies and correspond to:</w:t>
      </w:r>
    </w:p>
    <w:p w:rsidR="00135552" w:rsidRDefault="004C63B0">
      <w:pPr>
        <w:pStyle w:val="DGTextstand-alone"/>
        <w:numPr>
          <w:ilvl w:val="0"/>
          <w:numId w:val="35"/>
        </w:numPr>
      </w:pPr>
      <w:r>
        <w:t>Prime and high grade: Moody P-1, Aaa – Aa3; S&amp;P A-1+, A-1, AAA – AA -; Fitch F1+, F1, AAA – AA- and equivalent</w:t>
      </w:r>
    </w:p>
    <w:p w:rsidR="00135552" w:rsidRDefault="004C63B0">
      <w:pPr>
        <w:pStyle w:val="DGTextstand-alone"/>
        <w:numPr>
          <w:ilvl w:val="0"/>
          <w:numId w:val="35"/>
        </w:numPr>
      </w:pPr>
      <w:r>
        <w:t>Upper medium grade: Moody P-2, A1 – A3; S&amp;P A-2, A+ - A-; Fitch F2, A+ - A- an</w:t>
      </w:r>
      <w:r>
        <w:t>d equivalent</w:t>
      </w:r>
    </w:p>
    <w:p w:rsidR="00135552" w:rsidRDefault="004C63B0">
      <w:pPr>
        <w:pStyle w:val="DGTextstand-alone"/>
        <w:numPr>
          <w:ilvl w:val="0"/>
          <w:numId w:val="35"/>
        </w:numPr>
      </w:pPr>
      <w:r>
        <w:t>Lower medium grade: Moody P-3, Baa1 – Baa3, S&amp;P A-3, BBB+ - BBB-; Fitch F-3, BBBB+ - BBB- and equivalent</w:t>
      </w:r>
    </w:p>
    <w:p w:rsidR="00135552" w:rsidRDefault="004C63B0">
      <w:pPr>
        <w:pStyle w:val="DGTextstand-alone"/>
        <w:numPr>
          <w:ilvl w:val="0"/>
          <w:numId w:val="35"/>
        </w:numPr>
      </w:pPr>
      <w:r>
        <w:t>Non-investment grade: Moody not prime, Ba1 – C; S&amp;P B, C, BB+ - D; Fitch B, C, BB+ - D and equivalent</w:t>
      </w:r>
    </w:p>
    <w:p w:rsidR="00135552" w:rsidRDefault="004C63B0">
      <w:pPr>
        <w:pStyle w:val="DGTextstand-alone"/>
      </w:pPr>
      <w:r>
        <w:t xml:space="preserve">The EU uses these external agencies </w:t>
      </w:r>
      <w:r>
        <w:t>rating categories as a reference point notably for financial instruments and commercial banks, but may, after making its own analysis of individual cases, keep amounts in one of the above risk categories even though one or more of the above mentioned ratin</w:t>
      </w:r>
      <w:r>
        <w:t>g agencies may have downgraded the corresponding counterparty. As regards non-rated counterparties, group 1 relates to debtors without defaults in the past and group 2 relates to debtors with defaults in the past.</w:t>
      </w:r>
    </w:p>
    <w:p w:rsidR="00135552" w:rsidRDefault="004C63B0">
      <w:pPr>
        <w:pStyle w:val="DGTextstand-alone"/>
      </w:pPr>
      <w:r>
        <w:t>The amounts displayed above under loans ca</w:t>
      </w:r>
      <w:r>
        <w:t>tegorised in non-investment grade relate primarily to financial support loans disbursed by the Commission to partner countries in financial difficulties. The amount under receivables and recoverables relates to recoverables against certain Members States b</w:t>
      </w:r>
      <w:r>
        <w:t>ased on own resources regulations or other legal basis. The amount under cash relates mainly to own resources bank accounts opened in the treasury or in the central banks of certain Member States to hold the own resources contributions as foreseen in the a</w:t>
      </w:r>
      <w:r>
        <w:t>bove referred regulation. The Commission may draw on these accounts solely to cover cash requirements for the implementation of the budget.</w:t>
      </w:r>
    </w:p>
    <w:p w:rsidR="00135552" w:rsidRDefault="004C63B0">
      <w:pPr>
        <w:pStyle w:val="HEADER5"/>
        <w:rPr>
          <w:noProof/>
        </w:rPr>
      </w:pPr>
      <w:r>
        <w:rPr>
          <w:noProof/>
        </w:rPr>
        <w:t>Borrowing and lending activities for financial assistance</w:t>
      </w:r>
    </w:p>
    <w:p w:rsidR="00135552" w:rsidRDefault="004C63B0">
      <w:pPr>
        <w:pStyle w:val="DGTextstand-alone"/>
      </w:pPr>
      <w:r>
        <w:t xml:space="preserve">Exposure to credit risk is managed firstly by obtaining </w:t>
      </w:r>
      <w:r>
        <w:t>state guarantees in the case of Euratom, then through the Guarantee Fund for external actions (MFA &amp; Euratom), then by the possibility of drawing the necessary funds from the Commission's own resources accounts with the Member States and ultimately through</w:t>
      </w:r>
      <w:r>
        <w:t xml:space="preserve"> the EU budget.</w:t>
      </w:r>
    </w:p>
    <w:p w:rsidR="00135552" w:rsidRDefault="004C63B0">
      <w:pPr>
        <w:pStyle w:val="DGTextstand-alone"/>
      </w:pPr>
      <w:r>
        <w:t>The Own Resources legislation fixes the ceiling for own resources payments at 1.20 % of Member States' GNI and during 2019 0.88 % was actually used to cover payment appropriations. This means that at 31 December 2019 there existed an availa</w:t>
      </w:r>
      <w:r>
        <w:t>ble margin of 0.32 % to cover these guarantees. To this end, the EU is entitled to call upon Member States to ensure compliance with the EU's legal obligation towards its lenders.</w:t>
      </w:r>
    </w:p>
    <w:p w:rsidR="00135552" w:rsidRDefault="004C63B0">
      <w:pPr>
        <w:pStyle w:val="HEADER5"/>
        <w:rPr>
          <w:noProof/>
        </w:rPr>
      </w:pPr>
      <w:r>
        <w:rPr>
          <w:noProof/>
        </w:rPr>
        <w:t>Treasury</w:t>
      </w:r>
    </w:p>
    <w:p w:rsidR="00135552" w:rsidRDefault="004C63B0">
      <w:pPr>
        <w:pStyle w:val="DGTextstand-alone"/>
      </w:pPr>
      <w:r>
        <w:t>Most of the Commission's treasury resources are kept, in accordance</w:t>
      </w:r>
      <w:r>
        <w:t xml:space="preserve"> with Council Regulation 609/2014 (as amended by Council Regulation 804/2016) on own resources, in the accounts opened by Member States for the payment of their contributions (own resources). All such accounts are held with Member States' treasuries or nat</w:t>
      </w:r>
      <w:r>
        <w:t>ional central banks. These institutions carry the lowest credit (or counterparty) risk for the Commission as the exposure is with its Member States. For the part of the Commission's treasury resources kept with commercial banks, in order to cover the execu</w:t>
      </w:r>
      <w:r>
        <w:t>tion of payments, replenishment of these accounts is made on a just-in-time basis and is automatically managed by the treasury cash management system. Minimum cash levels, which take into account the average amount of daily payments executed from it, are k</w:t>
      </w:r>
      <w:r>
        <w:t xml:space="preserve">ept on each account. As a consequence the total amount kept overnight on these accounts remains constantly at low levels (overall less than EUR 70 million on average, spread over around 20 accounts) and so it is ensured that the Commission's risk exposure </w:t>
      </w:r>
      <w:r>
        <w:t>is limited. These amounts should be viewed with regard to the daily overall treasury balances which fluctuated in 2019 between EUR 6 billion and EUR 40 billion, and with an overall amount of payments made from Commission accounts in 2019 that exceeded EUR </w:t>
      </w:r>
      <w:r>
        <w:t>158 billion.</w:t>
      </w:r>
    </w:p>
    <w:p w:rsidR="00135552" w:rsidRDefault="004C63B0">
      <w:pPr>
        <w:pStyle w:val="DGTextstand-alone"/>
      </w:pPr>
      <w:r>
        <w:t>In addition, specific guidelines are applied for the selection of commercial banks in order to further minimise counterparty risk to which the Commission is exposed:</w:t>
      </w:r>
    </w:p>
    <w:p w:rsidR="00135552" w:rsidRDefault="004C63B0">
      <w:pPr>
        <w:pStyle w:val="DGTextstand-alone"/>
        <w:numPr>
          <w:ilvl w:val="0"/>
          <w:numId w:val="36"/>
        </w:numPr>
      </w:pPr>
      <w:r>
        <w:t>All commercial banks are selected by call for tenders. The minimum short-term</w:t>
      </w:r>
      <w:r>
        <w:t xml:space="preserve"> credit rating required for admission to the tendering procedures is Moody's P-1 or equivalent. A lower level may be accepted in specific and duly justified circumstances.</w:t>
      </w:r>
    </w:p>
    <w:p w:rsidR="00135552" w:rsidRDefault="004C63B0">
      <w:pPr>
        <w:pStyle w:val="DGTextstand-alone"/>
        <w:numPr>
          <w:ilvl w:val="0"/>
          <w:numId w:val="36"/>
        </w:numPr>
      </w:pPr>
      <w:r>
        <w:t>The credit ratings of the commercial banks where the Commission has accounts are mon</w:t>
      </w:r>
      <w:r>
        <w:t xml:space="preserve">itored on a daily basis. </w:t>
      </w:r>
    </w:p>
    <w:p w:rsidR="00135552" w:rsidRDefault="004C63B0">
      <w:pPr>
        <w:pStyle w:val="DGTextstand-alone"/>
        <w:numPr>
          <w:ilvl w:val="0"/>
          <w:numId w:val="36"/>
        </w:numPr>
      </w:pPr>
      <w:r>
        <w:t>In delegations outside the EU, imprest accounts are held with local banks selected by a simplified tendering procedure. Rating requirements depend on the local situation and may significantly differ from one country to another. In</w:t>
      </w:r>
      <w:r>
        <w:t xml:space="preserve"> order to limit risk exposure, balances on these accounts are kept at the lowest possible levels (taking into account operational needs), they are regularly replenished, and the applied ceilings are reviewed on a yearly basis.</w:t>
      </w:r>
    </w:p>
    <w:p w:rsidR="00135552" w:rsidRDefault="004C63B0">
      <w:pPr>
        <w:rPr>
          <w:rFonts w:ascii="Verdana" w:hAnsi="Verdana"/>
          <w:noProof/>
          <w:color w:val="016794"/>
          <w:sz w:val="18"/>
          <w:szCs w:val="18"/>
        </w:rPr>
      </w:pPr>
      <w:r>
        <w:rPr>
          <w:noProof/>
        </w:rPr>
        <w:br w:type="page"/>
      </w:r>
    </w:p>
    <w:p w:rsidR="00135552" w:rsidRDefault="004C63B0">
      <w:pPr>
        <w:pStyle w:val="HEADER5"/>
        <w:rPr>
          <w:noProof/>
        </w:rPr>
      </w:pPr>
      <w:r>
        <w:rPr>
          <w:noProof/>
        </w:rPr>
        <w:t>Fines</w:t>
      </w:r>
    </w:p>
    <w:p w:rsidR="00135552" w:rsidRDefault="004C63B0">
      <w:pPr>
        <w:pStyle w:val="Textstand-alone"/>
        <w:rPr>
          <w:i/>
        </w:rPr>
      </w:pPr>
      <w:r>
        <w:rPr>
          <w:i/>
        </w:rPr>
        <w:t xml:space="preserve">Provisionally cashed </w:t>
      </w:r>
      <w:r>
        <w:rPr>
          <w:i/>
        </w:rPr>
        <w:t>fines: deposits</w:t>
      </w:r>
    </w:p>
    <w:p w:rsidR="00135552" w:rsidRDefault="004C63B0">
      <w:pPr>
        <w:pStyle w:val="DGTextstand-alone"/>
      </w:pPr>
      <w:r>
        <w:t xml:space="preserve">Banks holding deposits for the fines provisionally cashed before 2010 are selected by tender procedure in compliance with the risk management policy which defines the credit rating requirements and the amount of funds which could be placed </w:t>
      </w:r>
      <w:r>
        <w:t>in proportion to the counterparty equity.</w:t>
      </w:r>
    </w:p>
    <w:p w:rsidR="00135552" w:rsidRDefault="004C63B0">
      <w:pPr>
        <w:pStyle w:val="DGTextstand-alone"/>
      </w:pPr>
      <w:r>
        <w:t>For commercial banks that have been specifically selected for the deposit of provisionally cashed fines, a minimum long-term rating A- (S&amp;P or equivalent) with two rating agencies is required as a general rule. Spe</w:t>
      </w:r>
      <w:r>
        <w:t>cific measures are applied in case banks in this group are subject to downgrade. In addition, the amount deposited with each bank is limited to a certain percentage of its own funds, which varies depending on the rating level of each institution. The calcu</w:t>
      </w:r>
      <w:r>
        <w:t>lation of such limits also takes into account the amount of outstanding guarantees issued to the Commission by the same institution. The compliance of outstanding deposits with the applicable policy requirements is reviewed regularly.</w:t>
      </w:r>
    </w:p>
    <w:p w:rsidR="00135552" w:rsidRDefault="004C63B0">
      <w:pPr>
        <w:pStyle w:val="Textstand-alone"/>
        <w:rPr>
          <w:i/>
        </w:rPr>
      </w:pPr>
      <w:r>
        <w:rPr>
          <w:i/>
        </w:rPr>
        <w:t xml:space="preserve">Provisionally cashed </w:t>
      </w:r>
      <w:r>
        <w:rPr>
          <w:i/>
        </w:rPr>
        <w:t>fines: BUFI portfolio</w:t>
      </w:r>
    </w:p>
    <w:p w:rsidR="00135552" w:rsidRDefault="004C63B0">
      <w:pPr>
        <w:pStyle w:val="DGTextstand-alone"/>
      </w:pPr>
      <w:r>
        <w:t xml:space="preserve">For sovereign debt investments from provisionally cashed fines imposed as from 2010, the Commission takes on the exposure to credit risk. The highest concentration of exposure is towards Spain, which represents 20 % of the portfolio. </w:t>
      </w:r>
      <w:r>
        <w:t>The five countries with the highest exposure (Spain, Italy, Germany, France and Belgium) represent altogether 52 % of the investment portfolio. The weighted average credit rating of the portfolio is A (S&amp;P or equivalent).</w:t>
      </w:r>
    </w:p>
    <w:p w:rsidR="00135552" w:rsidRDefault="004C63B0">
      <w:pPr>
        <w:pStyle w:val="Textstand-alone"/>
        <w:rPr>
          <w:i/>
        </w:rPr>
      </w:pPr>
      <w:r>
        <w:rPr>
          <w:i/>
        </w:rPr>
        <w:t>Financial guarantees</w:t>
      </w:r>
    </w:p>
    <w:p w:rsidR="00135552" w:rsidRDefault="004C63B0">
      <w:pPr>
        <w:pStyle w:val="DGTextstand-alone"/>
      </w:pPr>
      <w:r>
        <w:t xml:space="preserve">The risk </w:t>
      </w:r>
      <w:r>
        <w:t>management policy applied for the acceptance of such guarantees ensures a high credit quality for the Commission. The policy includes defining a maximum credit exposure towards a particular financial sector entity based on its credit rating and the level o</w:t>
      </w:r>
      <w:r>
        <w:t>f an entity’s capital as accounted for in its IFRS financial statements. The compliance of the outstanding guarantees with the applicable policy requirements is reviewed regularly.</w:t>
      </w:r>
    </w:p>
    <w:p w:rsidR="00135552" w:rsidRDefault="004C63B0">
      <w:pPr>
        <w:pStyle w:val="HEADER5"/>
        <w:rPr>
          <w:noProof/>
        </w:rPr>
      </w:pPr>
      <w:r>
        <w:rPr>
          <w:noProof/>
        </w:rPr>
        <w:t>Guarantee Fund for external actions</w:t>
      </w:r>
    </w:p>
    <w:p w:rsidR="00135552" w:rsidRDefault="004C63B0">
      <w:pPr>
        <w:pStyle w:val="DGTextstand-alone"/>
      </w:pPr>
      <w:r>
        <w:t xml:space="preserve">The asset management guidelines and/or </w:t>
      </w:r>
      <w:r>
        <w:t>investment strategy define certain limits and restrictions in order to limit the exposure to credit risk of the portfolio. Such limits and restrictions include eligibility criteria, absolute credit limits in nominal terms depending on issuer category, rela</w:t>
      </w:r>
      <w:r>
        <w:t>tive concentration limits depending on issuer category and concentration limits per issue. All investments are rated at least as investment grade.</w:t>
      </w:r>
    </w:p>
    <w:p w:rsidR="00135552" w:rsidRDefault="004C63B0">
      <w:pPr>
        <w:pStyle w:val="HEADER5"/>
        <w:rPr>
          <w:noProof/>
        </w:rPr>
      </w:pPr>
      <w:r>
        <w:rPr>
          <w:noProof/>
        </w:rPr>
        <w:t>EFSI Guarantee Fund</w:t>
      </w:r>
    </w:p>
    <w:p w:rsidR="00135552" w:rsidRDefault="004C63B0">
      <w:pPr>
        <w:pStyle w:val="DGTextstand-alone"/>
      </w:pPr>
      <w:r>
        <w:t>The asset management guidelines, risk and investment strategies define certain limits and</w:t>
      </w:r>
      <w:r>
        <w:t xml:space="preserve"> restrictions in order to limit the exposure to credit risk of the portfolio which is limited to investment grade, except for EU Member States exposure. The weighted average credit rating of the portfolio is BBB+ (S&amp;P or equivalent).</w:t>
      </w:r>
    </w:p>
    <w:p w:rsidR="00135552" w:rsidRDefault="004C63B0">
      <w:pPr>
        <w:pStyle w:val="DGTextstand-alone"/>
      </w:pPr>
      <w:r>
        <w:t>As the sole counterpar</w:t>
      </w:r>
      <w:r>
        <w:t>ty for all outstanding currency forwards as of 31 December 2019 is the Banque de France, no credit enhancements, such as collateral, netting agreements, or guarantees are put in place as of this date. The maximum exposure to credit risk for foreign exchang</w:t>
      </w:r>
      <w:r>
        <w:t>e derivatives having a positive fair value at the end of the reporting period is equal to the carrying amount on the balance sheet.</w:t>
      </w:r>
    </w:p>
    <w:p w:rsidR="00135552" w:rsidRDefault="004C63B0">
      <w:pPr>
        <w:pStyle w:val="HEADER5"/>
        <w:rPr>
          <w:noProof/>
        </w:rPr>
      </w:pPr>
      <w:r>
        <w:rPr>
          <w:noProof/>
        </w:rPr>
        <w:t>EFSD Guarantee Fund</w:t>
      </w:r>
    </w:p>
    <w:p w:rsidR="00135552" w:rsidRDefault="004C63B0">
      <w:pPr>
        <w:pStyle w:val="DGTextstand-alone"/>
        <w:spacing w:after="0"/>
      </w:pPr>
      <w:r>
        <w:t>The asset management guidelines, risk and investment strategies define certain limits and restrictions i</w:t>
      </w:r>
      <w:r>
        <w:t>n order to limit the exposure to credit risk of the portfolio, which is limited to investment grade, except for EU Member States exposure. The weighted average credit rating of the portfolio is BBB+ (S&amp;P or equivalent).</w:t>
      </w:r>
    </w:p>
    <w:p w:rsidR="00135552" w:rsidRDefault="004C63B0">
      <w:pPr>
        <w:pStyle w:val="DGTextstand-alone"/>
        <w:spacing w:before="0" w:after="0"/>
      </w:pPr>
      <w:r>
        <w:t xml:space="preserve"> </w:t>
      </w:r>
    </w:p>
    <w:p w:rsidR="00135552" w:rsidRDefault="004C63B0">
      <w:pPr>
        <w:rPr>
          <w:rFonts w:ascii="Verdana" w:hAnsi="Verdana"/>
          <w:b/>
          <w:noProof/>
          <w:color w:val="016794"/>
          <w:sz w:val="28"/>
          <w:szCs w:val="28"/>
        </w:rPr>
      </w:pPr>
      <w:r>
        <w:rPr>
          <w:noProof/>
        </w:rPr>
        <w:br w:type="page"/>
      </w:r>
    </w:p>
    <w:p w:rsidR="00135552" w:rsidRDefault="004C63B0">
      <w:pPr>
        <w:pStyle w:val="HEADER2NOTES"/>
        <w:rPr>
          <w:noProof/>
        </w:rPr>
      </w:pPr>
      <w:r>
        <w:rPr>
          <w:noProof/>
        </w:rPr>
        <w:t>LIQUIDITY RISK</w:t>
      </w:r>
    </w:p>
    <w:p w:rsidR="00135552" w:rsidRDefault="004C63B0">
      <w:pPr>
        <w:pStyle w:val="HEADER5"/>
        <w:rPr>
          <w:noProof/>
        </w:rPr>
      </w:pPr>
      <w:r>
        <w:rPr>
          <w:noProof/>
        </w:rPr>
        <w:t>Maturity analysis</w:t>
      </w:r>
      <w:r>
        <w:rPr>
          <w:noProof/>
        </w:rPr>
        <w:t xml:space="preserve"> of financial liabilities by remaining contractual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589"/>
        <w:gridCol w:w="1590"/>
        <w:gridCol w:w="1590"/>
        <w:gridCol w:w="1590"/>
      </w:tblGrid>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8BIPLR"/>
              <w:rPr>
                <w:rFonts w:ascii="Arial" w:eastAsia="Arial" w:hAnsi="Arial" w:cs="Arial"/>
                <w:noProof/>
                <w:color w:val="000000"/>
                <w:lang w:bidi="en-GB"/>
              </w:rPr>
            </w:pPr>
            <w:bookmarkStart w:id="158" w:name="DOC_TBL00093_1_1"/>
            <w:bookmarkEnd w:id="158"/>
          </w:p>
        </w:tc>
        <w:tc>
          <w:tcPr>
            <w:tcW w:w="1589"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7228BIPL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339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28BIPLR"/>
              <w:jc w:val="right"/>
              <w:rPr>
                <w:rFonts w:ascii="Verdana" w:eastAsia="Verdana" w:hAnsi="Verdana" w:cs="Verdana"/>
                <w:noProof/>
                <w:color w:val="FFFFFF"/>
              </w:rPr>
            </w:pPr>
          </w:p>
        </w:tc>
        <w:tc>
          <w:tcPr>
            <w:tcW w:w="158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8BIPLR"/>
              <w:jc w:val="right"/>
              <w:rPr>
                <w:rFonts w:ascii="Verdana" w:eastAsia="Verdana" w:hAnsi="Verdana" w:cs="Verdana"/>
                <w:noProof/>
                <w:color w:val="FFFFFF"/>
              </w:rPr>
            </w:pPr>
            <w:r>
              <w:rPr>
                <w:rFonts w:ascii="Verdana" w:eastAsia="Verdana" w:hAnsi="Verdana" w:cs="Verdana"/>
                <w:noProof/>
                <w:color w:val="FFFFFF"/>
              </w:rPr>
              <w:t>&lt; 1 year</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8BIPLR"/>
              <w:jc w:val="right"/>
              <w:rPr>
                <w:rFonts w:ascii="Verdana" w:eastAsia="Verdana" w:hAnsi="Verdana" w:cs="Verdana"/>
                <w:noProof/>
                <w:color w:val="FFFFFF"/>
              </w:rPr>
            </w:pPr>
            <w:r>
              <w:rPr>
                <w:rFonts w:ascii="Verdana" w:eastAsia="Verdana" w:hAnsi="Verdana" w:cs="Verdana"/>
                <w:noProof/>
                <w:color w:val="FFFFFF"/>
              </w:rPr>
              <w:t>1-5 years</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8BIPLR"/>
              <w:jc w:val="right"/>
              <w:rPr>
                <w:rFonts w:ascii="Verdana" w:eastAsia="Verdana" w:hAnsi="Verdana" w:cs="Verdana"/>
                <w:noProof/>
                <w:color w:val="FFFFFF"/>
              </w:rPr>
            </w:pPr>
            <w:r>
              <w:rPr>
                <w:rFonts w:ascii="Verdana" w:eastAsia="Verdana" w:hAnsi="Verdana" w:cs="Verdana"/>
                <w:noProof/>
                <w:color w:val="FFFFFF"/>
              </w:rPr>
              <w:t>&gt; 5 years</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28BIPLR"/>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Borrowings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(1 273)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(19 312)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(31 978)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(52 564)</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(27 241)</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(27 241)</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Financial guarantee liabilities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 xml:space="preserve"> (20)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Other</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 xml:space="preserve"> (149)</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 xml:space="preserve"> (640)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(1 132)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(1 921)</w:t>
            </w:r>
          </w:p>
        </w:tc>
      </w:tr>
      <w:tr w:rsidR="00135552">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(28 684)</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(19 952)</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(33 110)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lang w:bidi="en-GB"/>
              </w:rPr>
            </w:pPr>
            <w:r>
              <w:rPr>
                <w:rFonts w:ascii="Verdana" w:eastAsia="Verdana" w:hAnsi="Verdana" w:cs="Verdana"/>
                <w:b/>
                <w:noProof/>
                <w:color w:val="000000"/>
                <w:sz w:val="18"/>
              </w:rPr>
              <w:t>(81 746)</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Borrowings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(2 350)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(17 363)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(34 158)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(53 872)</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(32 227)</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(32 227)</w:t>
            </w:r>
          </w:p>
        </w:tc>
      </w:tr>
      <w:tr w:rsidR="00135552">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i/>
                <w:noProof/>
                <w:color w:val="000000"/>
                <w:sz w:val="18"/>
              </w:rPr>
            </w:pPr>
            <w:r>
              <w:rPr>
                <w:rFonts w:ascii="Verdana" w:eastAsia="Verdana" w:hAnsi="Verdana" w:cs="Verdana"/>
                <w:i/>
                <w:noProof/>
                <w:color w:val="000000"/>
                <w:sz w:val="18"/>
              </w:rPr>
              <w:t>Other</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 xml:space="preserve"> (252)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 xml:space="preserve"> (648)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rPr>
            </w:pPr>
            <w:r>
              <w:rPr>
                <w:rFonts w:ascii="Verdana" w:eastAsia="Verdana" w:hAnsi="Verdana" w:cs="Verdana"/>
                <w:i/>
                <w:noProof/>
                <w:color w:val="000000"/>
                <w:sz w:val="18"/>
              </w:rPr>
              <w:t>(1 112)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i/>
                <w:noProof/>
                <w:color w:val="000000"/>
                <w:sz w:val="18"/>
                <w:lang w:bidi="en-GB"/>
              </w:rPr>
            </w:pPr>
            <w:r>
              <w:rPr>
                <w:rFonts w:ascii="Verdana" w:eastAsia="Verdana" w:hAnsi="Verdana" w:cs="Verdana"/>
                <w:i/>
                <w:noProof/>
                <w:color w:val="000000"/>
                <w:sz w:val="18"/>
              </w:rPr>
              <w:t>(2 012)</w:t>
            </w:r>
          </w:p>
        </w:tc>
      </w:tr>
      <w:tr w:rsidR="00135552">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rPr>
                <w:rFonts w:ascii="Verdana" w:eastAsia="Verdana" w:hAnsi="Verdana" w:cs="Verdana"/>
                <w:b/>
                <w:noProof/>
                <w:color w:val="000000"/>
                <w:sz w:val="18"/>
              </w:rPr>
            </w:pPr>
            <w:r>
              <w:rPr>
                <w:rFonts w:ascii="Verdana" w:eastAsia="Verdana" w:hAnsi="Verdana" w:cs="Verdana"/>
                <w:b/>
                <w:noProof/>
                <w:color w:val="000000"/>
                <w:sz w:val="18"/>
              </w:rPr>
              <w:t>Total at 31.12.2018</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(34 829)</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(18 011)</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(35 270)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7228BIPLR"/>
              <w:jc w:val="right"/>
              <w:rPr>
                <w:rFonts w:ascii="Verdana" w:eastAsia="Verdana" w:hAnsi="Verdana" w:cs="Verdana"/>
                <w:b/>
                <w:noProof/>
                <w:color w:val="000000"/>
                <w:sz w:val="18"/>
              </w:rPr>
            </w:pPr>
            <w:r>
              <w:rPr>
                <w:rFonts w:ascii="Verdana" w:eastAsia="Verdana" w:hAnsi="Verdana" w:cs="Verdana"/>
                <w:b/>
                <w:noProof/>
                <w:color w:val="000000"/>
                <w:sz w:val="18"/>
              </w:rPr>
              <w:t>(88 110)</w:t>
            </w:r>
          </w:p>
        </w:tc>
      </w:tr>
    </w:tbl>
    <w:p w:rsidR="00135552" w:rsidRDefault="004C63B0">
      <w:pPr>
        <w:pStyle w:val="HEADER5"/>
        <w:spacing w:before="240"/>
        <w:rPr>
          <w:noProof/>
        </w:rPr>
      </w:pPr>
      <w:r>
        <w:rPr>
          <w:noProof/>
        </w:rPr>
        <w:t xml:space="preserve">Financial instruments at fair value through surplus or deficit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1480"/>
        <w:gridCol w:w="1481"/>
        <w:gridCol w:w="1481"/>
        <w:gridCol w:w="1481"/>
      </w:tblGrid>
      <w:tr w:rsidR="00135552">
        <w:trPr>
          <w:trHeight w:val="255"/>
        </w:trPr>
        <w:tc>
          <w:tcPr>
            <w:tcW w:w="3835"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39BIPFLA"/>
              <w:rPr>
                <w:rFonts w:ascii="Arial" w:eastAsia="Arial" w:hAnsi="Arial" w:cs="Arial"/>
                <w:noProof/>
                <w:color w:val="000000"/>
                <w:lang w:bidi="en-GB"/>
              </w:rPr>
            </w:pPr>
            <w:bookmarkStart w:id="159" w:name="DOC_TBL00094_1_1"/>
            <w:bookmarkEnd w:id="159"/>
          </w:p>
        </w:tc>
        <w:tc>
          <w:tcPr>
            <w:tcW w:w="1480"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135552" w:rsidRDefault="00135552">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135552" w:rsidRDefault="004C63B0">
            <w:pPr>
              <w:pStyle w:val="DMETW16539BIPFL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55"/>
        </w:trPr>
        <w:tc>
          <w:tcPr>
            <w:tcW w:w="383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6539BIPFLA"/>
              <w:jc w:val="right"/>
              <w:rPr>
                <w:rFonts w:ascii="Verdana" w:eastAsia="Verdana" w:hAnsi="Verdana" w:cs="Verdana"/>
                <w:noProof/>
                <w:color w:val="FFFFFF"/>
              </w:rPr>
            </w:pPr>
          </w:p>
        </w:tc>
        <w:tc>
          <w:tcPr>
            <w:tcW w:w="148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39BIPFLA"/>
              <w:jc w:val="right"/>
              <w:rPr>
                <w:rFonts w:ascii="Verdana" w:eastAsia="Verdana" w:hAnsi="Verdana" w:cs="Verdana"/>
                <w:noProof/>
                <w:color w:val="FFFFFF"/>
              </w:rPr>
            </w:pPr>
            <w:r>
              <w:rPr>
                <w:rFonts w:ascii="Verdana" w:eastAsia="Verdana" w:hAnsi="Verdana" w:cs="Verdana"/>
                <w:noProof/>
                <w:color w:val="FFFFFF"/>
              </w:rPr>
              <w:t>&lt; 1 year</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39BIPFLA"/>
              <w:jc w:val="right"/>
              <w:rPr>
                <w:rFonts w:ascii="Verdana" w:eastAsia="Verdana" w:hAnsi="Verdana" w:cs="Verdana"/>
                <w:noProof/>
                <w:color w:val="FFFFFF"/>
              </w:rPr>
            </w:pPr>
            <w:r>
              <w:rPr>
                <w:rFonts w:ascii="Verdana" w:eastAsia="Verdana" w:hAnsi="Verdana" w:cs="Verdana"/>
                <w:noProof/>
                <w:color w:val="FFFFFF"/>
              </w:rPr>
              <w:t>1-5 years</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39BIPFLA"/>
              <w:jc w:val="right"/>
              <w:rPr>
                <w:rFonts w:ascii="Verdana" w:eastAsia="Verdana" w:hAnsi="Verdana" w:cs="Verdana"/>
                <w:noProof/>
                <w:color w:val="FFFFFF"/>
              </w:rPr>
            </w:pPr>
            <w:r>
              <w:rPr>
                <w:rFonts w:ascii="Verdana" w:eastAsia="Verdana" w:hAnsi="Verdana" w:cs="Verdana"/>
                <w:noProof/>
                <w:color w:val="FFFFFF"/>
              </w:rPr>
              <w:t>&gt; 5 years</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6539BIPFLA"/>
              <w:jc w:val="right"/>
              <w:rPr>
                <w:rFonts w:ascii="Verdana" w:eastAsia="Verdana" w:hAnsi="Verdana" w:cs="Verdana"/>
                <w:noProof/>
                <w:color w:val="FFFFFF"/>
                <w:lang w:bidi="en-GB"/>
              </w:rPr>
            </w:pPr>
            <w:r>
              <w:rPr>
                <w:rFonts w:ascii="Verdana" w:eastAsia="Verdana" w:hAnsi="Verdana" w:cs="Verdana"/>
                <w:noProof/>
                <w:color w:val="FFFFFF"/>
              </w:rPr>
              <w:t>Total</w:t>
            </w:r>
          </w:p>
        </w:tc>
      </w:tr>
      <w:tr w:rsidR="00135552">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i/>
                <w:noProof/>
                <w:color w:val="000000"/>
                <w:sz w:val="18"/>
              </w:rPr>
            </w:pPr>
            <w:r>
              <w:rPr>
                <w:rFonts w:ascii="Verdana" w:eastAsia="Verdana" w:hAnsi="Verdana" w:cs="Verdana"/>
                <w:i/>
                <w:noProof/>
                <w:color w:val="000000"/>
                <w:sz w:val="18"/>
              </w:rPr>
              <w:t>Derivative pay leg</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(397)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(406)</w:t>
            </w:r>
          </w:p>
        </w:tc>
      </w:tr>
      <w:tr w:rsidR="00135552">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i/>
                <w:noProof/>
                <w:color w:val="000000"/>
                <w:sz w:val="18"/>
              </w:rPr>
            </w:pPr>
            <w:r>
              <w:rPr>
                <w:rFonts w:ascii="Verdana" w:eastAsia="Verdana" w:hAnsi="Verdana" w:cs="Verdana"/>
                <w:i/>
                <w:noProof/>
                <w:color w:val="000000"/>
                <w:sz w:val="18"/>
              </w:rPr>
              <w:t>Derivative receive leg</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395</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395</w:t>
            </w:r>
          </w:p>
        </w:tc>
      </w:tr>
      <w:tr w:rsidR="00135552">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b/>
                <w:noProof/>
                <w:color w:val="000000"/>
                <w:sz w:val="18"/>
              </w:rPr>
            </w:pPr>
            <w:r>
              <w:rPr>
                <w:rFonts w:ascii="Verdana" w:eastAsia="Verdana" w:hAnsi="Verdana" w:cs="Verdana"/>
                <w:b/>
                <w:noProof/>
                <w:color w:val="000000"/>
                <w:sz w:val="18"/>
              </w:rPr>
              <w:t>Net cash flows at 31.12.2019</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(10)</w:t>
            </w:r>
          </w:p>
        </w:tc>
      </w:tr>
      <w:tr w:rsidR="00135552">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i/>
                <w:noProof/>
                <w:color w:val="000000"/>
                <w:sz w:val="18"/>
              </w:rPr>
            </w:pPr>
            <w:r>
              <w:rPr>
                <w:rFonts w:ascii="Verdana" w:eastAsia="Verdana" w:hAnsi="Verdana" w:cs="Verdana"/>
                <w:i/>
                <w:noProof/>
                <w:color w:val="000000"/>
                <w:sz w:val="18"/>
              </w:rPr>
              <w:t>Derivative pay leg</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(490)</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(498)</w:t>
            </w:r>
          </w:p>
        </w:tc>
      </w:tr>
      <w:tr w:rsidR="00135552">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i/>
                <w:noProof/>
                <w:color w:val="000000"/>
                <w:sz w:val="18"/>
              </w:rPr>
            </w:pPr>
            <w:r>
              <w:rPr>
                <w:rFonts w:ascii="Verdana" w:eastAsia="Verdana" w:hAnsi="Verdana" w:cs="Verdana"/>
                <w:i/>
                <w:noProof/>
                <w:color w:val="000000"/>
                <w:sz w:val="18"/>
              </w:rPr>
              <w:t>Derivative receive leg</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 xml:space="preserve"> 477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477</w:t>
            </w:r>
          </w:p>
        </w:tc>
      </w:tr>
      <w:tr w:rsidR="00135552">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rPr>
                <w:rFonts w:ascii="Verdana" w:eastAsia="Verdana" w:hAnsi="Verdana" w:cs="Verdana"/>
                <w:b/>
                <w:noProof/>
                <w:color w:val="000000"/>
                <w:sz w:val="18"/>
              </w:rPr>
            </w:pPr>
            <w:r>
              <w:rPr>
                <w:rFonts w:ascii="Verdana" w:eastAsia="Verdana" w:hAnsi="Verdana" w:cs="Verdana"/>
                <w:b/>
                <w:noProof/>
                <w:color w:val="000000"/>
                <w:sz w:val="18"/>
              </w:rPr>
              <w:t>Net cash flows at 31.12.2018</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(14)</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135552" w:rsidRDefault="004C63B0">
            <w:pPr>
              <w:pStyle w:val="DMETW16539BIPFLA"/>
              <w:jc w:val="right"/>
              <w:rPr>
                <w:rFonts w:ascii="Verdana" w:eastAsia="Verdana" w:hAnsi="Verdana" w:cs="Verdana"/>
                <w:b/>
                <w:noProof/>
                <w:color w:val="000000"/>
                <w:sz w:val="18"/>
              </w:rPr>
            </w:pPr>
            <w:r>
              <w:rPr>
                <w:rFonts w:ascii="Verdana" w:eastAsia="Verdana" w:hAnsi="Verdana" w:cs="Verdana"/>
                <w:b/>
                <w:noProof/>
                <w:color w:val="000000"/>
                <w:sz w:val="18"/>
              </w:rPr>
              <w:t xml:space="preserve"> (21)</w:t>
            </w:r>
          </w:p>
        </w:tc>
      </w:tr>
    </w:tbl>
    <w:p w:rsidR="00135552" w:rsidRDefault="004C63B0">
      <w:pPr>
        <w:pStyle w:val="HEADER5"/>
        <w:spacing w:before="240"/>
        <w:rPr>
          <w:noProof/>
        </w:rPr>
      </w:pPr>
      <w:r>
        <w:rPr>
          <w:noProof/>
        </w:rPr>
        <w:t>Borrowing and lending activities for financial assistance</w:t>
      </w:r>
    </w:p>
    <w:p w:rsidR="00135552" w:rsidRDefault="004C63B0">
      <w:pPr>
        <w:pStyle w:val="DGTextstand-alone"/>
      </w:pPr>
      <w:r>
        <w:t xml:space="preserve">The liquidity risk that arises from borrowings is generally </w:t>
      </w:r>
      <w:r>
        <w:t>offset by equivalent loans in terms and conditions (back-to-back operations). For MFA and Euratom, the Guarantee Fund for external actions serves as a liquidity reserve (or safety net) in case of payment default and payment delays of borrowers. For BOP, th</w:t>
      </w:r>
      <w:r>
        <w:t>e Council Regulation 2009/431 provides for a procedure allowing sufficient time to mobilise funds through the Commission's own resources accounts with the Member States. For EFSM, the Council Regulation 2010/407 provides for a similar procedure.</w:t>
      </w:r>
    </w:p>
    <w:p w:rsidR="00135552" w:rsidRDefault="004C63B0">
      <w:pPr>
        <w:pStyle w:val="DGTextstand-alone"/>
        <w:rPr>
          <w:rFonts w:eastAsia="Times New Roman"/>
          <w:color w:val="016794"/>
        </w:rPr>
      </w:pPr>
      <w:r>
        <w:rPr>
          <w:rFonts w:eastAsia="Times New Roman"/>
          <w:color w:val="016794"/>
        </w:rPr>
        <w:t>Treasury</w:t>
      </w:r>
    </w:p>
    <w:p w:rsidR="00135552" w:rsidRDefault="004C63B0">
      <w:pPr>
        <w:pStyle w:val="DGTextstand-alone"/>
      </w:pPr>
      <w:r>
        <w:t>E</w:t>
      </w:r>
      <w:r>
        <w:t>U budget principles ensure that overall cash resources for a given year are always sufficient for the execution of all payments. In fact, the total Member States contributions together with the miscellaneous revenue equal the amount of payment appropriatio</w:t>
      </w:r>
      <w:r>
        <w:t>ns for the budgetary year. Member States’ contributions, however, are received in twelve monthly instalments throughout the year and based on the adopted budget, while payments are subject to operational needs. Moreover, in accordance with the Council Regu</w:t>
      </w:r>
      <w:r>
        <w:t>lation 609/2014 (on the methods and procedure for making available own resources, amended by Council Regulation 804/2016), Member States contributions relating to amending budgets approved in a given month (N) only become available either on the first work</w:t>
      </w:r>
      <w:r>
        <w:t>ing day of the month N+1 (if approved before the 16th of the given month) or on the first working day of month N+2 (if approved on the 16th or later of that given month), while the related payment appropriations are immediately available.</w:t>
      </w:r>
    </w:p>
    <w:p w:rsidR="00135552" w:rsidRDefault="004C63B0">
      <w:pPr>
        <w:pStyle w:val="DGTextstand-alone"/>
      </w:pPr>
      <w:r>
        <w:t>In order to ensur</w:t>
      </w:r>
      <w:r>
        <w:t>e that available treasury resources are always sufficient to cover the payments to be executed in any given month, procedures regarding regular cash forecasting are in place, and own resources or additional funding can be called up in advance from Member S</w:t>
      </w:r>
      <w:r>
        <w:t>tates if needed, up to certain limits and under certain conditions. Operational needs and overall budgetary restrictions in recent years have resulted in the need for increased monitoring of the rhythm of payments over the year. In addition to the above, i</w:t>
      </w:r>
      <w:r>
        <w:t>n the context of the Commission's daily treasury operations, automated cash management tools ensure that sufficient liquidity is available on each of the Commission's bank accounts, on a daily basis.</w:t>
      </w:r>
    </w:p>
    <w:p w:rsidR="00135552" w:rsidRDefault="004C63B0">
      <w:pPr>
        <w:pStyle w:val="DGTextstand-alone"/>
        <w:rPr>
          <w:rFonts w:eastAsia="Times New Roman"/>
          <w:color w:val="016794"/>
        </w:rPr>
      </w:pPr>
      <w:r>
        <w:rPr>
          <w:rFonts w:eastAsia="Times New Roman"/>
          <w:color w:val="016794"/>
        </w:rPr>
        <w:t>Fines</w:t>
      </w:r>
    </w:p>
    <w:p w:rsidR="00135552" w:rsidRDefault="004C63B0">
      <w:pPr>
        <w:pStyle w:val="DGTextstand-alone"/>
      </w:pPr>
      <w:r>
        <w:t>The BUFI fund where provisionally paid fines are i</w:t>
      </w:r>
      <w:r>
        <w:t>nvested is managed according to the principle that the assets shall have a sufficient degree of liquidity and mobilisation in relation to the relevant commitments. The portfolio is composed of mostly highly liquid securities that can be sold to meet short-</w:t>
      </w:r>
      <w:r>
        <w:t>term cash outflows. In addition, the share of cash, cash equivalents and securities maturing within 1 year is 24 %.</w:t>
      </w:r>
    </w:p>
    <w:p w:rsidR="00135552" w:rsidRDefault="004C63B0">
      <w:pPr>
        <w:pStyle w:val="DGTextstand-alone"/>
        <w:rPr>
          <w:rFonts w:eastAsia="Times New Roman"/>
          <w:color w:val="016794"/>
        </w:rPr>
      </w:pPr>
      <w:r>
        <w:rPr>
          <w:rFonts w:eastAsia="Times New Roman"/>
          <w:color w:val="016794"/>
        </w:rPr>
        <w:t>Guarantee Fund for external actions</w:t>
      </w:r>
    </w:p>
    <w:p w:rsidR="00135552" w:rsidRDefault="004C63B0">
      <w:pPr>
        <w:pStyle w:val="DGTextstand-alone"/>
      </w:pPr>
      <w:r>
        <w:t>The fund is managed according to the principle that the assets shall have a sufficient degree of liquidi</w:t>
      </w:r>
      <w:r>
        <w:t>ty and mobilisation in relation to the relevant commitments. The fund therefore maintains a sufficient amount of monetary assets to cover short-term cash outflows. The share of cash, cash equivalents and securities maturing within 1 year is 11 %.</w:t>
      </w:r>
    </w:p>
    <w:p w:rsidR="00135552" w:rsidRDefault="004C63B0">
      <w:pPr>
        <w:pStyle w:val="DGTextstand-alone"/>
        <w:rPr>
          <w:rFonts w:eastAsia="Times New Roman"/>
          <w:color w:val="016794"/>
        </w:rPr>
      </w:pPr>
      <w:r>
        <w:rPr>
          <w:rFonts w:eastAsia="Times New Roman"/>
          <w:color w:val="016794"/>
        </w:rPr>
        <w:t>EFSI Guar</w:t>
      </w:r>
      <w:r>
        <w:rPr>
          <w:rFonts w:eastAsia="Times New Roman"/>
          <w:color w:val="016794"/>
        </w:rPr>
        <w:t>antee Fund</w:t>
      </w:r>
    </w:p>
    <w:p w:rsidR="00135552" w:rsidRDefault="004C63B0">
      <w:pPr>
        <w:pStyle w:val="DGTextstand-alone"/>
      </w:pPr>
      <w:r>
        <w:t>The EFSI Guarantee Fund is managed according to the principle that the assets shall have a sufficient degree of liquidity and mobilisation in relation to the relevant commitments. The portfolio is composed of liquid assets that can be sold to me</w:t>
      </w:r>
      <w:r>
        <w:t>et short-term cash outflows if necessary. In addition the share of cash, cash equivalents and securities maturing within 1 year is 23 %.</w:t>
      </w:r>
    </w:p>
    <w:p w:rsidR="00135552" w:rsidRDefault="004C63B0">
      <w:pPr>
        <w:pStyle w:val="DGTextstand-alone"/>
      </w:pPr>
      <w:r>
        <w:t xml:space="preserve">The settlement of derivative contracts is gross and is based on their contractual maturity. Obligations are honoured </w:t>
      </w:r>
      <w:r>
        <w:t>via sales of USD-denominated assets and/or a swap transaction, whereby it is possible that a cash outflow arises due to foreign exchange differences.</w:t>
      </w:r>
    </w:p>
    <w:p w:rsidR="00135552" w:rsidRDefault="004C63B0">
      <w:pPr>
        <w:pStyle w:val="DGTextstand-alone"/>
      </w:pPr>
      <w:r>
        <w:t>No liquidity management is necessary with regard to collateral / margin requirements as the current hedgin</w:t>
      </w:r>
      <w:r>
        <w:t>g counterparty accepts to operate with the Commission without any requirements for collateral / margin calls.</w:t>
      </w:r>
    </w:p>
    <w:p w:rsidR="00135552" w:rsidRDefault="004C63B0">
      <w:pPr>
        <w:pStyle w:val="DGTextstand-alone"/>
        <w:rPr>
          <w:rFonts w:eastAsia="Times New Roman"/>
          <w:color w:val="016794"/>
        </w:rPr>
      </w:pPr>
      <w:r>
        <w:rPr>
          <w:rFonts w:eastAsia="Times New Roman"/>
          <w:color w:val="016794"/>
        </w:rPr>
        <w:t>EFSD Guarantee Fund</w:t>
      </w:r>
    </w:p>
    <w:p w:rsidR="00135552" w:rsidRDefault="004C63B0">
      <w:pPr>
        <w:pStyle w:val="DGTextstand-alone"/>
      </w:pPr>
      <w:r>
        <w:t xml:space="preserve">The EFSD Guarantee Fund is managed according to the principle that the assets shall have a sufficient degree of liquidity and </w:t>
      </w:r>
      <w:r>
        <w:t>mobilisation in relation to the relevant commitments.</w:t>
      </w:r>
    </w:p>
    <w:p w:rsidR="00135552" w:rsidRDefault="004C63B0">
      <w:pPr>
        <w:pStyle w:val="DGTextstand-alone"/>
      </w:pPr>
      <w:r>
        <w:t>The portfolio is composed of liquid assets that can be sold to meet short-term cash outflows, if necessary. In addition the share of cash, cash equivalents and securities maturing within 1 year is 42 %.</w:t>
      </w:r>
    </w:p>
    <w:p w:rsidR="00135552" w:rsidRDefault="004C63B0">
      <w:pPr>
        <w:pStyle w:val="DGTextstand-alone"/>
        <w:rPr>
          <w:rFonts w:eastAsia="Times New Roman"/>
          <w:color w:val="016794"/>
        </w:rPr>
      </w:pPr>
      <w:r>
        <w:rPr>
          <w:rFonts w:eastAsia="Times New Roman"/>
          <w:color w:val="016794"/>
        </w:rPr>
        <w:t>Other financial instruments – derivative financial liabilities</w:t>
      </w:r>
    </w:p>
    <w:p w:rsidR="00135552" w:rsidRDefault="004C63B0">
      <w:pPr>
        <w:pStyle w:val="DGTextstand-alone"/>
      </w:pPr>
      <w:r>
        <w:t>In 2017, the EU entered into a derivative contract (foreign exchange option) covering the devaluation of foreign exchange currency related to loans given by financial institutions under Easter</w:t>
      </w:r>
      <w:r>
        <w:t xml:space="preserve">n Partnership SME Finance Facility programme (see note </w:t>
      </w:r>
      <w:r>
        <w:rPr>
          <w:b/>
        </w:rPr>
        <w:t>2.11.2</w:t>
      </w:r>
      <w:r>
        <w:t>). Moreover, the EU guarantee on equity portfolios held by the EIB Group led to a financial obligation to cover changes in the value or impairments of underlying investments. As for the other fin</w:t>
      </w:r>
      <w:r>
        <w:t>ancial instruments financed by the EU Budget, the amount for which the EU is liable under these instruments cannot exceed the amount committed, being the liquidity risk mitigated by that fact.</w:t>
      </w:r>
    </w:p>
    <w:bookmarkEnd w:id="147"/>
    <w:p w:rsidR="00135552" w:rsidRDefault="00135552">
      <w:pPr>
        <w:pStyle w:val="DGTextstand-alone"/>
      </w:pPr>
    </w:p>
    <w:p w:rsidR="00135552" w:rsidRDefault="00135552">
      <w:pPr>
        <w:pStyle w:val="DGTextstand-alone"/>
        <w:sectPr w:rsidR="00135552">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rsidR="00135552" w:rsidRDefault="004C63B0">
      <w:pPr>
        <w:pStyle w:val="HEADER1NOTES"/>
        <w:rPr>
          <w:noProof/>
        </w:rPr>
      </w:pPr>
      <w:bookmarkStart w:id="160" w:name="_Toc43224172"/>
      <w:bookmarkStart w:id="161" w:name="_DMBM_17163"/>
      <w:r>
        <w:rPr>
          <w:noProof/>
        </w:rPr>
        <w:t>RELATED PARTY DISCLOSURES</w:t>
      </w:r>
      <w:bookmarkEnd w:id="160"/>
    </w:p>
    <w:p w:rsidR="00135552" w:rsidRDefault="004C63B0">
      <w:pPr>
        <w:pStyle w:val="HEADER2NOTES"/>
        <w:rPr>
          <w:noProof/>
        </w:rPr>
      </w:pPr>
      <w:r>
        <w:rPr>
          <w:noProof/>
        </w:rPr>
        <w:t>RELATED PARTIES</w:t>
      </w:r>
    </w:p>
    <w:p w:rsidR="00135552" w:rsidRDefault="004C63B0">
      <w:pPr>
        <w:pStyle w:val="DGTextstand-alone"/>
      </w:pPr>
      <w:r>
        <w:t>The related parties of the EU are the EU consolidated entities, associates and the key management personnel of these entities. Transactions between these entities take place as p</w:t>
      </w:r>
      <w:r>
        <w:t>art of the normal operations of the EU and as this is the case, no specific disclosure requirements are necessary for these transactions in accordance with the EU accounting rules.</w:t>
      </w:r>
    </w:p>
    <w:p w:rsidR="00135552" w:rsidRDefault="004C63B0">
      <w:pPr>
        <w:pStyle w:val="HEADER2NOTES"/>
        <w:rPr>
          <w:noProof/>
        </w:rPr>
      </w:pPr>
      <w:r>
        <w:rPr>
          <w:noProof/>
        </w:rPr>
        <w:t>KEY MANAGEMENT ENTITLEMENTS</w:t>
      </w:r>
    </w:p>
    <w:p w:rsidR="00135552" w:rsidRDefault="004C63B0">
      <w:pPr>
        <w:pStyle w:val="DGTextstand-alone"/>
      </w:pPr>
      <w:r>
        <w:t>For the purposes of presenting information on r</w:t>
      </w:r>
      <w:r>
        <w:t>elated party transactions concerning the key management of the EU, such persons are shown here under five categories:</w:t>
      </w:r>
    </w:p>
    <w:p w:rsidR="00135552" w:rsidRDefault="004C63B0">
      <w:pPr>
        <w:pStyle w:val="Textstand-alone"/>
      </w:pPr>
      <w:r>
        <w:rPr>
          <w:color w:val="016794"/>
        </w:rPr>
        <w:t>Category 1:</w:t>
      </w:r>
      <w:r>
        <w:t xml:space="preserve"> </w:t>
      </w:r>
      <w:r>
        <w:rPr>
          <w:rStyle w:val="DGTextstand-aloneChar"/>
        </w:rPr>
        <w:t>the Presidents of the European Council, the Commission and the Court of Justice of the European Union</w:t>
      </w:r>
    </w:p>
    <w:p w:rsidR="00135552" w:rsidRDefault="004C63B0">
      <w:pPr>
        <w:pStyle w:val="Textstand-alone"/>
      </w:pPr>
      <w:r>
        <w:rPr>
          <w:color w:val="016794"/>
        </w:rPr>
        <w:t>Category 2:</w:t>
      </w:r>
      <w:r>
        <w:rPr>
          <w:rStyle w:val="DGTextstand-aloneChar"/>
        </w:rPr>
        <w:t xml:space="preserve"> the Vice-president of the Commission and High Representative of the EU for Foreign Affairs and Security Policy and the other Vice-presidents of the Commission</w:t>
      </w:r>
    </w:p>
    <w:p w:rsidR="00135552" w:rsidRDefault="004C63B0">
      <w:pPr>
        <w:pStyle w:val="Textstand-alone"/>
      </w:pPr>
      <w:r>
        <w:rPr>
          <w:color w:val="016794"/>
        </w:rPr>
        <w:t>Category 3:</w:t>
      </w:r>
      <w:r>
        <w:t xml:space="preserve"> </w:t>
      </w:r>
      <w:r>
        <w:rPr>
          <w:rStyle w:val="DGTextstand-aloneChar"/>
        </w:rPr>
        <w:t xml:space="preserve">the Secretary-General of the Council, the Members of the Commission, the Judges and </w:t>
      </w:r>
      <w:r>
        <w:rPr>
          <w:rStyle w:val="DGTextstand-aloneChar"/>
        </w:rPr>
        <w:t>Advocates General of the Court of Justice of the European Union, the President and Members of the General Court, the Ombudsman and the European Data Protection Supervisor</w:t>
      </w:r>
    </w:p>
    <w:p w:rsidR="00135552" w:rsidRDefault="004C63B0">
      <w:pPr>
        <w:pStyle w:val="DGTextstand-alone"/>
      </w:pPr>
      <w:r>
        <w:rPr>
          <w:color w:val="016794"/>
        </w:rPr>
        <w:t>Category 4:</w:t>
      </w:r>
      <w:r>
        <w:t xml:space="preserve"> the President and Members of the European Court of Auditors</w:t>
      </w:r>
    </w:p>
    <w:p w:rsidR="00135552" w:rsidRDefault="004C63B0">
      <w:pPr>
        <w:pStyle w:val="DGTextstand-alone"/>
      </w:pPr>
      <w:r>
        <w:rPr>
          <w:color w:val="016794"/>
        </w:rPr>
        <w:t>Category 5:</w:t>
      </w:r>
      <w:r>
        <w:t xml:space="preserve"> t</w:t>
      </w:r>
      <w:r>
        <w:t>he highest-ranking civil servants of the Institutions and Agencies</w:t>
      </w:r>
    </w:p>
    <w:p w:rsidR="00135552" w:rsidRDefault="004C63B0">
      <w:pPr>
        <w:pStyle w:val="DGTextstand-alone"/>
      </w:pPr>
      <w:r>
        <w:t>A summary of their entitlements is given below – further information can be found in the Staff Regulations published on the Europa website which is the official document describing the righ</w:t>
      </w:r>
      <w:r>
        <w:t>ts and obligations of all officials of the EU. Key management personnel have not received any preferential loans from the EU.</w:t>
      </w: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135552">
      <w:pPr>
        <w:pStyle w:val="DGTextstand-alone"/>
      </w:pPr>
    </w:p>
    <w:p w:rsidR="00135552" w:rsidRDefault="004C63B0">
      <w:pPr>
        <w:pStyle w:val="HEADERTABLE"/>
        <w:rPr>
          <w:noProof/>
        </w:rPr>
      </w:pPr>
      <w:r>
        <w:rPr>
          <w:noProof/>
        </w:rPr>
        <w:t xml:space="preserve">KEY MANAGEMENT FINANCIAL ENTITLEMENTS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1337"/>
        <w:gridCol w:w="1337"/>
        <w:gridCol w:w="1337"/>
        <w:gridCol w:w="1337"/>
        <w:gridCol w:w="1337"/>
      </w:tblGrid>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lang w:bidi="en-GB"/>
              </w:rPr>
            </w:pPr>
            <w:bookmarkStart w:id="162" w:name="DOC_TBL00095_1_1"/>
            <w:bookmarkEnd w:id="162"/>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EUR</w:t>
            </w:r>
          </w:p>
        </w:tc>
      </w:tr>
      <w:tr w:rsidR="00135552">
        <w:trPr>
          <w:trHeight w:val="255"/>
        </w:trPr>
        <w:tc>
          <w:tcPr>
            <w:tcW w:w="30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rPr>
                <w:rFonts w:ascii="Verdana" w:eastAsia="Verdana" w:hAnsi="Verdana" w:cs="Verdana"/>
                <w:b/>
                <w:noProof/>
                <w:color w:val="FFFFFF"/>
                <w:sz w:val="16"/>
              </w:rPr>
            </w:pPr>
            <w:r>
              <w:rPr>
                <w:rFonts w:ascii="Verdana" w:eastAsia="Verdana" w:hAnsi="Verdana" w:cs="Verdana"/>
                <w:b/>
                <w:noProof/>
                <w:color w:val="FFFFFF"/>
                <w:sz w:val="16"/>
              </w:rPr>
              <w:t>Entitlement (per employee)</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jc w:val="right"/>
              <w:rPr>
                <w:rFonts w:ascii="Verdana" w:eastAsia="Verdana" w:hAnsi="Verdana" w:cs="Verdana"/>
                <w:b/>
                <w:noProof/>
                <w:color w:val="FFFFFF"/>
                <w:sz w:val="16"/>
              </w:rPr>
            </w:pPr>
            <w:r>
              <w:rPr>
                <w:rFonts w:ascii="Verdana" w:eastAsia="Verdana" w:hAnsi="Verdana" w:cs="Verdana"/>
                <w:b/>
                <w:noProof/>
                <w:color w:val="FFFFFF"/>
                <w:sz w:val="16"/>
              </w:rPr>
              <w:t>Category 1</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jc w:val="right"/>
              <w:rPr>
                <w:rFonts w:ascii="Verdana" w:eastAsia="Verdana" w:hAnsi="Verdana" w:cs="Verdana"/>
                <w:b/>
                <w:noProof/>
                <w:color w:val="FFFFFF"/>
                <w:sz w:val="16"/>
              </w:rPr>
            </w:pPr>
            <w:r>
              <w:rPr>
                <w:rFonts w:ascii="Verdana" w:eastAsia="Verdana" w:hAnsi="Verdana" w:cs="Verdana"/>
                <w:b/>
                <w:noProof/>
                <w:color w:val="FFFFFF"/>
                <w:sz w:val="16"/>
              </w:rPr>
              <w:t>Category 2</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jc w:val="right"/>
              <w:rPr>
                <w:rFonts w:ascii="Verdana" w:eastAsia="Verdana" w:hAnsi="Verdana" w:cs="Verdana"/>
                <w:b/>
                <w:noProof/>
                <w:color w:val="FFFFFF"/>
                <w:sz w:val="16"/>
              </w:rPr>
            </w:pPr>
            <w:r>
              <w:rPr>
                <w:rFonts w:ascii="Verdana" w:eastAsia="Verdana" w:hAnsi="Verdana" w:cs="Verdana"/>
                <w:b/>
                <w:noProof/>
                <w:color w:val="FFFFFF"/>
                <w:sz w:val="16"/>
              </w:rPr>
              <w:t>Category 3</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jc w:val="right"/>
              <w:rPr>
                <w:rFonts w:ascii="Verdana" w:eastAsia="Verdana" w:hAnsi="Verdana" w:cs="Verdana"/>
                <w:b/>
                <w:noProof/>
                <w:color w:val="FFFFFF"/>
                <w:sz w:val="16"/>
              </w:rPr>
            </w:pPr>
            <w:r>
              <w:rPr>
                <w:rFonts w:ascii="Verdana" w:eastAsia="Verdana" w:hAnsi="Verdana" w:cs="Verdana"/>
                <w:b/>
                <w:noProof/>
                <w:color w:val="FFFFFF"/>
                <w:sz w:val="16"/>
              </w:rPr>
              <w:t>Category 4</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8BIPKM"/>
              <w:jc w:val="right"/>
              <w:rPr>
                <w:rFonts w:ascii="Verdana" w:eastAsia="Verdana" w:hAnsi="Verdana" w:cs="Verdana"/>
                <w:b/>
                <w:noProof/>
                <w:color w:val="FFFFFF"/>
                <w:sz w:val="16"/>
                <w:lang w:bidi="en-GB"/>
              </w:rPr>
            </w:pPr>
            <w:r>
              <w:rPr>
                <w:rFonts w:ascii="Verdana" w:eastAsia="Verdana" w:hAnsi="Verdana" w:cs="Verdana"/>
                <w:b/>
                <w:noProof/>
                <w:color w:val="FFFFFF"/>
                <w:sz w:val="16"/>
              </w:rPr>
              <w:t>Category 5</w:t>
            </w:r>
          </w:p>
        </w:tc>
      </w:tr>
      <w:tr w:rsidR="00135552">
        <w:trPr>
          <w:trHeight w:val="255"/>
        </w:trPr>
        <w:tc>
          <w:tcPr>
            <w:tcW w:w="3073" w:type="dxa"/>
            <w:vMerge w:val="restart"/>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Basic salary (per month)</w:t>
            </w:r>
          </w:p>
        </w:tc>
        <w:tc>
          <w:tcPr>
            <w:tcW w:w="1337" w:type="dxa"/>
            <w:vMerge w:val="restart"/>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28 461.39</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25 780.25 -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20 624.20 -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22 274.14 -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13 113.98 -</w:t>
            </w:r>
          </w:p>
        </w:tc>
      </w:tr>
      <w:tr w:rsidR="00135552">
        <w:trPr>
          <w:trHeight w:val="255"/>
        </w:trPr>
        <w:tc>
          <w:tcPr>
            <w:tcW w:w="4920" w:type="dxa"/>
            <w:vMerge/>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rPr>
                <w:rFonts w:ascii="Verdana" w:eastAsia="Verdana" w:hAnsi="Verdana" w:cs="Verdana"/>
                <w:b/>
                <w:noProof/>
                <w:color w:val="000000"/>
                <w:sz w:val="16"/>
              </w:rPr>
            </w:pPr>
          </w:p>
        </w:tc>
        <w:tc>
          <w:tcPr>
            <w:tcW w:w="1335" w:type="dxa"/>
            <w:vMerge/>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26 811.47</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23 202.23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23 717.84</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20 624.20</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 xml:space="preserve">Residential/Expatriation allowance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15%</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15%</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15%</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15%</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0-4%-16%</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Family allowances: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Household (%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2% + 191.44</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Dependent child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418.31</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Pre-school</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102.18</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Education, or</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283.82</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 xml:space="preserve">Education </w:t>
            </w:r>
            <w:r>
              <w:rPr>
                <w:rFonts w:ascii="Verdana" w:eastAsia="Verdana" w:hAnsi="Verdana" w:cs="Verdana"/>
                <w:noProof/>
                <w:color w:val="000000"/>
                <w:sz w:val="16"/>
              </w:rPr>
              <w:t>outside place of work</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567.38</w:t>
            </w: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Presiding judges allowance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N/A</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Representation allowance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1 542.36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991.26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N/A</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Annual travel costs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N/A</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 xml:space="preserve">Transfers to Member </w:t>
            </w:r>
            <w:r>
              <w:rPr>
                <w:rFonts w:ascii="Verdana" w:eastAsia="Verdana" w:hAnsi="Verdana" w:cs="Verdana"/>
                <w:b/>
                <w:noProof/>
                <w:color w:val="000000"/>
                <w:sz w:val="16"/>
              </w:rPr>
              <w:t>State: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Education allowance*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Yes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Yes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Yes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Yes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Yes</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 of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5%</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 of salary with no cc</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25%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25%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25%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25%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max 25%</w:t>
            </w: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Representation expenses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N/A</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Taking up duty: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 xml:space="preserve">Installation </w:t>
            </w:r>
            <w:r>
              <w:rPr>
                <w:rFonts w:ascii="Verdana" w:eastAsia="Verdana" w:hAnsi="Verdana" w:cs="Verdana"/>
                <w:noProof/>
                <w:color w:val="000000"/>
                <w:sz w:val="16"/>
              </w:rPr>
              <w:t>expenses</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56 922.77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51 560.49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41 248.39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44 548.28</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- 53 622.93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- 46 404.45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- 47 435.67</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Family travel expenses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Moving expenses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Leaving office: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Resettlement expenses</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28 461.39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25 780.25 -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20 624.20 -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22 274.14 -</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26 811.47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23 202.23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23 717.84</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Family travel expenses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Moving expenses</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Reimbursed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Reimbursed</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Transition (%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40% - 65%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40% - 65%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40% - 65%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40% - 65%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N/A</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Sickness insurance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Covered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Covered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Covered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Covered</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Covered</w:t>
            </w: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Pension (% salary, before tax)</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70%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70%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70%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Max 70%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Max 70%</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Deductions:</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08BIPKM"/>
              <w:jc w:val="right"/>
              <w:rPr>
                <w:rFonts w:ascii="Verdana" w:eastAsia="Verdana" w:hAnsi="Verdana" w:cs="Verdana"/>
                <w:i/>
                <w:noProof/>
                <w:color w:val="000000"/>
                <w:sz w:val="16"/>
                <w:lang w:bidi="en-GB"/>
              </w:rPr>
            </w:pP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Tax on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8% - 45%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8% - 45%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8% - 45%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8% - 45%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8% - 45%</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Sickness insurance (%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1.7%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1.7%</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Special levy on salary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6-7%</w:t>
            </w:r>
          </w:p>
        </w:tc>
      </w:tr>
      <w:tr w:rsidR="00135552">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rPr>
                <w:rFonts w:ascii="Verdana" w:eastAsia="Verdana" w:hAnsi="Verdana" w:cs="Verdana"/>
                <w:noProof/>
                <w:color w:val="000000"/>
                <w:sz w:val="16"/>
              </w:rPr>
            </w:pPr>
            <w:r>
              <w:rPr>
                <w:rFonts w:ascii="Verdana" w:eastAsia="Verdana" w:hAnsi="Verdana" w:cs="Verdana"/>
                <w:noProof/>
                <w:color w:val="000000"/>
                <w:sz w:val="16"/>
              </w:rPr>
              <w:t>Pension deduction</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rPr>
            </w:pPr>
            <w:r>
              <w:rPr>
                <w:rFonts w:ascii="Verdana" w:eastAsia="Verdana" w:hAnsi="Verdana" w:cs="Verdana"/>
                <w:i/>
                <w:noProof/>
                <w:color w:val="000000"/>
                <w:sz w:val="16"/>
              </w:rPr>
              <w:t>N/A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8BIPKM"/>
              <w:jc w:val="right"/>
              <w:rPr>
                <w:rFonts w:ascii="Verdana" w:eastAsia="Verdana" w:hAnsi="Verdana" w:cs="Verdana"/>
                <w:i/>
                <w:noProof/>
                <w:color w:val="000000"/>
                <w:sz w:val="16"/>
                <w:lang w:bidi="en-GB"/>
              </w:rPr>
            </w:pPr>
            <w:r>
              <w:rPr>
                <w:rFonts w:ascii="Verdana" w:eastAsia="Verdana" w:hAnsi="Verdana" w:cs="Verdana"/>
                <w:i/>
                <w:noProof/>
                <w:color w:val="000000"/>
                <w:sz w:val="16"/>
              </w:rPr>
              <w:t>9.7%</w:t>
            </w:r>
          </w:p>
        </w:tc>
      </w:tr>
      <w:tr w:rsidR="00135552">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rPr>
                <w:rFonts w:ascii="Verdana" w:eastAsia="Verdana" w:hAnsi="Verdana" w:cs="Verdana"/>
                <w:b/>
                <w:noProof/>
                <w:color w:val="000000"/>
                <w:sz w:val="16"/>
              </w:rPr>
            </w:pPr>
            <w:r>
              <w:rPr>
                <w:rFonts w:ascii="Verdana" w:eastAsia="Verdana" w:hAnsi="Verdana" w:cs="Verdana"/>
                <w:b/>
                <w:noProof/>
                <w:color w:val="000000"/>
                <w:sz w:val="16"/>
              </w:rPr>
              <w:t>Number of persons at year-end</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b/>
                <w:noProof/>
                <w:color w:val="000000"/>
                <w:sz w:val="16"/>
              </w:rPr>
            </w:pPr>
            <w:r>
              <w:rPr>
                <w:rFonts w:ascii="Verdana" w:eastAsia="Verdana" w:hAnsi="Verdana" w:cs="Verdana"/>
                <w:b/>
                <w:noProof/>
                <w:color w:val="000000"/>
                <w:sz w:val="16"/>
              </w:rPr>
              <w:t>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b/>
                <w:noProof/>
                <w:color w:val="000000"/>
                <w:sz w:val="16"/>
              </w:rPr>
            </w:pPr>
            <w:r>
              <w:rPr>
                <w:rFonts w:ascii="Verdana" w:eastAsia="Verdana" w:hAnsi="Verdana" w:cs="Verdana"/>
                <w:b/>
                <w:noProof/>
                <w:color w:val="000000"/>
                <w:sz w:val="16"/>
              </w:rPr>
              <w:t>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b/>
                <w:noProof/>
                <w:color w:val="000000"/>
                <w:sz w:val="16"/>
              </w:rPr>
            </w:pPr>
            <w:r>
              <w:rPr>
                <w:rFonts w:ascii="Verdana" w:eastAsia="Verdana" w:hAnsi="Verdana" w:cs="Verdana"/>
                <w:b/>
                <w:noProof/>
                <w:color w:val="000000"/>
                <w:sz w:val="16"/>
              </w:rPr>
              <w:t>93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b/>
                <w:noProof/>
                <w:color w:val="000000"/>
                <w:sz w:val="16"/>
              </w:rPr>
            </w:pPr>
            <w:r>
              <w:rPr>
                <w:rFonts w:ascii="Verdana" w:eastAsia="Verdana" w:hAnsi="Verdana" w:cs="Verdana"/>
                <w:b/>
                <w:noProof/>
                <w:color w:val="000000"/>
                <w:sz w:val="16"/>
              </w:rPr>
              <w:t>28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8BIPKM"/>
              <w:jc w:val="right"/>
              <w:rPr>
                <w:rFonts w:ascii="Verdana" w:eastAsia="Verdana" w:hAnsi="Verdana" w:cs="Verdana"/>
                <w:b/>
                <w:noProof/>
                <w:color w:val="000000"/>
                <w:sz w:val="16"/>
              </w:rPr>
            </w:pPr>
            <w:r>
              <w:rPr>
                <w:rFonts w:ascii="Verdana" w:eastAsia="Verdana" w:hAnsi="Verdana" w:cs="Verdana"/>
                <w:b/>
                <w:noProof/>
                <w:color w:val="000000"/>
                <w:sz w:val="16"/>
              </w:rPr>
              <w:t>112</w:t>
            </w:r>
          </w:p>
        </w:tc>
      </w:tr>
    </w:tbl>
    <w:p w:rsidR="00135552" w:rsidRDefault="004C63B0">
      <w:pPr>
        <w:pStyle w:val="Textstand-alone"/>
        <w:spacing w:before="60" w:after="0"/>
        <w:rPr>
          <w:i/>
          <w:sz w:val="14"/>
        </w:rPr>
      </w:pPr>
      <w:r>
        <w:rPr>
          <w:i/>
          <w:sz w:val="14"/>
        </w:rPr>
        <w:t xml:space="preserve">* With </w:t>
      </w:r>
      <w:r>
        <w:rPr>
          <w:i/>
          <w:sz w:val="14"/>
        </w:rPr>
        <w:t>correction coefficient (‘CC’) applied.</w:t>
      </w:r>
    </w:p>
    <w:p w:rsidR="00135552" w:rsidRDefault="004C63B0">
      <w:pPr>
        <w:pStyle w:val="Textstand-alone"/>
        <w:spacing w:before="60" w:after="0"/>
        <w:rPr>
          <w:i/>
          <w:sz w:val="14"/>
        </w:rPr>
      </w:pPr>
      <w:r>
        <w:rPr>
          <w:i/>
          <w:sz w:val="14"/>
        </w:rPr>
        <w:t>** Paid for the first 3 years following departure.</w:t>
      </w:r>
    </w:p>
    <w:p w:rsidR="00135552" w:rsidRDefault="004C63B0">
      <w:pPr>
        <w:pStyle w:val="DGTextstand-alone"/>
        <w:sectPr w:rsidR="00135552">
          <w:headerReference w:type="even" r:id="rId281"/>
          <w:headerReference w:type="default" r:id="rId282"/>
          <w:footerReference w:type="even" r:id="rId283"/>
          <w:footerReference w:type="default" r:id="rId284"/>
          <w:headerReference w:type="first" r:id="rId285"/>
          <w:footerReference w:type="first" r:id="rId286"/>
          <w:pgSz w:w="11906" w:h="16838"/>
          <w:pgMar w:top="1134" w:right="1134" w:bottom="1134" w:left="1134" w:header="709" w:footer="709" w:gutter="0"/>
          <w:cols w:space="708"/>
          <w:docGrid w:linePitch="360"/>
        </w:sectPr>
      </w:pPr>
      <w:r>
        <w:t xml:space="preserve"> </w:t>
      </w:r>
      <w:bookmarkEnd w:id="161"/>
    </w:p>
    <w:p w:rsidR="00135552" w:rsidRDefault="004C63B0">
      <w:pPr>
        <w:pStyle w:val="HEADER1NOTES"/>
        <w:rPr>
          <w:rFonts w:eastAsia="Calibri"/>
          <w:noProof/>
        </w:rPr>
      </w:pPr>
      <w:bookmarkStart w:id="163" w:name="_Toc43224173"/>
      <w:bookmarkStart w:id="164" w:name="_DMBM_17194"/>
      <w:r>
        <w:rPr>
          <w:rFonts w:eastAsia="Calibri"/>
          <w:noProof/>
        </w:rPr>
        <w:t>EVENTS AFTER THE BALANCE SHEET DATE</w:t>
      </w:r>
      <w:bookmarkEnd w:id="163"/>
    </w:p>
    <w:p w:rsidR="00135552" w:rsidRDefault="004C63B0">
      <w:pPr>
        <w:pStyle w:val="DGTextstand-alone"/>
      </w:pPr>
      <w:r>
        <w:t>The annual accounts and related</w:t>
      </w:r>
      <w:r>
        <w:t xml:space="preserve"> notes were prepared using the most recently available information and this is reflected in the information presented above. At the date of signature of these accounts two key material matters are disclosed below, the departure of the United Kingdom from t</w:t>
      </w:r>
      <w:r>
        <w:t>he European Union and the EU reaction to the coronavirus outbreak. No further material issues had come to the attention of or were reported to the Accounting Officer of the Commission that would require separate disclosure under this section.</w:t>
      </w:r>
    </w:p>
    <w:p w:rsidR="00135552" w:rsidRDefault="004C63B0">
      <w:pPr>
        <w:pStyle w:val="DGTextstand-alone"/>
        <w:rPr>
          <w:b/>
        </w:rPr>
      </w:pPr>
      <w:r>
        <w:rPr>
          <w:b/>
        </w:rPr>
        <w:t>Coronavirus d</w:t>
      </w:r>
      <w:r>
        <w:rPr>
          <w:b/>
        </w:rPr>
        <w:t>isease 2019 (COVID-19)</w:t>
      </w:r>
    </w:p>
    <w:p w:rsidR="00135552" w:rsidRDefault="004C63B0">
      <w:pPr>
        <w:pStyle w:val="DGTextstand-alone"/>
      </w:pPr>
      <w:r>
        <w:t>During the first half of 2020, the coronavirus outbreak has had huge global impacts. As a non-adjusting event, the outbreak of the coronavirus does not require any adjustments to the figures reported. For subsequent reporting periods</w:t>
      </w:r>
      <w:r>
        <w:t>, the implementation of the immediate response initiatives proposed by the Commission (including the reactivation of the Emergency Support Instrument (ESI) and further reinforcement of the Union Civil Protection Mechanism (UCPM/rescEU), the Coronavirus Res</w:t>
      </w:r>
      <w:r>
        <w:t>ponse Investment Initiative (CRII and CRII+) and the support to mitigate Unemployment Risks in an Emergency (SURE) following the COVID-19 outbreak) will affect the recognition, measurement or reclassification of some assets and liabilities in the financial</w:t>
      </w:r>
      <w:r>
        <w:t xml:space="preserve"> statements: </w:t>
      </w:r>
    </w:p>
    <w:p w:rsidR="00135552" w:rsidRDefault="004C63B0">
      <w:pPr>
        <w:pStyle w:val="DGTextstand-alone"/>
        <w:numPr>
          <w:ilvl w:val="0"/>
          <w:numId w:val="37"/>
        </w:numPr>
      </w:pPr>
      <w:r>
        <w:t>Activation of the Emergency Support Instrument (ESI) and further reinforcement of the Union Civil Protection Mechanism (UCPM/rescEU):</w:t>
      </w:r>
    </w:p>
    <w:p w:rsidR="00135552" w:rsidRDefault="004C63B0">
      <w:pPr>
        <w:pStyle w:val="DGTextstand-alone"/>
        <w:ind w:left="720"/>
      </w:pPr>
      <w:r>
        <w:t xml:space="preserve">Given the depth of the crisis following the COVID-19 outbreak as well as the extent and nature of the needs </w:t>
      </w:r>
      <w:r>
        <w:t>requiring support from the EU budget, the EU reactivated the ESI instrument. This instrument, originally established in March 2016 to address the emergency situation which had arisen following the massive influx of refugees in Greece (see Council Regulatio</w:t>
      </w:r>
      <w:r>
        <w:t>n (EU) 2016/369 of 15 March 2016), has been reactivated for a period of 3 years (2020-22) to finance expenditure necessary to address the COVID</w:t>
      </w:r>
      <w:r>
        <w:rPr>
          <w:rFonts w:ascii="Cambria Math" w:hAnsi="Cambria Math" w:cs="Cambria Math"/>
        </w:rPr>
        <w:t>‐</w:t>
      </w:r>
      <w:r>
        <w:t xml:space="preserve">19 pandemic for the period 1 February 2020 to 31 January 2022 (see Council regulation (EU) 2020/521 of 14 April </w:t>
      </w:r>
      <w:r>
        <w:t>2020). To further this objective, the 2020 budget was amended to include EUR 2.7 billion in commitment appropriations and EUR 1.4 billion in payment appropriations (see Definitive Adoption (EU, Euratom) 2020/537 of Amending budget No 2 of the European Unio</w:t>
      </w:r>
      <w:r>
        <w:t>n for the financial year 2020 of 17 April 2020). The reactivation will allow the Union to deploy measures preventing and mitigating severe consequences in one or more Member States and to address in a coordinated manner the needs related to the COVID-19 di</w:t>
      </w:r>
      <w:r>
        <w:t>saster, by complementing any assistance provided under other EU instruments. The instrument is centrally managed by the Commission and mainly focuses on direct procurement and grants, whilst in certain cases actions will be implemented through partners suc</w:t>
      </w:r>
      <w:r>
        <w:t>h as international organisations.</w:t>
      </w:r>
    </w:p>
    <w:p w:rsidR="00135552" w:rsidRDefault="004C63B0">
      <w:pPr>
        <w:pStyle w:val="DGTextstand-alone"/>
        <w:ind w:left="720"/>
      </w:pPr>
      <w:r>
        <w:t>As a complementary measure to the ESI, the Union Civil Protection Mechanism/rescEU was reinforced to allow wider stock-piling and coordination of essential resource distribution across Europe (see Commission Implementing D</w:t>
      </w:r>
      <w:r>
        <w:t>ecision (EU) 2019/570, as amended by Commission Implementing Decision 2020/414 of 19 March 2020 and Commission Implementing Decision (EU) 2020/452 of 26 March 2020). To this purpose the 2020 budget was amended to include a further EUR 0.3 billion in commit</w:t>
      </w:r>
      <w:r>
        <w:t>ment appropriations and EUR 0.2 billion in payment appropriations. The reinforcement of the UCPM/rescEU will support Member States in purchasing some of the needed equipment (including therapeutics, medical equipment, Personal Protective Equipment, laborat</w:t>
      </w:r>
      <w:r>
        <w:t>ory supplies), thus increasing the volume as well as complementing and widening the scope of priority items purchased through the joint procurement under the Joint Procurement Agreement, a coordinated approach giving Member States a strong position when ne</w:t>
      </w:r>
      <w:r>
        <w:t>gotiating with the industry on availability and price of medical products. The rescEU direct grants will provide 100 % financing from the EU budget, which includes full financing for development of these capacities and full financing of deployment of equip</w:t>
      </w:r>
      <w:r>
        <w:t>ment. The equipment purchased will be hosted by one or more Member States, while decision making is organised at EU level, providing emergency supplies over and beyond national stocks. It will be available to all Member States and will be used in case of i</w:t>
      </w:r>
      <w:r>
        <w:t>nsufficient national availability.</w:t>
      </w:r>
    </w:p>
    <w:p w:rsidR="00135552" w:rsidRDefault="004C63B0">
      <w:pPr>
        <w:pStyle w:val="DGTextstand-alone"/>
        <w:numPr>
          <w:ilvl w:val="0"/>
          <w:numId w:val="38"/>
        </w:numPr>
      </w:pPr>
      <w:r>
        <w:t xml:space="preserve">Coronavirus Response Investment Initiative (CRII and CRIIplus): </w:t>
      </w:r>
    </w:p>
    <w:p w:rsidR="00135552" w:rsidRDefault="004C63B0">
      <w:pPr>
        <w:pStyle w:val="DGTextstand-alone"/>
        <w:ind w:left="720"/>
      </w:pPr>
      <w:r>
        <w:t>CRII, implemented by Regulation 2020/460 of the European Parliament and the Council of 30 March 2020, introduced specific measures to mobilise investments i</w:t>
      </w:r>
      <w:r>
        <w:t>n the healthcare systems of Member States and in other sectors of their economies in response to the COVID-19 outbreak by providing immediate liquidity to accelerate up to EUR 37 billion of European public investment, introducing flexibility in applying EU</w:t>
      </w:r>
      <w:r>
        <w:t xml:space="preserve"> spending rules and extending the scope of the EU Solidarity Fund. CRIIplus, implemented by Regulation 2020/558 of the European Parliament and the Council of 23 April 2020, introduced further measures to provide exceptional flexibility for the use of the E</w:t>
      </w:r>
      <w:r>
        <w:t xml:space="preserve">uropean Structural and Investments Funds. The 2019 balance sheet includes EUR 6.8 billion as current pre-financing since these amounts were originally intended to be recovered during 2020. However, as a consequence of the CRII, the amounts will now remain </w:t>
      </w:r>
      <w:r>
        <w:t>with the Member States so as to be used to accelerate investments related to the COVID-19 outbreak. As the CRII foresees the clearance or recovery of pre-financing at closure, and eligibility periods may end in 2022, this EUR 6.8 billion of current pre-fin</w:t>
      </w:r>
      <w:r>
        <w:t xml:space="preserve">ancing will likely all be reclassified, in conformity with the accounting rules, to non-current in the 2020 financial statements. </w:t>
      </w:r>
    </w:p>
    <w:p w:rsidR="00135552" w:rsidRDefault="004C63B0">
      <w:pPr>
        <w:pStyle w:val="DGTextstand-alone"/>
        <w:numPr>
          <w:ilvl w:val="0"/>
          <w:numId w:val="37"/>
        </w:numPr>
      </w:pPr>
      <w:r>
        <w:t>European instrument for temporary Support to mitigate Unemployment Risks in an Emergency (SURE) following the COVID-19 outbre</w:t>
      </w:r>
      <w:r>
        <w:t>ak:</w:t>
      </w:r>
    </w:p>
    <w:p w:rsidR="00135552" w:rsidRDefault="004C63B0">
      <w:pPr>
        <w:pStyle w:val="DGTextstand-alone"/>
        <w:ind w:left="720"/>
      </w:pPr>
      <w:r>
        <w:t xml:space="preserve">As part of its emergency support package to tackle the economic impact of the COVID-19 crisis, the EU adopted on 19 May 2020 Council Regulation (EU) 2020/672 establishing the SURE instrument to help workers keep their jobs during the crisis. SURE is a </w:t>
      </w:r>
      <w:r>
        <w:t>temporary scheme which can provide up to EUR 100 billion of financial assistance (loans under favourable terms) to Member States. The instrument enables Member States to request EU financial assistance to help finance the sudden and severe increases of nat</w:t>
      </w:r>
      <w:r>
        <w:t>ional public expenditure, as from 1 February 2020, related to national short-time work schemes and similar measures, including for self-employed persons, or to some health-related measures, in particular at the work place in response to the crisis. To enab</w:t>
      </w:r>
      <w:r>
        <w:t>le the EU to provide financial assistance under SURE, the Commission shall be empowered to borrow on the capital markets or with financial institutions on behalf of the EU to a maximum amount of EUR 100 billion. SURE loans will be backed by the EU budget a</w:t>
      </w:r>
      <w:r>
        <w:t>nd guarantees provided by Member States according to their share in the EU's GNI. The total amount of guarantees will be EUR 25 billion and the instrument will become active only when all guarantees have been provided. The instrument is limited until 31 De</w:t>
      </w:r>
      <w:r>
        <w:t>cember 2022.</w:t>
      </w:r>
    </w:p>
    <w:p w:rsidR="00135552" w:rsidRDefault="004C63B0">
      <w:pPr>
        <w:pStyle w:val="DGTextstand-alone"/>
        <w:numPr>
          <w:ilvl w:val="0"/>
          <w:numId w:val="37"/>
        </w:numPr>
      </w:pPr>
      <w:r>
        <w:t>Next Generation EU:</w:t>
      </w:r>
    </w:p>
    <w:p w:rsidR="00135552" w:rsidRDefault="004C63B0">
      <w:pPr>
        <w:pStyle w:val="DGTextstand-alone"/>
        <w:ind w:left="720"/>
      </w:pPr>
      <w:r>
        <w:t>Furthermore, on 27 May 2020 President von der Leyen presented a new proposal for the EU long-term budget (multiannual financial framework) 2021-2027 and sectoral programmes boosted by ‘Next Generation EU’</w:t>
      </w:r>
      <w:r>
        <w:rPr>
          <w:rStyle w:val="FootnoteReference"/>
        </w:rPr>
        <w:footnoteReference w:id="13"/>
      </w:r>
      <w:r>
        <w:t>, an emergency tem</w:t>
      </w:r>
      <w:r>
        <w:t>porary recovery instrument, to help repair the immediate economic and social damage brought about by the coronavirus pandemic, kickstart the recovery and prepare for a better future for the next generation. This proposal is currently being discussed with M</w:t>
      </w:r>
      <w:r>
        <w:t xml:space="preserve">ember States and the European Parliament. Should an agreement be reached based on this proposal, many EU budget programmes would be topped-up by funds raised through borrowings by the EU. Given the size of the proposed amounts, it would have a significant </w:t>
      </w:r>
      <w:r>
        <w:t>impact on the content of future EU balance sheets; the specific impact can only be assessed once the final proposal has been approved by the budget authority and its implementation starts.</w:t>
      </w:r>
    </w:p>
    <w:p w:rsidR="00135552" w:rsidRDefault="004C63B0">
      <w:pPr>
        <w:pStyle w:val="DGTextstand-alone"/>
        <w:rPr>
          <w:b/>
        </w:rPr>
      </w:pPr>
      <w:r>
        <w:rPr>
          <w:b/>
        </w:rPr>
        <w:t>Departure of United Kingdom from the European Union</w:t>
      </w:r>
    </w:p>
    <w:p w:rsidR="00135552" w:rsidRDefault="004C63B0">
      <w:pPr>
        <w:pStyle w:val="DGTextstand-alone"/>
      </w:pPr>
      <w:r>
        <w:t>On 1 February 2</w:t>
      </w:r>
      <w:r>
        <w:t>020 the United Kingdom ceased to be a Member State of the European Union. Following the conclusion of the Agreement on the withdrawal of the United Kingdom of Great Britain and Northern Ireland from the European Union and the European Atomic Energy Communi</w:t>
      </w:r>
      <w:r>
        <w:t xml:space="preserve">ty (the ‘Withdrawal Agreement’) between the two parties, the United Kingdom committed to pay all its obligations under the current MFF and previous financial perspectives following from its membership of the Union. </w:t>
      </w:r>
    </w:p>
    <w:p w:rsidR="00135552" w:rsidRDefault="004C63B0">
      <w:pPr>
        <w:pStyle w:val="DGTextstand-alone"/>
      </w:pPr>
      <w:r>
        <w:t>At the date of signature of these accoun</w:t>
      </w:r>
      <w:r>
        <w:t>ts, and based on the Withdrawal Agreement concluded and already in operation, there is no financial impact to be reported in these accounts.</w:t>
      </w:r>
    </w:p>
    <w:p w:rsidR="00135552" w:rsidRDefault="00135552">
      <w:pPr>
        <w:pStyle w:val="DGTextstand-alone"/>
      </w:pPr>
    </w:p>
    <w:p w:rsidR="00135552" w:rsidRDefault="00135552">
      <w:pPr>
        <w:pStyle w:val="DGTextstand-alone"/>
      </w:pPr>
    </w:p>
    <w:p w:rsidR="00135552" w:rsidRDefault="004C63B0">
      <w:pPr>
        <w:pStyle w:val="DGTextstand-alone"/>
        <w:sectPr w:rsidR="00135552">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r>
        <w:t xml:space="preserve"> </w:t>
      </w:r>
      <w:bookmarkEnd w:id="164"/>
    </w:p>
    <w:p w:rsidR="00135552" w:rsidRDefault="004C63B0">
      <w:pPr>
        <w:pStyle w:val="HEADER1NOTES"/>
        <w:rPr>
          <w:rFonts w:eastAsia="Calibri"/>
          <w:noProof/>
        </w:rPr>
      </w:pPr>
      <w:bookmarkStart w:id="165" w:name="_Toc43224174"/>
      <w:bookmarkStart w:id="166" w:name="_DMBM_17118"/>
      <w:r>
        <w:rPr>
          <w:rFonts w:eastAsia="Calibri"/>
          <w:noProof/>
        </w:rPr>
        <w:t xml:space="preserve">SCOPE OF </w:t>
      </w:r>
      <w:r>
        <w:rPr>
          <w:rFonts w:eastAsia="Calibri"/>
          <w:noProof/>
        </w:rPr>
        <w:t>CONSOLIDATION</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4879"/>
      </w:tblGrid>
      <w:tr w:rsidR="00135552">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9BIPCE"/>
              <w:rPr>
                <w:rFonts w:ascii="Verdana" w:eastAsia="Verdana" w:hAnsi="Verdana" w:cs="Verdana"/>
                <w:b/>
                <w:noProof/>
                <w:color w:val="FFFFFF"/>
                <w:lang w:bidi="en-GB"/>
              </w:rPr>
            </w:pPr>
            <w:bookmarkStart w:id="167" w:name="DOC_TBL00096_1_1"/>
            <w:bookmarkEnd w:id="167"/>
            <w:r>
              <w:rPr>
                <w:rFonts w:ascii="Verdana" w:eastAsia="Verdana" w:hAnsi="Verdana" w:cs="Verdana"/>
                <w:b/>
                <w:noProof/>
                <w:color w:val="FFFFFF"/>
                <w:lang w:bidi="en-GB"/>
              </w:rPr>
              <w:t>A. CONTROLLED ENTITIES (52)</w:t>
            </w:r>
          </w:p>
        </w:tc>
      </w:tr>
      <w:tr w:rsidR="00135552">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9BIPCE"/>
              <w:rPr>
                <w:rFonts w:ascii="Verdana" w:eastAsia="Verdana" w:hAnsi="Verdana" w:cs="Verdana"/>
                <w:b/>
                <w:noProof/>
                <w:color w:val="000000"/>
                <w:sz w:val="18"/>
                <w:lang w:bidi="en-GB"/>
              </w:rPr>
            </w:pPr>
            <w:r>
              <w:rPr>
                <w:rFonts w:ascii="Verdana" w:eastAsia="Verdana" w:hAnsi="Verdana" w:cs="Verdana"/>
                <w:b/>
                <w:noProof/>
                <w:color w:val="000000"/>
                <w:sz w:val="18"/>
              </w:rPr>
              <w:t>1. Institutions and consultative bodies (11)</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Parliament</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Data Protection Supervisor</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Council</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Economic and Social Committee</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Commission</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Ombudsman</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 xml:space="preserve">European </w:t>
            </w:r>
            <w:r>
              <w:rPr>
                <w:rFonts w:ascii="Verdana" w:eastAsia="Verdana" w:hAnsi="Verdana" w:cs="Verdana"/>
                <w:i/>
                <w:noProof/>
                <w:color w:val="000000"/>
                <w:sz w:val="18"/>
              </w:rPr>
              <w:t>Court of Auditors</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Committee of the Regions</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Court of Justice of the European Union</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Council of the European Union</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External Action Service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lang w:bidi="en-GB"/>
              </w:rPr>
            </w:pP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lang w:bidi="en-GB"/>
              </w:rPr>
            </w:pPr>
          </w:p>
        </w:tc>
      </w:tr>
      <w:tr w:rsidR="00135552">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9BIPCE"/>
              <w:rPr>
                <w:rFonts w:ascii="Verdana" w:eastAsia="Verdana" w:hAnsi="Verdana" w:cs="Verdana"/>
                <w:b/>
                <w:noProof/>
                <w:color w:val="000000"/>
                <w:sz w:val="18"/>
                <w:lang w:bidi="en-GB"/>
              </w:rPr>
            </w:pPr>
            <w:r>
              <w:rPr>
                <w:rFonts w:ascii="Verdana" w:eastAsia="Verdana" w:hAnsi="Verdana" w:cs="Verdana"/>
                <w:b/>
                <w:noProof/>
                <w:color w:val="000000"/>
                <w:sz w:val="18"/>
              </w:rPr>
              <w:t>2. EU Agencies (39)</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b/>
                <w:i/>
                <w:noProof/>
                <w:color w:val="000000"/>
                <w:sz w:val="18"/>
              </w:rPr>
            </w:pPr>
            <w:r>
              <w:rPr>
                <w:rFonts w:ascii="Verdana" w:eastAsia="Verdana" w:hAnsi="Verdana" w:cs="Verdana"/>
                <w:b/>
                <w:i/>
                <w:noProof/>
                <w:color w:val="000000"/>
                <w:sz w:val="18"/>
              </w:rPr>
              <w:t>2.1. Executive Agencies (6)</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lang w:bidi="en-GB"/>
              </w:rPr>
            </w:pP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 xml:space="preserve">Education, Audiovisual and Culture Executive Agency </w:t>
            </w:r>
            <w:r>
              <w:rPr>
                <w:rFonts w:ascii="Verdana" w:eastAsia="Verdana" w:hAnsi="Verdana" w:cs="Verdana"/>
                <w:i/>
                <w:noProof/>
                <w:color w:val="000000"/>
                <w:sz w:val="18"/>
              </w:rPr>
              <w:t>(EACEA)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Executive Agency for Small and Medium-sized Enterprises (EASME)</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Consumers, Health, Agriculture and Food Executive Agency (CHAFEA)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Research Council Executive Agency (ERCEA)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Research Executive Agency (REA)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Innovation and Networks Executive</w:t>
            </w:r>
            <w:r>
              <w:rPr>
                <w:rFonts w:ascii="Verdana" w:eastAsia="Verdana" w:hAnsi="Verdana" w:cs="Verdana"/>
                <w:i/>
                <w:noProof/>
                <w:color w:val="000000"/>
                <w:sz w:val="18"/>
              </w:rPr>
              <w:t xml:space="preserve"> Agency (INEA)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lang w:bidi="en-GB"/>
              </w:rPr>
            </w:pP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b/>
                <w:i/>
                <w:noProof/>
                <w:color w:val="000000"/>
                <w:sz w:val="18"/>
              </w:rPr>
            </w:pPr>
            <w:r>
              <w:rPr>
                <w:rFonts w:ascii="Verdana" w:eastAsia="Verdana" w:hAnsi="Verdana" w:cs="Verdana"/>
                <w:b/>
                <w:i/>
                <w:noProof/>
                <w:color w:val="000000"/>
                <w:sz w:val="18"/>
              </w:rPr>
              <w:t>2.2. Decentralised Agencies (33)</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lang w:bidi="en-GB"/>
              </w:rPr>
            </w:pP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Maritime Safety Agency (EMSA)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Food Safety Authority (EFSA)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Medicines Agency (EMA)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Union Agency for Railways (RAIL)</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Chemicals Agency (ECHA)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 xml:space="preserve">Community Plant </w:t>
            </w:r>
            <w:r>
              <w:rPr>
                <w:rFonts w:ascii="Verdana" w:eastAsia="Verdana" w:hAnsi="Verdana" w:cs="Verdana"/>
                <w:i/>
                <w:noProof/>
                <w:color w:val="000000"/>
                <w:sz w:val="18"/>
              </w:rPr>
              <w:t>Variety Office (CPVO)</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Institute for Gender Equality (EIGE)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Fisheries Control Agency (EFCA)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Environment Agency (EEA)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Union Intellectual Property Office (EUIPO)</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Banking Authority (EBA)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 xml:space="preserve">European Union Aviation </w:t>
            </w:r>
            <w:r>
              <w:rPr>
                <w:rFonts w:ascii="Verdana" w:eastAsia="Verdana" w:hAnsi="Verdana" w:cs="Verdana"/>
                <w:i/>
                <w:noProof/>
                <w:color w:val="000000"/>
                <w:sz w:val="18"/>
              </w:rPr>
              <w:t>Safety Agency (EASA)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Asylum Support Office (EASO)</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Securities and Markets Authority (ESMA)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Border and Coast Guard Agency (Frontex)</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Training Foundation (ETF)</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Union Agency for Law Enforcement Training (CEPOL)</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w:t>
            </w:r>
            <w:r>
              <w:rPr>
                <w:rFonts w:ascii="Verdana" w:eastAsia="Verdana" w:hAnsi="Verdana" w:cs="Verdana"/>
                <w:i/>
                <w:noProof/>
                <w:color w:val="000000"/>
                <w:sz w:val="18"/>
              </w:rPr>
              <w:t>ropean Foundation for the Improvement of Living and Working Conditions (Eurofound)</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Global Navigation Satellite Systems Agency (GSA)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Monitoring Centre for Drugs and Drug Addiction (EMCDDA)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 xml:space="preserve">European Union Agency for Criminal Justice </w:t>
            </w:r>
            <w:r>
              <w:rPr>
                <w:rFonts w:ascii="Verdana" w:eastAsia="Verdana" w:hAnsi="Verdana" w:cs="Verdana"/>
                <w:i/>
                <w:noProof/>
                <w:color w:val="000000"/>
                <w:sz w:val="18"/>
              </w:rPr>
              <w:t>Cooperation (Eurojust)</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Union Agency for Law Enforcement Cooperation (EUROPOL)</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Agency for Safety and Health at Work (EU-OSHA)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European Union Agency for Fundamental Rights (FRA)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Centre for Disease Prevention and Control (ECDC)</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Eu</w:t>
            </w:r>
            <w:r>
              <w:rPr>
                <w:rFonts w:ascii="Verdana" w:eastAsia="Verdana" w:hAnsi="Verdana" w:cs="Verdana"/>
                <w:i/>
                <w:noProof/>
                <w:color w:val="000000"/>
                <w:sz w:val="18"/>
              </w:rPr>
              <w:t>ropean Insurance and Occupational Pensions Authority (EIOPA)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Centre for the Development of Vocational Training (CEDEFOP)</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Translation Centre for the Bodies of the European Union</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Union Agency for the Cooperation of Energy Regulators (ACER</w:t>
            </w:r>
            <w:r>
              <w:rPr>
                <w:rFonts w:ascii="Verdana" w:eastAsia="Verdana" w:hAnsi="Verdana" w:cs="Verdana"/>
                <w:i/>
                <w:noProof/>
                <w:color w:val="000000"/>
                <w:sz w:val="18"/>
              </w:rPr>
              <w:t>)</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Fusion for Energy (European Joint Undertaking for ITER and the Development of Fusion Energy)</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Agency for Support for the Body of European Regulators for Electronic Communications (BEREC Office)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 xml:space="preserve">European Union Agency for the Operational Management of </w:t>
            </w:r>
            <w:r>
              <w:rPr>
                <w:rFonts w:ascii="Verdana" w:eastAsia="Verdana" w:hAnsi="Verdana" w:cs="Verdana"/>
                <w:i/>
                <w:noProof/>
                <w:color w:val="000000"/>
                <w:sz w:val="18"/>
              </w:rPr>
              <w:t>Large-Scale IT Systems in the Area of Freedom, Security and Justice (eu-LISA)</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Union Agency for Cybersecurity (ENISA)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lang w:bidi="en-GB"/>
              </w:rPr>
            </w:pP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i/>
                <w:noProof/>
                <w:color w:val="000000"/>
                <w:sz w:val="18"/>
                <w:lang w:bidi="en-GB"/>
              </w:rPr>
            </w:pPr>
          </w:p>
        </w:tc>
      </w:tr>
      <w:tr w:rsidR="00135552">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09BIPCE"/>
              <w:rPr>
                <w:rFonts w:ascii="Verdana" w:eastAsia="Verdana" w:hAnsi="Verdana" w:cs="Verdana"/>
                <w:b/>
                <w:noProof/>
                <w:color w:val="000000"/>
                <w:sz w:val="18"/>
                <w:lang w:bidi="en-GB"/>
              </w:rPr>
            </w:pPr>
            <w:r>
              <w:rPr>
                <w:rFonts w:ascii="Verdana" w:eastAsia="Verdana" w:hAnsi="Verdana" w:cs="Verdana"/>
                <w:b/>
                <w:noProof/>
                <w:color w:val="000000"/>
                <w:sz w:val="18"/>
              </w:rPr>
              <w:t>3. Other controlled entities (2)</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Coal and Steel Community in Liquidation (ECSC i.L.)</w:t>
            </w:r>
          </w:p>
        </w:tc>
        <w:tc>
          <w:tcPr>
            <w:tcW w:w="4879" w:type="dxa"/>
            <w:tcBorders>
              <w:top w:val="nil"/>
              <w:left w:val="nil"/>
              <w:bottom w:val="nil"/>
              <w:right w:val="nil"/>
              <w:tl2br w:val="nil"/>
              <w:tr2bl w:val="nil"/>
            </w:tcBorders>
            <w:shd w:val="solid" w:color="FFFFFF" w:fill="FFFFFF"/>
            <w:tcMar>
              <w:left w:w="60" w:type="dxa"/>
              <w:right w:w="60" w:type="dxa"/>
            </w:tcMar>
          </w:tcPr>
          <w:p w:rsidR="00135552" w:rsidRDefault="004C63B0">
            <w:pPr>
              <w:pStyle w:val="DMETW17209BIPCE"/>
              <w:rPr>
                <w:rFonts w:ascii="Verdana" w:eastAsia="Verdana" w:hAnsi="Verdana" w:cs="Verdana"/>
                <w:i/>
                <w:noProof/>
                <w:color w:val="000000"/>
                <w:sz w:val="18"/>
                <w:lang w:bidi="en-GB"/>
              </w:rPr>
            </w:pPr>
            <w:r>
              <w:rPr>
                <w:rFonts w:ascii="Verdana" w:eastAsia="Verdana" w:hAnsi="Verdana" w:cs="Verdana"/>
                <w:i/>
                <w:noProof/>
                <w:color w:val="000000"/>
                <w:sz w:val="18"/>
              </w:rPr>
              <w:t xml:space="preserve">European Institute of </w:t>
            </w:r>
            <w:r>
              <w:rPr>
                <w:rFonts w:ascii="Verdana" w:eastAsia="Verdana" w:hAnsi="Verdana" w:cs="Verdana"/>
                <w:i/>
                <w:noProof/>
                <w:color w:val="000000"/>
                <w:sz w:val="18"/>
              </w:rPr>
              <w:t>Innovation and Technology (EIT)</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b/>
                <w:noProof/>
                <w:color w:val="000000"/>
                <w:sz w:val="18"/>
                <w:lang w:bidi="en-GB"/>
              </w:rPr>
            </w:pPr>
          </w:p>
        </w:tc>
      </w:tr>
      <w:tr w:rsidR="00135552">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09BIPCE"/>
              <w:rPr>
                <w:rFonts w:ascii="Verdana" w:eastAsia="Verdana" w:hAnsi="Verdana" w:cs="Verdana"/>
                <w:b/>
                <w:noProof/>
                <w:color w:val="FFFFFF"/>
                <w:lang w:bidi="en-GB"/>
              </w:rPr>
            </w:pPr>
            <w:r>
              <w:rPr>
                <w:rFonts w:ascii="Verdana" w:eastAsia="Verdana" w:hAnsi="Verdana" w:cs="Verdana"/>
                <w:b/>
                <w:noProof/>
                <w:color w:val="FFFFFF"/>
              </w:rPr>
              <w:t>B. ASSOCIATES (1)</w:t>
            </w:r>
          </w:p>
        </w:tc>
      </w:tr>
      <w:tr w:rsidR="00135552">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135552" w:rsidRDefault="004C63B0">
            <w:pPr>
              <w:pStyle w:val="DMETW17209BIPCE"/>
              <w:rPr>
                <w:rFonts w:ascii="Verdana" w:eastAsia="Verdana" w:hAnsi="Verdana" w:cs="Verdana"/>
                <w:i/>
                <w:noProof/>
                <w:color w:val="000000"/>
                <w:sz w:val="18"/>
              </w:rPr>
            </w:pPr>
            <w:r>
              <w:rPr>
                <w:rFonts w:ascii="Verdana" w:eastAsia="Verdana" w:hAnsi="Verdana" w:cs="Verdana"/>
                <w:i/>
                <w:noProof/>
                <w:color w:val="000000"/>
                <w:sz w:val="18"/>
              </w:rPr>
              <w:t>European Investment Fund (EIF)</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209BIPCE"/>
              <w:rPr>
                <w:rFonts w:ascii="Verdana" w:eastAsia="Verdana" w:hAnsi="Verdana" w:cs="Verdana"/>
                <w:noProof/>
                <w:color w:val="000000"/>
                <w:sz w:val="18"/>
              </w:rPr>
            </w:pPr>
          </w:p>
        </w:tc>
      </w:tr>
    </w:tbl>
    <w:p w:rsidR="00135552" w:rsidRDefault="00135552">
      <w:pPr>
        <w:pStyle w:val="HEADER1NOTES"/>
        <w:numPr>
          <w:ilvl w:val="0"/>
          <w:numId w:val="0"/>
        </w:numPr>
        <w:ind w:left="907" w:hanging="907"/>
        <w:rPr>
          <w:noProof/>
        </w:rPr>
      </w:pPr>
    </w:p>
    <w:p w:rsidR="00135552" w:rsidRDefault="004C63B0">
      <w:pPr>
        <w:pStyle w:val="DGTextstand-alone"/>
      </w:pPr>
      <w:r>
        <w:br w:type="page"/>
      </w:r>
    </w:p>
    <w:p w:rsidR="00135552" w:rsidRDefault="004C63B0">
      <w:pPr>
        <w:pStyle w:val="HEADER5"/>
        <w:rPr>
          <w:noProof/>
        </w:rPr>
      </w:pPr>
      <w:r>
        <w:rPr>
          <w:noProof/>
        </w:rPr>
        <w:t>MINOR ENTITIES</w:t>
      </w:r>
    </w:p>
    <w:p w:rsidR="00135552" w:rsidRDefault="004C63B0">
      <w:pPr>
        <w:pStyle w:val="DGTextstand-alone"/>
      </w:pPr>
      <w:r>
        <w:t xml:space="preserve">The entities listed below have not been consolidated using the equity method in the 2019 EU consolidated financial statements on the basis of </w:t>
      </w:r>
      <w:r>
        <w:t>immateriality:</w:t>
      </w:r>
    </w:p>
    <w:p w:rsidR="00135552" w:rsidRDefault="004C63B0">
      <w:pPr>
        <w:pStyle w:val="HEADER5"/>
        <w:rPr>
          <w:noProof/>
        </w:rPr>
      </w:pPr>
      <w:r>
        <w:rPr>
          <w:noProof/>
        </w:rPr>
        <w:t>Bio Based Industries Joint Undertaking (BBI)</w:t>
      </w:r>
    </w:p>
    <w:p w:rsidR="00135552" w:rsidRDefault="004C63B0">
      <w:pPr>
        <w:pStyle w:val="DGTextstand-alone"/>
      </w:pPr>
      <w:r>
        <w:t>BBI is a Public-Private Partnership (PPP) between the EU and the Bio-based Industries Consortium (BIC). The objectives of the BBI are to contribute to a more resource efficient and sustainable low</w:t>
      </w:r>
      <w:r>
        <w:t>-carbon economy and to increasing economic growth and employment by developing sustainable and competitive bio-based industries in Europe.</w:t>
      </w:r>
    </w:p>
    <w:p w:rsidR="00135552" w:rsidRDefault="004C63B0">
      <w:pPr>
        <w:pStyle w:val="HEADER5"/>
        <w:rPr>
          <w:noProof/>
        </w:rPr>
      </w:pPr>
      <w:r>
        <w:rPr>
          <w:noProof/>
        </w:rPr>
        <w:t>Clean Sky Joint Undertaking (Clean Sky)</w:t>
      </w:r>
    </w:p>
    <w:p w:rsidR="00135552" w:rsidRDefault="004C63B0">
      <w:pPr>
        <w:pStyle w:val="DGTextstand-alone"/>
      </w:pPr>
      <w:r>
        <w:t>Clean Sky is the largest European research programme developing innovative, c</w:t>
      </w:r>
      <w:r>
        <w:t>utting-edge technology aimed at reducing CO2, gas emissions and noise levels produced by aircraft. Funded by the EU’s Horizon 2020 programme, Clean Sky contributes to strengthening European aero-industry collaboration, global leadership and competitiveness</w:t>
      </w:r>
      <w:r>
        <w:t>.</w:t>
      </w:r>
    </w:p>
    <w:p w:rsidR="00135552" w:rsidRDefault="004C63B0">
      <w:pPr>
        <w:pStyle w:val="HEADER5"/>
        <w:rPr>
          <w:noProof/>
        </w:rPr>
      </w:pPr>
      <w:r>
        <w:rPr>
          <w:noProof/>
        </w:rPr>
        <w:t>Innovative Medicines Initiative Joint Undertaking (IMI)</w:t>
      </w:r>
    </w:p>
    <w:p w:rsidR="00135552" w:rsidRDefault="004C63B0">
      <w:pPr>
        <w:pStyle w:val="DGTextstand-alone"/>
      </w:pPr>
      <w:r>
        <w:t>IMI, a partnership between the European Union and the European pharmaceutical industry, is the world’s biggest public private partnership in life sciences and working to improve health by speeding u</w:t>
      </w:r>
      <w:r>
        <w:t>p the development of, and patient access to, innovative medicines, particularly in areas where there is an unmet medical or social need.</w:t>
      </w:r>
    </w:p>
    <w:p w:rsidR="00135552" w:rsidRDefault="004C63B0">
      <w:pPr>
        <w:pStyle w:val="HEADER5"/>
        <w:rPr>
          <w:noProof/>
        </w:rPr>
      </w:pPr>
      <w:r>
        <w:rPr>
          <w:noProof/>
        </w:rPr>
        <w:t>Electronic Components and Systems for European Leadership Joint Undertaking (ECSEL)</w:t>
      </w:r>
    </w:p>
    <w:p w:rsidR="00135552" w:rsidRDefault="004C63B0">
      <w:pPr>
        <w:pStyle w:val="DGTextstand-alone"/>
      </w:pPr>
      <w:r>
        <w:t>ECSEL, a PPP in electronic componen</w:t>
      </w:r>
      <w:r>
        <w:t>ts and systems, funds research, development and innovation projects for world-class expertise in electronic components and systems, thus contributing to the development of a strong and globally competitive electronics components and systems industry in the</w:t>
      </w:r>
      <w:r>
        <w:t xml:space="preserve"> European Union.</w:t>
      </w:r>
    </w:p>
    <w:p w:rsidR="00135552" w:rsidRDefault="004C63B0">
      <w:pPr>
        <w:pStyle w:val="HEADER5"/>
        <w:rPr>
          <w:noProof/>
        </w:rPr>
      </w:pPr>
      <w:r>
        <w:rPr>
          <w:noProof/>
        </w:rPr>
        <w:t>Fuel Cells Hydrogen Joint Undertaking (FCH)</w:t>
      </w:r>
    </w:p>
    <w:p w:rsidR="00135552" w:rsidRDefault="004C63B0">
      <w:pPr>
        <w:pStyle w:val="DGTextstand-alone"/>
      </w:pPr>
      <w:r>
        <w:t>FCH is a PPP supporting research, technological development and demonstration (RTD) activities in fuel cell and hydrogen energy technologies in Europe. Its aim is to accelerate the market introdu</w:t>
      </w:r>
      <w:r>
        <w:t>ction of these technologies, realising their potential as an instrument in achieving a carbon-lean energy system.</w:t>
      </w:r>
    </w:p>
    <w:p w:rsidR="00135552" w:rsidRDefault="004C63B0">
      <w:pPr>
        <w:pStyle w:val="HEADER5"/>
        <w:rPr>
          <w:noProof/>
        </w:rPr>
      </w:pPr>
      <w:r>
        <w:rPr>
          <w:noProof/>
        </w:rPr>
        <w:t>Single European Sky ATM Research Joint Undertaking (SESAR)</w:t>
      </w:r>
    </w:p>
    <w:p w:rsidR="00135552" w:rsidRDefault="004C63B0">
      <w:pPr>
        <w:pStyle w:val="DGTextstand-alone"/>
      </w:pPr>
      <w:r>
        <w:t>SESAR is a PPP responsible for the modernisation of the European air traffic manage</w:t>
      </w:r>
      <w:r>
        <w:t>ment (ATM) system by coordinating and concentrating all ATM relevant research and innovation efforts in the EU.</w:t>
      </w:r>
    </w:p>
    <w:p w:rsidR="00135552" w:rsidRDefault="004C63B0">
      <w:pPr>
        <w:pStyle w:val="HEADER5"/>
        <w:rPr>
          <w:noProof/>
        </w:rPr>
      </w:pPr>
      <w:r>
        <w:rPr>
          <w:noProof/>
        </w:rPr>
        <w:t>Shift2Rail Joint Undertaking (Shift2Rail)</w:t>
      </w:r>
    </w:p>
    <w:p w:rsidR="00135552" w:rsidRDefault="004C63B0">
      <w:pPr>
        <w:pStyle w:val="DGTextstand-alone"/>
      </w:pPr>
      <w:r>
        <w:t xml:space="preserve">Shift2Rail is the first European rail joint technology initiative to seek focused research and </w:t>
      </w:r>
      <w:r>
        <w:t>innovation (R&amp;I) and market-driven solutions by accelerating the integration of new and advanced technologies into innovative rail product solutions. </w:t>
      </w:r>
    </w:p>
    <w:p w:rsidR="00135552" w:rsidRDefault="004C63B0">
      <w:pPr>
        <w:pStyle w:val="DGTextstand-alone"/>
      </w:pPr>
      <w:r>
        <w:t>The annual accounts of the above entities are publicly available on their respective websites.</w:t>
      </w:r>
    </w:p>
    <w:bookmarkEnd w:id="166"/>
    <w:p w:rsidR="00135552" w:rsidRDefault="00135552">
      <w:pPr>
        <w:pStyle w:val="DGTextstand-alone"/>
      </w:pPr>
    </w:p>
    <w:p w:rsidR="00135552" w:rsidRDefault="00135552">
      <w:pPr>
        <w:pStyle w:val="DGTextstand-alone"/>
        <w:sectPr w:rsidR="00135552">
          <w:headerReference w:type="even" r:id="rId293"/>
          <w:headerReference w:type="default" r:id="rId294"/>
          <w:footerReference w:type="even" r:id="rId295"/>
          <w:footerReference w:type="default" r:id="rId296"/>
          <w:headerReference w:type="first" r:id="rId297"/>
          <w:footerReference w:type="first" r:id="rId298"/>
          <w:pgSz w:w="11906" w:h="16838"/>
          <w:pgMar w:top="1134" w:right="1134" w:bottom="1134" w:left="1134" w:header="709" w:footer="709" w:gutter="0"/>
          <w:cols w:space="708"/>
          <w:docGrid w:linePitch="360"/>
        </w:sectPr>
      </w:pPr>
    </w:p>
    <w:p w:rsidR="00135552" w:rsidRDefault="00135552">
      <w:pPr>
        <w:pStyle w:val="Textstand-alone"/>
      </w:pPr>
      <w:bookmarkStart w:id="168" w:name="_DMBM_17110"/>
    </w:p>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FIRSTCHAPTERPAGE"/>
        <w:rPr>
          <w:noProof/>
        </w:rPr>
      </w:pPr>
    </w:p>
    <w:p w:rsidR="00135552" w:rsidRDefault="00135552">
      <w:pPr>
        <w:pStyle w:val="FIRSTCHAPTERPAGE"/>
        <w:rPr>
          <w:noProof/>
        </w:rPr>
      </w:pPr>
    </w:p>
    <w:p w:rsidR="00135552" w:rsidRDefault="00135552">
      <w:pPr>
        <w:pStyle w:val="FIRSTCHAPTERPAGE"/>
        <w:rPr>
          <w:noProof/>
        </w:rPr>
      </w:pPr>
    </w:p>
    <w:p w:rsidR="00135552" w:rsidRDefault="004C63B0">
      <w:pPr>
        <w:pStyle w:val="FIRSTCHAPTERPAGE"/>
        <w:rPr>
          <w:noProof/>
        </w:rPr>
      </w:pPr>
      <w:bookmarkStart w:id="169" w:name="_Toc43224157"/>
      <w:r>
        <w:rPr>
          <w:noProof/>
        </w:rPr>
        <w:t>FINANCIAL STATEMENT DISCUSSION AND ANALYSIS</w:t>
      </w:r>
      <w:bookmarkEnd w:id="169"/>
    </w:p>
    <w:p w:rsidR="00135552" w:rsidRDefault="004C63B0">
      <w:pPr>
        <w:pStyle w:val="Financialyear0"/>
        <w:rPr>
          <w:noProof/>
        </w:rPr>
      </w:pPr>
      <w:r>
        <w:rPr>
          <w:noProof/>
        </w:rPr>
        <w:t>FINANCIAL YEAR 2019</w:t>
      </w:r>
    </w:p>
    <w:p w:rsidR="00135552" w:rsidRDefault="00135552">
      <w:pPr>
        <w:pStyle w:val="DGTextstand-alone"/>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135552">
      <w:pPr>
        <w:pStyle w:val="DGTextstand-alone"/>
        <w:rPr>
          <w:i/>
        </w:rPr>
      </w:pPr>
    </w:p>
    <w:p w:rsidR="00135552" w:rsidRDefault="004C63B0">
      <w:pPr>
        <w:rPr>
          <w:rFonts w:ascii="Verdana" w:hAnsi="Verdana"/>
          <w:i/>
          <w:noProof/>
          <w:sz w:val="18"/>
          <w:szCs w:val="18"/>
        </w:rPr>
      </w:pPr>
      <w:r>
        <w:rPr>
          <w:rFonts w:ascii="Verdana" w:hAnsi="Verdana"/>
          <w:i/>
          <w:noProof/>
          <w:color w:val="016794"/>
          <w:sz w:val="18"/>
        </w:rPr>
        <w:t xml:space="preserve">It should be noted that due to the rounding of figures into millions of euros, some </w:t>
      </w:r>
      <w:r>
        <w:rPr>
          <w:rFonts w:ascii="Verdana" w:hAnsi="Verdana"/>
          <w:i/>
          <w:noProof/>
          <w:color w:val="016794"/>
          <w:sz w:val="18"/>
        </w:rPr>
        <w:t>financial data in the tables below may appear not to add up.</w:t>
      </w:r>
      <w:r>
        <w:rPr>
          <w:i/>
          <w:noProof/>
        </w:rPr>
        <w:br w:type="page"/>
      </w:r>
    </w:p>
    <w:p w:rsidR="00135552" w:rsidRDefault="004C63B0">
      <w:pPr>
        <w:pStyle w:val="HEADERTABLE"/>
        <w:rPr>
          <w:noProof/>
        </w:rPr>
      </w:pPr>
      <w:r>
        <w:rPr>
          <w:noProof/>
        </w:rPr>
        <w:t>CONTENTS</w:t>
      </w:r>
    </w:p>
    <w:sdt>
      <w:sdtPr>
        <w:rPr>
          <w:rFonts w:ascii="Times New Roman" w:eastAsia="Times New Roman" w:hAnsi="Times New Roman" w:cs="Times New Roman"/>
          <w:b w:val="0"/>
          <w:bCs w:val="0"/>
          <w:noProof/>
          <w:color w:val="auto"/>
          <w:sz w:val="24"/>
          <w:szCs w:val="24"/>
          <w:lang w:val="en-GB" w:eastAsia="en-GB"/>
        </w:rPr>
        <w:id w:val="-428046295"/>
        <w:docPartObj>
          <w:docPartGallery w:val="Table of Contents"/>
          <w:docPartUnique/>
        </w:docPartObj>
      </w:sdtPr>
      <w:sdtEndPr/>
      <w:sdtContent>
        <w:p w:rsidR="00135552" w:rsidRDefault="00135552">
          <w:pPr>
            <w:pStyle w:val="TOCHeading"/>
            <w:rPr>
              <w:noProof/>
            </w:rPr>
          </w:pPr>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r>
            <w:rPr>
              <w:noProof/>
            </w:rPr>
            <w:fldChar w:fldCharType="begin"/>
          </w:r>
          <w:r>
            <w:rPr>
              <w:noProof/>
            </w:rPr>
            <w:instrText xml:space="preserve"> TOC \o "1-3" \h \z \t "HEADER 1_Part 4;1;HEADER 2_Part 4;2" </w:instrText>
          </w:r>
          <w:r>
            <w:rPr>
              <w:noProof/>
            </w:rPr>
            <w:fldChar w:fldCharType="separate"/>
          </w:r>
          <w:hyperlink w:anchor="_Toc43224176" w:history="1">
            <w:r>
              <w:rPr>
                <w:rStyle w:val="Hyperlink"/>
                <w:noProof/>
              </w:rPr>
              <w:t>1.</w:t>
            </w:r>
            <w:r>
              <w:rPr>
                <w:rFonts w:asciiTheme="minorHAnsi" w:eastAsiaTheme="minorEastAsia" w:hAnsiTheme="minorHAnsi" w:cstheme="minorBidi"/>
                <w:noProof/>
                <w:color w:val="auto"/>
                <w:szCs w:val="22"/>
                <w:lang w:val="de-DE" w:eastAsia="de-DE"/>
              </w:rPr>
              <w:tab/>
            </w:r>
            <w:r>
              <w:rPr>
                <w:rStyle w:val="Hyperlink"/>
                <w:noProof/>
              </w:rPr>
              <w:t>CONSOLIDATED FINANCIAL STATEMENTS OF THE EU:</w:t>
            </w:r>
            <w:r>
              <w:rPr>
                <w:rStyle w:val="Hyperlink"/>
                <w:noProof/>
              </w:rPr>
              <w:br/>
            </w:r>
            <w:r>
              <w:rPr>
                <w:rStyle w:val="Hyperlink"/>
                <w:noProof/>
              </w:rPr>
              <w:tab/>
              <w:t>FINANCIAL SITUATION 2019</w:t>
            </w:r>
            <w:r>
              <w:rPr>
                <w:noProof/>
                <w:webHidden/>
              </w:rPr>
              <w:tab/>
            </w:r>
            <w:r>
              <w:rPr>
                <w:noProof/>
                <w:webHidden/>
              </w:rPr>
              <w:fldChar w:fldCharType="begin"/>
            </w:r>
            <w:r>
              <w:rPr>
                <w:noProof/>
                <w:webHidden/>
              </w:rPr>
              <w:instrText xml:space="preserve"> PAGEREF _Toc4322</w:instrText>
            </w:r>
            <w:r>
              <w:rPr>
                <w:noProof/>
                <w:webHidden/>
              </w:rPr>
              <w:instrText xml:space="preserve">4176 \h </w:instrText>
            </w:r>
            <w:r>
              <w:rPr>
                <w:noProof/>
                <w:webHidden/>
              </w:rPr>
            </w:r>
            <w:r>
              <w:rPr>
                <w:noProof/>
                <w:webHidden/>
              </w:rPr>
              <w:fldChar w:fldCharType="separate"/>
            </w:r>
            <w:r>
              <w:rPr>
                <w:noProof/>
                <w:webHidden/>
              </w:rPr>
              <w:t>98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77" w:history="1">
            <w:r>
              <w:rPr>
                <w:rStyle w:val="Hyperlink"/>
                <w:noProof/>
              </w:rPr>
              <w:t>1.1.</w:t>
            </w:r>
            <w:r>
              <w:rPr>
                <w:rFonts w:asciiTheme="minorHAnsi" w:eastAsiaTheme="minorEastAsia" w:hAnsiTheme="minorHAnsi" w:cstheme="minorBidi"/>
                <w:noProof/>
                <w:color w:val="auto"/>
                <w:szCs w:val="22"/>
                <w:lang w:val="de-DE" w:eastAsia="de-DE"/>
              </w:rPr>
              <w:tab/>
            </w:r>
            <w:r>
              <w:rPr>
                <w:rStyle w:val="Hyperlink"/>
                <w:noProof/>
              </w:rPr>
              <w:t>REVENUE</w:t>
            </w:r>
            <w:r>
              <w:rPr>
                <w:noProof/>
                <w:webHidden/>
              </w:rPr>
              <w:tab/>
            </w:r>
            <w:r>
              <w:rPr>
                <w:noProof/>
                <w:webHidden/>
              </w:rPr>
              <w:fldChar w:fldCharType="begin"/>
            </w:r>
            <w:r>
              <w:rPr>
                <w:noProof/>
                <w:webHidden/>
              </w:rPr>
              <w:instrText xml:space="preserve"> PAGEREF _Toc43224177 \h </w:instrText>
            </w:r>
            <w:r>
              <w:rPr>
                <w:noProof/>
                <w:webHidden/>
              </w:rPr>
            </w:r>
            <w:r>
              <w:rPr>
                <w:noProof/>
                <w:webHidden/>
              </w:rPr>
              <w:fldChar w:fldCharType="separate"/>
            </w:r>
            <w:r>
              <w:rPr>
                <w:noProof/>
                <w:webHidden/>
              </w:rPr>
              <w:t>98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78" w:history="1">
            <w:r>
              <w:rPr>
                <w:rStyle w:val="Hyperlink"/>
                <w:noProof/>
              </w:rPr>
              <w:t>1.2.</w:t>
            </w:r>
            <w:r>
              <w:rPr>
                <w:rFonts w:asciiTheme="minorHAnsi" w:eastAsiaTheme="minorEastAsia" w:hAnsiTheme="minorHAnsi" w:cstheme="minorBidi"/>
                <w:noProof/>
                <w:color w:val="auto"/>
                <w:szCs w:val="22"/>
                <w:lang w:val="de-DE" w:eastAsia="de-DE"/>
              </w:rPr>
              <w:tab/>
            </w:r>
            <w:r>
              <w:rPr>
                <w:rStyle w:val="Hyperlink"/>
                <w:noProof/>
              </w:rPr>
              <w:t>EXPENSES</w:t>
            </w:r>
            <w:r>
              <w:rPr>
                <w:noProof/>
                <w:webHidden/>
              </w:rPr>
              <w:tab/>
            </w:r>
            <w:r>
              <w:rPr>
                <w:noProof/>
                <w:webHidden/>
              </w:rPr>
              <w:fldChar w:fldCharType="begin"/>
            </w:r>
            <w:r>
              <w:rPr>
                <w:noProof/>
                <w:webHidden/>
              </w:rPr>
              <w:instrText xml:space="preserve"> PAGEREF _Toc43224178 \h </w:instrText>
            </w:r>
            <w:r>
              <w:rPr>
                <w:noProof/>
                <w:webHidden/>
              </w:rPr>
            </w:r>
            <w:r>
              <w:rPr>
                <w:noProof/>
                <w:webHidden/>
              </w:rPr>
              <w:fldChar w:fldCharType="separate"/>
            </w:r>
            <w:r>
              <w:rPr>
                <w:noProof/>
                <w:webHidden/>
              </w:rPr>
              <w:t>99</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79" w:history="1">
            <w:r>
              <w:rPr>
                <w:rStyle w:val="Hyperlink"/>
                <w:noProof/>
              </w:rPr>
              <w:t>1.3.</w:t>
            </w:r>
            <w:r>
              <w:rPr>
                <w:rFonts w:asciiTheme="minorHAnsi" w:eastAsiaTheme="minorEastAsia" w:hAnsiTheme="minorHAnsi" w:cstheme="minorBidi"/>
                <w:noProof/>
                <w:color w:val="auto"/>
                <w:szCs w:val="22"/>
                <w:lang w:val="de-DE" w:eastAsia="de-DE"/>
              </w:rPr>
              <w:tab/>
            </w:r>
            <w:r>
              <w:rPr>
                <w:rStyle w:val="Hyperlink"/>
                <w:noProof/>
              </w:rPr>
              <w:t>ASSETS</w:t>
            </w:r>
            <w:r>
              <w:rPr>
                <w:noProof/>
                <w:webHidden/>
              </w:rPr>
              <w:tab/>
            </w:r>
            <w:r>
              <w:rPr>
                <w:noProof/>
                <w:webHidden/>
              </w:rPr>
              <w:fldChar w:fldCharType="begin"/>
            </w:r>
            <w:r>
              <w:rPr>
                <w:noProof/>
                <w:webHidden/>
              </w:rPr>
              <w:instrText xml:space="preserve"> PAGEREF _Toc43224179 \h </w:instrText>
            </w:r>
            <w:r>
              <w:rPr>
                <w:noProof/>
                <w:webHidden/>
              </w:rPr>
            </w:r>
            <w:r>
              <w:rPr>
                <w:noProof/>
                <w:webHidden/>
              </w:rPr>
              <w:fldChar w:fldCharType="separate"/>
            </w:r>
            <w:r>
              <w:rPr>
                <w:noProof/>
                <w:webHidden/>
              </w:rPr>
              <w:t>100</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80" w:history="1">
            <w:r>
              <w:rPr>
                <w:rStyle w:val="Hyperlink"/>
                <w:noProof/>
              </w:rPr>
              <w:t>1.4.</w:t>
            </w:r>
            <w:r>
              <w:rPr>
                <w:rFonts w:asciiTheme="minorHAnsi" w:eastAsiaTheme="minorEastAsia" w:hAnsiTheme="minorHAnsi" w:cstheme="minorBidi"/>
                <w:noProof/>
                <w:color w:val="auto"/>
                <w:szCs w:val="22"/>
                <w:lang w:val="de-DE" w:eastAsia="de-DE"/>
              </w:rPr>
              <w:tab/>
            </w:r>
            <w:r>
              <w:rPr>
                <w:rStyle w:val="Hyperlink"/>
                <w:noProof/>
              </w:rPr>
              <w:t>LIABILITIES</w:t>
            </w:r>
            <w:r>
              <w:rPr>
                <w:noProof/>
                <w:webHidden/>
              </w:rPr>
              <w:tab/>
            </w:r>
            <w:r>
              <w:rPr>
                <w:noProof/>
                <w:webHidden/>
              </w:rPr>
              <w:fldChar w:fldCharType="begin"/>
            </w:r>
            <w:r>
              <w:rPr>
                <w:noProof/>
                <w:webHidden/>
              </w:rPr>
              <w:instrText xml:space="preserve"> PAGEREF _Toc43224180 \h </w:instrText>
            </w:r>
            <w:r>
              <w:rPr>
                <w:noProof/>
                <w:webHidden/>
              </w:rPr>
            </w:r>
            <w:r>
              <w:rPr>
                <w:noProof/>
                <w:webHidden/>
              </w:rPr>
              <w:fldChar w:fldCharType="separate"/>
            </w:r>
            <w:r>
              <w:rPr>
                <w:noProof/>
                <w:webHidden/>
              </w:rPr>
              <w:t>106</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4181" w:history="1">
            <w:r>
              <w:rPr>
                <w:rStyle w:val="Hyperlink"/>
                <w:noProof/>
              </w:rPr>
              <w:t>2.</w:t>
            </w:r>
            <w:r>
              <w:rPr>
                <w:rFonts w:asciiTheme="minorHAnsi" w:eastAsiaTheme="minorEastAsia" w:hAnsiTheme="minorHAnsi" w:cstheme="minorBidi"/>
                <w:noProof/>
                <w:color w:val="auto"/>
                <w:szCs w:val="22"/>
                <w:lang w:val="de-DE" w:eastAsia="de-DE"/>
              </w:rPr>
              <w:tab/>
            </w:r>
            <w:r>
              <w:rPr>
                <w:rStyle w:val="Hyperlink"/>
                <w:noProof/>
              </w:rPr>
              <w:t xml:space="preserve">MANAGEMENT OF RISKS AND UNCERTAINTIES OF EU BUDGET </w:t>
            </w:r>
            <w:r>
              <w:rPr>
                <w:rStyle w:val="Hyperlink"/>
                <w:noProof/>
              </w:rPr>
              <w:tab/>
              <w:t>IMPLEMENTATION</w:t>
            </w:r>
            <w:r>
              <w:rPr>
                <w:noProof/>
                <w:webHidden/>
              </w:rPr>
              <w:tab/>
            </w:r>
            <w:r>
              <w:rPr>
                <w:noProof/>
                <w:webHidden/>
              </w:rPr>
              <w:fldChar w:fldCharType="begin"/>
            </w:r>
            <w:r>
              <w:rPr>
                <w:noProof/>
                <w:webHidden/>
              </w:rPr>
              <w:instrText xml:space="preserve"> PAGEREF _Toc43224181 </w:instrText>
            </w:r>
            <w:r>
              <w:rPr>
                <w:noProof/>
                <w:webHidden/>
              </w:rPr>
              <w:instrText xml:space="preserve">\h </w:instrText>
            </w:r>
            <w:r>
              <w:rPr>
                <w:noProof/>
                <w:webHidden/>
              </w:rPr>
            </w:r>
            <w:r>
              <w:rPr>
                <w:noProof/>
                <w:webHidden/>
              </w:rPr>
              <w:fldChar w:fldCharType="separate"/>
            </w:r>
            <w:r>
              <w:rPr>
                <w:noProof/>
                <w:webHidden/>
              </w:rPr>
              <w:t>107</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82" w:history="1">
            <w:r>
              <w:rPr>
                <w:rStyle w:val="Hyperlink"/>
                <w:noProof/>
              </w:rPr>
              <w:t>2.1.</w:t>
            </w:r>
            <w:r>
              <w:rPr>
                <w:rFonts w:asciiTheme="minorHAnsi" w:eastAsiaTheme="minorEastAsia" w:hAnsiTheme="minorHAnsi" w:cstheme="minorBidi"/>
                <w:noProof/>
                <w:color w:val="auto"/>
                <w:szCs w:val="22"/>
                <w:lang w:val="de-DE" w:eastAsia="de-DE"/>
              </w:rPr>
              <w:tab/>
            </w:r>
            <w:r>
              <w:rPr>
                <w:rStyle w:val="Hyperlink"/>
                <w:noProof/>
              </w:rPr>
              <w:t>MACRO-ECONOMIC ENVIRONMENT</w:t>
            </w:r>
            <w:r>
              <w:rPr>
                <w:noProof/>
                <w:webHidden/>
              </w:rPr>
              <w:tab/>
            </w:r>
            <w:r>
              <w:rPr>
                <w:noProof/>
                <w:webHidden/>
              </w:rPr>
              <w:fldChar w:fldCharType="begin"/>
            </w:r>
            <w:r>
              <w:rPr>
                <w:noProof/>
                <w:webHidden/>
              </w:rPr>
              <w:instrText xml:space="preserve"> PAGEREF _Toc43224182 \h </w:instrText>
            </w:r>
            <w:r>
              <w:rPr>
                <w:noProof/>
                <w:webHidden/>
              </w:rPr>
            </w:r>
            <w:r>
              <w:rPr>
                <w:noProof/>
                <w:webHidden/>
              </w:rPr>
              <w:fldChar w:fldCharType="separate"/>
            </w:r>
            <w:r>
              <w:rPr>
                <w:noProof/>
                <w:webHidden/>
              </w:rPr>
              <w:t>107</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83" w:history="1">
            <w:r>
              <w:rPr>
                <w:rStyle w:val="Hyperlink"/>
                <w:noProof/>
              </w:rPr>
              <w:t>2.2.</w:t>
            </w:r>
            <w:r>
              <w:rPr>
                <w:rFonts w:asciiTheme="minorHAnsi" w:eastAsiaTheme="minorEastAsia" w:hAnsiTheme="minorHAnsi" w:cstheme="minorBidi"/>
                <w:noProof/>
                <w:color w:val="auto"/>
                <w:szCs w:val="22"/>
                <w:lang w:val="de-DE" w:eastAsia="de-DE"/>
              </w:rPr>
              <w:tab/>
            </w:r>
            <w:r>
              <w:rPr>
                <w:rStyle w:val="Hyperlink"/>
                <w:noProof/>
              </w:rPr>
              <w:t>BUDGETARY CONTINGENT LIABILITIES FOR FINANCIAL ASSISTANCE</w:t>
            </w:r>
            <w:r>
              <w:rPr>
                <w:noProof/>
                <w:webHidden/>
              </w:rPr>
              <w:tab/>
            </w:r>
            <w:r>
              <w:rPr>
                <w:noProof/>
                <w:webHidden/>
              </w:rPr>
              <w:fldChar w:fldCharType="begin"/>
            </w:r>
            <w:r>
              <w:rPr>
                <w:noProof/>
                <w:webHidden/>
              </w:rPr>
              <w:instrText xml:space="preserve"> PAGEREF _Toc43224183 \h </w:instrText>
            </w:r>
            <w:r>
              <w:rPr>
                <w:noProof/>
                <w:webHidden/>
              </w:rPr>
            </w:r>
            <w:r>
              <w:rPr>
                <w:noProof/>
                <w:webHidden/>
              </w:rPr>
              <w:fldChar w:fldCharType="separate"/>
            </w:r>
            <w:r>
              <w:rPr>
                <w:noProof/>
                <w:webHidden/>
              </w:rPr>
              <w:t>107</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84" w:history="1">
            <w:r>
              <w:rPr>
                <w:rStyle w:val="Hyperlink"/>
                <w:noProof/>
              </w:rPr>
              <w:t>2.3.</w:t>
            </w:r>
            <w:r>
              <w:rPr>
                <w:rFonts w:asciiTheme="minorHAnsi" w:eastAsiaTheme="minorEastAsia" w:hAnsiTheme="minorHAnsi" w:cstheme="minorBidi"/>
                <w:noProof/>
                <w:color w:val="auto"/>
                <w:szCs w:val="22"/>
                <w:lang w:val="de-DE" w:eastAsia="de-DE"/>
              </w:rPr>
              <w:tab/>
            </w:r>
            <w:r>
              <w:rPr>
                <w:rStyle w:val="Hyperlink"/>
                <w:noProof/>
              </w:rPr>
              <w:t>BUDGETARY GUARANTEES</w:t>
            </w:r>
            <w:r>
              <w:rPr>
                <w:noProof/>
                <w:webHidden/>
              </w:rPr>
              <w:tab/>
            </w:r>
            <w:r>
              <w:rPr>
                <w:noProof/>
                <w:webHidden/>
              </w:rPr>
              <w:fldChar w:fldCharType="begin"/>
            </w:r>
            <w:r>
              <w:rPr>
                <w:noProof/>
                <w:webHidden/>
              </w:rPr>
              <w:instrText xml:space="preserve"> PAGEREF _</w:instrText>
            </w:r>
            <w:r>
              <w:rPr>
                <w:noProof/>
                <w:webHidden/>
              </w:rPr>
              <w:instrText xml:space="preserve">Toc43224184 \h </w:instrText>
            </w:r>
            <w:r>
              <w:rPr>
                <w:noProof/>
                <w:webHidden/>
              </w:rPr>
            </w:r>
            <w:r>
              <w:rPr>
                <w:noProof/>
                <w:webHidden/>
              </w:rPr>
              <w:fldChar w:fldCharType="separate"/>
            </w:r>
            <w:r>
              <w:rPr>
                <w:noProof/>
                <w:webHidden/>
              </w:rPr>
              <w:t>108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4185" w:history="1">
            <w:r>
              <w:rPr>
                <w:rStyle w:val="Hyperlink"/>
                <w:noProof/>
              </w:rPr>
              <w:t>2.4.</w:t>
            </w:r>
            <w:r>
              <w:rPr>
                <w:rFonts w:asciiTheme="minorHAnsi" w:eastAsiaTheme="minorEastAsia" w:hAnsiTheme="minorHAnsi" w:cstheme="minorBidi"/>
                <w:noProof/>
                <w:color w:val="auto"/>
                <w:szCs w:val="22"/>
                <w:lang w:val="de-DE" w:eastAsia="de-DE"/>
              </w:rPr>
              <w:tab/>
            </w:r>
            <w:r>
              <w:rPr>
                <w:rStyle w:val="Hyperlink"/>
                <w:noProof/>
              </w:rPr>
              <w:t>NEW ENTRANTS' RESERVE (NER) 300</w:t>
            </w:r>
            <w:r>
              <w:rPr>
                <w:noProof/>
                <w:webHidden/>
              </w:rPr>
              <w:tab/>
            </w:r>
            <w:r>
              <w:rPr>
                <w:noProof/>
                <w:webHidden/>
              </w:rPr>
              <w:fldChar w:fldCharType="begin"/>
            </w:r>
            <w:r>
              <w:rPr>
                <w:noProof/>
                <w:webHidden/>
              </w:rPr>
              <w:instrText xml:space="preserve"> PAGEREF _Toc43224185 \h </w:instrText>
            </w:r>
            <w:r>
              <w:rPr>
                <w:noProof/>
                <w:webHidden/>
              </w:rPr>
            </w:r>
            <w:r>
              <w:rPr>
                <w:noProof/>
                <w:webHidden/>
              </w:rPr>
              <w:fldChar w:fldCharType="separate"/>
            </w:r>
            <w:r>
              <w:rPr>
                <w:noProof/>
                <w:webHidden/>
              </w:rPr>
              <w:t>109</w:t>
            </w:r>
            <w:r>
              <w:rPr>
                <w:noProof/>
                <w:webHidden/>
              </w:rPr>
              <w:fldChar w:fldCharType="end"/>
            </w:r>
          </w:hyperlink>
        </w:p>
        <w:p w:rsidR="00135552" w:rsidRDefault="004C63B0">
          <w:pPr>
            <w:rPr>
              <w:noProof/>
            </w:rPr>
          </w:pPr>
          <w:r>
            <w:rPr>
              <w:noProof/>
            </w:rPr>
            <w:fldChar w:fldCharType="end"/>
          </w:r>
        </w:p>
      </w:sdtContent>
    </w:sdt>
    <w:p w:rsidR="00135552" w:rsidRDefault="00135552">
      <w:pPr>
        <w:pStyle w:val="DGTextstand-alone"/>
      </w:pPr>
    </w:p>
    <w:p w:rsidR="00135552" w:rsidRDefault="004C63B0">
      <w:pPr>
        <w:rPr>
          <w:rFonts w:ascii="Verdana" w:hAnsi="Verdana"/>
          <w:noProof/>
          <w:sz w:val="18"/>
          <w:szCs w:val="18"/>
          <w:lang w:eastAsia="en-US"/>
        </w:rPr>
      </w:pPr>
      <w:r>
        <w:rPr>
          <w:noProof/>
        </w:rPr>
        <w:br w:type="page"/>
      </w:r>
    </w:p>
    <w:p w:rsidR="00135552" w:rsidRDefault="004C63B0">
      <w:pPr>
        <w:pStyle w:val="DGTextstand-alone"/>
      </w:pPr>
      <w:r>
        <w:t>The objective of this Financial Statement Discussion and Analysis (FSDA) is to assist readers to understand the financial position, financial performance and cash flows presented in the consolidated financial statements of the EU. The information presen</w:t>
      </w:r>
      <w:r>
        <w:t>ted in this FSDA has not been audited.</w:t>
      </w:r>
    </w:p>
    <w:p w:rsidR="00135552" w:rsidRDefault="004C63B0">
      <w:pPr>
        <w:pStyle w:val="HEADER1Part4"/>
        <w:rPr>
          <w:noProof/>
        </w:rPr>
      </w:pPr>
      <w:bookmarkStart w:id="170" w:name="_Toc491880233"/>
      <w:bookmarkStart w:id="171" w:name="_Toc11225929"/>
      <w:bookmarkStart w:id="172" w:name="_Toc43224176"/>
      <w:r>
        <w:rPr>
          <w:noProof/>
        </w:rPr>
        <w:tab/>
        <w:t xml:space="preserve">CONSOLIDATED FINANCIAL STATEMENTS OF </w:t>
      </w:r>
      <w:r>
        <w:rPr>
          <w:noProof/>
        </w:rPr>
        <w:tab/>
        <w:t>THE EU: FINANCIAL SITUATION 201</w:t>
      </w:r>
      <w:bookmarkEnd w:id="170"/>
      <w:bookmarkEnd w:id="171"/>
      <w:r>
        <w:rPr>
          <w:noProof/>
        </w:rPr>
        <w:t>9</w:t>
      </w:r>
      <w:bookmarkEnd w:id="172"/>
    </w:p>
    <w:p w:rsidR="00135552" w:rsidRDefault="004C63B0">
      <w:pPr>
        <w:pStyle w:val="HEADER2Part4"/>
      </w:pPr>
      <w:bookmarkStart w:id="173" w:name="_Toc491880234"/>
      <w:bookmarkStart w:id="174" w:name="_Toc11225930"/>
      <w:bookmarkStart w:id="175" w:name="_Toc43224177"/>
      <w:r>
        <w:t>REVENUE</w:t>
      </w:r>
      <w:bookmarkEnd w:id="173"/>
      <w:bookmarkEnd w:id="174"/>
      <w:bookmarkEnd w:id="175"/>
    </w:p>
    <w:p w:rsidR="00135552" w:rsidRDefault="004C63B0">
      <w:pPr>
        <w:pStyle w:val="DGTextstand-alone"/>
      </w:pPr>
      <w:r>
        <w:t>The consolidated revenue of the EU incorporates amounts related to exchange transactions and non</w:t>
      </w:r>
      <w:r>
        <w:noBreakHyphen/>
        <w:t xml:space="preserve">exchange transactions, the latter being </w:t>
      </w:r>
      <w:r>
        <w:t>the most significant.</w:t>
      </w:r>
    </w:p>
    <w:p w:rsidR="00135552" w:rsidRDefault="004C63B0">
      <w:pPr>
        <w:pStyle w:val="HEADER5"/>
        <w:rPr>
          <w:b/>
          <w:noProof/>
        </w:rPr>
      </w:pPr>
      <w:r>
        <w:rPr>
          <w:noProof/>
        </w:rPr>
        <w:t>Five-year trend of revenue from main non-exchange transactions (in EUR million)</w:t>
      </w:r>
    </w:p>
    <w:p w:rsidR="00135552" w:rsidRDefault="004C63B0">
      <w:pPr>
        <w:pStyle w:val="Textstand-alone"/>
        <w:jc w:val="center"/>
      </w:pPr>
      <w:r>
        <w:rPr>
          <w:lang w:val="pl-PL" w:eastAsia="pl-PL"/>
        </w:rPr>
        <w:drawing>
          <wp:inline distT="0" distB="0" distL="0" distR="0">
            <wp:extent cx="5572125" cy="30238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01118" name="Picture 2"/>
                    <pic:cNvPicPr>
                      <a:picLocks noChangeAspect="1" noChangeArrowheads="1"/>
                    </pic:cNvPicPr>
                  </pic:nvPicPr>
                  <pic:blipFill>
                    <a:blip r:embed="rId299">
                      <a:extLst>
                        <a:ext uri="{28A0092B-C50C-407E-A947-70E740481C1C}">
                          <a14:useLocalDpi xmlns:a14="http://schemas.microsoft.com/office/drawing/2010/main" val="0"/>
                        </a:ext>
                      </a:extLst>
                    </a:blip>
                    <a:stretch>
                      <a:fillRect/>
                    </a:stretch>
                  </pic:blipFill>
                  <pic:spPr bwMode="auto">
                    <a:xfrm>
                      <a:off x="0" y="0"/>
                      <a:ext cx="5572125" cy="3023870"/>
                    </a:xfrm>
                    <a:prstGeom prst="rect">
                      <a:avLst/>
                    </a:prstGeom>
                    <a:noFill/>
                  </pic:spPr>
                </pic:pic>
              </a:graphicData>
            </a:graphic>
          </wp:inline>
        </w:drawing>
      </w:r>
    </w:p>
    <w:p w:rsidR="00135552" w:rsidRDefault="004C63B0">
      <w:pPr>
        <w:pStyle w:val="DGTextstand-alone"/>
      </w:pPr>
      <w:r>
        <w:t>As budget revenue should equal (or exceed) budget expenditure, the main driver in the revenue trend shown above is the payments made each year.</w:t>
      </w:r>
    </w:p>
    <w:p w:rsidR="00135552" w:rsidRDefault="004C63B0">
      <w:pPr>
        <w:pStyle w:val="DGTextstand-alone"/>
      </w:pPr>
      <w:r>
        <w:t>In 2019,</w:t>
      </w:r>
      <w:r>
        <w:t xml:space="preserve"> the consolidated revenue amounted to EUR 160.3 billion, a slight decrease of EUR 2.6 billion or 1.6 % from the previous year figure of EUR 162.9 billion, which was mainly due to an increase in GNI and VAT resources being overcompensated by a decrease in o</w:t>
      </w:r>
      <w:r>
        <w:t>ther revenue categories:</w:t>
      </w:r>
    </w:p>
    <w:p w:rsidR="00135552" w:rsidRDefault="004C63B0">
      <w:pPr>
        <w:pStyle w:val="DGTextstand-alone"/>
        <w:numPr>
          <w:ilvl w:val="0"/>
          <w:numId w:val="39"/>
        </w:numPr>
      </w:pPr>
      <w:r>
        <w:t>Revenue from GNI (gross national income), the primary element of the EU’s operating revenue, and VAT resources increased from EUR 123.4 billion in 2018 to EUR 126.9 billion in 2019. The increase of EUR 3.5 billion or 2.8 % was prim</w:t>
      </w:r>
      <w:r>
        <w:t>arily caused by adjustments made for past amounts (mainly for the years 2012 to 2017) as GNI/VAT bases were updated with real data.</w:t>
      </w:r>
    </w:p>
    <w:p w:rsidR="00135552" w:rsidRDefault="004C63B0">
      <w:pPr>
        <w:pStyle w:val="DGTextstand-alone"/>
        <w:numPr>
          <w:ilvl w:val="0"/>
          <w:numId w:val="39"/>
        </w:numPr>
      </w:pPr>
      <w:r>
        <w:t>The increase in recovery of expenses from EUR 2.2 billion to EUR 2.6 billion (an increase of EUR 0.4 billion or 18.2%) furth</w:t>
      </w:r>
      <w:r>
        <w:t>er contributed to an increase in revenues.</w:t>
      </w:r>
    </w:p>
    <w:p w:rsidR="00135552" w:rsidRDefault="004C63B0">
      <w:pPr>
        <w:pStyle w:val="DGTextstand-alone"/>
        <w:numPr>
          <w:ilvl w:val="0"/>
          <w:numId w:val="39"/>
        </w:numPr>
      </w:pPr>
      <w:r>
        <w:t xml:space="preserve">At the same time, revenue from fines, which amounted to EUR 6.7 billion in 2018, fell by EUR 2.4 billion or 35.8 % to EUR 4.3 billion due to the lower magnitude of the amount of fines imposed. Whereas in 2018 the </w:t>
      </w:r>
      <w:r>
        <w:t>three biggest fines imposed amounted to EUR 5.7 billion, the three biggest cases in 2019 amounted to EUR 3.1 billion.</w:t>
      </w:r>
    </w:p>
    <w:p w:rsidR="00135552" w:rsidRDefault="004C63B0">
      <w:pPr>
        <w:pStyle w:val="DGTextstand-alone"/>
      </w:pPr>
      <w:r>
        <w:t>The above changes were accompanied by a decrease in revenue from traditional own resources, which fell from EUR 22.8 billion in 2018 to EU</w:t>
      </w:r>
      <w:r>
        <w:t>R 21.2 billion in 2019 (a decrease of EUR 1.6 billion or 7.0%) and the decrease in financial revenue, which fell from EUR 3.1 billion in 2018 to EUR 1.8 billion in 2019 (a decrease of EUR 1.3 billion or 41.9 %), due to a late payment interest revenue relat</w:t>
      </w:r>
      <w:r>
        <w:t>ed to UK TOR cases which was recognised in 2018 (EUR 1.3 billion).</w:t>
      </w:r>
    </w:p>
    <w:p w:rsidR="00135552" w:rsidRDefault="004C63B0">
      <w:pPr>
        <w:pStyle w:val="HEADER2Part4"/>
      </w:pPr>
      <w:bookmarkStart w:id="176" w:name="_Toc491880235"/>
      <w:bookmarkStart w:id="177" w:name="_Toc11225931"/>
      <w:bookmarkStart w:id="178" w:name="_Toc43224178"/>
      <w:r>
        <w:t>EXPENSES</w:t>
      </w:r>
      <w:bookmarkEnd w:id="176"/>
      <w:bookmarkEnd w:id="177"/>
      <w:bookmarkEnd w:id="178"/>
    </w:p>
    <w:p w:rsidR="00135552" w:rsidRDefault="004C63B0">
      <w:pPr>
        <w:pStyle w:val="DGTextstand-alone"/>
      </w:pPr>
      <w:r>
        <w:t>The main component of expenses recognised in the consolidated financial statements is transfer payments under the shared management mode, which includes the following funds: (i) Eu</w:t>
      </w:r>
      <w:r>
        <w:t>ropean Agricultural Guarantee Fund (EAGF), (ii) European Agricultural Fund for Rural Development (EAFRD) and other rural development instruments, (iii) European Regional Development Fund (ERDF) &amp; Cohesion Fund (CF), and (iv) European Social Fund (ESF). The</w:t>
      </w:r>
      <w:r>
        <w:t>se funds made up 66.8 % of total expenses in 2019 (2018: 66.3 %) – the split can be found in the chart below:</w:t>
      </w:r>
    </w:p>
    <w:p w:rsidR="00135552" w:rsidRDefault="004C63B0">
      <w:pPr>
        <w:pStyle w:val="HEADER5"/>
        <w:rPr>
          <w:b/>
          <w:noProof/>
        </w:rPr>
      </w:pPr>
      <w:r>
        <w:rPr>
          <w:noProof/>
        </w:rPr>
        <w:t>Relative weight of the main expenses implemented by the Member States (shared management) for the financial year of 2019</w:t>
      </w:r>
    </w:p>
    <w:p w:rsidR="00135552" w:rsidRDefault="004C63B0">
      <w:pPr>
        <w:pStyle w:val="DGTextstand-alone"/>
        <w:jc w:val="center"/>
      </w:pPr>
      <w:r>
        <w:rPr>
          <w:lang w:val="pl-PL" w:eastAsia="pl-PL"/>
        </w:rPr>
        <w:drawing>
          <wp:inline distT="0" distB="0" distL="0" distR="0">
            <wp:extent cx="4999355" cy="2743200"/>
            <wp:effectExtent l="0" t="0" r="0" b="0"/>
            <wp:docPr id="204208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737" name="Picture 2"/>
                    <pic:cNvPicPr>
                      <a:picLocks noChangeAspect="1" noChangeArrowheads="1"/>
                    </pic:cNvPicPr>
                  </pic:nvPicPr>
                  <pic:blipFill>
                    <a:blip r:embed="rId300">
                      <a:extLst>
                        <a:ext uri="{28A0092B-C50C-407E-A947-70E740481C1C}">
                          <a14:useLocalDpi xmlns:a14="http://schemas.microsoft.com/office/drawing/2010/main" val="0"/>
                        </a:ext>
                      </a:extLst>
                    </a:blip>
                    <a:stretch>
                      <a:fillRect/>
                    </a:stretch>
                  </pic:blipFill>
                  <pic:spPr bwMode="auto">
                    <a:xfrm>
                      <a:off x="0" y="0"/>
                      <a:ext cx="4999355" cy="2743200"/>
                    </a:xfrm>
                    <a:prstGeom prst="rect">
                      <a:avLst/>
                    </a:prstGeom>
                    <a:noFill/>
                  </pic:spPr>
                </pic:pic>
              </a:graphicData>
            </a:graphic>
          </wp:inline>
        </w:drawing>
      </w:r>
    </w:p>
    <w:p w:rsidR="00135552" w:rsidRDefault="004C63B0">
      <w:pPr>
        <w:pStyle w:val="DGTextstand-alone"/>
      </w:pPr>
      <w:r>
        <w:t>Expenses incurred under</w:t>
      </w:r>
      <w:r>
        <w:t xml:space="preserve"> direct management represent the budget implementation by the Commission, executive agencies and by trust funds. Under indirect management the budget is implemented by EU agencies, EU bodies, third countries, international organisations and other entities.</w:t>
      </w:r>
    </w:p>
    <w:p w:rsidR="00135552" w:rsidRDefault="004C63B0">
      <w:pPr>
        <w:pStyle w:val="DGTextstand-alone"/>
      </w:pPr>
      <w:r>
        <w:t>Expenses incurred under direct and indirect management made up EUR 29.0 billion or 18.7 % of total expenses and remained stable compared to the previous financial year (2018: EUR 28.5 billion or 19.1 %).</w:t>
      </w:r>
    </w:p>
    <w:p w:rsidR="00135552" w:rsidRDefault="004C63B0">
      <w:pPr>
        <w:pStyle w:val="DGTextstand-alone"/>
      </w:pPr>
      <w:r>
        <w:t>The EU recognises certain future payment obligation</w:t>
      </w:r>
      <w:r>
        <w:t>s as expenses even if they are not yet shown in the cash-based budgetary accounts. Significant amounts are shown under payables and accrued charges concerning agriculture and rural development and also under pension and employee benefits liabilities relati</w:t>
      </w:r>
      <w:r>
        <w:t xml:space="preserve">ng to pension and other post-employment rights acquired by Commissioners, Members of the EU institutions and staff (see note </w:t>
      </w:r>
      <w:r>
        <w:rPr>
          <w:b/>
        </w:rPr>
        <w:t>2.9</w:t>
      </w:r>
      <w:r>
        <w:t>).</w:t>
      </w:r>
    </w:p>
    <w:p w:rsidR="00135552" w:rsidRDefault="004C63B0">
      <w:pPr>
        <w:pStyle w:val="DGTextstand-alone"/>
      </w:pPr>
      <w:r>
        <w:t xml:space="preserve">Overall, expenses increased by 4.4 % or EUR 6.5 billion from EUR 149.0 billion to EUR 155.5 billion when compared with 2018, </w:t>
      </w:r>
      <w:r>
        <w:t>mainly resulting from expenses from programmes implemented under shared management by Member States which rose by EUR 4.8 billion or 4.7 % from EUR 101.7 billion to EUR 106.5 billion led by implementation of programmes under ERDF &amp; Cohesion fund as the cur</w:t>
      </w:r>
      <w:r>
        <w:t>rent MFF advances.</w:t>
      </w:r>
    </w:p>
    <w:p w:rsidR="00135552" w:rsidRDefault="004C63B0">
      <w:pPr>
        <w:rPr>
          <w:rFonts w:ascii="Verdana" w:hAnsi="Verdana"/>
          <w:b/>
          <w:noProof/>
          <w:color w:val="016794"/>
          <w:sz w:val="28"/>
          <w:szCs w:val="30"/>
        </w:rPr>
      </w:pPr>
      <w:bookmarkStart w:id="179" w:name="_Toc491880236"/>
      <w:bookmarkStart w:id="180" w:name="_Toc11225932"/>
      <w:r>
        <w:rPr>
          <w:noProof/>
        </w:rPr>
        <w:br w:type="page"/>
      </w:r>
    </w:p>
    <w:p w:rsidR="00135552" w:rsidRDefault="004C63B0">
      <w:pPr>
        <w:pStyle w:val="HEADER2Part4"/>
      </w:pPr>
      <w:bookmarkStart w:id="181" w:name="_Toc43224179"/>
      <w:r>
        <w:t>ASSETS</w:t>
      </w:r>
      <w:bookmarkEnd w:id="179"/>
      <w:bookmarkEnd w:id="180"/>
      <w:bookmarkEnd w:id="181"/>
    </w:p>
    <w:p w:rsidR="00135552" w:rsidRDefault="004C63B0">
      <w:pPr>
        <w:pStyle w:val="DGTextstand-alone"/>
      </w:pPr>
      <w:bookmarkStart w:id="182" w:name="_Toc491880237"/>
      <w:r>
        <w:t>The most significant items on the asset side of the balance sheet relate to financial assets (loans given, available for sale financial assets, cash) and pre-financing amounts, which make up 79.6 % of the assets of the EU (2018:</w:t>
      </w:r>
      <w:r>
        <w:t xml:space="preserve"> 78.8 %)</w:t>
      </w:r>
    </w:p>
    <w:p w:rsidR="00135552" w:rsidRDefault="004C63B0">
      <w:pPr>
        <w:pStyle w:val="HEADER5"/>
        <w:rPr>
          <w:noProof/>
        </w:rPr>
      </w:pPr>
      <w:r>
        <w:rPr>
          <w:noProof/>
        </w:rPr>
        <w:t>Composition of the consolidated assets of the EU</w:t>
      </w:r>
    </w:p>
    <w:p w:rsidR="00135552" w:rsidRDefault="004C63B0">
      <w:pPr>
        <w:pStyle w:val="HEADER5"/>
        <w:rPr>
          <w:noProof/>
        </w:rPr>
      </w:pPr>
      <w:r>
        <w:rPr>
          <w:noProof/>
          <w:lang w:val="pl-PL" w:eastAsia="pl-PL"/>
        </w:rPr>
        <w:drawing>
          <wp:inline distT="0" distB="0" distL="0" distR="0">
            <wp:extent cx="6145530" cy="3785870"/>
            <wp:effectExtent l="0" t="0" r="7620" b="5080"/>
            <wp:docPr id="547876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10348" name="Picture 2"/>
                    <pic:cNvPicPr>
                      <a:picLocks noChangeAspect="1" noChangeArrowheads="1"/>
                    </pic:cNvPicPr>
                  </pic:nvPicPr>
                  <pic:blipFill>
                    <a:blip r:embed="rId301">
                      <a:extLst>
                        <a:ext uri="{28A0092B-C50C-407E-A947-70E740481C1C}">
                          <a14:useLocalDpi xmlns:a14="http://schemas.microsoft.com/office/drawing/2010/main" val="0"/>
                        </a:ext>
                      </a:extLst>
                    </a:blip>
                    <a:stretch>
                      <a:fillRect/>
                    </a:stretch>
                  </pic:blipFill>
                  <pic:spPr bwMode="auto">
                    <a:xfrm>
                      <a:off x="0" y="0"/>
                      <a:ext cx="6145530" cy="3785870"/>
                    </a:xfrm>
                    <a:prstGeom prst="rect">
                      <a:avLst/>
                    </a:prstGeom>
                    <a:noFill/>
                  </pic:spPr>
                </pic:pic>
              </a:graphicData>
            </a:graphic>
          </wp:inline>
        </w:drawing>
      </w:r>
    </w:p>
    <w:p w:rsidR="00135552" w:rsidRDefault="004C63B0">
      <w:pPr>
        <w:pStyle w:val="DGTextstand-alone"/>
      </w:pPr>
      <w:r>
        <w:t>As at 31 December 2019 the total assets were EUR 178.9 billion, reflecting an increase of EUR 4.5 billion or 2.6 % over the previous year (2018: EUR 174.4 billion). The key changes were:</w:t>
      </w:r>
    </w:p>
    <w:p w:rsidR="00135552" w:rsidRDefault="004C63B0">
      <w:pPr>
        <w:pStyle w:val="DGTextstand-alone"/>
        <w:numPr>
          <w:ilvl w:val="0"/>
          <w:numId w:val="40"/>
        </w:numPr>
      </w:pPr>
      <w:r>
        <w:t>an increa</w:t>
      </w:r>
      <w:r>
        <w:t>se of EUR 3.0 billion (19.2 %) in available for sale financial assets reflecting the continued funding of the EFSI &amp; EFSD guarantee funds, as well as Horizon 2020;</w:t>
      </w:r>
    </w:p>
    <w:p w:rsidR="00135552" w:rsidRDefault="004C63B0">
      <w:pPr>
        <w:pStyle w:val="DGTextstand-alone"/>
        <w:numPr>
          <w:ilvl w:val="0"/>
          <w:numId w:val="40"/>
        </w:numPr>
      </w:pPr>
      <w:r>
        <w:t>an increase of EUR 1.6 billion (9.0 %) in cash and cash equivalents (see below);</w:t>
      </w:r>
    </w:p>
    <w:p w:rsidR="00135552" w:rsidRDefault="004C63B0">
      <w:pPr>
        <w:pStyle w:val="DGTextstand-alone"/>
        <w:numPr>
          <w:ilvl w:val="0"/>
          <w:numId w:val="40"/>
        </w:numPr>
      </w:pPr>
      <w:r>
        <w:t>pre-financi</w:t>
      </w:r>
      <w:r>
        <w:t>ng, i.e. advances paid to beneficiaries of EU funds, remained essentially stable with a slight increase of EUR 1.1 billion (2.5 %);</w:t>
      </w:r>
    </w:p>
    <w:p w:rsidR="00135552" w:rsidRDefault="004C63B0">
      <w:pPr>
        <w:pStyle w:val="DGTextstand-alone"/>
        <w:numPr>
          <w:ilvl w:val="0"/>
          <w:numId w:val="40"/>
        </w:numPr>
      </w:pPr>
      <w:r>
        <w:t>the above effects were partially compensated by a decrease of EUR 1.3 billion (2.3 %) in loans mainly due to the repayment o</w:t>
      </w:r>
      <w:r>
        <w:t>f BOP loans by Romania (EUR 1 billion) and Latvia (EUR 0.5 billion) during 2019, the effect of which was partially offset by new MFA loans.</w:t>
      </w:r>
    </w:p>
    <w:p w:rsidR="00135552" w:rsidRDefault="004C63B0">
      <w:pPr>
        <w:pStyle w:val="DGTextstand-alone"/>
      </w:pPr>
      <w:r>
        <w:t xml:space="preserve">In general, the EU institutions and bodies strive to keep the amounts held as cash and cash equivalents at a low </w:t>
      </w:r>
      <w:r>
        <w:t>level. The cash balance of EUR 19.7 billion at year</w:t>
      </w:r>
      <w:r>
        <w:noBreakHyphen/>
        <w:t>end is made up of the following main elements:</w:t>
      </w:r>
    </w:p>
    <w:p w:rsidR="00135552" w:rsidRDefault="004C63B0">
      <w:pPr>
        <w:pStyle w:val="DGTextstand-alone"/>
        <w:numPr>
          <w:ilvl w:val="0"/>
          <w:numId w:val="28"/>
        </w:numPr>
        <w:rPr>
          <w:sz w:val="16"/>
        </w:rPr>
      </w:pPr>
      <w:r>
        <w:rPr>
          <w:szCs w:val="20"/>
        </w:rPr>
        <w:t xml:space="preserve">An amount of </w:t>
      </w:r>
      <w:r>
        <w:t xml:space="preserve">EUR 2.6 billion of fines </w:t>
      </w:r>
      <w:r>
        <w:rPr>
          <w:szCs w:val="20"/>
        </w:rPr>
        <w:t>imposed by the Commission for breach of competition rules, definitively cashed in 2019 and not yet included in an amend</w:t>
      </w:r>
      <w:r>
        <w:rPr>
          <w:szCs w:val="20"/>
        </w:rPr>
        <w:t>ing budget is included in the year</w:t>
      </w:r>
      <w:r>
        <w:rPr>
          <w:szCs w:val="20"/>
        </w:rPr>
        <w:noBreakHyphen/>
        <w:t>end treasury balance.</w:t>
      </w:r>
    </w:p>
    <w:p w:rsidR="00135552" w:rsidRDefault="004C63B0">
      <w:pPr>
        <w:pStyle w:val="DGTextstand-alone"/>
        <w:numPr>
          <w:ilvl w:val="0"/>
          <w:numId w:val="28"/>
        </w:numPr>
      </w:pPr>
      <w:r>
        <w:rPr>
          <w:szCs w:val="20"/>
        </w:rPr>
        <w:t>The treasury balance also includes not yet used assigned revenue and other payment appropriations of EUR 9.7 billion of the 2019 budget.</w:t>
      </w:r>
    </w:p>
    <w:p w:rsidR="00135552" w:rsidRDefault="004C63B0">
      <w:pPr>
        <w:rPr>
          <w:rFonts w:ascii="Verdana" w:hAnsi="Verdana"/>
          <w:noProof/>
          <w:color w:val="016794"/>
          <w:sz w:val="18"/>
          <w:szCs w:val="18"/>
        </w:rPr>
      </w:pPr>
      <w:r>
        <w:rPr>
          <w:noProof/>
        </w:rPr>
        <w:br w:type="page"/>
      </w:r>
    </w:p>
    <w:p w:rsidR="00135552" w:rsidRDefault="004C63B0">
      <w:pPr>
        <w:pStyle w:val="HEADER5"/>
        <w:rPr>
          <w:noProof/>
        </w:rPr>
      </w:pPr>
      <w:r>
        <w:rPr>
          <w:noProof/>
        </w:rPr>
        <w:t>Pre-financing</w:t>
      </w:r>
    </w:p>
    <w:p w:rsidR="00135552" w:rsidRDefault="004C63B0">
      <w:pPr>
        <w:pStyle w:val="DGTextstand-alone"/>
      </w:pPr>
      <w:r>
        <w:t>It should be noted that the level of pre-finan</w:t>
      </w:r>
      <w:r>
        <w:t>cing is significantly influenced by the MFF cycle – for example at the beginning of an MFF period one can expect large advances to be paid to Member States under cohesion policy and these amounts remain available to the Member States until closure of the p</w:t>
      </w:r>
      <w:r>
        <w:t>rogrammes. An annual pre-financing is also paid out, which must be used within the year or be recovered the following year as part of the annual closure of the accounts cycle. The Commission makes every effort to ensure that the levels of pre-financing are</w:t>
      </w:r>
      <w:r>
        <w:t xml:space="preserve"> maintained at an appropriate level. A balance has to be struck between ensuring sufficient funding for the projects and the timely recognition of expenditure.</w:t>
      </w:r>
    </w:p>
    <w:p w:rsidR="00135552" w:rsidRDefault="004C63B0">
      <w:pPr>
        <w:pStyle w:val="DGTextstand-alone"/>
      </w:pPr>
      <w:r>
        <w:t>The total pre-financing (excluding other advances to Member States and contributions to the trus</w:t>
      </w:r>
      <w:r>
        <w:t>t funds Bêkou and Africa) on the EU balance sheet amounts to EUR 44.4 billion (2018: EUR 43.4 billion), almost all of which relates to Commission activities. Some 56 % of the Commission's pre-financing concerns shared management, which means that the imple</w:t>
      </w:r>
      <w:r>
        <w:t>mentation of the budget is delegated to Member States (the Commission retains a supervisory role).</w:t>
      </w:r>
    </w:p>
    <w:p w:rsidR="00135552" w:rsidRDefault="004C63B0">
      <w:pPr>
        <w:pStyle w:val="HEADER5"/>
        <w:rPr>
          <w:noProof/>
        </w:rPr>
      </w:pPr>
      <w:r>
        <w:rPr>
          <w:noProof/>
        </w:rPr>
        <w:t>Commission pre-financing by management mode</w:t>
      </w:r>
    </w:p>
    <w:p w:rsidR="00135552" w:rsidRDefault="004C63B0">
      <w:pPr>
        <w:pStyle w:val="Textstand-alone"/>
        <w:jc w:val="center"/>
      </w:pPr>
      <w:r>
        <w:rPr>
          <w:lang w:val="pl-PL" w:eastAsia="pl-PL"/>
        </w:rPr>
        <w:drawing>
          <wp:inline distT="0" distB="0" distL="0" distR="0">
            <wp:extent cx="4683600" cy="2660400"/>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45842" name="Picture 3"/>
                    <pic:cNvPicPr>
                      <a:picLocks noChangeAspect="1" noChangeArrowheads="1"/>
                    </pic:cNvPicPr>
                  </pic:nvPicPr>
                  <pic:blipFill>
                    <a:blip r:embed="rId302">
                      <a:extLst>
                        <a:ext uri="{28A0092B-C50C-407E-A947-70E740481C1C}">
                          <a14:useLocalDpi xmlns:a14="http://schemas.microsoft.com/office/drawing/2010/main" val="0"/>
                        </a:ext>
                      </a:extLst>
                    </a:blip>
                    <a:stretch>
                      <a:fillRect/>
                    </a:stretch>
                  </pic:blipFill>
                  <pic:spPr bwMode="auto">
                    <a:xfrm>
                      <a:off x="0" y="0"/>
                      <a:ext cx="4683600" cy="2660400"/>
                    </a:xfrm>
                    <a:prstGeom prst="rect">
                      <a:avLst/>
                    </a:prstGeom>
                    <a:noFill/>
                  </pic:spPr>
                </pic:pic>
              </a:graphicData>
            </a:graphic>
          </wp:inline>
        </w:drawing>
      </w:r>
    </w:p>
    <w:p w:rsidR="00135552" w:rsidRDefault="004C63B0">
      <w:pPr>
        <w:pStyle w:val="DGTextstand-alone"/>
      </w:pPr>
      <w:r>
        <w:t>The most significant pre-financing amount under the shared management mode relates to ERDF &amp; Cohesion Fund (EUR</w:t>
      </w:r>
      <w:r>
        <w:t> 14.4 billion), which is at a similar level to 2018 (EUR 14.6 billion).</w:t>
      </w:r>
    </w:p>
    <w:p w:rsidR="00135552" w:rsidRDefault="004C63B0">
      <w:pPr>
        <w:pStyle w:val="HEADER5"/>
        <w:rPr>
          <w:noProof/>
        </w:rPr>
      </w:pPr>
      <w:r>
        <w:rPr>
          <w:noProof/>
        </w:rPr>
        <w:t>FINANCIAL INSTRUMENTS</w:t>
      </w:r>
    </w:p>
    <w:p w:rsidR="00135552" w:rsidRDefault="004C63B0">
      <w:pPr>
        <w:pStyle w:val="DGTextstand-alone"/>
      </w:pPr>
      <w:r>
        <w:t>The following items are shown in accounting terms as financial instruments in the consolidated financial statements of the EU:</w:t>
      </w:r>
    </w:p>
    <w:p w:rsidR="00135552" w:rsidRDefault="004C63B0">
      <w:pPr>
        <w:pStyle w:val="DGTextstand-alone"/>
        <w:numPr>
          <w:ilvl w:val="0"/>
          <w:numId w:val="41"/>
        </w:numPr>
      </w:pPr>
      <w:r>
        <w:t>Financial Instruments financed by t</w:t>
      </w:r>
      <w:r>
        <w:t>he EU budget: under this type of budget implementation funds are either already disbursed to the fiduciary accounts managed by the entrusted entities and stay available (as cash and cash equivalents, debt securities or investment in money market funds or p</w:t>
      </w:r>
      <w:r>
        <w:t>ooled portfolios of assets) to cover future guarantee calls or have been invested in equity;</w:t>
      </w:r>
    </w:p>
    <w:p w:rsidR="00135552" w:rsidRDefault="004C63B0">
      <w:pPr>
        <w:pStyle w:val="DGTextstand-alone"/>
        <w:numPr>
          <w:ilvl w:val="0"/>
          <w:numId w:val="41"/>
        </w:numPr>
      </w:pPr>
      <w:r>
        <w:t>Financial assets held in guarantee funds for budgetary guarantees: under this type of budget implementation the EU provides guarantees to counterparts for which th</w:t>
      </w:r>
      <w:r>
        <w:t xml:space="preserve">e funding is only partially provisioned via guarantee funds set-up by the Commission and thus creating contingent liabilities for the EU budget – see note </w:t>
      </w:r>
      <w:r>
        <w:rPr>
          <w:b/>
        </w:rPr>
        <w:t>4.1</w:t>
      </w:r>
      <w:r>
        <w:t>; and</w:t>
      </w:r>
    </w:p>
    <w:p w:rsidR="00135552" w:rsidRDefault="004C63B0">
      <w:pPr>
        <w:pStyle w:val="DGTextstand-alone"/>
        <w:numPr>
          <w:ilvl w:val="0"/>
          <w:numId w:val="41"/>
        </w:numPr>
      </w:pPr>
      <w:r>
        <w:t>Loans and related borrowings for financial assistance programmes.</w:t>
      </w:r>
    </w:p>
    <w:p w:rsidR="00135552" w:rsidRDefault="004C63B0">
      <w:pPr>
        <w:pStyle w:val="HEADER5"/>
        <w:rPr>
          <w:noProof/>
        </w:rPr>
      </w:pPr>
      <w:r>
        <w:rPr>
          <w:noProof/>
        </w:rPr>
        <w:t>Financial instruments fina</w:t>
      </w:r>
      <w:r>
        <w:rPr>
          <w:noProof/>
        </w:rPr>
        <w:t>nced by the EU budget</w:t>
      </w:r>
    </w:p>
    <w:p w:rsidR="00135552" w:rsidRDefault="004C63B0">
      <w:pPr>
        <w:pStyle w:val="DGTextstand-alone"/>
      </w:pPr>
      <w:r>
        <w:t>The significance and volume of financial instruments financed by the EU budget under direct and indirect management increases from year to year. The basic concept behind this approach, in contrast to the traditional method of budget i</w:t>
      </w:r>
      <w:r>
        <w:t>mplementation of giving grants and subsidies, is that for each euro spent from the budget via financial instruments, the final beneficiary receives more than EUR 1 as financial support due to the leverage effect. This use of the EU budget aims at maximisin</w:t>
      </w:r>
      <w:r>
        <w:t>g the impact of the funds available. Financial instruments financed by the EU budget exist in the form of guarantee instruments, equity instruments and loan instruments – see the overview by MFF in the below table. Assets held in these instruments are eith</w:t>
      </w:r>
      <w:r>
        <w:t>er kept in cash and cash equivalents or invested in equity instruments and debt securities categorised as available for sale financial assets in the consolidated financial statements of the EU.</w:t>
      </w:r>
    </w:p>
    <w:p w:rsidR="00135552" w:rsidRDefault="004C63B0">
      <w:pPr>
        <w:pStyle w:val="DGTextstand-alone"/>
        <w:spacing w:after="0"/>
        <w:rPr>
          <w:color w:val="000000" w:themeColor="text1"/>
        </w:rPr>
      </w:pPr>
      <w:r>
        <w:rPr>
          <w:color w:val="000000" w:themeColor="text1"/>
        </w:rPr>
        <w:t xml:space="preserve">Available for sale financial assets relating to financial </w:t>
      </w:r>
      <w:r>
        <w:rPr>
          <w:color w:val="000000" w:themeColor="text1"/>
        </w:rPr>
        <w:t>instruments financed by the EU budget (year</w:t>
      </w:r>
      <w:r>
        <w:rPr>
          <w:color w:val="000000" w:themeColor="text1"/>
        </w:rPr>
        <w:noBreakHyphen/>
        <w:t>end value):</w:t>
      </w:r>
    </w:p>
    <w:p w:rsidR="00135552" w:rsidRDefault="004C63B0">
      <w:pPr>
        <w:pStyle w:val="Textstand-alone"/>
        <w:spacing w:before="0"/>
        <w:jc w:val="center"/>
      </w:pPr>
      <w:r>
        <w:rPr>
          <w:lang w:val="pl-PL" w:eastAsia="pl-PL"/>
        </w:rPr>
        <w:drawing>
          <wp:inline distT="0" distB="0" distL="0" distR="0">
            <wp:extent cx="4186800" cy="2685600"/>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7928" name="Picture 4"/>
                    <pic:cNvPicPr>
                      <a:picLocks noChangeAspect="1" noChangeArrowheads="1"/>
                    </pic:cNvPicPr>
                  </pic:nvPicPr>
                  <pic:blipFill>
                    <a:blip r:embed="rId303">
                      <a:extLst>
                        <a:ext uri="{28A0092B-C50C-407E-A947-70E740481C1C}">
                          <a14:useLocalDpi xmlns:a14="http://schemas.microsoft.com/office/drawing/2010/main" val="0"/>
                        </a:ext>
                      </a:extLst>
                    </a:blip>
                    <a:stretch>
                      <a:fillRect/>
                    </a:stretch>
                  </pic:blipFill>
                  <pic:spPr bwMode="auto">
                    <a:xfrm>
                      <a:off x="0" y="0"/>
                      <a:ext cx="4186800" cy="2685600"/>
                    </a:xfrm>
                    <a:prstGeom prst="rect">
                      <a:avLst/>
                    </a:prstGeom>
                    <a:noFill/>
                  </pic:spPr>
                </pic:pic>
              </a:graphicData>
            </a:graphic>
          </wp:inline>
        </w:drawing>
      </w:r>
    </w:p>
    <w:p w:rsidR="00135552" w:rsidRDefault="004C63B0">
      <w:pPr>
        <w:pStyle w:val="DGTextstand-alone"/>
        <w:spacing w:after="0"/>
        <w:rPr>
          <w:b/>
        </w:rPr>
      </w:pPr>
      <w:r>
        <w:t>The following tables provide an overview of financial instruments financed by the EU budget per MFF and their values at 31 December 2019:</w:t>
      </w:r>
    </w:p>
    <w:tbl>
      <w:tblPr>
        <w:tblW w:w="10073" w:type="dxa"/>
        <w:tblInd w:w="108" w:type="dxa"/>
        <w:tblLook w:val="0480" w:firstRow="0" w:lastRow="0" w:firstColumn="1" w:lastColumn="0" w:noHBand="0" w:noVBand="1"/>
      </w:tblPr>
      <w:tblGrid>
        <w:gridCol w:w="5948"/>
        <w:gridCol w:w="1188"/>
        <w:gridCol w:w="1348"/>
        <w:gridCol w:w="1589"/>
      </w:tblGrid>
      <w:tr w:rsidR="00135552">
        <w:trPr>
          <w:trHeight w:val="315"/>
        </w:trPr>
        <w:tc>
          <w:tcPr>
            <w:tcW w:w="59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rsidR="00135552" w:rsidRDefault="004C63B0">
            <w:pPr>
              <w:rPr>
                <w:rFonts w:ascii="Verdana" w:hAnsi="Verdana"/>
                <w:i/>
                <w:noProof/>
                <w:color w:val="000000"/>
                <w:sz w:val="16"/>
                <w:szCs w:val="18"/>
              </w:rPr>
            </w:pPr>
            <w:r>
              <w:rPr>
                <w:rFonts w:ascii="Verdana" w:hAnsi="Verdana"/>
                <w:i/>
                <w:noProof/>
                <w:color w:val="000000"/>
                <w:sz w:val="16"/>
                <w:szCs w:val="18"/>
              </w:rPr>
              <w:t>EUR million</w:t>
            </w:r>
          </w:p>
        </w:tc>
      </w:tr>
      <w:tr w:rsidR="00135552">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135552" w:rsidRDefault="004C63B0">
            <w:pPr>
              <w:rPr>
                <w:rFonts w:ascii="Verdana" w:hAnsi="Verdana"/>
                <w:b/>
                <w:bCs/>
                <w:noProof/>
                <w:color w:val="FFFFFF"/>
                <w:sz w:val="16"/>
                <w:szCs w:val="16"/>
              </w:rPr>
            </w:pPr>
            <w:r>
              <w:rPr>
                <w:rFonts w:ascii="Verdana" w:hAnsi="Verdana"/>
                <w:b/>
                <w:bCs/>
                <w:noProof/>
                <w:color w:val="FFFFFF"/>
                <w:sz w:val="16"/>
                <w:szCs w:val="16"/>
              </w:rPr>
              <w:t>Related to more than one MFF</w:t>
            </w:r>
          </w:p>
        </w:tc>
        <w:tc>
          <w:tcPr>
            <w:tcW w:w="118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rsidR="00135552" w:rsidRDefault="004C63B0">
            <w:pPr>
              <w:rPr>
                <w:rFonts w:ascii="Verdana" w:hAnsi="Verdana"/>
                <w:b/>
                <w:bCs/>
                <w:noProof/>
                <w:color w:val="FFFFFF"/>
                <w:sz w:val="16"/>
                <w:szCs w:val="16"/>
              </w:rPr>
            </w:pPr>
            <w:r>
              <w:rPr>
                <w:rFonts w:ascii="Verdana" w:hAnsi="Verdana"/>
                <w:b/>
                <w:bCs/>
                <w:noProof/>
                <w:color w:val="FFFFFF"/>
                <w:sz w:val="16"/>
                <w:szCs w:val="16"/>
              </w:rPr>
              <w:t>Contingent     Liabilities***</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rsidR="00135552" w:rsidRDefault="00135552">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135552" w:rsidRDefault="00135552">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Guarantee Facility under the Western Balkan (EDIF)</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36</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(40)</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36</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Equity instruments:</w:t>
            </w:r>
          </w:p>
        </w:tc>
        <w:tc>
          <w:tcPr>
            <w:tcW w:w="118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bookmarkStart w:id="183" w:name="OLE_LINK3"/>
            <w:r>
              <w:rPr>
                <w:rFonts w:ascii="Verdana" w:hAnsi="Verdana"/>
                <w:noProof/>
                <w:color w:val="000000"/>
                <w:sz w:val="16"/>
                <w:szCs w:val="16"/>
              </w:rPr>
              <w:t xml:space="preserve">European Fund for Southeast Europe (EFSE) </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166</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 xml:space="preserve">Green for </w:t>
            </w:r>
            <w:r>
              <w:rPr>
                <w:rFonts w:ascii="Verdana" w:hAnsi="Verdana"/>
                <w:noProof/>
                <w:color w:val="000000"/>
                <w:sz w:val="16"/>
                <w:szCs w:val="16"/>
              </w:rPr>
              <w:t>Growth Fund to the Eastern Neighbourhood Region</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3"/>
      <w:tr w:rsidR="00135552">
        <w:trPr>
          <w:trHeight w:hRule="exact" w:val="284"/>
        </w:trPr>
        <w:tc>
          <w:tcPr>
            <w:tcW w:w="5948" w:type="dxa"/>
            <w:tcBorders>
              <w:top w:val="nil"/>
              <w:left w:val="single" w:sz="8" w:space="0" w:color="auto"/>
              <w:bottom w:val="nil"/>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European Progress Microfinance Fund</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53</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MENA Fund for Micro-, Small and Medium Enterprises (SANAD)</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Enterprise Innovation Fund (ENIF)</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Enterprise Expansion Fund (ENEF)</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Microfinance Initiative for Asia Debt Fund (MIFA)</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9</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370</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135552">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406</w:t>
            </w:r>
          </w:p>
        </w:tc>
        <w:tc>
          <w:tcPr>
            <w:tcW w:w="134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nil"/>
              <w:left w:val="nil"/>
              <w:bottom w:val="single" w:sz="8" w:space="0" w:color="auto"/>
              <w:right w:val="single" w:sz="8" w:space="0" w:color="auto"/>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w:t>
            </w:r>
          </w:p>
        </w:tc>
      </w:tr>
      <w:tr w:rsidR="00135552">
        <w:trPr>
          <w:trHeight w:hRule="exact" w:val="170"/>
        </w:trPr>
        <w:tc>
          <w:tcPr>
            <w:tcW w:w="59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rsidR="00135552" w:rsidRDefault="00135552">
            <w:pPr>
              <w:jc w:val="right"/>
              <w:rPr>
                <w:rFonts w:ascii="Verdana" w:hAnsi="Verdana"/>
                <w:i/>
                <w:iCs/>
                <w:noProof/>
                <w:color w:val="000000"/>
                <w:sz w:val="16"/>
                <w:szCs w:val="18"/>
              </w:rPr>
            </w:pPr>
          </w:p>
        </w:tc>
      </w:tr>
      <w:tr w:rsidR="00135552">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135552" w:rsidRDefault="004C63B0">
            <w:pPr>
              <w:rPr>
                <w:rFonts w:ascii="Verdana" w:hAnsi="Verdana"/>
                <w:b/>
                <w:bCs/>
                <w:noProof/>
                <w:color w:val="FFFFFF"/>
                <w:sz w:val="16"/>
                <w:szCs w:val="16"/>
              </w:rPr>
            </w:pPr>
            <w:r>
              <w:rPr>
                <w:rFonts w:ascii="Verdana" w:hAnsi="Verdana"/>
                <w:b/>
                <w:bCs/>
                <w:noProof/>
                <w:color w:val="FFFFFF"/>
                <w:sz w:val="16"/>
                <w:szCs w:val="16"/>
              </w:rPr>
              <w:t>MFF 2014-2020</w:t>
            </w:r>
          </w:p>
        </w:tc>
        <w:tc>
          <w:tcPr>
            <w:tcW w:w="118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Contingent Liabilities</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rsidR="00135552" w:rsidRDefault="00135552">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4" w:name="OLE_LINK4"/>
            <w:r>
              <w:rPr>
                <w:rFonts w:ascii="Verdana" w:hAnsi="Verdana"/>
                <w:noProof/>
                <w:color w:val="000000"/>
                <w:sz w:val="16"/>
                <w:szCs w:val="16"/>
              </w:rPr>
              <w:t>Horizon 2020 – InnovFin Loan &amp; Guarantee Service for R&amp;I</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 xml:space="preserve">1 </w:t>
            </w:r>
            <w:r>
              <w:rPr>
                <w:rFonts w:ascii="Verdana" w:hAnsi="Verdana"/>
                <w:noProof/>
                <w:color w:val="000000"/>
                <w:sz w:val="16"/>
                <w:szCs w:val="16"/>
              </w:rPr>
              <w:t>237</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(33)</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(1 091)</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Horizon 2020 – InnovFin SME Guarantee</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936</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(557)</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(361)</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Connecting Europe Facility Debt Instrument (CEF DI)</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708</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(684)</w:t>
            </w:r>
          </w:p>
        </w:tc>
      </w:tr>
      <w:tr w:rsidR="00135552">
        <w:trPr>
          <w:trHeight w:hRule="exact" w:val="284"/>
        </w:trPr>
        <w:tc>
          <w:tcPr>
            <w:tcW w:w="5948" w:type="dxa"/>
            <w:tcBorders>
              <w:top w:val="nil"/>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COSME Loan Guarantee Facility</w:t>
            </w:r>
          </w:p>
        </w:tc>
        <w:tc>
          <w:tcPr>
            <w:tcW w:w="118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401</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(758)</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r>
      <w:tr w:rsidR="00135552">
        <w:trPr>
          <w:trHeight w:hRule="exact" w:val="284"/>
        </w:trPr>
        <w:tc>
          <w:tcPr>
            <w:tcW w:w="5948" w:type="dxa"/>
            <w:tcBorders>
              <w:top w:val="nil"/>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Private Finance for Energy Efficiency Instrument (PF4EE)</w:t>
            </w:r>
          </w:p>
        </w:tc>
        <w:tc>
          <w:tcPr>
            <w:tcW w:w="118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(8)</w:t>
            </w:r>
          </w:p>
        </w:tc>
      </w:tr>
      <w:bookmarkEnd w:id="184"/>
      <w:tr w:rsidR="00135552">
        <w:trPr>
          <w:trHeight w:hRule="exact" w:val="284"/>
        </w:trPr>
        <w:tc>
          <w:tcPr>
            <w:tcW w:w="5948" w:type="dxa"/>
            <w:tcBorders>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Cultural and Creative Sector Guarantee Facility</w:t>
            </w:r>
          </w:p>
        </w:tc>
        <w:tc>
          <w:tcPr>
            <w:tcW w:w="1188" w:type="dxa"/>
            <w:tcBorders>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(28)</w:t>
            </w:r>
          </w:p>
        </w:tc>
        <w:tc>
          <w:tcPr>
            <w:tcW w:w="1589" w:type="dxa"/>
            <w:tcBorders>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SEMED MSME Financial Inclusion Programme</w:t>
            </w:r>
          </w:p>
        </w:tc>
        <w:tc>
          <w:tcPr>
            <w:tcW w:w="118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25</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(12)</w:t>
            </w:r>
          </w:p>
        </w:tc>
      </w:tr>
      <w:tr w:rsidR="00135552">
        <w:trPr>
          <w:trHeight w:hRule="exact" w:val="284"/>
        </w:trPr>
        <w:tc>
          <w:tcPr>
            <w:tcW w:w="5948" w:type="dxa"/>
            <w:tcBorders>
              <w:left w:val="single" w:sz="8" w:space="0" w:color="auto"/>
              <w:bottom w:val="single" w:sz="8" w:space="0" w:color="auto"/>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Transferability &amp; Convertibility (T&amp;C) Facility</w:t>
            </w:r>
          </w:p>
        </w:tc>
        <w:tc>
          <w:tcPr>
            <w:tcW w:w="1188" w:type="dxa"/>
            <w:tcBorders>
              <w:left w:val="nil"/>
              <w:bottom w:val="single" w:sz="8" w:space="0" w:color="auto"/>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left w:val="nil"/>
              <w:bottom w:val="single" w:sz="8" w:space="0" w:color="auto"/>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left w:val="nil"/>
              <w:bottom w:val="single" w:sz="8" w:space="0" w:color="auto"/>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135552" w:rsidRDefault="004C63B0">
            <w:pPr>
              <w:rPr>
                <w:rFonts w:ascii="Verdana" w:hAnsi="Verdana"/>
                <w:b/>
                <w:bCs/>
                <w:noProof/>
                <w:color w:val="FFFFFF"/>
                <w:sz w:val="16"/>
                <w:szCs w:val="16"/>
              </w:rPr>
            </w:pPr>
            <w:r>
              <w:rPr>
                <w:rFonts w:ascii="Verdana" w:hAnsi="Verdana"/>
                <w:b/>
                <w:bCs/>
                <w:noProof/>
                <w:color w:val="FFFFFF"/>
                <w:sz w:val="16"/>
                <w:szCs w:val="16"/>
              </w:rPr>
              <w:t>MFF 2014-2020</w:t>
            </w:r>
          </w:p>
        </w:tc>
        <w:tc>
          <w:tcPr>
            <w:tcW w:w="118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Contingent Liabilities</w:t>
            </w:r>
          </w:p>
        </w:tc>
      </w:tr>
      <w:tr w:rsidR="00135552">
        <w:trPr>
          <w:trHeight w:hRule="exact" w:val="284"/>
        </w:trPr>
        <w:tc>
          <w:tcPr>
            <w:tcW w:w="5948" w:type="dxa"/>
            <w:tcBorders>
              <w:top w:val="nil"/>
              <w:left w:val="single" w:sz="8" w:space="0" w:color="auto"/>
              <w:right w:val="nil"/>
            </w:tcBorders>
            <w:shd w:val="clear" w:color="auto" w:fill="auto"/>
            <w:vAlign w:val="center"/>
          </w:tcPr>
          <w:p w:rsidR="00135552" w:rsidRDefault="004C63B0">
            <w:pPr>
              <w:rPr>
                <w:rFonts w:ascii="Verdana" w:hAnsi="Verdana"/>
                <w:i/>
                <w:noProof/>
                <w:color w:val="000000"/>
                <w:sz w:val="16"/>
                <w:szCs w:val="16"/>
              </w:rPr>
            </w:pPr>
            <w:r>
              <w:rPr>
                <w:rFonts w:ascii="Verdana" w:hAnsi="Verdana"/>
                <w:i/>
                <w:noProof/>
                <w:color w:val="000000"/>
                <w:sz w:val="14"/>
                <w:szCs w:val="16"/>
              </w:rPr>
              <w:t xml:space="preserve">(continuing from previous </w:t>
            </w:r>
            <w:r>
              <w:rPr>
                <w:rFonts w:ascii="Verdana" w:hAnsi="Verdana"/>
                <w:i/>
                <w:noProof/>
                <w:color w:val="000000"/>
                <w:sz w:val="14"/>
                <w:szCs w:val="16"/>
              </w:rPr>
              <w:t>page)</w:t>
            </w:r>
          </w:p>
        </w:tc>
        <w:tc>
          <w:tcPr>
            <w:tcW w:w="1188" w:type="dxa"/>
            <w:tcBorders>
              <w:top w:val="nil"/>
              <w:left w:val="nil"/>
              <w:right w:val="nil"/>
            </w:tcBorders>
            <w:shd w:val="clear" w:color="auto" w:fill="auto"/>
            <w:noWrap/>
            <w:vAlign w:val="center"/>
          </w:tcPr>
          <w:p w:rsidR="00135552" w:rsidRDefault="00135552">
            <w:pPr>
              <w:jc w:val="right"/>
              <w:rPr>
                <w:rFonts w:ascii="Verdana" w:hAnsi="Verdana"/>
                <w:noProof/>
                <w:color w:val="000000"/>
                <w:sz w:val="16"/>
                <w:szCs w:val="16"/>
              </w:rPr>
            </w:pPr>
          </w:p>
        </w:tc>
        <w:tc>
          <w:tcPr>
            <w:tcW w:w="1348" w:type="dxa"/>
            <w:tcBorders>
              <w:top w:val="nil"/>
              <w:left w:val="nil"/>
              <w:right w:val="nil"/>
            </w:tcBorders>
            <w:shd w:val="clear" w:color="auto" w:fill="auto"/>
            <w:noWrap/>
            <w:vAlign w:val="center"/>
          </w:tcPr>
          <w:p w:rsidR="00135552" w:rsidRDefault="00135552">
            <w:pPr>
              <w:jc w:val="right"/>
              <w:rPr>
                <w:rFonts w:ascii="Verdana" w:hAnsi="Verdana"/>
                <w:noProof/>
                <w:color w:val="000000"/>
                <w:sz w:val="16"/>
                <w:szCs w:val="16"/>
              </w:rPr>
            </w:pPr>
          </w:p>
        </w:tc>
        <w:tc>
          <w:tcPr>
            <w:tcW w:w="1589" w:type="dxa"/>
            <w:tcBorders>
              <w:top w:val="nil"/>
              <w:left w:val="nil"/>
              <w:right w:val="single" w:sz="8" w:space="0" w:color="auto"/>
            </w:tcBorders>
            <w:shd w:val="clear" w:color="auto" w:fill="auto"/>
            <w:noWrap/>
            <w:vAlign w:val="center"/>
          </w:tcPr>
          <w:p w:rsidR="00135552" w:rsidRDefault="00135552">
            <w:pPr>
              <w:jc w:val="right"/>
              <w:rPr>
                <w:rFonts w:ascii="Verdana" w:hAnsi="Verdana"/>
                <w:noProof/>
                <w:color w:val="000000"/>
                <w:sz w:val="16"/>
                <w:szCs w:val="16"/>
              </w:rPr>
            </w:pPr>
          </w:p>
        </w:tc>
      </w:tr>
      <w:tr w:rsidR="00135552">
        <w:trPr>
          <w:trHeight w:hRule="exact" w:val="284"/>
        </w:trPr>
        <w:tc>
          <w:tcPr>
            <w:tcW w:w="5948" w:type="dxa"/>
            <w:tcBorders>
              <w:top w:val="nil"/>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Student Loan Guarantee Facility</w:t>
            </w:r>
          </w:p>
        </w:tc>
        <w:tc>
          <w:tcPr>
            <w:tcW w:w="118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Eastern Partnership SME Finance facilities</w:t>
            </w:r>
          </w:p>
        </w:tc>
        <w:tc>
          <w:tcPr>
            <w:tcW w:w="1188" w:type="dxa"/>
            <w:tcBorders>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r>
      <w:tr w:rsidR="00135552">
        <w:trPr>
          <w:trHeight w:hRule="exact" w:val="284"/>
        </w:trPr>
        <w:tc>
          <w:tcPr>
            <w:tcW w:w="5948" w:type="dxa"/>
            <w:tcBorders>
              <w:top w:val="nil"/>
              <w:left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Natural Capital Financing Facility</w:t>
            </w:r>
          </w:p>
        </w:tc>
        <w:tc>
          <w:tcPr>
            <w:tcW w:w="118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w:t>
            </w:r>
          </w:p>
        </w:tc>
      </w:tr>
      <w:tr w:rsidR="00135552">
        <w:trPr>
          <w:trHeight w:hRule="exact" w:val="284"/>
        </w:trPr>
        <w:tc>
          <w:tcPr>
            <w:tcW w:w="5948" w:type="dxa"/>
            <w:tcBorders>
              <w:top w:val="nil"/>
              <w:left w:val="single" w:sz="8" w:space="0" w:color="auto"/>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Other Guarantee and risk-sharing instruments</w:t>
            </w:r>
          </w:p>
        </w:tc>
        <w:tc>
          <w:tcPr>
            <w:tcW w:w="1188" w:type="dxa"/>
            <w:tcBorders>
              <w:top w:val="nil"/>
              <w:left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(6)</w:t>
            </w:r>
          </w:p>
        </w:tc>
      </w:tr>
      <w:tr w:rsidR="00135552">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3 451</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(1 387)</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(2 175)</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Equity instruments:</w:t>
            </w:r>
          </w:p>
        </w:tc>
        <w:tc>
          <w:tcPr>
            <w:tcW w:w="118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5" w:name="OLE_LINK5"/>
            <w:r>
              <w:rPr>
                <w:rFonts w:ascii="Verdana" w:hAnsi="Verdana"/>
                <w:noProof/>
                <w:color w:val="000000"/>
                <w:sz w:val="16"/>
                <w:szCs w:val="16"/>
              </w:rPr>
              <w:t>Horizon 2020 InnovFin Equity Facility for R&amp;I</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515</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(17)</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(131)</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COSME – Equity Facility for Growth</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86</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Risk Capital Facility for the Southern Neighbourhood countries</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24</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Climate Investor One</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15</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Latin American Investment Facility</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Africa Agriculture Trade and Investment Fund</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Other Equity instruments</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5"/>
      <w:tr w:rsidR="00135552">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679</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(20)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(131)</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Mixed instruments:</w:t>
            </w:r>
          </w:p>
        </w:tc>
        <w:tc>
          <w:tcPr>
            <w:tcW w:w="118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 </w:t>
            </w:r>
          </w:p>
        </w:tc>
      </w:tr>
      <w:tr w:rsidR="00135552">
        <w:trPr>
          <w:trHeight w:hRule="exact" w:val="397"/>
        </w:trPr>
        <w:tc>
          <w:tcPr>
            <w:tcW w:w="5948" w:type="dxa"/>
            <w:tcBorders>
              <w:top w:val="nil"/>
              <w:left w:val="single" w:sz="8" w:space="0" w:color="auto"/>
              <w:bottom w:val="nil"/>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Employment and Social Innovation (EaSI) Guarantee Facility and Capacity Building</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81</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(72)</w:t>
            </w:r>
          </w:p>
        </w:tc>
        <w:tc>
          <w:tcPr>
            <w:tcW w:w="1589" w:type="dxa"/>
            <w:tcBorders>
              <w:top w:val="nil"/>
              <w:left w:val="nil"/>
              <w:bottom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6" w:name="OLE_LINK6"/>
            <w:r>
              <w:rPr>
                <w:rFonts w:ascii="Verdana" w:hAnsi="Verdana"/>
                <w:noProof/>
                <w:color w:val="000000"/>
                <w:sz w:val="16"/>
                <w:szCs w:val="16"/>
              </w:rPr>
              <w:t xml:space="preserve">EU Deep and Comprehensive Free </w:t>
            </w:r>
            <w:r>
              <w:rPr>
                <w:rFonts w:ascii="Verdana" w:hAnsi="Verdana"/>
                <w:noProof/>
                <w:color w:val="000000"/>
                <w:sz w:val="16"/>
                <w:szCs w:val="16"/>
              </w:rPr>
              <w:t>Trade Area facilities</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62</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(24)</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Facility for Energy Inclusion</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tcPr>
          <w:p w:rsidR="00135552" w:rsidRDefault="004C63B0">
            <w:pPr>
              <w:rPr>
                <w:rFonts w:ascii="Verdana" w:hAnsi="Verdana"/>
                <w:noProof/>
                <w:sz w:val="16"/>
                <w:szCs w:val="16"/>
              </w:rPr>
            </w:pPr>
            <w:r>
              <w:rPr>
                <w:rFonts w:ascii="Verdana" w:hAnsi="Verdana"/>
                <w:noProof/>
                <w:sz w:val="16"/>
                <w:szCs w:val="16"/>
              </w:rPr>
              <w:t>ElectriFI</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30</w:t>
            </w:r>
          </w:p>
        </w:tc>
        <w:tc>
          <w:tcPr>
            <w:tcW w:w="134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noProof/>
                <w:color w:val="000000"/>
                <w:sz w:val="16"/>
                <w:szCs w:val="16"/>
              </w:rPr>
            </w:pPr>
            <w:r>
              <w:rPr>
                <w:rFonts w:ascii="Verdana" w:hAnsi="Verdana"/>
                <w:noProof/>
                <w:sz w:val="16"/>
                <w:szCs w:val="16"/>
              </w:rPr>
              <w:t>Agriculture Financing Initiative</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21</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6"/>
      <w:tr w:rsidR="00135552">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232</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(98)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w:t>
            </w:r>
          </w:p>
        </w:tc>
      </w:tr>
      <w:tr w:rsidR="00135552">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4 362</w:t>
            </w:r>
          </w:p>
        </w:tc>
        <w:tc>
          <w:tcPr>
            <w:tcW w:w="134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(1 505)</w:t>
            </w:r>
          </w:p>
        </w:tc>
        <w:tc>
          <w:tcPr>
            <w:tcW w:w="1589" w:type="dxa"/>
            <w:tcBorders>
              <w:top w:val="nil"/>
              <w:left w:val="nil"/>
              <w:bottom w:val="single" w:sz="8" w:space="0" w:color="auto"/>
              <w:right w:val="single" w:sz="8" w:space="0" w:color="auto"/>
            </w:tcBorders>
            <w:shd w:val="clear" w:color="000000" w:fill="B8CCE4"/>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(2 306)</w:t>
            </w:r>
          </w:p>
        </w:tc>
      </w:tr>
      <w:tr w:rsidR="00135552">
        <w:trPr>
          <w:trHeight w:hRule="exact" w:val="57"/>
        </w:trPr>
        <w:tc>
          <w:tcPr>
            <w:tcW w:w="59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6"/>
                <w:szCs w:val="16"/>
              </w:rPr>
            </w:pPr>
          </w:p>
        </w:tc>
      </w:tr>
      <w:tr w:rsidR="00135552">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135552" w:rsidRDefault="004C63B0">
            <w:pPr>
              <w:rPr>
                <w:rFonts w:ascii="Verdana" w:hAnsi="Verdana"/>
                <w:b/>
                <w:bCs/>
                <w:noProof/>
                <w:color w:val="FFFFFF"/>
                <w:sz w:val="16"/>
                <w:szCs w:val="16"/>
              </w:rPr>
            </w:pPr>
            <w:r>
              <w:rPr>
                <w:rFonts w:ascii="Verdana" w:hAnsi="Verdana"/>
                <w:b/>
                <w:bCs/>
                <w:noProof/>
                <w:color w:val="FFFFFF"/>
                <w:sz w:val="16"/>
                <w:szCs w:val="16"/>
              </w:rPr>
              <w:t>MFF Prior to 2014</w:t>
            </w:r>
          </w:p>
        </w:tc>
        <w:tc>
          <w:tcPr>
            <w:tcW w:w="118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Contingent Liabilities</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xml:space="preserve">Guarantee and </w:t>
            </w:r>
            <w:r>
              <w:rPr>
                <w:rFonts w:ascii="Verdana" w:hAnsi="Verdana"/>
                <w:b/>
                <w:bCs/>
                <w:noProof/>
                <w:color w:val="000000"/>
                <w:sz w:val="16"/>
                <w:szCs w:val="16"/>
              </w:rPr>
              <w:t>risk-sharing instruments:</w:t>
            </w:r>
          </w:p>
        </w:tc>
        <w:tc>
          <w:tcPr>
            <w:tcW w:w="1188" w:type="dxa"/>
            <w:tcBorders>
              <w:top w:val="nil"/>
              <w:left w:val="nil"/>
              <w:bottom w:val="nil"/>
              <w:right w:val="nil"/>
            </w:tcBorders>
            <w:shd w:val="clear" w:color="auto" w:fill="auto"/>
            <w:noWrap/>
            <w:vAlign w:val="center"/>
            <w:hideMark/>
          </w:tcPr>
          <w:p w:rsidR="00135552" w:rsidRDefault="00135552">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135552" w:rsidRDefault="00135552">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7" w:name="OLE_LINK7"/>
            <w:r>
              <w:rPr>
                <w:rFonts w:ascii="Verdana" w:hAnsi="Verdana"/>
                <w:noProof/>
                <w:color w:val="000000"/>
                <w:sz w:val="16"/>
                <w:szCs w:val="16"/>
              </w:rPr>
              <w:t>Risk Sharing Finance Facility (RSFF)</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609</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(58)</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(110)</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SME Guarantee Facility under CIP</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(140)</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Multi Annual Program (MAP) for Enterprises</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(31)</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European Progress Microfinance Guarantee Facility</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7"/>
      <w:tr w:rsidR="00135552">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716</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(233)</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rsidR="00135552" w:rsidRDefault="004C63B0">
            <w:pPr>
              <w:jc w:val="right"/>
              <w:rPr>
                <w:rFonts w:ascii="Verdana" w:hAnsi="Verdana"/>
                <w:b/>
                <w:bCs/>
                <w:noProof/>
                <w:sz w:val="16"/>
                <w:szCs w:val="16"/>
              </w:rPr>
            </w:pPr>
            <w:r>
              <w:rPr>
                <w:rFonts w:ascii="Verdana" w:hAnsi="Verdana"/>
                <w:b/>
                <w:bCs/>
                <w:noProof/>
                <w:sz w:val="16"/>
                <w:szCs w:val="16"/>
              </w:rPr>
              <w:t>(110)</w:t>
            </w:r>
          </w:p>
        </w:tc>
      </w:tr>
      <w:tr w:rsidR="00135552">
        <w:trPr>
          <w:trHeight w:hRule="exact" w:val="284"/>
        </w:trPr>
        <w:tc>
          <w:tcPr>
            <w:tcW w:w="5948" w:type="dxa"/>
            <w:tcBorders>
              <w:top w:val="nil"/>
              <w:left w:val="single" w:sz="8" w:space="0" w:color="auto"/>
              <w:bottom w:val="nil"/>
              <w:right w:val="nil"/>
            </w:tcBorders>
            <w:shd w:val="clear" w:color="auto" w:fill="auto"/>
            <w:noWrap/>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 xml:space="preserve">Equity instruments: </w:t>
            </w:r>
          </w:p>
        </w:tc>
        <w:tc>
          <w:tcPr>
            <w:tcW w:w="1188" w:type="dxa"/>
            <w:tcBorders>
              <w:top w:val="nil"/>
              <w:left w:val="nil"/>
              <w:bottom w:val="nil"/>
              <w:right w:val="nil"/>
            </w:tcBorders>
            <w:shd w:val="clear" w:color="auto" w:fill="auto"/>
            <w:noWrap/>
            <w:vAlign w:val="center"/>
            <w:hideMark/>
          </w:tcPr>
          <w:p w:rsidR="00135552" w:rsidRDefault="00135552">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8" w:name="OLE_LINK8"/>
            <w:r>
              <w:rPr>
                <w:rFonts w:ascii="Verdana" w:hAnsi="Verdana"/>
                <w:noProof/>
                <w:color w:val="000000"/>
                <w:sz w:val="16"/>
                <w:szCs w:val="16"/>
              </w:rPr>
              <w:t>High Growth and Innovative SME Facility under CIP</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448</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Multi Annual Framework Programme Equity Facility</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196</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 xml:space="preserve">European Energy Efficiency Fund </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105</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Global Energy Efficiency and Renewable Energy Fund</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Marguerite Fund</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54</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European Technology Start up Facility 1998 (ETF)</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3</w:t>
            </w:r>
          </w:p>
        </w:tc>
        <w:tc>
          <w:tcPr>
            <w:tcW w:w="134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8"/>
      <w:tr w:rsidR="00135552">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135552" w:rsidRDefault="004C63B0">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885</w:t>
            </w:r>
          </w:p>
        </w:tc>
        <w:tc>
          <w:tcPr>
            <w:tcW w:w="134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6"/>
              </w:rPr>
            </w:pPr>
            <w:r>
              <w:rPr>
                <w:rFonts w:ascii="Verdana" w:hAnsi="Verdana"/>
                <w:b/>
                <w:bCs/>
                <w:noProof/>
                <w:color w:val="000000"/>
                <w:sz w:val="16"/>
                <w:szCs w:val="16"/>
              </w:rPr>
              <w:t>-</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b/>
                <w:bCs/>
                <w:noProof/>
                <w:color w:val="000000"/>
                <w:sz w:val="16"/>
                <w:szCs w:val="16"/>
              </w:rPr>
            </w:pPr>
            <w:r>
              <w:rPr>
                <w:rFonts w:ascii="Verdana" w:hAnsi="Verdana"/>
                <w:b/>
                <w:bCs/>
                <w:noProof/>
                <w:color w:val="000000"/>
                <w:sz w:val="16"/>
                <w:szCs w:val="16"/>
              </w:rPr>
              <w:t>Mixed instruments:</w:t>
            </w:r>
          </w:p>
        </w:tc>
        <w:tc>
          <w:tcPr>
            <w:tcW w:w="118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135552" w:rsidRDefault="00135552">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135552" w:rsidRDefault="004C63B0">
            <w:pPr>
              <w:jc w:val="center"/>
              <w:rPr>
                <w:rFonts w:ascii="Verdana" w:hAnsi="Verdana"/>
                <w:b/>
                <w:bCs/>
                <w:noProof/>
                <w:color w:val="FFFFFF"/>
                <w:sz w:val="16"/>
                <w:szCs w:val="16"/>
              </w:rPr>
            </w:pPr>
            <w:r>
              <w:rPr>
                <w:rFonts w:ascii="Verdana" w:hAnsi="Verdana"/>
                <w:b/>
                <w:bCs/>
                <w:noProof/>
                <w:color w:val="FFFFFF"/>
                <w:sz w:val="16"/>
                <w:szCs w:val="16"/>
              </w:rPr>
              <w:t> </w:t>
            </w:r>
          </w:p>
        </w:tc>
      </w:tr>
      <w:tr w:rsidR="00135552">
        <w:trPr>
          <w:trHeight w:hRule="exact" w:val="284"/>
        </w:trPr>
        <w:tc>
          <w:tcPr>
            <w:tcW w:w="5948" w:type="dxa"/>
            <w:tcBorders>
              <w:top w:val="nil"/>
              <w:left w:val="single" w:sz="8" w:space="0" w:color="auto"/>
              <w:bottom w:val="nil"/>
              <w:right w:val="nil"/>
            </w:tcBorders>
            <w:shd w:val="clear" w:color="auto" w:fill="auto"/>
            <w:vAlign w:val="center"/>
            <w:hideMark/>
          </w:tcPr>
          <w:p w:rsidR="00135552" w:rsidRDefault="004C63B0">
            <w:pPr>
              <w:rPr>
                <w:rFonts w:ascii="Verdana" w:hAnsi="Verdana"/>
                <w:noProof/>
                <w:color w:val="000000"/>
                <w:sz w:val="16"/>
                <w:szCs w:val="16"/>
              </w:rPr>
            </w:pPr>
            <w:bookmarkStart w:id="189" w:name="OLE_LINK9"/>
            <w:r>
              <w:rPr>
                <w:rFonts w:ascii="Verdana" w:hAnsi="Verdana"/>
                <w:noProof/>
                <w:color w:val="000000"/>
                <w:sz w:val="16"/>
                <w:szCs w:val="16"/>
              </w:rPr>
              <w:t>European Neighbourhood and Partnership Instrument (ENPI)</w:t>
            </w:r>
          </w:p>
        </w:tc>
        <w:tc>
          <w:tcPr>
            <w:tcW w:w="1188" w:type="dxa"/>
            <w:tcBorders>
              <w:top w:val="nil"/>
              <w:left w:val="nil"/>
              <w:bottom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124</w:t>
            </w:r>
          </w:p>
        </w:tc>
        <w:tc>
          <w:tcPr>
            <w:tcW w:w="1348" w:type="dxa"/>
            <w:tcBorders>
              <w:top w:val="nil"/>
              <w:left w:val="nil"/>
              <w:right w:val="nil"/>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bookmarkEnd w:id="189"/>
      <w:tr w:rsidR="00135552">
        <w:trPr>
          <w:trHeight w:hRule="exact" w:val="284"/>
        </w:trPr>
        <w:tc>
          <w:tcPr>
            <w:tcW w:w="5948" w:type="dxa"/>
            <w:tcBorders>
              <w:top w:val="nil"/>
              <w:left w:val="single" w:sz="8" w:space="0" w:color="auto"/>
              <w:bottom w:val="nil"/>
              <w:right w:val="nil"/>
            </w:tcBorders>
            <w:shd w:val="clear" w:color="auto" w:fill="auto"/>
            <w:vAlign w:val="center"/>
          </w:tcPr>
          <w:p w:rsidR="00135552" w:rsidRDefault="004C63B0">
            <w:pPr>
              <w:rPr>
                <w:rFonts w:ascii="Verdana" w:hAnsi="Verdana"/>
                <w:noProof/>
                <w:color w:val="000000"/>
                <w:sz w:val="16"/>
                <w:szCs w:val="16"/>
              </w:rPr>
            </w:pPr>
            <w:r>
              <w:rPr>
                <w:rFonts w:ascii="Verdana" w:hAnsi="Verdana"/>
                <w:noProof/>
                <w:color w:val="000000"/>
                <w:sz w:val="16"/>
                <w:szCs w:val="16"/>
              </w:rPr>
              <w:t>Instrument of economic and financial cooperation MEDA</w:t>
            </w:r>
          </w:p>
        </w:tc>
        <w:tc>
          <w:tcPr>
            <w:tcW w:w="1188" w:type="dxa"/>
            <w:tcBorders>
              <w:top w:val="nil"/>
              <w:left w:val="nil"/>
              <w:bottom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right w:val="nil"/>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tcPr>
          <w:p w:rsidR="00135552" w:rsidRDefault="004C63B0">
            <w:pPr>
              <w:jc w:val="right"/>
              <w:rPr>
                <w:rFonts w:ascii="Verdana" w:hAnsi="Verdana"/>
                <w:noProof/>
                <w:color w:val="000000"/>
                <w:sz w:val="16"/>
                <w:szCs w:val="16"/>
              </w:rPr>
            </w:pPr>
            <w:r>
              <w:rPr>
                <w:rFonts w:ascii="Verdana" w:hAnsi="Verdana"/>
                <w:noProof/>
                <w:color w:val="000000"/>
                <w:sz w:val="16"/>
                <w:szCs w:val="16"/>
              </w:rPr>
              <w:t>-</w:t>
            </w:r>
          </w:p>
        </w:tc>
      </w:tr>
      <w:tr w:rsidR="00135552">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243</w:t>
            </w:r>
          </w:p>
        </w:tc>
        <w:tc>
          <w:tcPr>
            <w:tcW w:w="1348" w:type="dxa"/>
            <w:tcBorders>
              <w:top w:val="single" w:sz="4" w:space="0" w:color="auto"/>
              <w:left w:val="nil"/>
              <w:bottom w:val="single" w:sz="8" w:space="0" w:color="auto"/>
              <w:right w:val="nil"/>
            </w:tcBorders>
            <w:shd w:val="clear" w:color="000000" w:fill="FFFFFF"/>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(4)</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w:t>
            </w:r>
          </w:p>
        </w:tc>
      </w:tr>
      <w:tr w:rsidR="00135552">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135552" w:rsidRDefault="004C63B0">
            <w:pPr>
              <w:rPr>
                <w:rFonts w:ascii="Verdana" w:hAnsi="Verdana"/>
                <w:b/>
                <w:bCs/>
                <w:noProof/>
                <w:color w:val="000000"/>
                <w:sz w:val="16"/>
                <w:szCs w:val="18"/>
              </w:rPr>
            </w:pPr>
            <w:r>
              <w:rPr>
                <w:rFonts w:ascii="Verdana" w:hAnsi="Verdana"/>
                <w:b/>
                <w:bCs/>
                <w:noProof/>
                <w:color w:val="000000"/>
                <w:sz w:val="16"/>
                <w:szCs w:val="18"/>
              </w:rPr>
              <w:t xml:space="preserve">Total </w:t>
            </w:r>
          </w:p>
        </w:tc>
        <w:tc>
          <w:tcPr>
            <w:tcW w:w="118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1 844</w:t>
            </w:r>
          </w:p>
        </w:tc>
        <w:tc>
          <w:tcPr>
            <w:tcW w:w="1348" w:type="dxa"/>
            <w:tcBorders>
              <w:top w:val="nil"/>
              <w:left w:val="nil"/>
              <w:bottom w:val="single" w:sz="8"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(244)</w:t>
            </w:r>
          </w:p>
        </w:tc>
        <w:tc>
          <w:tcPr>
            <w:tcW w:w="1589" w:type="dxa"/>
            <w:tcBorders>
              <w:top w:val="nil"/>
              <w:left w:val="nil"/>
              <w:bottom w:val="single" w:sz="8" w:space="0" w:color="auto"/>
              <w:right w:val="single" w:sz="8" w:space="0" w:color="auto"/>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(110)</w:t>
            </w:r>
          </w:p>
        </w:tc>
      </w:tr>
      <w:tr w:rsidR="00135552">
        <w:trPr>
          <w:trHeight w:hRule="exact" w:val="57"/>
        </w:trPr>
        <w:tc>
          <w:tcPr>
            <w:tcW w:w="5948" w:type="dxa"/>
            <w:tcBorders>
              <w:top w:val="nil"/>
              <w:left w:val="nil"/>
              <w:bottom w:val="single" w:sz="12" w:space="0" w:color="auto"/>
              <w:right w:val="nil"/>
            </w:tcBorders>
            <w:shd w:val="clear" w:color="auto" w:fill="auto"/>
            <w:noWrap/>
            <w:vAlign w:val="bottom"/>
            <w:hideMark/>
          </w:tcPr>
          <w:p w:rsidR="00135552" w:rsidRDefault="00135552">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rsidR="00135552" w:rsidRDefault="00135552">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rsidR="00135552" w:rsidRDefault="00135552">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rsidR="00135552" w:rsidRDefault="00135552">
            <w:pPr>
              <w:rPr>
                <w:rFonts w:ascii="Verdana" w:hAnsi="Verdana"/>
                <w:noProof/>
                <w:color w:val="000000"/>
                <w:sz w:val="16"/>
                <w:szCs w:val="18"/>
              </w:rPr>
            </w:pPr>
          </w:p>
        </w:tc>
      </w:tr>
      <w:tr w:rsidR="00135552">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rsidR="00135552" w:rsidRDefault="004C63B0">
            <w:pPr>
              <w:rPr>
                <w:rFonts w:ascii="Verdana" w:hAnsi="Verdana"/>
                <w:b/>
                <w:bCs/>
                <w:noProof/>
                <w:color w:val="000000"/>
                <w:sz w:val="16"/>
                <w:szCs w:val="18"/>
              </w:rPr>
            </w:pPr>
            <w:r>
              <w:rPr>
                <w:rFonts w:ascii="Verdana" w:hAnsi="Verdana"/>
                <w:b/>
                <w:bCs/>
                <w:noProof/>
                <w:color w:val="000000"/>
                <w:sz w:val="16"/>
                <w:szCs w:val="18"/>
              </w:rPr>
              <w:t>Overall Total</w:t>
            </w:r>
          </w:p>
        </w:tc>
        <w:tc>
          <w:tcPr>
            <w:tcW w:w="1188" w:type="dxa"/>
            <w:tcBorders>
              <w:top w:val="single" w:sz="12" w:space="0" w:color="auto"/>
              <w:left w:val="nil"/>
              <w:bottom w:val="single" w:sz="12"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6 612</w:t>
            </w:r>
          </w:p>
        </w:tc>
        <w:tc>
          <w:tcPr>
            <w:tcW w:w="1348" w:type="dxa"/>
            <w:tcBorders>
              <w:top w:val="single" w:sz="12" w:space="0" w:color="auto"/>
              <w:left w:val="nil"/>
              <w:bottom w:val="single" w:sz="12" w:space="0" w:color="auto"/>
              <w:right w:val="nil"/>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(1 790)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rsidR="00135552" w:rsidRDefault="004C63B0">
            <w:pPr>
              <w:jc w:val="right"/>
              <w:rPr>
                <w:rFonts w:ascii="Verdana" w:hAnsi="Verdana"/>
                <w:b/>
                <w:bCs/>
                <w:noProof/>
                <w:color w:val="000000"/>
                <w:sz w:val="16"/>
                <w:szCs w:val="18"/>
              </w:rPr>
            </w:pPr>
            <w:r>
              <w:rPr>
                <w:rFonts w:ascii="Verdana" w:hAnsi="Verdana"/>
                <w:b/>
                <w:bCs/>
                <w:noProof/>
                <w:color w:val="000000"/>
                <w:sz w:val="16"/>
                <w:szCs w:val="18"/>
              </w:rPr>
              <w:t>(2 416)</w:t>
            </w:r>
          </w:p>
        </w:tc>
      </w:tr>
      <w:tr w:rsidR="00135552">
        <w:trPr>
          <w:trHeight w:val="300"/>
        </w:trPr>
        <w:tc>
          <w:tcPr>
            <w:tcW w:w="10073" w:type="dxa"/>
            <w:gridSpan w:val="4"/>
            <w:tcBorders>
              <w:top w:val="single" w:sz="12" w:space="0" w:color="auto"/>
              <w:left w:val="nil"/>
              <w:bottom w:val="nil"/>
              <w:right w:val="nil"/>
            </w:tcBorders>
            <w:shd w:val="clear" w:color="auto" w:fill="auto"/>
            <w:noWrap/>
            <w:vAlign w:val="center"/>
            <w:hideMark/>
          </w:tcPr>
          <w:p w:rsidR="00135552" w:rsidRDefault="004C63B0">
            <w:pPr>
              <w:pStyle w:val="Asterix"/>
              <w:tabs>
                <w:tab w:val="clear" w:pos="426"/>
                <w:tab w:val="left" w:pos="312"/>
              </w:tabs>
              <w:ind w:left="312" w:hanging="312"/>
            </w:pPr>
            <w:r>
              <w:t>*</w:t>
            </w:r>
            <w:r>
              <w:tab/>
              <w:t xml:space="preserve">The assets presented in this table include several items of the financial statements (Available for sale financial assets of EUR 5 028 million; Cash and cash equivalents of </w:t>
            </w:r>
            <w:r>
              <w:t>EUR 1 485 million; Loans of EUR 73 million and other items of EUR 24 million).</w:t>
            </w:r>
          </w:p>
          <w:p w:rsidR="00135552" w:rsidRDefault="004C63B0">
            <w:pPr>
              <w:pStyle w:val="Asterix"/>
              <w:tabs>
                <w:tab w:val="clear" w:pos="426"/>
                <w:tab w:val="left" w:pos="312"/>
              </w:tabs>
              <w:ind w:left="312" w:hanging="312"/>
            </w:pPr>
            <w:r>
              <w:t>**</w:t>
            </w:r>
            <w:r>
              <w:tab/>
              <w:t xml:space="preserve">The liabilities presented in this table include several items of the financial statements (Provisions of EUR 1 702 million; Payables of EUR 75 million and other items in the </w:t>
            </w:r>
            <w:r>
              <w:t>amount of EUR 12 million).</w:t>
            </w:r>
          </w:p>
          <w:p w:rsidR="00135552" w:rsidRDefault="004C63B0">
            <w:pPr>
              <w:pStyle w:val="Asterix"/>
              <w:tabs>
                <w:tab w:val="clear" w:pos="426"/>
                <w:tab w:val="left" w:pos="313"/>
              </w:tabs>
            </w:pPr>
            <w:r>
              <w:t>***</w:t>
            </w:r>
            <w:r>
              <w:tab/>
              <w:t xml:space="preserve">For certain guarantees the risk taken by the EU is fully covered by the provisions made. </w:t>
            </w:r>
            <w:r>
              <w:br/>
            </w:r>
          </w:p>
        </w:tc>
      </w:tr>
    </w:tbl>
    <w:p w:rsidR="00135552" w:rsidRDefault="00135552">
      <w:pPr>
        <w:pStyle w:val="HEADER5"/>
        <w:rPr>
          <w:noProof/>
        </w:rPr>
      </w:pPr>
    </w:p>
    <w:p w:rsidR="00135552" w:rsidRDefault="004C63B0">
      <w:pPr>
        <w:pStyle w:val="HEADER5"/>
        <w:rPr>
          <w:noProof/>
        </w:rPr>
      </w:pPr>
      <w:r>
        <w:rPr>
          <w:noProof/>
        </w:rPr>
        <w:t>Financial assets held in guarantee funds for budgetary guarantees</w:t>
      </w:r>
    </w:p>
    <w:p w:rsidR="00135552" w:rsidRDefault="004C63B0">
      <w:pPr>
        <w:pStyle w:val="DGTextstand-alone"/>
      </w:pPr>
      <w:r>
        <w:t xml:space="preserve">The Commission has set up guarantee funds to cover budgetary guarantees given to the EIB group and other financial institutions (see note </w:t>
      </w:r>
      <w:r>
        <w:rPr>
          <w:b/>
        </w:rPr>
        <w:t>4.1.1</w:t>
      </w:r>
      <w:r>
        <w:t xml:space="preserve"> of the consolidated financial statements). These guarantee funds are provisioned by payments from the EU budget </w:t>
      </w:r>
      <w:r>
        <w:t xml:space="preserve">so as to provide a liquidity cushion against potential losses from guaranteed operations. Payments to the guarantee funds are invested in financial instruments including debt securities, money market funds, cash and term deposits. At 31 December 2019, the </w:t>
      </w:r>
      <w:r>
        <w:t>Commission holds financial assets in the:</w:t>
      </w:r>
    </w:p>
    <w:p w:rsidR="00135552" w:rsidRDefault="004C63B0">
      <w:pPr>
        <w:pStyle w:val="DGTextstand-alone"/>
        <w:numPr>
          <w:ilvl w:val="0"/>
          <w:numId w:val="42"/>
        </w:numPr>
      </w:pPr>
      <w:r>
        <w:t>Guarantee Fund for external actions of EUR 2.6 billion;</w:t>
      </w:r>
    </w:p>
    <w:p w:rsidR="00135552" w:rsidRDefault="004C63B0">
      <w:pPr>
        <w:pStyle w:val="DGTextstand-alone"/>
        <w:numPr>
          <w:ilvl w:val="0"/>
          <w:numId w:val="42"/>
        </w:numPr>
      </w:pPr>
      <w:r>
        <w:t>EFSI Guarantee Fund of EUR 6.7 billion; and</w:t>
      </w:r>
    </w:p>
    <w:p w:rsidR="00135552" w:rsidRDefault="004C63B0">
      <w:pPr>
        <w:pStyle w:val="DGTextstand-alone"/>
        <w:numPr>
          <w:ilvl w:val="0"/>
          <w:numId w:val="42"/>
        </w:numPr>
      </w:pPr>
      <w:r>
        <w:t>EFSD Guarantee Fund of EUR 0.6 billion.</w:t>
      </w:r>
    </w:p>
    <w:p w:rsidR="00135552" w:rsidRDefault="004C63B0">
      <w:pPr>
        <w:pStyle w:val="HEADER5"/>
        <w:rPr>
          <w:noProof/>
        </w:rPr>
      </w:pPr>
      <w:r>
        <w:rPr>
          <w:noProof/>
        </w:rPr>
        <w:t>Loans and related borrowings for financial assistance programmes</w:t>
      </w:r>
    </w:p>
    <w:p w:rsidR="00135552" w:rsidRDefault="004C63B0">
      <w:pPr>
        <w:pStyle w:val="DGTextstand-alone"/>
      </w:pPr>
      <w:r>
        <w:t>Financial</w:t>
      </w:r>
      <w:r>
        <w:t xml:space="preserve"> support for Member States and third countries in the form of bilateral loans financed from the capital markets with the guarantee of the EU budget is provided by the Commission under decisions of the European Parliament and of the Council.</w:t>
      </w:r>
    </w:p>
    <w:p w:rsidR="00135552" w:rsidRDefault="004C63B0">
      <w:pPr>
        <w:pStyle w:val="DGTextstand-alone"/>
      </w:pPr>
      <w:r>
        <w:t>The Commission,</w:t>
      </w:r>
      <w:r>
        <w:t xml:space="preserve"> acting on behalf of the EU, currently operates three main programmes:</w:t>
      </w:r>
    </w:p>
    <w:p w:rsidR="00135552" w:rsidRDefault="004C63B0">
      <w:pPr>
        <w:pStyle w:val="DGTextstand-alone"/>
        <w:numPr>
          <w:ilvl w:val="0"/>
          <w:numId w:val="43"/>
        </w:numPr>
        <w:ind w:left="714" w:hanging="357"/>
        <w:contextualSpacing/>
      </w:pPr>
      <w:r>
        <w:t>European Financial Stabilisation Mechanism (EFSM);</w:t>
      </w:r>
    </w:p>
    <w:p w:rsidR="00135552" w:rsidRDefault="004C63B0">
      <w:pPr>
        <w:pStyle w:val="DGTextstand-alone"/>
        <w:numPr>
          <w:ilvl w:val="0"/>
          <w:numId w:val="43"/>
        </w:numPr>
        <w:ind w:left="714" w:hanging="357"/>
        <w:contextualSpacing/>
      </w:pPr>
      <w:r>
        <w:t>Balance of Payments (BOP) assistance; and</w:t>
      </w:r>
    </w:p>
    <w:p w:rsidR="00135552" w:rsidRDefault="004C63B0">
      <w:pPr>
        <w:pStyle w:val="DGTextstand-alone"/>
        <w:numPr>
          <w:ilvl w:val="0"/>
          <w:numId w:val="43"/>
        </w:numPr>
      </w:pPr>
      <w:r>
        <w:t>Macro-financial assistance (MFA), under which it may grant loans.</w:t>
      </w:r>
    </w:p>
    <w:p w:rsidR="00135552" w:rsidRDefault="004C63B0">
      <w:pPr>
        <w:pStyle w:val="DGTextstand-alone"/>
      </w:pPr>
      <w:r>
        <w:t>The capital required to fu</w:t>
      </w:r>
      <w:r>
        <w:t>nd the EU lending is raised on the capital markets or with financial institutions.</w:t>
      </w:r>
    </w:p>
    <w:p w:rsidR="00135552" w:rsidRDefault="004C63B0">
      <w:pPr>
        <w:pStyle w:val="DGTextstand-alone"/>
        <w:spacing w:after="120"/>
      </w:pPr>
      <w:r>
        <w:t>At 31 December 2019, the nominal amount of the loans granted for financial assistance under the EFSM and BOP were:</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rsidR="00135552">
        <w:trPr>
          <w:trHeight w:val="300"/>
        </w:trPr>
        <w:tc>
          <w:tcPr>
            <w:tcW w:w="2977" w:type="dxa"/>
            <w:tcBorders>
              <w:top w:val="nil"/>
              <w:left w:val="nil"/>
              <w:bottom w:val="nil"/>
              <w:right w:val="nil"/>
            </w:tcBorders>
            <w:shd w:val="clear" w:color="auto" w:fill="auto"/>
            <w:noWrap/>
            <w:vAlign w:val="bottom"/>
          </w:tcPr>
          <w:p w:rsidR="00135552" w:rsidRDefault="00135552">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rsidR="00135552" w:rsidRDefault="00135552">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rsidR="00135552" w:rsidRDefault="00135552">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135552" w:rsidRDefault="00135552">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rsidR="00135552" w:rsidRDefault="00135552">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135552" w:rsidRDefault="00135552">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rsidR="00135552" w:rsidRDefault="004C63B0">
            <w:pPr>
              <w:jc w:val="right"/>
              <w:rPr>
                <w:rFonts w:ascii="Verdana" w:hAnsi="Verdana"/>
                <w:i/>
                <w:iCs/>
                <w:noProof/>
                <w:color w:val="000000"/>
                <w:sz w:val="18"/>
                <w:szCs w:val="18"/>
              </w:rPr>
            </w:pPr>
            <w:r>
              <w:rPr>
                <w:rFonts w:ascii="Verdana" w:hAnsi="Verdana"/>
                <w:i/>
                <w:iCs/>
                <w:noProof/>
                <w:color w:val="000000"/>
                <w:sz w:val="18"/>
                <w:szCs w:val="18"/>
              </w:rPr>
              <w:t>EUR billion</w:t>
            </w:r>
          </w:p>
        </w:tc>
      </w:tr>
      <w:tr w:rsidR="00135552">
        <w:trPr>
          <w:trHeight w:val="375"/>
        </w:trPr>
        <w:tc>
          <w:tcPr>
            <w:tcW w:w="2977"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rsidR="00135552" w:rsidRDefault="004C63B0">
            <w:pPr>
              <w:jc w:val="center"/>
              <w:rPr>
                <w:rFonts w:ascii="Verdana" w:hAnsi="Verdana"/>
                <w:b/>
                <w:bCs/>
                <w:noProof/>
                <w:color w:val="FFFFFF"/>
                <w:sz w:val="18"/>
                <w:szCs w:val="18"/>
              </w:rPr>
            </w:pPr>
            <w:r>
              <w:rPr>
                <w:rFonts w:ascii="Verdana" w:hAnsi="Verdana"/>
                <w:b/>
                <w:bCs/>
                <w:noProof/>
                <w:color w:val="FFFFFF"/>
                <w:sz w:val="18"/>
                <w:szCs w:val="18"/>
              </w:rPr>
              <w:t>BOP</w:t>
            </w:r>
          </w:p>
        </w:tc>
        <w:tc>
          <w:tcPr>
            <w:tcW w:w="2928" w:type="dxa"/>
            <w:gridSpan w:val="5"/>
            <w:tcBorders>
              <w:top w:val="nil"/>
              <w:left w:val="nil"/>
              <w:bottom w:val="nil"/>
              <w:right w:val="nil"/>
            </w:tcBorders>
            <w:shd w:val="clear" w:color="000000" w:fill="92D050"/>
            <w:vAlign w:val="bottom"/>
          </w:tcPr>
          <w:p w:rsidR="00135552" w:rsidRDefault="004C63B0">
            <w:pPr>
              <w:jc w:val="center"/>
              <w:rPr>
                <w:rFonts w:ascii="Verdana" w:hAnsi="Verdana"/>
                <w:b/>
                <w:bCs/>
                <w:noProof/>
                <w:color w:val="FFFFFF"/>
                <w:sz w:val="18"/>
                <w:szCs w:val="18"/>
              </w:rPr>
            </w:pPr>
            <w:r>
              <w:rPr>
                <w:rFonts w:ascii="Verdana" w:hAnsi="Verdana"/>
                <w:b/>
                <w:bCs/>
                <w:noProof/>
                <w:color w:val="FFFFFF"/>
                <w:sz w:val="18"/>
                <w:szCs w:val="18"/>
              </w:rPr>
              <w:t>EFSM*</w:t>
            </w:r>
          </w:p>
        </w:tc>
        <w:tc>
          <w:tcPr>
            <w:tcW w:w="1048" w:type="dxa"/>
            <w:vMerge w:val="restart"/>
            <w:tcBorders>
              <w:top w:val="nil"/>
              <w:left w:val="nil"/>
              <w:bottom w:val="single" w:sz="4" w:space="0" w:color="000000"/>
              <w:right w:val="nil"/>
            </w:tcBorders>
            <w:shd w:val="clear" w:color="000000" w:fill="DA9694"/>
            <w:noWrap/>
            <w:vAlign w:val="center"/>
            <w:hideMark/>
          </w:tcPr>
          <w:p w:rsidR="00135552" w:rsidRDefault="004C63B0">
            <w:pPr>
              <w:jc w:val="center"/>
              <w:rPr>
                <w:rFonts w:ascii="Verdana" w:hAnsi="Verdana"/>
                <w:b/>
                <w:bCs/>
                <w:noProof/>
                <w:color w:val="FFFFFF"/>
                <w:sz w:val="18"/>
                <w:szCs w:val="18"/>
              </w:rPr>
            </w:pPr>
            <w:r>
              <w:rPr>
                <w:rFonts w:ascii="Verdana" w:hAnsi="Verdana"/>
                <w:b/>
                <w:bCs/>
                <w:noProof/>
                <w:color w:val="FFFFFF"/>
                <w:sz w:val="18"/>
                <w:szCs w:val="18"/>
              </w:rPr>
              <w:t>TOTAL</w:t>
            </w:r>
          </w:p>
        </w:tc>
      </w:tr>
      <w:tr w:rsidR="00135552">
        <w:trPr>
          <w:trHeight w:val="375"/>
        </w:trPr>
        <w:tc>
          <w:tcPr>
            <w:tcW w:w="2977" w:type="dxa"/>
            <w:tcBorders>
              <w:top w:val="nil"/>
              <w:left w:val="nil"/>
              <w:bottom w:val="nil"/>
              <w:right w:val="nil"/>
            </w:tcBorders>
            <w:shd w:val="clear" w:color="auto" w:fill="auto"/>
            <w:noWrap/>
            <w:vAlign w:val="bottom"/>
            <w:hideMark/>
          </w:tcPr>
          <w:p w:rsidR="00135552" w:rsidRDefault="00135552">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rsidR="00135552" w:rsidRDefault="004C63B0">
            <w:pPr>
              <w:jc w:val="right"/>
              <w:rPr>
                <w:rFonts w:ascii="Verdana" w:hAnsi="Verdana"/>
                <w:bCs/>
                <w:noProof/>
                <w:color w:val="4BACC6"/>
                <w:sz w:val="16"/>
                <w:szCs w:val="18"/>
              </w:rPr>
            </w:pPr>
            <w:r>
              <w:rPr>
                <w:rFonts w:ascii="Verdana" w:hAnsi="Verdana"/>
                <w:bCs/>
                <w:noProof/>
                <w:color w:val="4BACC6"/>
                <w:sz w:val="16"/>
                <w:szCs w:val="18"/>
              </w:rPr>
              <w:t>Latvia</w:t>
            </w:r>
          </w:p>
        </w:tc>
        <w:tc>
          <w:tcPr>
            <w:tcW w:w="1073" w:type="dxa"/>
            <w:gridSpan w:val="3"/>
            <w:tcBorders>
              <w:top w:val="nil"/>
              <w:left w:val="nil"/>
              <w:bottom w:val="single" w:sz="4" w:space="0" w:color="auto"/>
              <w:right w:val="nil"/>
            </w:tcBorders>
            <w:shd w:val="clear" w:color="auto" w:fill="auto"/>
            <w:noWrap/>
            <w:vAlign w:val="bottom"/>
            <w:hideMark/>
          </w:tcPr>
          <w:p w:rsidR="00135552" w:rsidRDefault="004C63B0">
            <w:pPr>
              <w:jc w:val="right"/>
              <w:rPr>
                <w:rFonts w:ascii="Verdana" w:hAnsi="Verdana"/>
                <w:bCs/>
                <w:noProof/>
                <w:color w:val="4BACC6"/>
                <w:sz w:val="16"/>
                <w:szCs w:val="18"/>
              </w:rPr>
            </w:pPr>
            <w:r>
              <w:rPr>
                <w:rFonts w:ascii="Verdana" w:hAnsi="Verdana"/>
                <w:bCs/>
                <w:noProof/>
                <w:color w:val="4BACC6"/>
                <w:sz w:val="16"/>
                <w:szCs w:val="18"/>
              </w:rPr>
              <w:t>Romania</w:t>
            </w:r>
          </w:p>
        </w:tc>
        <w:tc>
          <w:tcPr>
            <w:tcW w:w="1073" w:type="dxa"/>
            <w:tcBorders>
              <w:top w:val="nil"/>
              <w:left w:val="nil"/>
              <w:bottom w:val="single" w:sz="4" w:space="0" w:color="auto"/>
              <w:right w:val="nil"/>
            </w:tcBorders>
            <w:shd w:val="clear" w:color="000000" w:fill="DCE6F1"/>
            <w:noWrap/>
            <w:vAlign w:val="bottom"/>
            <w:hideMark/>
          </w:tcPr>
          <w:p w:rsidR="00135552" w:rsidRDefault="004C63B0">
            <w:pPr>
              <w:jc w:val="right"/>
              <w:rPr>
                <w:rFonts w:ascii="Verdana" w:hAnsi="Verdana"/>
                <w:bCs/>
                <w:noProof/>
                <w:color w:val="4BACC6"/>
                <w:sz w:val="16"/>
                <w:szCs w:val="18"/>
              </w:rPr>
            </w:pPr>
            <w:r>
              <w:rPr>
                <w:rFonts w:ascii="Verdana" w:hAnsi="Verdana"/>
                <w:bCs/>
                <w:noProof/>
                <w:color w:val="4BACC6"/>
                <w:sz w:val="16"/>
                <w:szCs w:val="18"/>
              </w:rPr>
              <w:t>Total</w:t>
            </w:r>
          </w:p>
        </w:tc>
        <w:tc>
          <w:tcPr>
            <w:tcW w:w="1073" w:type="dxa"/>
            <w:gridSpan w:val="3"/>
            <w:tcBorders>
              <w:top w:val="nil"/>
              <w:left w:val="nil"/>
              <w:bottom w:val="single" w:sz="4" w:space="0" w:color="auto"/>
              <w:right w:val="nil"/>
            </w:tcBorders>
            <w:shd w:val="clear" w:color="auto" w:fill="auto"/>
            <w:noWrap/>
            <w:vAlign w:val="bottom"/>
          </w:tcPr>
          <w:p w:rsidR="00135552" w:rsidRDefault="004C63B0">
            <w:pPr>
              <w:jc w:val="right"/>
              <w:rPr>
                <w:rFonts w:ascii="Verdana" w:hAnsi="Verdana"/>
                <w:bCs/>
                <w:noProof/>
                <w:color w:val="92D050"/>
                <w:sz w:val="16"/>
                <w:szCs w:val="18"/>
              </w:rPr>
            </w:pPr>
            <w:r>
              <w:rPr>
                <w:rFonts w:ascii="Verdana" w:hAnsi="Verdana"/>
                <w:bCs/>
                <w:noProof/>
                <w:color w:val="92D050"/>
                <w:sz w:val="16"/>
                <w:szCs w:val="18"/>
              </w:rPr>
              <w:t>Ireland</w:t>
            </w:r>
          </w:p>
        </w:tc>
        <w:tc>
          <w:tcPr>
            <w:tcW w:w="1074" w:type="dxa"/>
            <w:tcBorders>
              <w:top w:val="nil"/>
              <w:left w:val="nil"/>
              <w:bottom w:val="single" w:sz="4" w:space="0" w:color="auto"/>
              <w:right w:val="nil"/>
            </w:tcBorders>
            <w:vAlign w:val="bottom"/>
          </w:tcPr>
          <w:p w:rsidR="00135552" w:rsidRDefault="004C63B0">
            <w:pPr>
              <w:jc w:val="right"/>
              <w:rPr>
                <w:rFonts w:ascii="Verdana" w:hAnsi="Verdana"/>
                <w:bCs/>
                <w:noProof/>
                <w:color w:val="92D050"/>
                <w:sz w:val="16"/>
                <w:szCs w:val="18"/>
              </w:rPr>
            </w:pPr>
            <w:r>
              <w:rPr>
                <w:rFonts w:ascii="Verdana" w:hAnsi="Verdana"/>
                <w:bCs/>
                <w:noProof/>
                <w:color w:val="92D050"/>
                <w:sz w:val="16"/>
                <w:szCs w:val="18"/>
              </w:rPr>
              <w:t>Portugal</w:t>
            </w:r>
          </w:p>
        </w:tc>
        <w:tc>
          <w:tcPr>
            <w:tcW w:w="823" w:type="dxa"/>
            <w:gridSpan w:val="2"/>
            <w:tcBorders>
              <w:top w:val="nil"/>
              <w:left w:val="nil"/>
              <w:bottom w:val="single" w:sz="4" w:space="0" w:color="auto"/>
              <w:right w:val="nil"/>
            </w:tcBorders>
            <w:shd w:val="clear" w:color="000000" w:fill="D8E4BC"/>
            <w:noWrap/>
            <w:vAlign w:val="bottom"/>
            <w:hideMark/>
          </w:tcPr>
          <w:p w:rsidR="00135552" w:rsidRDefault="004C63B0">
            <w:pPr>
              <w:jc w:val="right"/>
              <w:rPr>
                <w:rFonts w:ascii="Verdana" w:hAnsi="Verdana"/>
                <w:bCs/>
                <w:noProof/>
                <w:color w:val="92D050"/>
                <w:sz w:val="16"/>
                <w:szCs w:val="18"/>
              </w:rPr>
            </w:pPr>
            <w:r>
              <w:rPr>
                <w:rFonts w:ascii="Verdana" w:hAnsi="Verdana"/>
                <w:bCs/>
                <w:noProof/>
                <w:color w:val="92D050"/>
                <w:sz w:val="16"/>
                <w:szCs w:val="18"/>
              </w:rPr>
              <w:t>Total</w:t>
            </w:r>
          </w:p>
        </w:tc>
        <w:tc>
          <w:tcPr>
            <w:tcW w:w="1048" w:type="dxa"/>
            <w:vMerge/>
            <w:tcBorders>
              <w:top w:val="nil"/>
              <w:left w:val="nil"/>
              <w:bottom w:val="single" w:sz="4" w:space="0" w:color="000000"/>
              <w:right w:val="nil"/>
            </w:tcBorders>
            <w:vAlign w:val="center"/>
            <w:hideMark/>
          </w:tcPr>
          <w:p w:rsidR="00135552" w:rsidRDefault="00135552">
            <w:pPr>
              <w:rPr>
                <w:rFonts w:ascii="Verdana" w:hAnsi="Verdana"/>
                <w:b/>
                <w:bCs/>
                <w:noProof/>
                <w:color w:val="FFFFFF"/>
                <w:sz w:val="18"/>
                <w:szCs w:val="18"/>
              </w:rPr>
            </w:pPr>
          </w:p>
        </w:tc>
      </w:tr>
      <w:tr w:rsidR="00135552">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135552" w:rsidRDefault="004C63B0">
            <w:pPr>
              <w:rPr>
                <w:rFonts w:ascii="Verdana" w:hAnsi="Verdana"/>
                <w:bCs/>
                <w:noProof/>
                <w:color w:val="000000"/>
                <w:sz w:val="18"/>
                <w:szCs w:val="18"/>
              </w:rPr>
            </w:pPr>
            <w:r>
              <w:rPr>
                <w:rFonts w:ascii="Verdana" w:hAnsi="Verdana"/>
                <w:bCs/>
                <w:noProof/>
                <w:color w:val="000000"/>
                <w:sz w:val="18"/>
                <w:szCs w:val="18"/>
              </w:rPr>
              <w:t>Total granted</w:t>
            </w:r>
          </w:p>
        </w:tc>
        <w:tc>
          <w:tcPr>
            <w:tcW w:w="1073" w:type="dxa"/>
            <w:tcBorders>
              <w:top w:val="nil"/>
              <w:left w:val="nil"/>
              <w:bottom w:val="single" w:sz="4" w:space="0" w:color="auto"/>
              <w:right w:val="nil"/>
            </w:tcBorders>
            <w:shd w:val="clear" w:color="auto" w:fill="auto"/>
            <w:noWrap/>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shd w:val="clear" w:color="auto" w:fill="auto"/>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shd w:val="clear" w:color="auto" w:fill="auto"/>
            <w:noWrap/>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48.5</w:t>
            </w:r>
          </w:p>
        </w:tc>
        <w:tc>
          <w:tcPr>
            <w:tcW w:w="1048" w:type="dxa"/>
            <w:tcBorders>
              <w:top w:val="nil"/>
              <w:left w:val="nil"/>
              <w:bottom w:val="single" w:sz="4" w:space="0" w:color="auto"/>
              <w:right w:val="nil"/>
            </w:tcBorders>
            <w:shd w:val="clear" w:color="000000" w:fill="F2DCDB"/>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56.6</w:t>
            </w:r>
          </w:p>
        </w:tc>
      </w:tr>
      <w:tr w:rsidR="00135552">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135552" w:rsidRDefault="004C63B0">
            <w:pPr>
              <w:rPr>
                <w:rFonts w:ascii="Verdana" w:hAnsi="Verdana"/>
                <w:bCs/>
                <w:noProof/>
                <w:color w:val="000000"/>
                <w:sz w:val="18"/>
                <w:szCs w:val="18"/>
              </w:rPr>
            </w:pPr>
            <w:r>
              <w:rPr>
                <w:rFonts w:ascii="Verdana" w:hAnsi="Verdana"/>
                <w:bCs/>
                <w:noProof/>
                <w:color w:val="000000"/>
                <w:sz w:val="18"/>
                <w:szCs w:val="18"/>
              </w:rPr>
              <w:t>Total disbursed at 31.12.2019</w:t>
            </w:r>
          </w:p>
        </w:tc>
        <w:tc>
          <w:tcPr>
            <w:tcW w:w="1073" w:type="dxa"/>
            <w:tcBorders>
              <w:top w:val="single" w:sz="4" w:space="0" w:color="auto"/>
              <w:left w:val="nil"/>
              <w:bottom w:val="single" w:sz="4" w:space="0" w:color="auto"/>
              <w:right w:val="nil"/>
            </w:tcBorders>
            <w:shd w:val="clear" w:color="auto" w:fill="auto"/>
            <w:noWrap/>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rsidR="00135552" w:rsidRDefault="004C63B0">
            <w:pPr>
              <w:jc w:val="center"/>
              <w:rPr>
                <w:rFonts w:ascii="Verdana" w:hAnsi="Verdana"/>
                <w:bCs/>
                <w:noProof/>
                <w:color w:val="000000"/>
                <w:sz w:val="18"/>
                <w:szCs w:val="18"/>
              </w:rPr>
            </w:pPr>
            <w:r>
              <w:rPr>
                <w:rFonts w:ascii="Verdana" w:hAnsi="Verdana"/>
                <w:bCs/>
                <w:noProof/>
                <w:color w:val="000000"/>
                <w:sz w:val="18"/>
                <w:szCs w:val="18"/>
              </w:rPr>
              <w:t>54.7</w:t>
            </w:r>
          </w:p>
        </w:tc>
      </w:tr>
      <w:tr w:rsidR="00135552">
        <w:trPr>
          <w:trHeight w:val="300"/>
        </w:trPr>
        <w:tc>
          <w:tcPr>
            <w:tcW w:w="2977" w:type="dxa"/>
            <w:tcBorders>
              <w:top w:val="nil"/>
              <w:left w:val="nil"/>
              <w:bottom w:val="nil"/>
              <w:right w:val="nil"/>
            </w:tcBorders>
            <w:shd w:val="clear" w:color="auto" w:fill="auto"/>
            <w:noWrap/>
            <w:vAlign w:val="bottom"/>
            <w:hideMark/>
          </w:tcPr>
          <w:p w:rsidR="00135552" w:rsidRDefault="004C63B0">
            <w:pPr>
              <w:rPr>
                <w:rFonts w:ascii="Verdana" w:hAnsi="Verdana"/>
                <w:noProof/>
                <w:color w:val="000000"/>
                <w:sz w:val="18"/>
                <w:szCs w:val="18"/>
              </w:rPr>
            </w:pPr>
            <w:r>
              <w:rPr>
                <w:rFonts w:ascii="Verdana" w:hAnsi="Verdana"/>
                <w:noProof/>
                <w:color w:val="000000"/>
                <w:sz w:val="18"/>
                <w:szCs w:val="18"/>
              </w:rPr>
              <w:t>Total repaid at 31.12.2019</w:t>
            </w:r>
          </w:p>
        </w:tc>
        <w:tc>
          <w:tcPr>
            <w:tcW w:w="1073" w:type="dxa"/>
            <w:tcBorders>
              <w:top w:val="nil"/>
              <w:left w:val="nil"/>
              <w:bottom w:val="nil"/>
              <w:right w:val="nil"/>
            </w:tcBorders>
            <w:shd w:val="clear" w:color="auto" w:fill="auto"/>
            <w:noWrap/>
            <w:vAlign w:val="bottom"/>
          </w:tcPr>
          <w:p w:rsidR="00135552" w:rsidRDefault="004C63B0">
            <w:pPr>
              <w:jc w:val="center"/>
              <w:rPr>
                <w:rFonts w:ascii="Verdana" w:hAnsi="Verdana"/>
                <w:noProof/>
                <w:color w:val="000000"/>
                <w:sz w:val="18"/>
                <w:szCs w:val="18"/>
              </w:rPr>
            </w:pPr>
            <w:r>
              <w:rPr>
                <w:rFonts w:ascii="Verdana" w:hAnsi="Verdana"/>
                <w:noProof/>
                <w:color w:val="000000"/>
                <w:sz w:val="18"/>
                <w:szCs w:val="18"/>
              </w:rPr>
              <w:t>(2.7)</w:t>
            </w:r>
          </w:p>
        </w:tc>
        <w:tc>
          <w:tcPr>
            <w:tcW w:w="1073" w:type="dxa"/>
            <w:gridSpan w:val="3"/>
            <w:tcBorders>
              <w:top w:val="nil"/>
              <w:left w:val="nil"/>
              <w:bottom w:val="nil"/>
              <w:right w:val="nil"/>
            </w:tcBorders>
            <w:shd w:val="clear" w:color="auto" w:fill="auto"/>
            <w:noWrap/>
            <w:vAlign w:val="bottom"/>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(5.0)</w:t>
            </w:r>
          </w:p>
        </w:tc>
        <w:tc>
          <w:tcPr>
            <w:tcW w:w="1073" w:type="dxa"/>
            <w:tcBorders>
              <w:top w:val="nil"/>
              <w:left w:val="nil"/>
              <w:bottom w:val="nil"/>
              <w:right w:val="nil"/>
            </w:tcBorders>
            <w:shd w:val="clear" w:color="000000" w:fill="DCE6F1"/>
            <w:noWrap/>
            <w:vAlign w:val="bottom"/>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(7.7)</w:t>
            </w:r>
          </w:p>
        </w:tc>
        <w:tc>
          <w:tcPr>
            <w:tcW w:w="1073" w:type="dxa"/>
            <w:gridSpan w:val="3"/>
            <w:tcBorders>
              <w:top w:val="nil"/>
              <w:left w:val="nil"/>
              <w:bottom w:val="nil"/>
              <w:right w:val="nil"/>
            </w:tcBorders>
            <w:shd w:val="clear" w:color="auto" w:fill="auto"/>
            <w:noWrap/>
            <w:vAlign w:val="bottom"/>
          </w:tcPr>
          <w:p w:rsidR="00135552" w:rsidRDefault="004C63B0">
            <w:pPr>
              <w:jc w:val="center"/>
              <w:rPr>
                <w:rFonts w:ascii="Verdana" w:hAnsi="Verdana"/>
                <w:noProof/>
                <w:color w:val="000000"/>
                <w:sz w:val="18"/>
                <w:szCs w:val="18"/>
              </w:rPr>
            </w:pPr>
            <w:r>
              <w:rPr>
                <w:rFonts w:ascii="Verdana" w:hAnsi="Verdana"/>
                <w:noProof/>
                <w:color w:val="000000"/>
                <w:sz w:val="18"/>
                <w:szCs w:val="18"/>
              </w:rPr>
              <w:t>-</w:t>
            </w:r>
          </w:p>
        </w:tc>
        <w:tc>
          <w:tcPr>
            <w:tcW w:w="1074" w:type="dxa"/>
            <w:tcBorders>
              <w:top w:val="nil"/>
              <w:left w:val="nil"/>
              <w:bottom w:val="nil"/>
              <w:right w:val="nil"/>
            </w:tcBorders>
            <w:vAlign w:val="bottom"/>
          </w:tcPr>
          <w:p w:rsidR="00135552" w:rsidRDefault="004C63B0">
            <w:pPr>
              <w:jc w:val="center"/>
              <w:rPr>
                <w:rFonts w:ascii="Verdana" w:hAnsi="Verdana"/>
                <w:noProof/>
                <w:color w:val="000000"/>
                <w:sz w:val="18"/>
                <w:szCs w:val="18"/>
              </w:rPr>
            </w:pPr>
            <w:r>
              <w:rPr>
                <w:rFonts w:ascii="Verdana" w:hAnsi="Verdana"/>
                <w:noProof/>
                <w:color w:val="000000"/>
                <w:sz w:val="18"/>
                <w:szCs w:val="18"/>
              </w:rPr>
              <w:t>-</w:t>
            </w:r>
          </w:p>
        </w:tc>
        <w:tc>
          <w:tcPr>
            <w:tcW w:w="823" w:type="dxa"/>
            <w:gridSpan w:val="2"/>
            <w:tcBorders>
              <w:top w:val="nil"/>
              <w:left w:val="nil"/>
              <w:bottom w:val="nil"/>
              <w:right w:val="nil"/>
            </w:tcBorders>
            <w:shd w:val="clear" w:color="000000" w:fill="D8E4BC"/>
            <w:noWrap/>
            <w:vAlign w:val="bottom"/>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w:t>
            </w:r>
          </w:p>
        </w:tc>
        <w:tc>
          <w:tcPr>
            <w:tcW w:w="1048" w:type="dxa"/>
            <w:tcBorders>
              <w:top w:val="nil"/>
              <w:left w:val="nil"/>
              <w:bottom w:val="nil"/>
              <w:right w:val="nil"/>
            </w:tcBorders>
            <w:shd w:val="clear" w:color="000000" w:fill="F2DCDB"/>
            <w:noWrap/>
            <w:vAlign w:val="bottom"/>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(7.7)</w:t>
            </w:r>
          </w:p>
        </w:tc>
      </w:tr>
      <w:tr w:rsidR="00135552">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135552" w:rsidRDefault="004C63B0">
            <w:pPr>
              <w:contextualSpacing/>
              <w:rPr>
                <w:rFonts w:ascii="Verdana" w:hAnsi="Verdana"/>
                <w:bCs/>
                <w:noProof/>
                <w:color w:val="000000"/>
                <w:sz w:val="18"/>
                <w:szCs w:val="18"/>
              </w:rPr>
            </w:pPr>
            <w:r>
              <w:rPr>
                <w:rFonts w:ascii="Verdana" w:hAnsi="Verdana"/>
                <w:bCs/>
                <w:noProof/>
                <w:color w:val="000000"/>
                <w:sz w:val="18"/>
                <w:szCs w:val="18"/>
              </w:rPr>
              <w:t>Outstanding amount at 31.12.2019</w:t>
            </w:r>
          </w:p>
        </w:tc>
        <w:tc>
          <w:tcPr>
            <w:tcW w:w="1073" w:type="dxa"/>
            <w:tcBorders>
              <w:top w:val="single" w:sz="4" w:space="0" w:color="auto"/>
              <w:left w:val="nil"/>
              <w:bottom w:val="single" w:sz="4" w:space="0" w:color="auto"/>
              <w:right w:val="nil"/>
            </w:tcBorders>
            <w:shd w:val="clear" w:color="auto" w:fill="auto"/>
            <w:noWrap/>
            <w:vAlign w:val="bottom"/>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0</w:t>
            </w:r>
          </w:p>
        </w:tc>
        <w:tc>
          <w:tcPr>
            <w:tcW w:w="1073" w:type="dxa"/>
            <w:tcBorders>
              <w:top w:val="single" w:sz="4" w:space="0" w:color="auto"/>
              <w:left w:val="nil"/>
              <w:bottom w:val="single" w:sz="4" w:space="0" w:color="auto"/>
              <w:right w:val="nil"/>
            </w:tcBorders>
            <w:shd w:val="clear" w:color="000000" w:fill="DCE6F1"/>
            <w:noWrap/>
            <w:vAlign w:val="bottom"/>
            <w:hideMark/>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rsidR="00135552" w:rsidRDefault="004C63B0">
            <w:pPr>
              <w:contextualSpacing/>
              <w:jc w:val="center"/>
              <w:rPr>
                <w:rFonts w:ascii="Verdana" w:hAnsi="Verdana"/>
                <w:bCs/>
                <w:noProof/>
                <w:color w:val="000000"/>
                <w:sz w:val="18"/>
                <w:szCs w:val="18"/>
              </w:rPr>
            </w:pPr>
            <w:r>
              <w:rPr>
                <w:rFonts w:ascii="Verdana" w:hAnsi="Verdana"/>
                <w:bCs/>
                <w:noProof/>
                <w:color w:val="000000"/>
                <w:sz w:val="18"/>
                <w:szCs w:val="18"/>
              </w:rPr>
              <w:t>47.0</w:t>
            </w:r>
          </w:p>
        </w:tc>
      </w:tr>
    </w:tbl>
    <w:p w:rsidR="00135552" w:rsidRDefault="004C63B0">
      <w:pPr>
        <w:pStyle w:val="Asterix"/>
        <w:spacing w:before="120"/>
      </w:pPr>
      <w:r>
        <w:t xml:space="preserve">* </w:t>
      </w:r>
      <w:r>
        <w:tab/>
        <w:t>Without re-financing transactions.</w:t>
      </w:r>
    </w:p>
    <w:p w:rsidR="00135552" w:rsidRDefault="004C63B0">
      <w:pPr>
        <w:pStyle w:val="Asterix"/>
      </w:pPr>
      <w:r>
        <w:t xml:space="preserve">** </w:t>
      </w:r>
      <w:r>
        <w:tab/>
        <w:t>Excluding precautionary assistance.</w:t>
      </w:r>
    </w:p>
    <w:p w:rsidR="00135552" w:rsidRDefault="004C63B0">
      <w:pPr>
        <w:pStyle w:val="DGTextstand-alone"/>
        <w:rPr>
          <w:i/>
        </w:rPr>
      </w:pPr>
      <w:r>
        <w:rPr>
          <w:i/>
        </w:rPr>
        <w:t>EFSM</w:t>
      </w:r>
    </w:p>
    <w:p w:rsidR="00135552" w:rsidRDefault="004C63B0">
      <w:pPr>
        <w:pStyle w:val="DGTextstand-alone"/>
      </w:pPr>
      <w:r>
        <w:t xml:space="preserve">EFSM was created to provide financial assistance to all Member States experiencing or seriously threatened by a severe economic financial disturbance caused by </w:t>
      </w:r>
      <w:r>
        <w:t>exceptional occurrences beyond their control. The EFSM was used to provide financial assistance, conditional on the implementation of reforms, to Ireland and Portugal between 2011 and 2014.</w:t>
      </w:r>
    </w:p>
    <w:p w:rsidR="00135552" w:rsidRDefault="004C63B0">
      <w:pPr>
        <w:pStyle w:val="DGTextstand-alone"/>
      </w:pPr>
      <w:r>
        <w:t>This programme expired and no additional loans can be drawn, thoug</w:t>
      </w:r>
      <w:r>
        <w:t>h it remains in place for specific tasks such as the lengthening of maturities for loans to Ireland and Portugal and providing bridging loans.</w:t>
      </w:r>
    </w:p>
    <w:p w:rsidR="00135552" w:rsidRDefault="004C63B0">
      <w:pPr>
        <w:pStyle w:val="DGTextstand-alone"/>
      </w:pPr>
      <w:r>
        <w:t>The main points of the EFSM programme are as follows:</w:t>
      </w:r>
    </w:p>
    <w:p w:rsidR="00135552" w:rsidRDefault="004C63B0">
      <w:pPr>
        <w:pStyle w:val="DGTextstand-alone"/>
        <w:rPr>
          <w:u w:val="single"/>
        </w:rPr>
      </w:pPr>
      <w:r>
        <w:rPr>
          <w:u w:val="single"/>
        </w:rPr>
        <w:t>Ireland</w:t>
      </w:r>
    </w:p>
    <w:p w:rsidR="00135552" w:rsidRDefault="004C63B0">
      <w:pPr>
        <w:pStyle w:val="DGTextstand-alone"/>
        <w:numPr>
          <w:ilvl w:val="0"/>
          <w:numId w:val="44"/>
        </w:numPr>
        <w:spacing w:after="120"/>
      </w:pPr>
      <w:r>
        <w:t>Ireland requested the full total of EUR 22.5 billio</w:t>
      </w:r>
      <w:r>
        <w:t>n granted by the EFSM in December 2010. This amount was disbursed in eight instalments between January 2011 and March 2014.</w:t>
      </w:r>
    </w:p>
    <w:p w:rsidR="00135552" w:rsidRDefault="004C63B0">
      <w:pPr>
        <w:pStyle w:val="DGTextstand-alone"/>
        <w:numPr>
          <w:ilvl w:val="0"/>
          <w:numId w:val="44"/>
        </w:numPr>
        <w:spacing w:after="120"/>
      </w:pPr>
      <w:r>
        <w:t>In 2019, no repayments of principal were scheduled. All requested interests payments were fully made on time.</w:t>
      </w:r>
    </w:p>
    <w:p w:rsidR="00135552" w:rsidRDefault="004C63B0">
      <w:pPr>
        <w:pStyle w:val="DGTextstand-alone"/>
        <w:rPr>
          <w:u w:val="single"/>
        </w:rPr>
      </w:pPr>
      <w:r>
        <w:rPr>
          <w:u w:val="single"/>
        </w:rPr>
        <w:t>Portugal</w:t>
      </w:r>
    </w:p>
    <w:p w:rsidR="00135552" w:rsidRDefault="004C63B0">
      <w:pPr>
        <w:pStyle w:val="DGTextstand-alone"/>
        <w:numPr>
          <w:ilvl w:val="0"/>
          <w:numId w:val="45"/>
        </w:numPr>
        <w:spacing w:before="480"/>
      </w:pPr>
      <w:r>
        <w:t xml:space="preserve">Portugal has </w:t>
      </w:r>
      <w:r>
        <w:t>requested EUR 24.3 billion from a total of EUR 26 billion granted by the EFSM in May 2011. This amount was disbursed in seven instalments between May 2011 and November 2014.</w:t>
      </w:r>
    </w:p>
    <w:p w:rsidR="00135552" w:rsidRDefault="004C63B0">
      <w:pPr>
        <w:pStyle w:val="DGTextstand-alone"/>
        <w:numPr>
          <w:ilvl w:val="0"/>
          <w:numId w:val="45"/>
        </w:numPr>
        <w:spacing w:before="480"/>
      </w:pPr>
      <w:r>
        <w:t>As in the case of Ireland, there were no scheduled repayments of principal in 2019</w:t>
      </w:r>
      <w:r>
        <w:t xml:space="preserve"> and all the interests payments have been fully made on time.</w:t>
      </w:r>
    </w:p>
    <w:p w:rsidR="00135552" w:rsidRDefault="004C63B0">
      <w:pPr>
        <w:pStyle w:val="DGTextstand-alone"/>
        <w:numPr>
          <w:ilvl w:val="0"/>
          <w:numId w:val="45"/>
        </w:numPr>
        <w:spacing w:before="480"/>
      </w:pPr>
      <w:r>
        <w:t>Portugal has formally requested that the EU waives its rights under the ’mandatory prepayment clause‘ of the EFSM Loan Facility Agreement, to allow Portugal to repay in advance an amount of EUR </w:t>
      </w:r>
      <w:r>
        <w:t>2 billion to the European Financial Stability Facility (EFSF). An early repayment to the EFSF triggers a mandatory proportionate repayment of EFSM loans. A Commission Decision has authorised the waiver subject to some specific conditions.</w:t>
      </w:r>
    </w:p>
    <w:p w:rsidR="00135552" w:rsidRDefault="004C63B0">
      <w:pPr>
        <w:pStyle w:val="DGTextstand-alone"/>
        <w:rPr>
          <w:i/>
        </w:rPr>
      </w:pPr>
      <w:r>
        <w:rPr>
          <w:i/>
        </w:rPr>
        <w:t>BOP</w:t>
      </w:r>
    </w:p>
    <w:p w:rsidR="00135552" w:rsidRDefault="004C63B0">
      <w:pPr>
        <w:pStyle w:val="DGTextstand-alone"/>
      </w:pPr>
      <w:r>
        <w:t>The BOP is an</w:t>
      </w:r>
      <w:r>
        <w:t xml:space="preserve"> assistance programme designed for countries outside the euro area that are experiencing or are threatened by difficulties regarding their balance of payments. BOP assistance takes the form of medium-term loans that are conditional on the implementation of</w:t>
      </w:r>
      <w:r>
        <w:t xml:space="preserve"> policies designed to address underlying economic problems. Typically, balance of payments assistance from the EU is offered in cooperation with the International Monetary Fund (IMF) and other international institutions or countries.</w:t>
      </w:r>
    </w:p>
    <w:p w:rsidR="00135552" w:rsidRDefault="004C63B0">
      <w:pPr>
        <w:pStyle w:val="DGTextstand-alone"/>
      </w:pPr>
      <w:r>
        <w:t>The main points are as</w:t>
      </w:r>
      <w:r>
        <w:t xml:space="preserve"> follows:</w:t>
      </w:r>
    </w:p>
    <w:p w:rsidR="00135552" w:rsidRDefault="004C63B0">
      <w:pPr>
        <w:pStyle w:val="DGTextstand-alone"/>
        <w:numPr>
          <w:ilvl w:val="0"/>
          <w:numId w:val="45"/>
        </w:numPr>
      </w:pPr>
      <w:r>
        <w:t>During 2019, the beneficiary Member States of BOP have reimbursed on time and in full a total amount of EUR 1.5 billion out of which EUR 1.0 billion related to a capital reimbursement from Romania and EUR 0.5 billion capital reimbursement from La</w:t>
      </w:r>
      <w:r>
        <w:t>tvia. In addition, both Member States paid the amount of interest due in 2019 on time.</w:t>
      </w:r>
    </w:p>
    <w:p w:rsidR="00135552" w:rsidRDefault="004C63B0">
      <w:pPr>
        <w:pStyle w:val="DGTextstand-alone"/>
        <w:numPr>
          <w:ilvl w:val="0"/>
          <w:numId w:val="45"/>
        </w:numPr>
      </w:pPr>
      <w:r>
        <w:t>The outstanding amount at end 2019 is EUR 0.2 billion relating only to Latvia and scheduled for repayment in 2025. Romania has repaid all principal and interest so its B</w:t>
      </w:r>
      <w:r>
        <w:t>OP financial assistance programme can be closed.</w:t>
      </w:r>
    </w:p>
    <w:p w:rsidR="00135552" w:rsidRDefault="004C63B0">
      <w:pPr>
        <w:pStyle w:val="DGTextstand-alone"/>
        <w:keepNext/>
        <w:rPr>
          <w:i/>
        </w:rPr>
      </w:pPr>
      <w:r>
        <w:rPr>
          <w:i/>
        </w:rPr>
        <w:t>MFA</w:t>
      </w:r>
    </w:p>
    <w:p w:rsidR="00135552" w:rsidRDefault="004C63B0">
      <w:pPr>
        <w:pStyle w:val="DGTextstand-alone"/>
      </w:pPr>
      <w:r>
        <w:t>The MFA is a form of financial aid extended by the EU to partner countries outside the EU experiencing a balance of payments crisis. It takes the form of medium/long-term loans or grants, or a combinatio</w:t>
      </w:r>
      <w:r>
        <w:t>n of these, and is only available to countries benefiting from a disbursing IMF programme.</w:t>
      </w:r>
    </w:p>
    <w:p w:rsidR="00135552" w:rsidRDefault="004C63B0">
      <w:pPr>
        <w:pStyle w:val="DGTextstand-alone"/>
      </w:pPr>
      <w:r>
        <w:t>As at 31 December 2019, the total outstanding loan volume under the MFA loan programme (nominal value) thus stood at EUR 4.7 billion.</w:t>
      </w:r>
    </w:p>
    <w:tbl>
      <w:tblPr>
        <w:tblpPr w:leftFromText="181" w:rightFromText="181" w:vertAnchor="text" w:horzAnchor="margin" w:tblpY="1"/>
        <w:tblW w:w="9747" w:type="dxa"/>
        <w:tblLook w:val="04A0" w:firstRow="1" w:lastRow="0" w:firstColumn="1" w:lastColumn="0" w:noHBand="0" w:noVBand="1"/>
      </w:tblPr>
      <w:tblGrid>
        <w:gridCol w:w="3510"/>
        <w:gridCol w:w="1134"/>
        <w:gridCol w:w="1134"/>
        <w:gridCol w:w="1134"/>
        <w:gridCol w:w="1134"/>
        <w:gridCol w:w="1701"/>
      </w:tblGrid>
      <w:tr w:rsidR="00135552">
        <w:trPr>
          <w:trHeight w:val="288"/>
        </w:trPr>
        <w:tc>
          <w:tcPr>
            <w:tcW w:w="9747" w:type="dxa"/>
            <w:gridSpan w:val="6"/>
            <w:tcBorders>
              <w:top w:val="nil"/>
              <w:left w:val="nil"/>
              <w:bottom w:val="nil"/>
              <w:right w:val="nil"/>
            </w:tcBorders>
            <w:shd w:val="clear" w:color="auto" w:fill="auto"/>
            <w:vAlign w:val="center"/>
            <w:hideMark/>
          </w:tcPr>
          <w:p w:rsidR="00135552" w:rsidRDefault="00135552">
            <w:pPr>
              <w:ind w:right="-111"/>
              <w:jc w:val="right"/>
              <w:rPr>
                <w:rFonts w:ascii="Verdana" w:hAnsi="Verdana"/>
                <w:i/>
                <w:iCs/>
                <w:noProof/>
                <w:color w:val="000000"/>
                <w:sz w:val="18"/>
                <w:szCs w:val="18"/>
              </w:rPr>
            </w:pPr>
          </w:p>
        </w:tc>
      </w:tr>
      <w:tr w:rsidR="00135552">
        <w:trPr>
          <w:trHeight w:val="288"/>
        </w:trPr>
        <w:tc>
          <w:tcPr>
            <w:tcW w:w="3510" w:type="dxa"/>
            <w:tcBorders>
              <w:top w:val="nil"/>
              <w:left w:val="nil"/>
              <w:bottom w:val="nil"/>
              <w:right w:val="nil"/>
            </w:tcBorders>
            <w:shd w:val="clear" w:color="auto" w:fill="auto"/>
            <w:noWrap/>
            <w:vAlign w:val="bottom"/>
            <w:hideMark/>
          </w:tcPr>
          <w:p w:rsidR="00135552" w:rsidRDefault="00135552">
            <w:pPr>
              <w:jc w:val="right"/>
              <w:rPr>
                <w:rFonts w:ascii="Verdana" w:hAnsi="Verdana"/>
                <w:i/>
                <w:iCs/>
                <w:noProof/>
                <w:color w:val="000000"/>
                <w:sz w:val="18"/>
                <w:szCs w:val="18"/>
              </w:rPr>
            </w:pPr>
          </w:p>
        </w:tc>
        <w:tc>
          <w:tcPr>
            <w:tcW w:w="6237" w:type="dxa"/>
            <w:gridSpan w:val="5"/>
            <w:tcBorders>
              <w:top w:val="nil"/>
              <w:left w:val="nil"/>
              <w:bottom w:val="nil"/>
              <w:right w:val="nil"/>
            </w:tcBorders>
            <w:shd w:val="clear" w:color="000000" w:fill="4BACC6"/>
            <w:noWrap/>
            <w:vAlign w:val="center"/>
            <w:hideMark/>
          </w:tcPr>
          <w:p w:rsidR="00135552" w:rsidRDefault="004C63B0">
            <w:pPr>
              <w:jc w:val="center"/>
              <w:rPr>
                <w:rFonts w:ascii="Verdana" w:hAnsi="Verdana"/>
                <w:b/>
                <w:bCs/>
                <w:noProof/>
                <w:color w:val="FFFFFF"/>
                <w:sz w:val="18"/>
                <w:szCs w:val="18"/>
              </w:rPr>
            </w:pPr>
            <w:r>
              <w:rPr>
                <w:rFonts w:ascii="Verdana" w:hAnsi="Verdana"/>
                <w:b/>
                <w:bCs/>
                <w:noProof/>
                <w:color w:val="FFFFFF"/>
                <w:sz w:val="18"/>
                <w:szCs w:val="18"/>
              </w:rPr>
              <w:t>MFA</w:t>
            </w:r>
          </w:p>
        </w:tc>
      </w:tr>
      <w:tr w:rsidR="00135552">
        <w:trPr>
          <w:trHeight w:val="300"/>
        </w:trPr>
        <w:tc>
          <w:tcPr>
            <w:tcW w:w="3510" w:type="dxa"/>
            <w:tcBorders>
              <w:top w:val="nil"/>
              <w:left w:val="nil"/>
              <w:bottom w:val="nil"/>
              <w:right w:val="nil"/>
            </w:tcBorders>
            <w:shd w:val="clear" w:color="auto" w:fill="auto"/>
            <w:noWrap/>
            <w:vAlign w:val="bottom"/>
            <w:hideMark/>
          </w:tcPr>
          <w:p w:rsidR="00135552" w:rsidRDefault="00135552">
            <w:pPr>
              <w:jc w:val="center"/>
              <w:rPr>
                <w:rFonts w:ascii="Verdana" w:hAnsi="Verdana"/>
                <w:b/>
                <w:bCs/>
                <w:noProof/>
                <w:color w:val="FFFFFF"/>
                <w:sz w:val="18"/>
                <w:szCs w:val="18"/>
              </w:rPr>
            </w:pPr>
          </w:p>
        </w:tc>
        <w:tc>
          <w:tcPr>
            <w:tcW w:w="1134" w:type="dxa"/>
            <w:tcBorders>
              <w:top w:val="nil"/>
              <w:left w:val="nil"/>
              <w:bottom w:val="single" w:sz="8" w:space="0" w:color="auto"/>
              <w:right w:val="nil"/>
            </w:tcBorders>
            <w:shd w:val="clear" w:color="auto" w:fill="auto"/>
            <w:noWrap/>
            <w:vAlign w:val="center"/>
            <w:hideMark/>
          </w:tcPr>
          <w:p w:rsidR="00135552" w:rsidRDefault="004C63B0">
            <w:pPr>
              <w:jc w:val="right"/>
              <w:rPr>
                <w:rFonts w:ascii="Verdana" w:hAnsi="Verdana"/>
                <w:noProof/>
                <w:color w:val="4BACC6"/>
                <w:sz w:val="16"/>
                <w:szCs w:val="16"/>
              </w:rPr>
            </w:pPr>
            <w:r>
              <w:rPr>
                <w:rFonts w:ascii="Verdana" w:hAnsi="Verdana"/>
                <w:noProof/>
                <w:color w:val="4BACC6"/>
                <w:sz w:val="16"/>
                <w:szCs w:val="16"/>
              </w:rPr>
              <w:t>Ukraine</w:t>
            </w:r>
          </w:p>
        </w:tc>
        <w:tc>
          <w:tcPr>
            <w:tcW w:w="1134" w:type="dxa"/>
            <w:tcBorders>
              <w:top w:val="nil"/>
              <w:left w:val="nil"/>
              <w:bottom w:val="single" w:sz="8" w:space="0" w:color="auto"/>
              <w:right w:val="nil"/>
            </w:tcBorders>
            <w:shd w:val="clear" w:color="auto" w:fill="auto"/>
            <w:noWrap/>
            <w:vAlign w:val="center"/>
            <w:hideMark/>
          </w:tcPr>
          <w:p w:rsidR="00135552" w:rsidRDefault="004C63B0">
            <w:pPr>
              <w:jc w:val="right"/>
              <w:rPr>
                <w:rFonts w:ascii="Verdana" w:hAnsi="Verdana"/>
                <w:noProof/>
                <w:color w:val="4BACC6"/>
                <w:sz w:val="16"/>
                <w:szCs w:val="16"/>
              </w:rPr>
            </w:pPr>
            <w:r>
              <w:rPr>
                <w:rFonts w:ascii="Verdana" w:hAnsi="Verdana"/>
                <w:noProof/>
                <w:color w:val="4BACC6"/>
                <w:sz w:val="16"/>
                <w:szCs w:val="16"/>
              </w:rPr>
              <w:t>Tunisia</w:t>
            </w:r>
          </w:p>
        </w:tc>
        <w:tc>
          <w:tcPr>
            <w:tcW w:w="1134" w:type="dxa"/>
            <w:tcBorders>
              <w:top w:val="nil"/>
              <w:left w:val="nil"/>
              <w:bottom w:val="single" w:sz="8" w:space="0" w:color="auto"/>
              <w:right w:val="nil"/>
            </w:tcBorders>
            <w:shd w:val="clear" w:color="auto" w:fill="auto"/>
            <w:noWrap/>
            <w:vAlign w:val="center"/>
            <w:hideMark/>
          </w:tcPr>
          <w:p w:rsidR="00135552" w:rsidRDefault="004C63B0">
            <w:pPr>
              <w:jc w:val="right"/>
              <w:rPr>
                <w:rFonts w:ascii="Verdana" w:hAnsi="Verdana"/>
                <w:noProof/>
                <w:color w:val="4BACC6"/>
                <w:sz w:val="16"/>
                <w:szCs w:val="16"/>
              </w:rPr>
            </w:pPr>
            <w:r>
              <w:rPr>
                <w:rFonts w:ascii="Verdana" w:hAnsi="Verdana"/>
                <w:noProof/>
                <w:color w:val="4BACC6"/>
                <w:sz w:val="16"/>
                <w:szCs w:val="16"/>
              </w:rPr>
              <w:t>Jordan</w:t>
            </w:r>
          </w:p>
        </w:tc>
        <w:tc>
          <w:tcPr>
            <w:tcW w:w="1134" w:type="dxa"/>
            <w:tcBorders>
              <w:top w:val="nil"/>
              <w:left w:val="nil"/>
              <w:bottom w:val="single" w:sz="8" w:space="0" w:color="auto"/>
              <w:right w:val="nil"/>
            </w:tcBorders>
            <w:shd w:val="clear" w:color="auto" w:fill="auto"/>
            <w:noWrap/>
            <w:vAlign w:val="center"/>
            <w:hideMark/>
          </w:tcPr>
          <w:p w:rsidR="00135552" w:rsidRDefault="004C63B0">
            <w:pPr>
              <w:jc w:val="right"/>
              <w:rPr>
                <w:rFonts w:ascii="Verdana" w:hAnsi="Verdana"/>
                <w:noProof/>
                <w:color w:val="4BACC6"/>
                <w:sz w:val="16"/>
                <w:szCs w:val="16"/>
              </w:rPr>
            </w:pPr>
            <w:r>
              <w:rPr>
                <w:rFonts w:ascii="Verdana" w:hAnsi="Verdana"/>
                <w:noProof/>
                <w:color w:val="4BACC6"/>
                <w:sz w:val="16"/>
                <w:szCs w:val="16"/>
              </w:rPr>
              <w:t>Others</w:t>
            </w:r>
          </w:p>
        </w:tc>
        <w:tc>
          <w:tcPr>
            <w:tcW w:w="1701" w:type="dxa"/>
            <w:tcBorders>
              <w:top w:val="nil"/>
              <w:left w:val="nil"/>
              <w:bottom w:val="single" w:sz="8" w:space="0" w:color="auto"/>
              <w:right w:val="nil"/>
            </w:tcBorders>
            <w:shd w:val="clear" w:color="000000" w:fill="DCE6F1"/>
            <w:noWrap/>
            <w:vAlign w:val="center"/>
            <w:hideMark/>
          </w:tcPr>
          <w:p w:rsidR="00135552" w:rsidRDefault="004C63B0">
            <w:pPr>
              <w:jc w:val="right"/>
              <w:rPr>
                <w:rFonts w:ascii="Verdana" w:hAnsi="Verdana"/>
                <w:noProof/>
                <w:color w:val="4BACC6"/>
                <w:sz w:val="16"/>
                <w:szCs w:val="16"/>
              </w:rPr>
            </w:pPr>
            <w:r>
              <w:rPr>
                <w:rFonts w:ascii="Verdana" w:hAnsi="Verdana"/>
                <w:noProof/>
                <w:color w:val="4BACC6"/>
                <w:sz w:val="16"/>
                <w:szCs w:val="16"/>
              </w:rPr>
              <w:t>Total</w:t>
            </w:r>
          </w:p>
        </w:tc>
      </w:tr>
      <w:tr w:rsidR="00135552">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135552" w:rsidRDefault="004C63B0">
            <w:pPr>
              <w:rPr>
                <w:rFonts w:ascii="Verdana" w:hAnsi="Verdana"/>
                <w:noProof/>
                <w:color w:val="000000"/>
                <w:sz w:val="18"/>
                <w:szCs w:val="18"/>
              </w:rPr>
            </w:pPr>
            <w:r>
              <w:rPr>
                <w:rFonts w:ascii="Verdana" w:hAnsi="Verdana"/>
                <w:noProof/>
                <w:color w:val="000000"/>
                <w:sz w:val="18"/>
                <w:szCs w:val="18"/>
              </w:rPr>
              <w:t>Total granted</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3.8</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0.5</w:t>
            </w:r>
          </w:p>
        </w:tc>
        <w:tc>
          <w:tcPr>
            <w:tcW w:w="1701" w:type="dxa"/>
            <w:tcBorders>
              <w:top w:val="nil"/>
              <w:left w:val="nil"/>
              <w:bottom w:val="single" w:sz="8" w:space="0" w:color="auto"/>
              <w:right w:val="nil"/>
            </w:tcBorders>
            <w:shd w:val="clear" w:color="000000" w:fill="DCE6F1"/>
            <w:noWrap/>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5.5</w:t>
            </w:r>
          </w:p>
        </w:tc>
      </w:tr>
      <w:tr w:rsidR="00135552">
        <w:trPr>
          <w:trHeight w:val="300"/>
        </w:trPr>
        <w:tc>
          <w:tcPr>
            <w:tcW w:w="3510" w:type="dxa"/>
            <w:tcBorders>
              <w:top w:val="nil"/>
              <w:left w:val="nil"/>
              <w:bottom w:val="single" w:sz="8" w:space="0" w:color="auto"/>
              <w:right w:val="nil"/>
            </w:tcBorders>
            <w:shd w:val="clear" w:color="auto" w:fill="auto"/>
            <w:noWrap/>
            <w:vAlign w:val="center"/>
            <w:hideMark/>
          </w:tcPr>
          <w:p w:rsidR="00135552" w:rsidRDefault="004C63B0">
            <w:pPr>
              <w:rPr>
                <w:rFonts w:ascii="Verdana" w:hAnsi="Verdana"/>
                <w:noProof/>
                <w:color w:val="000000"/>
                <w:sz w:val="18"/>
                <w:szCs w:val="18"/>
              </w:rPr>
            </w:pPr>
            <w:r>
              <w:rPr>
                <w:rFonts w:ascii="Verdana" w:hAnsi="Verdana"/>
                <w:noProof/>
                <w:color w:val="000000"/>
                <w:sz w:val="18"/>
                <w:szCs w:val="18"/>
              </w:rPr>
              <w:t>Total disbursed at 31.12.2019</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0.4</w:t>
            </w:r>
          </w:p>
        </w:tc>
        <w:tc>
          <w:tcPr>
            <w:tcW w:w="1701" w:type="dxa"/>
            <w:tcBorders>
              <w:top w:val="nil"/>
              <w:left w:val="nil"/>
              <w:bottom w:val="single" w:sz="8" w:space="0" w:color="auto"/>
              <w:right w:val="nil"/>
            </w:tcBorders>
            <w:shd w:val="clear" w:color="000000" w:fill="DCE6F1"/>
            <w:noWrap/>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4.9</w:t>
            </w:r>
          </w:p>
        </w:tc>
      </w:tr>
      <w:tr w:rsidR="00135552">
        <w:trPr>
          <w:trHeight w:val="300"/>
        </w:trPr>
        <w:tc>
          <w:tcPr>
            <w:tcW w:w="3510" w:type="dxa"/>
            <w:tcBorders>
              <w:top w:val="nil"/>
              <w:left w:val="nil"/>
              <w:bottom w:val="nil"/>
              <w:right w:val="nil"/>
            </w:tcBorders>
            <w:shd w:val="clear" w:color="auto" w:fill="auto"/>
            <w:noWrap/>
            <w:vAlign w:val="center"/>
            <w:hideMark/>
          </w:tcPr>
          <w:p w:rsidR="00135552" w:rsidRDefault="004C63B0">
            <w:pPr>
              <w:rPr>
                <w:rFonts w:ascii="Verdana" w:hAnsi="Verdana"/>
                <w:noProof/>
                <w:color w:val="000000"/>
                <w:sz w:val="18"/>
                <w:szCs w:val="18"/>
              </w:rPr>
            </w:pPr>
            <w:r>
              <w:rPr>
                <w:rFonts w:ascii="Verdana" w:hAnsi="Verdana"/>
                <w:noProof/>
                <w:color w:val="000000"/>
                <w:sz w:val="18"/>
                <w:szCs w:val="18"/>
              </w:rPr>
              <w:t>Total repaid at 31.12.2019</w:t>
            </w:r>
          </w:p>
        </w:tc>
        <w:tc>
          <w:tcPr>
            <w:tcW w:w="1134" w:type="dxa"/>
            <w:tcBorders>
              <w:top w:val="nil"/>
              <w:left w:val="nil"/>
              <w:bottom w:val="nil"/>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nil"/>
              <w:left w:val="nil"/>
              <w:bottom w:val="nil"/>
              <w:right w:val="nil"/>
            </w:tcBorders>
            <w:shd w:val="clear" w:color="000000" w:fill="DCE6F1"/>
            <w:noWrap/>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(0.2)</w:t>
            </w:r>
          </w:p>
        </w:tc>
      </w:tr>
      <w:tr w:rsidR="00135552">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135552" w:rsidRDefault="004C63B0">
            <w:pPr>
              <w:rPr>
                <w:rFonts w:ascii="Verdana" w:hAnsi="Verdana"/>
                <w:noProof/>
                <w:color w:val="000000"/>
                <w:sz w:val="18"/>
                <w:szCs w:val="18"/>
              </w:rPr>
            </w:pPr>
            <w:r>
              <w:rPr>
                <w:rFonts w:ascii="Verdana" w:hAnsi="Verdana"/>
                <w:noProof/>
                <w:color w:val="000000"/>
                <w:sz w:val="18"/>
                <w:szCs w:val="18"/>
              </w:rPr>
              <w:t>Outstanding amount at 31.12.2019</w:t>
            </w:r>
          </w:p>
        </w:tc>
        <w:tc>
          <w:tcPr>
            <w:tcW w:w="1134" w:type="dxa"/>
            <w:tcBorders>
              <w:top w:val="single" w:sz="8" w:space="0" w:color="auto"/>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single" w:sz="8" w:space="0" w:color="auto"/>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single" w:sz="8" w:space="0" w:color="auto"/>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single" w:sz="8" w:space="0" w:color="auto"/>
              <w:left w:val="nil"/>
              <w:bottom w:val="single" w:sz="8" w:space="0" w:color="auto"/>
              <w:right w:val="nil"/>
            </w:tcBorders>
            <w:shd w:val="clear" w:color="auto" w:fill="auto"/>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single" w:sz="8" w:space="0" w:color="auto"/>
              <w:left w:val="nil"/>
              <w:bottom w:val="single" w:sz="8" w:space="0" w:color="auto"/>
              <w:right w:val="nil"/>
            </w:tcBorders>
            <w:shd w:val="clear" w:color="000000" w:fill="DCE6F1"/>
            <w:noWrap/>
            <w:vAlign w:val="center"/>
            <w:hideMark/>
          </w:tcPr>
          <w:p w:rsidR="00135552" w:rsidRDefault="004C63B0">
            <w:pPr>
              <w:jc w:val="center"/>
              <w:rPr>
                <w:rFonts w:ascii="Verdana" w:hAnsi="Verdana"/>
                <w:noProof/>
                <w:color w:val="000000"/>
                <w:sz w:val="18"/>
                <w:szCs w:val="18"/>
              </w:rPr>
            </w:pPr>
            <w:r>
              <w:rPr>
                <w:rFonts w:ascii="Verdana" w:hAnsi="Verdana"/>
                <w:noProof/>
                <w:color w:val="000000"/>
                <w:sz w:val="18"/>
                <w:szCs w:val="18"/>
              </w:rPr>
              <w:t>4.7</w:t>
            </w:r>
          </w:p>
        </w:tc>
      </w:tr>
    </w:tbl>
    <w:p w:rsidR="00135552" w:rsidRDefault="004C63B0">
      <w:pPr>
        <w:pStyle w:val="DGTextstand-alone"/>
      </w:pPr>
      <w:r>
        <w:t>The main points are as follows:</w:t>
      </w:r>
    </w:p>
    <w:p w:rsidR="00135552" w:rsidRDefault="004C63B0">
      <w:pPr>
        <w:pStyle w:val="DGTextstand-alone"/>
        <w:numPr>
          <w:ilvl w:val="0"/>
          <w:numId w:val="45"/>
        </w:numPr>
      </w:pPr>
      <w:r>
        <w:t>In 2019 new loans</w:t>
      </w:r>
      <w:r>
        <w:t xml:space="preserve"> were disbursed for a total amount of EUR 0.4 billion, being EUR 0.3 billion to Tunisia, EUR 0.1 billion to Jordan and EUR 0.02 billion to Moldova.</w:t>
      </w:r>
    </w:p>
    <w:p w:rsidR="00135552" w:rsidRDefault="004C63B0">
      <w:pPr>
        <w:pStyle w:val="DGTextstand-alone"/>
      </w:pPr>
      <w:r>
        <w:t>The largest loan beneficiary under MFA is Ukraine, which has been granted loans to the amount of EUR 3.3 bil</w:t>
      </w:r>
      <w:r>
        <w:t>lion, and another EUR 0.5 billion has been committed under a loan agreement but not yet disbursed. All payment obligations were honoured throughout the year 2019 by Ukraine.</w:t>
      </w:r>
    </w:p>
    <w:p w:rsidR="00135552" w:rsidRDefault="004C63B0">
      <w:pPr>
        <w:pStyle w:val="HEADER2Part4"/>
      </w:pPr>
      <w:bookmarkStart w:id="190" w:name="_Toc11225933"/>
      <w:bookmarkStart w:id="191" w:name="_Toc43224180"/>
      <w:r>
        <w:t>LIABILITIES</w:t>
      </w:r>
      <w:bookmarkEnd w:id="182"/>
      <w:bookmarkEnd w:id="190"/>
      <w:bookmarkEnd w:id="191"/>
    </w:p>
    <w:p w:rsidR="00135552" w:rsidRDefault="004C63B0">
      <w:pPr>
        <w:pStyle w:val="DGTextstand-alone"/>
      </w:pPr>
      <w:bookmarkStart w:id="192" w:name="_Toc424652044"/>
      <w:r>
        <w:t xml:space="preserve">The most significant items on the liability side of the balance sheet </w:t>
      </w:r>
      <w:r>
        <w:t>consist primarily of four items: (i) pension obligation and other employee benefits liabilities; (ii) borrowings; (iii) payables to third parties and (iv) accrued charges.</w:t>
      </w:r>
    </w:p>
    <w:p w:rsidR="00135552" w:rsidRDefault="004C63B0">
      <w:pPr>
        <w:pStyle w:val="HEADER5"/>
        <w:rPr>
          <w:b/>
          <w:noProof/>
        </w:rPr>
      </w:pPr>
      <w:r>
        <w:rPr>
          <w:noProof/>
        </w:rPr>
        <w:t>Composition of the liabilities on the consolidated balance sheet of the EU</w:t>
      </w:r>
    </w:p>
    <w:p w:rsidR="00135552" w:rsidRDefault="004C63B0">
      <w:pPr>
        <w:pStyle w:val="HEADER5"/>
        <w:jc w:val="center"/>
        <w:rPr>
          <w:noProof/>
        </w:rPr>
      </w:pPr>
      <w:r>
        <w:rPr>
          <w:noProof/>
          <w:lang w:val="pl-PL" w:eastAsia="pl-PL"/>
        </w:rPr>
        <w:drawing>
          <wp:inline distT="0" distB="0" distL="0" distR="0">
            <wp:extent cx="4647600" cy="2977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39501" name="Picture 2"/>
                    <pic:cNvPicPr>
                      <a:picLocks noChangeAspect="1" noChangeArrowheads="1"/>
                    </pic:cNvPicPr>
                  </pic:nvPicPr>
                  <pic:blipFill>
                    <a:blip r:embed="rId304">
                      <a:extLst>
                        <a:ext uri="{28A0092B-C50C-407E-A947-70E740481C1C}">
                          <a14:useLocalDpi xmlns:a14="http://schemas.microsoft.com/office/drawing/2010/main" val="0"/>
                        </a:ext>
                      </a:extLst>
                    </a:blip>
                    <a:stretch>
                      <a:fillRect/>
                    </a:stretch>
                  </pic:blipFill>
                  <pic:spPr bwMode="auto">
                    <a:xfrm>
                      <a:off x="0" y="0"/>
                      <a:ext cx="4647600" cy="2977200"/>
                    </a:xfrm>
                    <a:prstGeom prst="rect">
                      <a:avLst/>
                    </a:prstGeom>
                    <a:noFill/>
                  </pic:spPr>
                </pic:pic>
              </a:graphicData>
            </a:graphic>
          </wp:inline>
        </w:drawing>
      </w:r>
    </w:p>
    <w:p w:rsidR="00135552" w:rsidRDefault="004C63B0">
      <w:pPr>
        <w:pStyle w:val="DGTextstand-alone"/>
        <w:spacing w:before="120" w:after="120"/>
      </w:pPr>
      <w:r>
        <w:t xml:space="preserve">As at </w:t>
      </w:r>
      <w:r>
        <w:t>31 December 2019 the total liabilities were EUR 251.5 billion, an increase of EUR 15.6 billion or 6.6 % compared to the previous year (EUR 235.9 billion).</w:t>
      </w:r>
    </w:p>
    <w:p w:rsidR="00135552" w:rsidRDefault="004C63B0">
      <w:pPr>
        <w:pStyle w:val="DGTextstand-alone"/>
        <w:spacing w:before="120" w:after="120"/>
      </w:pPr>
      <w:r>
        <w:t>The key changes were related to the following effects:</w:t>
      </w:r>
    </w:p>
    <w:p w:rsidR="00135552" w:rsidRDefault="004C63B0">
      <w:pPr>
        <w:pStyle w:val="DGTextstand-alone"/>
        <w:numPr>
          <w:ilvl w:val="0"/>
          <w:numId w:val="46"/>
        </w:numPr>
        <w:spacing w:before="120" w:after="120"/>
      </w:pPr>
      <w:r>
        <w:t>Pensions and other post-employee benefits incr</w:t>
      </w:r>
      <w:r>
        <w:t>eased by EUR 17.2 billion or 21.4 %. The increase is mainly due to the actuarial loss from financial assumptions caused by the significant decrease in the discount rate which became negative for the first time;</w:t>
      </w:r>
    </w:p>
    <w:p w:rsidR="00135552" w:rsidRDefault="004C63B0">
      <w:pPr>
        <w:pStyle w:val="DGTextstand-alone"/>
        <w:numPr>
          <w:ilvl w:val="0"/>
          <w:numId w:val="46"/>
        </w:numPr>
        <w:spacing w:before="120" w:after="120"/>
      </w:pPr>
      <w:r>
        <w:t>Borrowings decreased by EUR 1.3 billion or 2.</w:t>
      </w:r>
      <w:r>
        <w:t>4 %, mainly due to the repayment of BOP loans (EUR 1 billion relating to Romania and EUR 0.5 billion to Latvia), and partly offset by new MFA loans amounting to EUR 0.4 billion;</w:t>
      </w:r>
    </w:p>
    <w:p w:rsidR="00135552" w:rsidRDefault="004C63B0">
      <w:pPr>
        <w:pStyle w:val="DGTextstand-alone"/>
        <w:numPr>
          <w:ilvl w:val="0"/>
          <w:numId w:val="46"/>
        </w:numPr>
        <w:spacing w:before="120"/>
      </w:pPr>
      <w:r>
        <w:t xml:space="preserve">Looking at payables (decrease of EUR 5.0 billion) and accrued charges </w:t>
      </w:r>
      <w:r>
        <w:t>(increase of EUR 4.0 billion) together, the overall level of liabilities remains the same. As the same level of cost claims have not been received by year</w:t>
      </w:r>
      <w:r>
        <w:noBreakHyphen/>
        <w:t>end in the field of cohesion policy (ERDF, CF and ESF), this leads to payables being lower; however a</w:t>
      </w:r>
      <w:r>
        <w:t>ccrued charges will increase, indicating that the implementation of the programmes is progressing.</w:t>
      </w:r>
    </w:p>
    <w:p w:rsidR="00135552" w:rsidRDefault="004C63B0">
      <w:pPr>
        <w:pStyle w:val="DGTextstand-alone"/>
        <w:rPr>
          <w:color w:val="016794"/>
          <w:lang w:eastAsia="en-GB"/>
        </w:rPr>
      </w:pPr>
      <w:r>
        <w:rPr>
          <w:color w:val="016794"/>
          <w:lang w:eastAsia="en-GB"/>
        </w:rPr>
        <w:t>Total cost claims and invoices received and recognised under the payables heading of the balance sheet</w:t>
      </w:r>
    </w:p>
    <w:p w:rsidR="00135552" w:rsidRDefault="004C63B0">
      <w:pPr>
        <w:pStyle w:val="HEADER5"/>
        <w:jc w:val="center"/>
        <w:rPr>
          <w:noProof/>
        </w:rPr>
      </w:pPr>
      <w:r>
        <w:rPr>
          <w:noProof/>
          <w:lang w:val="pl-PL" w:eastAsia="pl-PL"/>
        </w:rPr>
        <w:drawing>
          <wp:inline distT="0" distB="0" distL="0" distR="0">
            <wp:extent cx="4577679" cy="219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22754" name="Picture 3"/>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bwMode="auto">
                    <a:xfrm>
                      <a:off x="0" y="0"/>
                      <a:ext cx="4594608" cy="2205416"/>
                    </a:xfrm>
                    <a:prstGeom prst="rect">
                      <a:avLst/>
                    </a:prstGeom>
                    <a:noFill/>
                  </pic:spPr>
                </pic:pic>
              </a:graphicData>
            </a:graphic>
          </wp:inline>
        </w:drawing>
      </w:r>
    </w:p>
    <w:p w:rsidR="00135552" w:rsidRDefault="004C63B0">
      <w:pPr>
        <w:pStyle w:val="DGTextstand-alone"/>
        <w:rPr>
          <w:color w:val="016794"/>
          <w:lang w:eastAsia="en-GB"/>
        </w:rPr>
      </w:pPr>
      <w:r>
        <w:rPr>
          <w:color w:val="016794"/>
          <w:lang w:eastAsia="en-GB"/>
        </w:rPr>
        <w:t>Net assets</w:t>
      </w:r>
    </w:p>
    <w:p w:rsidR="00135552" w:rsidRDefault="004C63B0">
      <w:pPr>
        <w:pStyle w:val="DGTextstand-alone"/>
        <w:spacing w:after="480"/>
      </w:pPr>
      <w:r>
        <w:t>The excess of liabilities over assets doe</w:t>
      </w:r>
      <w:r>
        <w:t>s not mean that the EU institutions and bodies are in financial difficulties, rather it means that certain liabilities will be funded by future annual budgets. Many expenses are recognised under accrual accounting rules in the current year although they ma</w:t>
      </w:r>
      <w:r>
        <w:t>y be actually paid in the following or later years and funded using future budgets; the related revenues will only be accounted for in future periods. The most significant amounts to be highlighted are the EAGF activities (the bulk of which is usually paid</w:t>
      </w:r>
      <w:r>
        <w:t xml:space="preserve"> in the first quarter of the following year) and the employee benefits liability (to be paid over the next 30 plus years).</w:t>
      </w:r>
    </w:p>
    <w:p w:rsidR="00135552" w:rsidRDefault="004C63B0">
      <w:pPr>
        <w:pStyle w:val="HEADER1Part4"/>
        <w:rPr>
          <w:noProof/>
        </w:rPr>
      </w:pPr>
      <w:bookmarkStart w:id="193" w:name="_Toc11225934"/>
      <w:bookmarkStart w:id="194" w:name="_Toc43224181"/>
      <w:bookmarkEnd w:id="192"/>
      <w:r>
        <w:rPr>
          <w:noProof/>
        </w:rPr>
        <w:tab/>
        <w:t xml:space="preserve">MANAGEMENT OF RISKS AND UNCERTAINTIES </w:t>
      </w:r>
      <w:r>
        <w:rPr>
          <w:noProof/>
        </w:rPr>
        <w:tab/>
        <w:t>OF EU BUDGET IMPLEMENTATION</w:t>
      </w:r>
      <w:bookmarkEnd w:id="193"/>
      <w:bookmarkEnd w:id="194"/>
    </w:p>
    <w:p w:rsidR="00135552" w:rsidRDefault="004C63B0">
      <w:pPr>
        <w:pStyle w:val="HEADER2Part4"/>
      </w:pPr>
      <w:bookmarkStart w:id="195" w:name="_Toc491880238"/>
      <w:bookmarkStart w:id="196" w:name="_Toc11225935"/>
      <w:bookmarkStart w:id="197" w:name="_Toc43224182"/>
      <w:r>
        <w:t>MACRO-ECONOMIC ENVIRONMENT</w:t>
      </w:r>
      <w:bookmarkEnd w:id="195"/>
      <w:bookmarkEnd w:id="196"/>
      <w:bookmarkEnd w:id="197"/>
    </w:p>
    <w:p w:rsidR="00135552" w:rsidRDefault="004C63B0">
      <w:pPr>
        <w:pStyle w:val="DGTextstand-alone"/>
      </w:pPr>
      <w:r>
        <w:t>Given the current global situation con</w:t>
      </w:r>
      <w:r>
        <w:t>cerning the spread of the coronavirus disease during the first quarter of 2020, it is not possible to accurately assess its undoubted significant negative impact on the EU macro-economic environment at the time of transmission of these accounts.</w:t>
      </w:r>
    </w:p>
    <w:p w:rsidR="00135552" w:rsidRDefault="004C63B0">
      <w:pPr>
        <w:pStyle w:val="DGTextstand-alone"/>
      </w:pPr>
      <w:r>
        <w:t>The macro-</w:t>
      </w:r>
      <w:r>
        <w:t>economic environment of the EU has an impact on the ability of EU Member states to meet their funding obligations towards the EU institutions and bodies and thus on the ability of the EU to continue implementing EU policies.</w:t>
      </w:r>
    </w:p>
    <w:p w:rsidR="00135552" w:rsidRDefault="004C63B0">
      <w:pPr>
        <w:pStyle w:val="DGTextstand-alone"/>
      </w:pPr>
      <w:r>
        <w:t>Euro area and EU GDP is estimat</w:t>
      </w:r>
      <w:r>
        <w:t>ed to have grown by 1.2 % and 1.5 % in 2019, respectively. The overall inflation in the Euro area averaged 1.2 % in 2019, a sharp decline from the previous year’s inflation rate of 1.7 %, which can be linked to the fall in energy prices and the lack of pas</w:t>
      </w:r>
      <w:r>
        <w:t xml:space="preserve">s-through from robust wage growth to core inflation. The euro area labour market proved to be fairly resilient in 2019 given the background of relatively moderate economic growth. The unemployment rate has stayed close to or at 7.4% towards the end of the </w:t>
      </w:r>
      <w:r>
        <w:t>year, which is the lowest rate recorded since May 2008. In December 2019, the number of unemployed persons was 4.6% lower than one year before and 36.8% below the April 2013 peak.</w:t>
      </w:r>
    </w:p>
    <w:p w:rsidR="00135552" w:rsidRDefault="004C63B0">
      <w:pPr>
        <w:pStyle w:val="HEADER2Part4"/>
      </w:pPr>
      <w:bookmarkStart w:id="198" w:name="_Toc491880239"/>
      <w:bookmarkStart w:id="199" w:name="_Toc11225936"/>
      <w:bookmarkStart w:id="200" w:name="_Toc43224183"/>
      <w:r>
        <w:t xml:space="preserve">BUDGETARY CONTINGENT LIABILITIES FOR </w:t>
      </w:r>
      <w:r>
        <w:tab/>
        <w:t>FINANCIAL ASSISTANCE</w:t>
      </w:r>
      <w:bookmarkEnd w:id="198"/>
      <w:bookmarkEnd w:id="199"/>
      <w:bookmarkEnd w:id="200"/>
    </w:p>
    <w:p w:rsidR="00135552" w:rsidRDefault="004C63B0">
      <w:pPr>
        <w:pStyle w:val="DGTextstand-alone"/>
      </w:pPr>
      <w:r>
        <w:t xml:space="preserve">The EU borrowing </w:t>
      </w:r>
      <w:r>
        <w:t>and lending activities for financial assistance programmes are non-budget operations. In general, funds raised are on-lent back-to-back to the beneficiary country, i.e. with the same coupon, maturity and amount. Notwithstanding the back-to-back methodology</w:t>
      </w:r>
      <w:r>
        <w:t>, the debt service of the funding instruments is a legal obligation of the EU, which will ensure that all payments are made fully and in a timely manner. The Commission has put procedures in place to ensure the repayment of borrowings even in case of a loa</w:t>
      </w:r>
      <w:r>
        <w:t>n default.</w:t>
      </w:r>
    </w:p>
    <w:p w:rsidR="00135552" w:rsidRDefault="004C63B0">
      <w:pPr>
        <w:pStyle w:val="DGTextstand-alone"/>
      </w:pPr>
      <w:r>
        <w:t>Borrowings of the EU constitute direct and unconditional obligations of the EU and are guaranteed by the EU Member States (budgetary contingent liabilities). Borrowings undertaken to fund loans to countries outside the EU are covered by the Guar</w:t>
      </w:r>
      <w:r>
        <w:t>antee Fund for external actions. Should a beneficiary Member State default, the debt service will be drawn from the available treasury balance of the Commission, if possible. If that would not be possible, the Commission would draw the necessary funds from</w:t>
      </w:r>
      <w:r>
        <w:t xml:space="preserve"> the Member States. EU Member States are legally obliged, according to the EU own resources legislation (Article 14 of Council Regulation 2014/609), to make available sufficient funds to meet the EU’s obligations. Thus investors are only exposed to the cre</w:t>
      </w:r>
      <w:r>
        <w:t>dit risk of the EU, not to that of the beneficiary of loans funded. ’Back-to-back' lending ensures that the EU budget does not assume any interest rate or foreign exchange risk.</w:t>
      </w:r>
    </w:p>
    <w:p w:rsidR="00135552" w:rsidRDefault="004C63B0">
      <w:pPr>
        <w:pStyle w:val="DGTextstand-alone"/>
      </w:pPr>
      <w:r>
        <w:t>For each country programme, the EP, the Council and the Commission decisions d</w:t>
      </w:r>
      <w:r>
        <w:t>etermine the overall granted amount, the number of instalments to be disbursed, and the maximum (average) maturity of the loan package. Subsequently, the Commission and the beneficiary country agree the loan/funding parameters, in particular the maturity o</w:t>
      </w:r>
      <w:r>
        <w:t>f instalments. In addition, except for the first one, all instalments of the loan depend on compliance with policy conditions, in the context of a joint EU/IMF financial assistance, which is another factor influencing the timing of funding operations. This</w:t>
      </w:r>
      <w:r>
        <w:t xml:space="preserve"> implies that the timing and maturities of issuances are dependent on the related EU lending activity. Funding is exclusively denominated in euro and the maturity spectrum is from 3 to 30 years.</w:t>
      </w:r>
    </w:p>
    <w:p w:rsidR="00135552" w:rsidRDefault="004C63B0">
      <w:pPr>
        <w:pStyle w:val="DGTextstand-alone"/>
      </w:pPr>
      <w:r>
        <w:t>The following table provides an overview of the planned reimb</w:t>
      </w:r>
      <w:r>
        <w:t>ursement schedule in nominal value for outstanding EFSM and BOP loan amounts at 31 December 2019:</w:t>
      </w:r>
    </w:p>
    <w:tbl>
      <w:tblPr>
        <w:tblW w:w="5000" w:type="pct"/>
        <w:tblLook w:val="04A0" w:firstRow="1" w:lastRow="0" w:firstColumn="1" w:lastColumn="0" w:noHBand="0" w:noVBand="1"/>
      </w:tblPr>
      <w:tblGrid>
        <w:gridCol w:w="918"/>
        <w:gridCol w:w="1271"/>
        <w:gridCol w:w="1271"/>
        <w:gridCol w:w="1273"/>
        <w:gridCol w:w="1271"/>
        <w:gridCol w:w="1271"/>
        <w:gridCol w:w="1273"/>
        <w:gridCol w:w="1307"/>
      </w:tblGrid>
      <w:tr w:rsidR="00135552">
        <w:trPr>
          <w:trHeight w:val="300"/>
        </w:trPr>
        <w:tc>
          <w:tcPr>
            <w:tcW w:w="465" w:type="pct"/>
            <w:tcBorders>
              <w:top w:val="nil"/>
              <w:left w:val="nil"/>
              <w:bottom w:val="nil"/>
              <w:right w:val="nil"/>
            </w:tcBorders>
            <w:shd w:val="clear" w:color="auto" w:fill="auto"/>
            <w:noWrap/>
            <w:vAlign w:val="bottom"/>
            <w:hideMark/>
          </w:tcPr>
          <w:p w:rsidR="00135552" w:rsidRDefault="00135552">
            <w:pPr>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135552" w:rsidRDefault="00135552">
            <w:pPr>
              <w:jc w:val="right"/>
              <w:rPr>
                <w:rFonts w:ascii="Calibri" w:hAnsi="Calibri"/>
                <w:noProof/>
                <w:color w:val="000000"/>
                <w:sz w:val="22"/>
                <w:szCs w:val="22"/>
              </w:rPr>
            </w:pPr>
          </w:p>
        </w:tc>
        <w:tc>
          <w:tcPr>
            <w:tcW w:w="664" w:type="pct"/>
            <w:tcBorders>
              <w:top w:val="nil"/>
              <w:left w:val="nil"/>
              <w:bottom w:val="nil"/>
              <w:right w:val="nil"/>
            </w:tcBorders>
            <w:shd w:val="clear" w:color="auto" w:fill="auto"/>
            <w:noWrap/>
            <w:vAlign w:val="bottom"/>
            <w:hideMark/>
          </w:tcPr>
          <w:p w:rsidR="00135552" w:rsidRDefault="004C63B0">
            <w:pPr>
              <w:jc w:val="right"/>
              <w:rPr>
                <w:rFonts w:ascii="Verdana" w:hAnsi="Verdana"/>
                <w:i/>
                <w:iCs/>
                <w:noProof/>
                <w:color w:val="000000"/>
                <w:sz w:val="18"/>
                <w:szCs w:val="18"/>
              </w:rPr>
            </w:pPr>
            <w:r>
              <w:rPr>
                <w:rFonts w:ascii="Verdana" w:hAnsi="Verdana"/>
                <w:i/>
                <w:iCs/>
                <w:noProof/>
                <w:color w:val="000000"/>
                <w:sz w:val="18"/>
                <w:szCs w:val="18"/>
              </w:rPr>
              <w:t>EUR billion</w:t>
            </w:r>
          </w:p>
        </w:tc>
      </w:tr>
      <w:tr w:rsidR="00135552">
        <w:trPr>
          <w:trHeight w:val="375"/>
        </w:trPr>
        <w:tc>
          <w:tcPr>
            <w:tcW w:w="465" w:type="pct"/>
            <w:tcBorders>
              <w:top w:val="nil"/>
              <w:left w:val="nil"/>
              <w:bottom w:val="nil"/>
              <w:right w:val="nil"/>
            </w:tcBorders>
            <w:shd w:val="clear" w:color="auto" w:fill="auto"/>
            <w:noWrap/>
            <w:vAlign w:val="bottom"/>
            <w:hideMark/>
          </w:tcPr>
          <w:p w:rsidR="00135552" w:rsidRDefault="00135552">
            <w:pPr>
              <w:rPr>
                <w:rFonts w:ascii="Calibri" w:hAnsi="Calibri"/>
                <w:noProof/>
                <w:color w:val="000000"/>
                <w:sz w:val="22"/>
                <w:szCs w:val="22"/>
              </w:rPr>
            </w:pPr>
          </w:p>
        </w:tc>
        <w:tc>
          <w:tcPr>
            <w:tcW w:w="1936" w:type="pct"/>
            <w:gridSpan w:val="3"/>
            <w:tcBorders>
              <w:top w:val="nil"/>
              <w:left w:val="nil"/>
              <w:bottom w:val="nil"/>
              <w:right w:val="nil"/>
            </w:tcBorders>
            <w:shd w:val="clear" w:color="000000" w:fill="4BACC6"/>
            <w:noWrap/>
            <w:vAlign w:val="bottom"/>
            <w:hideMark/>
          </w:tcPr>
          <w:p w:rsidR="00135552" w:rsidRDefault="004C63B0">
            <w:pPr>
              <w:jc w:val="center"/>
              <w:rPr>
                <w:rFonts w:ascii="Verdana" w:hAnsi="Verdana"/>
                <w:b/>
                <w:bCs/>
                <w:noProof/>
                <w:color w:val="FFFFFF"/>
                <w:sz w:val="20"/>
                <w:szCs w:val="28"/>
              </w:rPr>
            </w:pPr>
            <w:r>
              <w:rPr>
                <w:rFonts w:ascii="Verdana" w:hAnsi="Verdana"/>
                <w:b/>
                <w:bCs/>
                <w:noProof/>
                <w:color w:val="FFFFFF"/>
                <w:sz w:val="20"/>
                <w:szCs w:val="28"/>
              </w:rPr>
              <w:t>BOP</w:t>
            </w:r>
          </w:p>
        </w:tc>
        <w:tc>
          <w:tcPr>
            <w:tcW w:w="1936" w:type="pct"/>
            <w:gridSpan w:val="3"/>
            <w:tcBorders>
              <w:top w:val="nil"/>
              <w:left w:val="nil"/>
              <w:bottom w:val="nil"/>
              <w:right w:val="nil"/>
            </w:tcBorders>
            <w:shd w:val="clear" w:color="000000" w:fill="92D050"/>
            <w:noWrap/>
            <w:vAlign w:val="bottom"/>
            <w:hideMark/>
          </w:tcPr>
          <w:p w:rsidR="00135552" w:rsidRDefault="004C63B0">
            <w:pPr>
              <w:jc w:val="center"/>
              <w:rPr>
                <w:rFonts w:ascii="Verdana" w:hAnsi="Verdana"/>
                <w:b/>
                <w:bCs/>
                <w:noProof/>
                <w:color w:val="FFFFFF"/>
                <w:sz w:val="20"/>
                <w:szCs w:val="28"/>
              </w:rPr>
            </w:pPr>
            <w:r>
              <w:rPr>
                <w:rFonts w:ascii="Verdana" w:hAnsi="Verdana"/>
                <w:b/>
                <w:bCs/>
                <w:noProof/>
                <w:color w:val="FFFFFF"/>
                <w:sz w:val="20"/>
                <w:szCs w:val="28"/>
              </w:rPr>
              <w:t>EFSM</w:t>
            </w:r>
          </w:p>
        </w:tc>
        <w:tc>
          <w:tcPr>
            <w:tcW w:w="664" w:type="pct"/>
            <w:vMerge w:val="restart"/>
            <w:tcBorders>
              <w:top w:val="nil"/>
              <w:left w:val="nil"/>
              <w:bottom w:val="single" w:sz="4" w:space="0" w:color="000000"/>
              <w:right w:val="nil"/>
            </w:tcBorders>
            <w:shd w:val="clear" w:color="000000" w:fill="DA9694"/>
            <w:noWrap/>
            <w:vAlign w:val="center"/>
            <w:hideMark/>
          </w:tcPr>
          <w:p w:rsidR="00135552" w:rsidRDefault="004C63B0">
            <w:pPr>
              <w:jc w:val="right"/>
              <w:rPr>
                <w:rFonts w:ascii="Verdana" w:hAnsi="Verdana"/>
                <w:b/>
                <w:bCs/>
                <w:noProof/>
                <w:color w:val="FFFFFF"/>
                <w:sz w:val="28"/>
                <w:szCs w:val="28"/>
              </w:rPr>
            </w:pPr>
            <w:r>
              <w:rPr>
                <w:rFonts w:ascii="Verdana" w:hAnsi="Verdana"/>
                <w:b/>
                <w:bCs/>
                <w:noProof/>
                <w:color w:val="FFFFFF"/>
                <w:sz w:val="20"/>
                <w:szCs w:val="28"/>
              </w:rPr>
              <w:t>TOTAL</w:t>
            </w:r>
          </w:p>
        </w:tc>
      </w:tr>
      <w:tr w:rsidR="00135552">
        <w:trPr>
          <w:trHeight w:val="375"/>
        </w:trPr>
        <w:tc>
          <w:tcPr>
            <w:tcW w:w="465" w:type="pct"/>
            <w:tcBorders>
              <w:top w:val="nil"/>
              <w:left w:val="nil"/>
              <w:bottom w:val="nil"/>
              <w:right w:val="nil"/>
            </w:tcBorders>
            <w:shd w:val="clear" w:color="auto" w:fill="auto"/>
            <w:noWrap/>
            <w:vAlign w:val="bottom"/>
            <w:hideMark/>
          </w:tcPr>
          <w:p w:rsidR="00135552" w:rsidRDefault="00135552">
            <w:pPr>
              <w:rPr>
                <w:rFonts w:ascii="Calibri" w:hAnsi="Calibri"/>
                <w:noProof/>
                <w:color w:val="000000"/>
                <w:sz w:val="22"/>
                <w:szCs w:val="22"/>
              </w:rPr>
            </w:pPr>
          </w:p>
        </w:tc>
        <w:tc>
          <w:tcPr>
            <w:tcW w:w="645" w:type="pct"/>
            <w:tcBorders>
              <w:top w:val="nil"/>
              <w:left w:val="nil"/>
              <w:bottom w:val="single" w:sz="4" w:space="0" w:color="auto"/>
              <w:right w:val="nil"/>
            </w:tcBorders>
            <w:shd w:val="clear" w:color="auto" w:fill="auto"/>
            <w:noWrap/>
            <w:vAlign w:val="bottom"/>
          </w:tcPr>
          <w:p w:rsidR="00135552" w:rsidRDefault="004C63B0">
            <w:pPr>
              <w:jc w:val="right"/>
              <w:rPr>
                <w:rFonts w:ascii="Verdana" w:hAnsi="Verdana"/>
                <w:b/>
                <w:bCs/>
                <w:noProof/>
                <w:color w:val="4BACC6"/>
                <w:sz w:val="18"/>
                <w:szCs w:val="28"/>
              </w:rPr>
            </w:pPr>
            <w:r>
              <w:rPr>
                <w:rFonts w:ascii="Verdana" w:hAnsi="Verdana"/>
                <w:b/>
                <w:bCs/>
                <w:noProof/>
                <w:color w:val="4BACC6"/>
                <w:sz w:val="18"/>
                <w:szCs w:val="28"/>
              </w:rPr>
              <w:t>Latvia</w:t>
            </w:r>
          </w:p>
        </w:tc>
        <w:tc>
          <w:tcPr>
            <w:tcW w:w="645" w:type="pct"/>
            <w:tcBorders>
              <w:top w:val="nil"/>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4BACC6"/>
                <w:sz w:val="18"/>
                <w:szCs w:val="28"/>
              </w:rPr>
            </w:pPr>
            <w:r>
              <w:rPr>
                <w:rFonts w:ascii="Verdana" w:hAnsi="Verdana"/>
                <w:b/>
                <w:bCs/>
                <w:noProof/>
                <w:color w:val="4BACC6"/>
                <w:sz w:val="18"/>
                <w:szCs w:val="28"/>
              </w:rPr>
              <w:t>Romania</w:t>
            </w:r>
          </w:p>
        </w:tc>
        <w:tc>
          <w:tcPr>
            <w:tcW w:w="646" w:type="pct"/>
            <w:tcBorders>
              <w:top w:val="nil"/>
              <w:left w:val="nil"/>
              <w:bottom w:val="single" w:sz="4" w:space="0" w:color="auto"/>
              <w:right w:val="nil"/>
            </w:tcBorders>
            <w:shd w:val="clear" w:color="000000" w:fill="DCE6F1"/>
            <w:noWrap/>
            <w:vAlign w:val="bottom"/>
            <w:hideMark/>
          </w:tcPr>
          <w:p w:rsidR="00135552" w:rsidRDefault="004C63B0">
            <w:pPr>
              <w:jc w:val="right"/>
              <w:rPr>
                <w:rFonts w:ascii="Verdana" w:hAnsi="Verdana"/>
                <w:b/>
                <w:bCs/>
                <w:noProof/>
                <w:color w:val="4BACC6"/>
                <w:sz w:val="18"/>
                <w:szCs w:val="28"/>
              </w:rPr>
            </w:pPr>
            <w:r>
              <w:rPr>
                <w:rFonts w:ascii="Verdana" w:hAnsi="Verdana"/>
                <w:b/>
                <w:bCs/>
                <w:noProof/>
                <w:color w:val="4BACC6"/>
                <w:sz w:val="18"/>
                <w:szCs w:val="28"/>
              </w:rPr>
              <w:t>Total</w:t>
            </w:r>
          </w:p>
        </w:tc>
        <w:tc>
          <w:tcPr>
            <w:tcW w:w="645" w:type="pct"/>
            <w:tcBorders>
              <w:top w:val="nil"/>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92D050"/>
                <w:sz w:val="18"/>
                <w:szCs w:val="28"/>
              </w:rPr>
            </w:pPr>
            <w:r>
              <w:rPr>
                <w:rFonts w:ascii="Verdana" w:hAnsi="Verdana"/>
                <w:b/>
                <w:bCs/>
                <w:noProof/>
                <w:color w:val="92D050"/>
                <w:sz w:val="18"/>
                <w:szCs w:val="28"/>
              </w:rPr>
              <w:t>Ireland</w:t>
            </w:r>
          </w:p>
        </w:tc>
        <w:tc>
          <w:tcPr>
            <w:tcW w:w="645" w:type="pct"/>
            <w:tcBorders>
              <w:top w:val="nil"/>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92D050"/>
                <w:sz w:val="18"/>
                <w:szCs w:val="28"/>
              </w:rPr>
            </w:pPr>
            <w:r>
              <w:rPr>
                <w:rFonts w:ascii="Verdana" w:hAnsi="Verdana"/>
                <w:b/>
                <w:bCs/>
                <w:noProof/>
                <w:color w:val="92D050"/>
                <w:sz w:val="18"/>
                <w:szCs w:val="28"/>
              </w:rPr>
              <w:t>Portugal</w:t>
            </w:r>
          </w:p>
        </w:tc>
        <w:tc>
          <w:tcPr>
            <w:tcW w:w="646" w:type="pct"/>
            <w:tcBorders>
              <w:top w:val="nil"/>
              <w:left w:val="nil"/>
              <w:bottom w:val="single" w:sz="4" w:space="0" w:color="auto"/>
              <w:right w:val="nil"/>
            </w:tcBorders>
            <w:shd w:val="clear" w:color="000000" w:fill="D8E4BC"/>
            <w:noWrap/>
            <w:vAlign w:val="bottom"/>
            <w:hideMark/>
          </w:tcPr>
          <w:p w:rsidR="00135552" w:rsidRDefault="004C63B0">
            <w:pPr>
              <w:jc w:val="right"/>
              <w:rPr>
                <w:rFonts w:ascii="Verdana" w:hAnsi="Verdana"/>
                <w:b/>
                <w:bCs/>
                <w:noProof/>
                <w:color w:val="92D050"/>
                <w:sz w:val="18"/>
                <w:szCs w:val="28"/>
              </w:rPr>
            </w:pPr>
            <w:r>
              <w:rPr>
                <w:rFonts w:ascii="Verdana" w:hAnsi="Verdana"/>
                <w:b/>
                <w:bCs/>
                <w:noProof/>
                <w:color w:val="92D050"/>
                <w:sz w:val="18"/>
                <w:szCs w:val="28"/>
              </w:rPr>
              <w:t>Total</w:t>
            </w:r>
          </w:p>
        </w:tc>
        <w:tc>
          <w:tcPr>
            <w:tcW w:w="664" w:type="pct"/>
            <w:vMerge/>
            <w:tcBorders>
              <w:top w:val="nil"/>
              <w:left w:val="nil"/>
              <w:bottom w:val="single" w:sz="4" w:space="0" w:color="000000"/>
              <w:right w:val="nil"/>
            </w:tcBorders>
            <w:vAlign w:val="center"/>
            <w:hideMark/>
          </w:tcPr>
          <w:p w:rsidR="00135552" w:rsidRDefault="00135552">
            <w:pPr>
              <w:rPr>
                <w:rFonts w:ascii="Calibri" w:hAnsi="Calibri"/>
                <w:b/>
                <w:bCs/>
                <w:noProof/>
                <w:color w:val="FFFFFF"/>
                <w:sz w:val="28"/>
                <w:szCs w:val="28"/>
              </w:rPr>
            </w:pPr>
          </w:p>
        </w:tc>
      </w:tr>
      <w:tr w:rsidR="00135552">
        <w:trPr>
          <w:trHeight w:val="375"/>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9.8</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9.8</w:t>
            </w:r>
          </w:p>
        </w:tc>
      </w:tr>
      <w:tr w:rsidR="00135552">
        <w:trPr>
          <w:trHeight w:val="375"/>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2.7</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2.7</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3.5</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3.5</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2.6</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2.6</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2.4</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2.4</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2.6</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2026</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4.0</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4.0</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2.3</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2.3</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1.4</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1.4</w:t>
            </w:r>
          </w:p>
        </w:tc>
      </w:tr>
      <w:tr w:rsidR="00135552">
        <w:trPr>
          <w:trHeight w:val="300"/>
        </w:trPr>
        <w:tc>
          <w:tcPr>
            <w:tcW w:w="465" w:type="pct"/>
            <w:tcBorders>
              <w:top w:val="nil"/>
              <w:left w:val="nil"/>
              <w:bottom w:val="nil"/>
              <w:right w:val="nil"/>
            </w:tcBorders>
            <w:shd w:val="clear" w:color="auto" w:fill="auto"/>
            <w:noWrap/>
            <w:vAlign w:val="bottom"/>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2.2</w:t>
            </w:r>
          </w:p>
        </w:tc>
        <w:tc>
          <w:tcPr>
            <w:tcW w:w="664" w:type="pct"/>
            <w:tcBorders>
              <w:top w:val="nil"/>
              <w:left w:val="nil"/>
              <w:bottom w:val="nil"/>
              <w:right w:val="nil"/>
            </w:tcBorders>
            <w:shd w:val="clear" w:color="000000" w:fill="F2DCDB"/>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2.2</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2033</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2.1</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2.1</w:t>
            </w:r>
          </w:p>
        </w:tc>
      </w:tr>
      <w:tr w:rsidR="00135552">
        <w:trPr>
          <w:trHeight w:val="300"/>
        </w:trPr>
        <w:tc>
          <w:tcPr>
            <w:tcW w:w="465" w:type="pct"/>
            <w:tcBorders>
              <w:top w:val="nil"/>
              <w:left w:val="nil"/>
              <w:bottom w:val="nil"/>
              <w:right w:val="nil"/>
            </w:tcBorders>
            <w:shd w:val="clear" w:color="auto" w:fill="auto"/>
            <w:noWrap/>
            <w:vAlign w:val="bottom"/>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c>
          <w:tcPr>
            <w:tcW w:w="664" w:type="pct"/>
            <w:tcBorders>
              <w:top w:val="nil"/>
              <w:left w:val="nil"/>
              <w:bottom w:val="nil"/>
              <w:right w:val="nil"/>
            </w:tcBorders>
            <w:shd w:val="clear" w:color="000000" w:fill="F2DCDB"/>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2.0</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1.0</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1.0</w:t>
            </w:r>
          </w:p>
        </w:tc>
      </w:tr>
      <w:tr w:rsidR="00135552">
        <w:trPr>
          <w:trHeight w:val="300"/>
        </w:trPr>
        <w:tc>
          <w:tcPr>
            <w:tcW w:w="465" w:type="pct"/>
            <w:tcBorders>
              <w:top w:val="nil"/>
              <w:left w:val="nil"/>
              <w:bottom w:val="nil"/>
              <w:right w:val="nil"/>
            </w:tcBorders>
            <w:shd w:val="clear" w:color="auto" w:fill="auto"/>
            <w:noWrap/>
            <w:vAlign w:val="bottom"/>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2038</w:t>
            </w:r>
          </w:p>
        </w:tc>
        <w:tc>
          <w:tcPr>
            <w:tcW w:w="645" w:type="pct"/>
            <w:tcBorders>
              <w:top w:val="nil"/>
              <w:left w:val="nil"/>
              <w:bottom w:val="nil"/>
              <w:right w:val="nil"/>
            </w:tcBorders>
            <w:shd w:val="clear" w:color="auto" w:fill="auto"/>
            <w:noWrap/>
            <w:vAlign w:val="bottom"/>
          </w:tcPr>
          <w:p w:rsidR="00135552" w:rsidRDefault="00135552">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135552" w:rsidRDefault="00135552">
            <w:pPr>
              <w:jc w:val="right"/>
              <w:rPr>
                <w:rFonts w:ascii="Verdana" w:hAnsi="Verdana"/>
                <w:noProof/>
                <w:color w:val="000000"/>
                <w:sz w:val="18"/>
                <w:szCs w:val="18"/>
              </w:rPr>
            </w:pPr>
          </w:p>
        </w:tc>
        <w:tc>
          <w:tcPr>
            <w:tcW w:w="646" w:type="pct"/>
            <w:tcBorders>
              <w:top w:val="nil"/>
              <w:left w:val="nil"/>
              <w:bottom w:val="nil"/>
              <w:right w:val="nil"/>
            </w:tcBorders>
            <w:shd w:val="clear" w:color="000000" w:fill="DCE6F1"/>
            <w:noWrap/>
            <w:vAlign w:val="bottom"/>
          </w:tcPr>
          <w:p w:rsidR="00135552" w:rsidRDefault="00135552">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135552" w:rsidRDefault="00135552">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1.8</w:t>
            </w:r>
          </w:p>
        </w:tc>
        <w:tc>
          <w:tcPr>
            <w:tcW w:w="664" w:type="pct"/>
            <w:tcBorders>
              <w:top w:val="nil"/>
              <w:left w:val="nil"/>
              <w:bottom w:val="nil"/>
              <w:right w:val="nil"/>
            </w:tcBorders>
            <w:shd w:val="clear" w:color="000000" w:fill="F2DCDB"/>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1.8</w:t>
            </w:r>
          </w:p>
        </w:tc>
      </w:tr>
      <w:tr w:rsidR="00135552">
        <w:trPr>
          <w:trHeight w:val="300"/>
        </w:trPr>
        <w:tc>
          <w:tcPr>
            <w:tcW w:w="465" w:type="pct"/>
            <w:tcBorders>
              <w:top w:val="nil"/>
              <w:left w:val="nil"/>
              <w:bottom w:val="nil"/>
              <w:right w:val="nil"/>
            </w:tcBorders>
            <w:shd w:val="clear" w:color="auto" w:fill="auto"/>
            <w:noWrap/>
            <w:vAlign w:val="bottom"/>
            <w:hideMark/>
          </w:tcPr>
          <w:p w:rsidR="00135552" w:rsidRDefault="004C63B0">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135552" w:rsidRDefault="004C63B0">
            <w:pPr>
              <w:jc w:val="right"/>
              <w:rPr>
                <w:rFonts w:ascii="Verdana" w:hAnsi="Verdana"/>
                <w:noProof/>
                <w:color w:val="000000"/>
                <w:sz w:val="18"/>
                <w:szCs w:val="18"/>
              </w:rPr>
            </w:pPr>
            <w:r>
              <w:rPr>
                <w:rFonts w:ascii="Verdana" w:hAnsi="Verdana"/>
                <w:noProof/>
                <w:color w:val="000000"/>
                <w:sz w:val="18"/>
                <w:szCs w:val="18"/>
              </w:rPr>
              <w:t>3.0</w:t>
            </w:r>
          </w:p>
        </w:tc>
      </w:tr>
      <w:tr w:rsidR="00135552">
        <w:trPr>
          <w:trHeight w:val="300"/>
        </w:trPr>
        <w:tc>
          <w:tcPr>
            <w:tcW w:w="465"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Total</w:t>
            </w:r>
          </w:p>
        </w:tc>
        <w:tc>
          <w:tcPr>
            <w:tcW w:w="645" w:type="pct"/>
            <w:tcBorders>
              <w:top w:val="single" w:sz="4" w:space="0" w:color="auto"/>
              <w:left w:val="nil"/>
              <w:bottom w:val="single" w:sz="4" w:space="0" w:color="auto"/>
              <w:right w:val="nil"/>
            </w:tcBorders>
            <w:shd w:val="clear" w:color="auto" w:fill="auto"/>
            <w:noWrap/>
            <w:vAlign w:val="bottom"/>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w:t>
            </w:r>
          </w:p>
        </w:tc>
        <w:tc>
          <w:tcPr>
            <w:tcW w:w="646"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46.8</w:t>
            </w:r>
          </w:p>
        </w:tc>
        <w:tc>
          <w:tcPr>
            <w:tcW w:w="664" w:type="pct"/>
            <w:tcBorders>
              <w:top w:val="single" w:sz="4" w:space="0" w:color="auto"/>
              <w:left w:val="nil"/>
              <w:bottom w:val="single" w:sz="4" w:space="0" w:color="auto"/>
              <w:right w:val="nil"/>
            </w:tcBorders>
            <w:shd w:val="clear" w:color="000000" w:fill="FFFFFF"/>
            <w:noWrap/>
            <w:vAlign w:val="bottom"/>
            <w:hideMark/>
          </w:tcPr>
          <w:p w:rsidR="00135552" w:rsidRDefault="004C63B0">
            <w:pPr>
              <w:jc w:val="right"/>
              <w:rPr>
                <w:rFonts w:ascii="Verdana" w:hAnsi="Verdana"/>
                <w:b/>
                <w:bCs/>
                <w:noProof/>
                <w:color w:val="000000"/>
                <w:sz w:val="18"/>
                <w:szCs w:val="20"/>
              </w:rPr>
            </w:pPr>
            <w:r>
              <w:rPr>
                <w:rFonts w:ascii="Verdana" w:hAnsi="Verdana"/>
                <w:b/>
                <w:bCs/>
                <w:noProof/>
                <w:color w:val="000000"/>
                <w:sz w:val="18"/>
                <w:szCs w:val="20"/>
              </w:rPr>
              <w:t>47.0</w:t>
            </w:r>
          </w:p>
        </w:tc>
      </w:tr>
    </w:tbl>
    <w:p w:rsidR="00135552" w:rsidRDefault="004C63B0">
      <w:pPr>
        <w:pStyle w:val="DGTextstand-alone"/>
      </w:pPr>
      <w:r>
        <w:t xml:space="preserve">The Inter-governmental financial stability mechanisms European Financial Stability Facility (EFSF) and European </w:t>
      </w:r>
      <w:r>
        <w:t>Stability Mechanism (ESM) are outside the EU Treaty framework and thus not included in the consolidated annual accounts of the EU.</w:t>
      </w:r>
    </w:p>
    <w:p w:rsidR="00135552" w:rsidRDefault="004C63B0">
      <w:pPr>
        <w:pStyle w:val="HEADER2Part4"/>
      </w:pPr>
      <w:bookmarkStart w:id="201" w:name="_Toc491880240"/>
      <w:bookmarkStart w:id="202" w:name="_Toc11225937"/>
      <w:bookmarkStart w:id="203" w:name="_Toc43224184"/>
      <w:r>
        <w:t>BUDGETARY GUARANTEES</w:t>
      </w:r>
      <w:bookmarkEnd w:id="201"/>
      <w:bookmarkEnd w:id="202"/>
      <w:bookmarkEnd w:id="203"/>
    </w:p>
    <w:p w:rsidR="00135552" w:rsidRDefault="004C63B0">
      <w:pPr>
        <w:pStyle w:val="DGTextstand-alone"/>
      </w:pPr>
      <w:r>
        <w:t>The EU has given the EIB Group guarantees on loans granted outside of the EU and on debt and equity oper</w:t>
      </w:r>
      <w:r>
        <w:t xml:space="preserve">ations covered by the EFSI guarantee. At 31 December 2019, the EU discloses in the notes to its consolidated financial statements (see note </w:t>
      </w:r>
      <w:r>
        <w:rPr>
          <w:b/>
        </w:rPr>
        <w:t>4.1.1</w:t>
      </w:r>
      <w:r>
        <w:t>) contingent liabilities for both guarantees, while the amounts constituting present obligations are recognised</w:t>
      </w:r>
      <w:r>
        <w:t xml:space="preserve"> as provisions and financial guarantee liabilities in the financial statements (see respectively notes </w:t>
      </w:r>
      <w:r>
        <w:rPr>
          <w:b/>
        </w:rPr>
        <w:t xml:space="preserve">2.10 </w:t>
      </w:r>
      <w:r>
        <w:t>and</w:t>
      </w:r>
      <w:r>
        <w:rPr>
          <w:b/>
        </w:rPr>
        <w:t xml:space="preserve"> 2.11.3</w:t>
      </w:r>
      <w:r>
        <w:t xml:space="preserve"> of the consolidated financial statements). In order to mitigate the risk that guarantee calls by the EIB Group could have on the EU budge</w:t>
      </w:r>
      <w:r>
        <w:t>t, the EU has created dedicated guarantee funds, i.e. the Guarantee Fund for external actions and the EFSI Guarantee Fund.</w:t>
      </w:r>
    </w:p>
    <w:p w:rsidR="00135552" w:rsidRDefault="004C63B0">
      <w:pPr>
        <w:pStyle w:val="DGTextstand-alone"/>
      </w:pPr>
      <w:r>
        <w:t>The Guarantee Fund for external actions is provisioned by the EU budget so as to cover 9 % of the guaranteed loans outstanding at yea</w:t>
      </w:r>
      <w:r>
        <w:t>r</w:t>
      </w:r>
      <w:r>
        <w:noBreakHyphen/>
        <w:t>end for EIB external lending mandate activities to third countries. At 31 December 2019, the total asset value of EUR 2.6 billion covers an exposure of amounts disbursed of EUR 20.2 billion.</w:t>
      </w:r>
    </w:p>
    <w:p w:rsidR="00135552" w:rsidRDefault="004C63B0">
      <w:pPr>
        <w:pStyle w:val="DGTextstand-alone"/>
      </w:pPr>
      <w:r>
        <w:t xml:space="preserve">The EFSI Guarantee Fund started its activity in 2016. Pursuant </w:t>
      </w:r>
      <w:r>
        <w:t>to the amended EFSI Regulation (Regulation EU 2017/2396) the EFSI EU guarantee ceiling was increased to EUR 26 billion (from the initial EUR 16 billion) and the boundary for the guarantee fund decreased to 35 % (from the initial 50 %) of the total EU guara</w:t>
      </w:r>
      <w:r>
        <w:t>ntee obligation. Therefore, the EFSI Guarantee Fund is now expected to reach a total amount of EUR 9.1 billion. The total assets that make up the EFSI Guarantee Fund at 31 December 2019 is EUR 6.7 billion and that covers an exposure of disbursed amounts of</w:t>
      </w:r>
      <w:r>
        <w:t xml:space="preserve"> EUR 17.7 billion.</w:t>
      </w:r>
    </w:p>
    <w:p w:rsidR="00135552" w:rsidRDefault="004C63B0">
      <w:pPr>
        <w:pStyle w:val="DGTextstand-alone"/>
      </w:pPr>
      <w:r>
        <w:t>Pursuant to EFSD Regulation (Regulation EU 2017/1601), the EFSD Guarantee of up to EUR 1.5 billion (further increased by external contributions) is to be made available to support investments in partner countries in Africa and in the Eur</w:t>
      </w:r>
      <w:r>
        <w:t xml:space="preserve">opean Neighbourhood. The EU discloses the EFSD Guarantee in the notes to its consolidated financial statements (see note </w:t>
      </w:r>
      <w:r>
        <w:rPr>
          <w:b/>
        </w:rPr>
        <w:t>4.1.1</w:t>
      </w:r>
      <w:r>
        <w:t>) as a contingent liability. As at 31 December 2019, one EFSD guarantee agreement was effective, for a total cover limit of EUR 50</w:t>
      </w:r>
      <w:r>
        <w:t> million, but no underlying operations were signed by the implementing partner. The EFSD Guarantee Fund has been established in order to cover potential future guarantee calls. Total contributions received into the fund as at 31 December 2019 amount to EUR</w:t>
      </w:r>
      <w:r>
        <w:t> 0.6 billion.</w:t>
      </w:r>
    </w:p>
    <w:p w:rsidR="00135552" w:rsidRDefault="004C63B0">
      <w:pPr>
        <w:pStyle w:val="HEADER2Part4"/>
      </w:pPr>
      <w:bookmarkStart w:id="204" w:name="_Toc11225938"/>
      <w:bookmarkStart w:id="205" w:name="_Toc11939482"/>
      <w:bookmarkStart w:id="206" w:name="_Toc43224185"/>
      <w:r>
        <w:t>NEW ENTRANTS' RESERVE (NER) 300</w:t>
      </w:r>
      <w:bookmarkEnd w:id="204"/>
      <w:bookmarkEnd w:id="205"/>
      <w:bookmarkEnd w:id="206"/>
    </w:p>
    <w:p w:rsidR="00135552" w:rsidRDefault="004C63B0">
      <w:pPr>
        <w:pStyle w:val="DGTextstand-alone"/>
      </w:pPr>
      <w:r>
        <w:t>The NER 300 fund originated from the sale of the Emission Trading Scheme allowances based on Directive 2003/87/EC establishing a system for greenhouse gas emission allowance trading within the Union. The fund b</w:t>
      </w:r>
      <w:r>
        <w:t>elongs to the Member States who use the money to finance innovative low-carbon energy demonstration projects. The Commission manages the programme on behalf of the Member States, while the EIB is responsible for the asset management of the NER 300 Fund and</w:t>
      </w:r>
      <w:r>
        <w:t xml:space="preserve"> acts as a technical advisor, under the Cooperation Agreement with the Commission. Given the limited role of the Commission in the decision-making process in NER 300 programme and the fact that the funds arising from the sale of the allowances are not due </w:t>
      </w:r>
      <w:r>
        <w:t>to the EU Budget, the NER 300 is excluded from the EU scope of consolidation (i.e. neither the revenues from the allowances nor the expenses for the projects financed are included in the EU accounts).</w:t>
      </w:r>
    </w:p>
    <w:p w:rsidR="00135552" w:rsidRDefault="004C63B0">
      <w:pPr>
        <w:pStyle w:val="DGTextstand-alone"/>
      </w:pPr>
      <w:r>
        <w:t>In 2017, the Member States decided (Commission Decision</w:t>
      </w:r>
      <w:r>
        <w:t xml:space="preserve"> (EU) 2017/2172) that the NER 300 revenues, which were not fully used for low-carbon energy demonstration projects through grants, should be partially chanelled through financial instruments. In particular, NER 300 funds are used to provide guarantee to th</w:t>
      </w:r>
      <w:r>
        <w:t>e EIB in relation to their loans for energy demonstration projects, in addition to the EU budget guarantee under H2020 and CEF financial instruments. Although those NER 300 funds have been pooled by the EIB together with the EU budget funds for asset manag</w:t>
      </w:r>
      <w:r>
        <w:t xml:space="preserve">ement purposes, they continue to constitute an integral part of the NER 300 programme and the EU did not obtain control over them. Hence, the EU recognises only its share in those asset portfolios as available for sale financial assets (see note </w:t>
      </w:r>
      <w:r>
        <w:rPr>
          <w:b/>
        </w:rPr>
        <w:t>2.4.1</w:t>
      </w:r>
      <w:r>
        <w:t xml:space="preserve"> of t</w:t>
      </w:r>
      <w:r>
        <w:t>he consolidated financial statements).</w:t>
      </w:r>
    </w:p>
    <w:p w:rsidR="00135552" w:rsidRDefault="004C63B0">
      <w:pPr>
        <w:pStyle w:val="DGTextstand-alone"/>
      </w:pPr>
      <w:r>
        <w:t>The remaining NER 300 assets, not having been deployed for the low-carbon energy demonstration projects, shall - according to the Directive 2003/87/EC as amended in 2018 by the Directive (EU) 2018/410 - be used for in</w:t>
      </w:r>
      <w:r>
        <w:t>novation support in low-carbon technologies and processes, in addition to a pool of allowances that are to be made available for creation of an ‘Innovation Fund’. Following the Commission Delegated Regulation (EU) 2019/856, the Innovation Fund shall be man</w:t>
      </w:r>
      <w:r>
        <w:t>aged by the Commission and the contribution from NER 300 when transferred to the EU budget will constitute external assigned revenue. Given that the Innovation Fund has not started its activities, nor have the NER 300 unused funds been transferred to the C</w:t>
      </w:r>
      <w:r>
        <w:t>ommission in 2019, those funds have not been recognised as assets in the 2019 EU consolidated financial statements.</w:t>
      </w:r>
      <w:bookmarkEnd w:id="168"/>
    </w:p>
    <w:p w:rsidR="00135552" w:rsidRDefault="00135552">
      <w:pPr>
        <w:pStyle w:val="DGTextstand-alone"/>
      </w:pPr>
    </w:p>
    <w:p w:rsidR="00135552" w:rsidRDefault="00135552">
      <w:pPr>
        <w:pStyle w:val="DGTextstand-alone"/>
        <w:sectPr w:rsidR="00135552">
          <w:headerReference w:type="even" r:id="rId306"/>
          <w:headerReference w:type="default" r:id="rId307"/>
          <w:footerReference w:type="even" r:id="rId308"/>
          <w:footerReference w:type="default" r:id="rId309"/>
          <w:headerReference w:type="first" r:id="rId310"/>
          <w:footerReference w:type="first" r:id="rId311"/>
          <w:pgSz w:w="11907" w:h="16840"/>
          <w:pgMar w:top="1134" w:right="1134" w:bottom="1134" w:left="1134" w:header="709" w:footer="709" w:gutter="0"/>
          <w:cols w:space="708"/>
          <w:docGrid w:linePitch="360"/>
        </w:sectPr>
      </w:pPr>
    </w:p>
    <w:p w:rsidR="00135552" w:rsidRDefault="004C63B0">
      <w:pPr>
        <w:pStyle w:val="FinancialYear"/>
        <w:rPr>
          <w:noProof/>
        </w:rPr>
      </w:pPr>
      <w:bookmarkStart w:id="207" w:name="_DMBM_17214"/>
      <w:r>
        <w:rPr>
          <w:noProof/>
        </w:rPr>
        <w:t>EUROPEAN UNION</w:t>
      </w:r>
    </w:p>
    <w:p w:rsidR="00135552" w:rsidRDefault="004C63B0">
      <w:pPr>
        <w:pStyle w:val="FinancialYear"/>
        <w:rPr>
          <w:noProof/>
        </w:rPr>
      </w:pPr>
      <w:r>
        <w:rPr>
          <w:noProof/>
        </w:rPr>
        <w:t>FINANCIAL YEAR 2019</w:t>
      </w:r>
    </w:p>
    <w:p w:rsidR="00135552" w:rsidRDefault="00135552">
      <w:pPr>
        <w:pStyle w:val="FIRSTCHAPTERPAGE2"/>
      </w:pPr>
    </w:p>
    <w:p w:rsidR="00135552" w:rsidRDefault="00135552">
      <w:pPr>
        <w:pStyle w:val="FIRSTCHAPTERPAGE2"/>
      </w:pPr>
    </w:p>
    <w:p w:rsidR="00135552" w:rsidRDefault="00135552">
      <w:pPr>
        <w:pStyle w:val="FIRSTCHAPTERPAGE2"/>
      </w:pPr>
    </w:p>
    <w:p w:rsidR="00135552" w:rsidRDefault="00135552">
      <w:pPr>
        <w:pStyle w:val="FIRSTCHAPTERPAGE2"/>
      </w:pPr>
    </w:p>
    <w:p w:rsidR="00135552" w:rsidRDefault="004C63B0">
      <w:pPr>
        <w:pStyle w:val="FIRSTCHAPTERPAGE"/>
        <w:rPr>
          <w:noProof/>
        </w:rPr>
      </w:pPr>
      <w:bookmarkStart w:id="208" w:name="_Toc390968562"/>
      <w:bookmarkStart w:id="209" w:name="_Toc43224158"/>
      <w:r>
        <w:rPr>
          <w:noProof/>
        </w:rPr>
        <w:t>BUDGETARY IMPLEMENTATION REPORTS AND EXPLANATORY NOTES</w:t>
      </w:r>
      <w:bookmarkEnd w:id="208"/>
      <w:bookmarkEnd w:id="209"/>
    </w:p>
    <w:p w:rsidR="00135552" w:rsidRDefault="00135552">
      <w:pPr>
        <w:pStyle w:val="FIRSTCHAPTERPAGE2"/>
      </w:pPr>
    </w:p>
    <w:p w:rsidR="00135552" w:rsidRDefault="00135552">
      <w:pPr>
        <w:pStyle w:val="FIRSTCHAPTERPAGE2"/>
      </w:pPr>
    </w:p>
    <w:p w:rsidR="00135552" w:rsidRDefault="00135552">
      <w:pPr>
        <w:pStyle w:val="FIRSTCHAPTERPAGE2"/>
      </w:pPr>
    </w:p>
    <w:p w:rsidR="00135552" w:rsidRDefault="00135552">
      <w:pPr>
        <w:pStyle w:val="FIRSTCHAPTERPAGE2"/>
      </w:pPr>
    </w:p>
    <w:p w:rsidR="00135552" w:rsidRDefault="00135552">
      <w:pPr>
        <w:pStyle w:val="FIRSTCHAPTERPAGE2"/>
      </w:pPr>
    </w:p>
    <w:p w:rsidR="00135552" w:rsidRDefault="004C63B0">
      <w:pPr>
        <w:pStyle w:val="TOPHEADERNOTE"/>
        <w:rPr>
          <w:noProof/>
        </w:rPr>
        <w:sectPr w:rsidR="00135552">
          <w:headerReference w:type="even" r:id="rId312"/>
          <w:headerReference w:type="default" r:id="rId313"/>
          <w:footerReference w:type="even" r:id="rId314"/>
          <w:footerReference w:type="default" r:id="rId315"/>
          <w:headerReference w:type="first" r:id="rId316"/>
          <w:footerReference w:type="first" r:id="rId317"/>
          <w:pgSz w:w="11907" w:h="16840" w:code="9"/>
          <w:pgMar w:top="1134" w:right="1134" w:bottom="1134" w:left="1134" w:header="709" w:footer="709" w:gutter="0"/>
          <w:cols w:space="708"/>
          <w:docGrid w:linePitch="360"/>
        </w:sectPr>
      </w:pPr>
      <w:r>
        <w:rPr>
          <w:noProof/>
        </w:rPr>
        <w:t xml:space="preserve">It should be noted that due to the rounding of figures into millions of euros, some financial </w:t>
      </w:r>
      <w:r>
        <w:rPr>
          <w:noProof/>
        </w:rPr>
        <w:t>data in the tables below may appear not to add-up.</w:t>
      </w:r>
      <w:bookmarkEnd w:id="207"/>
    </w:p>
    <w:p w:rsidR="00135552" w:rsidRDefault="004C63B0">
      <w:pPr>
        <w:pStyle w:val="HEADERTABLE"/>
        <w:rPr>
          <w:noProof/>
        </w:rPr>
      </w:pPr>
      <w:bookmarkStart w:id="210" w:name="_DMBM_17203"/>
      <w:r>
        <w:rPr>
          <w:noProof/>
        </w:rPr>
        <w:t>CONTENTS</w:t>
      </w:r>
    </w:p>
    <w:p w:rsidR="00135552" w:rsidRDefault="00135552">
      <w:pPr>
        <w:pStyle w:val="HEADERTABLE"/>
        <w:rPr>
          <w:noProof/>
        </w:rPr>
      </w:pPr>
    </w:p>
    <w:bookmarkStart w:id="211" w:name="_GoBack"/>
    <w:bookmarkEnd w:id="211"/>
    <w:p w:rsidR="00135552" w:rsidRDefault="004C63B0">
      <w:pPr>
        <w:pStyle w:val="TOC1"/>
        <w:tabs>
          <w:tab w:val="right" w:leader="dot" w:pos="9629"/>
        </w:tabs>
        <w:rPr>
          <w:rFonts w:asciiTheme="minorHAnsi" w:eastAsiaTheme="minorEastAsia" w:hAnsiTheme="minorHAnsi" w:cstheme="minorBidi"/>
          <w:noProof/>
          <w:color w:val="auto"/>
          <w:szCs w:val="22"/>
          <w:lang w:val="de-DE" w:eastAsia="de-DE"/>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43223210" w:history="1">
        <w:r>
          <w:rPr>
            <w:rStyle w:val="Hyperlink"/>
            <w:rFonts w:eastAsia="Calibri"/>
            <w:noProof/>
          </w:rPr>
          <w:t>EU BUDGET RESULT</w:t>
        </w:r>
        <w:r>
          <w:rPr>
            <w:noProof/>
            <w:webHidden/>
          </w:rPr>
          <w:tab/>
        </w:r>
        <w:r>
          <w:rPr>
            <w:noProof/>
            <w:webHidden/>
          </w:rPr>
          <w:fldChar w:fldCharType="begin"/>
        </w:r>
        <w:r>
          <w:rPr>
            <w:noProof/>
            <w:webHidden/>
          </w:rPr>
          <w:instrText xml:space="preserve"> PAGEREF _Toc43223210 \h </w:instrText>
        </w:r>
        <w:r>
          <w:rPr>
            <w:noProof/>
            <w:webHidden/>
          </w:rPr>
        </w:r>
        <w:r>
          <w:rPr>
            <w:noProof/>
            <w:webHidden/>
          </w:rPr>
          <w:fldChar w:fldCharType="separate"/>
        </w:r>
        <w:r>
          <w:rPr>
            <w:noProof/>
            <w:webHidden/>
          </w:rPr>
          <w:t>112</w:t>
        </w:r>
        <w:r>
          <w:rPr>
            <w:noProof/>
            <w:webHidden/>
          </w:rPr>
          <w:fldChar w:fldCharType="end"/>
        </w:r>
      </w:hyperlink>
    </w:p>
    <w:p w:rsidR="00135552" w:rsidRDefault="004C63B0">
      <w:pPr>
        <w:pStyle w:val="TOC1"/>
        <w:tabs>
          <w:tab w:val="right" w:leader="dot" w:pos="9629"/>
        </w:tabs>
        <w:rPr>
          <w:rFonts w:asciiTheme="minorHAnsi" w:eastAsiaTheme="minorEastAsia" w:hAnsiTheme="minorHAnsi" w:cstheme="minorBidi"/>
          <w:noProof/>
          <w:color w:val="auto"/>
          <w:szCs w:val="22"/>
          <w:lang w:val="de-DE" w:eastAsia="de-DE"/>
        </w:rPr>
      </w:pPr>
      <w:hyperlink w:anchor="_Toc43223211" w:history="1">
        <w:r>
          <w:rPr>
            <w:rStyle w:val="Hyperlink"/>
            <w:rFonts w:eastAsia="Calibri"/>
            <w:noProof/>
          </w:rPr>
          <w:t>STATEMENTS OF COMPARISON OF BUDGET AND ACTUAL AMOUNTS</w:t>
        </w:r>
        <w:r>
          <w:rPr>
            <w:noProof/>
            <w:webHidden/>
          </w:rPr>
          <w:tab/>
        </w:r>
        <w:r>
          <w:rPr>
            <w:noProof/>
            <w:webHidden/>
          </w:rPr>
          <w:fldChar w:fldCharType="begin"/>
        </w:r>
        <w:r>
          <w:rPr>
            <w:noProof/>
            <w:webHidden/>
          </w:rPr>
          <w:instrText xml:space="preserve"> PAGEREF _Toc43223211 \h </w:instrText>
        </w:r>
        <w:r>
          <w:rPr>
            <w:noProof/>
            <w:webHidden/>
          </w:rPr>
        </w:r>
        <w:r>
          <w:rPr>
            <w:noProof/>
            <w:webHidden/>
          </w:rPr>
          <w:fldChar w:fldCharType="separate"/>
        </w:r>
        <w:r>
          <w:rPr>
            <w:noProof/>
            <w:webHidden/>
          </w:rPr>
          <w:t>113</w:t>
        </w:r>
        <w:r>
          <w:rPr>
            <w:noProof/>
            <w:webHidden/>
          </w:rPr>
          <w:fldChar w:fldCharType="end"/>
        </w:r>
      </w:hyperlink>
    </w:p>
    <w:p w:rsidR="00135552" w:rsidRDefault="004C63B0">
      <w:pPr>
        <w:pStyle w:val="TOC1"/>
        <w:tabs>
          <w:tab w:val="right" w:leader="dot" w:pos="9629"/>
        </w:tabs>
        <w:rPr>
          <w:rFonts w:asciiTheme="minorHAnsi" w:eastAsiaTheme="minorEastAsia" w:hAnsiTheme="minorHAnsi" w:cstheme="minorBidi"/>
          <w:noProof/>
          <w:color w:val="auto"/>
          <w:szCs w:val="22"/>
          <w:lang w:val="de-DE" w:eastAsia="de-DE"/>
        </w:rPr>
      </w:pPr>
      <w:hyperlink w:anchor="_Toc43223212" w:history="1">
        <w:r>
          <w:rPr>
            <w:rStyle w:val="Hyperlink"/>
            <w:noProof/>
          </w:rPr>
          <w:t>NOTES TO THE BUDGETARY IMPLEMENTATION REPORTS</w:t>
        </w:r>
        <w:r>
          <w:rPr>
            <w:noProof/>
            <w:webHidden/>
          </w:rPr>
          <w:tab/>
        </w:r>
        <w:r>
          <w:rPr>
            <w:noProof/>
            <w:webHidden/>
          </w:rPr>
          <w:fldChar w:fldCharType="begin"/>
        </w:r>
        <w:r>
          <w:rPr>
            <w:noProof/>
            <w:webHidden/>
          </w:rPr>
          <w:instrText xml:space="preserve"> PAGEREF _Toc43223212 \h </w:instrText>
        </w:r>
        <w:r>
          <w:rPr>
            <w:noProof/>
            <w:webHidden/>
          </w:rPr>
        </w:r>
        <w:r>
          <w:rPr>
            <w:noProof/>
            <w:webHidden/>
          </w:rPr>
          <w:fldChar w:fldCharType="separate"/>
        </w:r>
        <w:r>
          <w:rPr>
            <w:noProof/>
            <w:webHidden/>
          </w:rPr>
          <w:t>115</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13"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de-DE" w:eastAsia="de-DE"/>
          </w:rPr>
          <w:tab/>
        </w:r>
        <w:r>
          <w:rPr>
            <w:rStyle w:val="Hyperlink"/>
            <w:noProof/>
          </w:rPr>
          <w:t>THE EU BUDGET FRAMEWORK</w:t>
        </w:r>
        <w:r>
          <w:rPr>
            <w:noProof/>
            <w:webHidden/>
          </w:rPr>
          <w:tab/>
        </w:r>
        <w:r>
          <w:rPr>
            <w:noProof/>
            <w:webHidden/>
          </w:rPr>
          <w:fldChar w:fldCharType="begin"/>
        </w:r>
        <w:r>
          <w:rPr>
            <w:noProof/>
            <w:webHidden/>
          </w:rPr>
          <w:instrText xml:space="preserve"> PAGEREF _Toc43223213 \h </w:instrText>
        </w:r>
        <w:r>
          <w:rPr>
            <w:noProof/>
            <w:webHidden/>
          </w:rPr>
        </w:r>
        <w:r>
          <w:rPr>
            <w:noProof/>
            <w:webHidden/>
          </w:rPr>
          <w:fldChar w:fldCharType="separate"/>
        </w:r>
        <w:r>
          <w:rPr>
            <w:noProof/>
            <w:webHidden/>
          </w:rPr>
          <w:t>115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4" w:history="1">
        <w:r>
          <w:rPr>
            <w:rStyle w:val="Hyperlink"/>
            <w:noProof/>
          </w:rPr>
          <w:t>1.1.</w:t>
        </w:r>
        <w:r>
          <w:rPr>
            <w:rFonts w:asciiTheme="minorHAnsi" w:eastAsiaTheme="minorEastAsia" w:hAnsiTheme="minorHAnsi" w:cstheme="minorBidi"/>
            <w:noProof/>
            <w:color w:val="auto"/>
            <w:szCs w:val="22"/>
            <w:lang w:val="de-DE" w:eastAsia="de-DE"/>
          </w:rPr>
          <w:tab/>
        </w:r>
        <w:r>
          <w:rPr>
            <w:rStyle w:val="Hyperlink"/>
            <w:noProof/>
          </w:rPr>
          <w:t>MULTIANNUAL FINANCIAL FRAMEWORK 2014-2020</w:t>
        </w:r>
        <w:r>
          <w:rPr>
            <w:noProof/>
            <w:webHidden/>
          </w:rPr>
          <w:tab/>
        </w:r>
        <w:r>
          <w:rPr>
            <w:noProof/>
            <w:webHidden/>
          </w:rPr>
          <w:fldChar w:fldCharType="begin"/>
        </w:r>
        <w:r>
          <w:rPr>
            <w:noProof/>
            <w:webHidden/>
          </w:rPr>
          <w:instrText xml:space="preserve"> PAGEREF _Toc43223214</w:instrText>
        </w:r>
        <w:r>
          <w:rPr>
            <w:noProof/>
            <w:webHidden/>
          </w:rPr>
          <w:instrText xml:space="preserve"> \h </w:instrText>
        </w:r>
        <w:r>
          <w:rPr>
            <w:noProof/>
            <w:webHidden/>
          </w:rPr>
        </w:r>
        <w:r>
          <w:rPr>
            <w:noProof/>
            <w:webHidden/>
          </w:rPr>
          <w:fldChar w:fldCharType="separate"/>
        </w:r>
        <w:r>
          <w:rPr>
            <w:noProof/>
            <w:webHidden/>
          </w:rPr>
          <w:t>115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5" w:history="1">
        <w:r>
          <w:rPr>
            <w:rStyle w:val="Hyperlink"/>
            <w:noProof/>
          </w:rPr>
          <w:t>1.2.</w:t>
        </w:r>
        <w:r>
          <w:rPr>
            <w:rFonts w:asciiTheme="minorHAnsi" w:eastAsiaTheme="minorEastAsia" w:hAnsiTheme="minorHAnsi" w:cstheme="minorBidi"/>
            <w:noProof/>
            <w:color w:val="auto"/>
            <w:szCs w:val="22"/>
            <w:lang w:val="de-DE" w:eastAsia="de-DE"/>
          </w:rPr>
          <w:tab/>
        </w:r>
        <w:r>
          <w:rPr>
            <w:rStyle w:val="Hyperlink"/>
            <w:noProof/>
          </w:rPr>
          <w:t>MFF DETAILED HEADINGS (PROGRAMMES)</w:t>
        </w:r>
        <w:r>
          <w:rPr>
            <w:noProof/>
            <w:webHidden/>
          </w:rPr>
          <w:tab/>
        </w:r>
        <w:r>
          <w:rPr>
            <w:noProof/>
            <w:webHidden/>
          </w:rPr>
          <w:fldChar w:fldCharType="begin"/>
        </w:r>
        <w:r>
          <w:rPr>
            <w:noProof/>
            <w:webHidden/>
          </w:rPr>
          <w:instrText xml:space="preserve"> PAGEREF _Toc43223215 \h </w:instrText>
        </w:r>
        <w:r>
          <w:rPr>
            <w:noProof/>
            <w:webHidden/>
          </w:rPr>
        </w:r>
        <w:r>
          <w:rPr>
            <w:noProof/>
            <w:webHidden/>
          </w:rPr>
          <w:fldChar w:fldCharType="separate"/>
        </w:r>
        <w:r>
          <w:rPr>
            <w:noProof/>
            <w:webHidden/>
          </w:rPr>
          <w:t>116</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6" w:history="1">
        <w:r>
          <w:rPr>
            <w:rStyle w:val="Hyperlink"/>
            <w:noProof/>
          </w:rPr>
          <w:t>1.3.</w:t>
        </w:r>
        <w:r>
          <w:rPr>
            <w:rFonts w:asciiTheme="minorHAnsi" w:eastAsiaTheme="minorEastAsia" w:hAnsiTheme="minorHAnsi" w:cstheme="minorBidi"/>
            <w:noProof/>
            <w:color w:val="auto"/>
            <w:szCs w:val="22"/>
            <w:lang w:val="de-DE" w:eastAsia="de-DE"/>
          </w:rPr>
          <w:tab/>
        </w:r>
        <w:r>
          <w:rPr>
            <w:rStyle w:val="Hyperlink"/>
            <w:noProof/>
          </w:rPr>
          <w:t>ANNUAL BUDGET</w:t>
        </w:r>
        <w:r>
          <w:rPr>
            <w:noProof/>
            <w:webHidden/>
          </w:rPr>
          <w:tab/>
        </w:r>
        <w:r>
          <w:rPr>
            <w:noProof/>
            <w:webHidden/>
          </w:rPr>
          <w:fldChar w:fldCharType="begin"/>
        </w:r>
        <w:r>
          <w:rPr>
            <w:noProof/>
            <w:webHidden/>
          </w:rPr>
          <w:instrText xml:space="preserve"> PAGEREF _Toc43223216 \h </w:instrText>
        </w:r>
        <w:r>
          <w:rPr>
            <w:noProof/>
            <w:webHidden/>
          </w:rPr>
        </w:r>
        <w:r>
          <w:rPr>
            <w:noProof/>
            <w:webHidden/>
          </w:rPr>
          <w:fldChar w:fldCharType="separate"/>
        </w:r>
        <w:r>
          <w:rPr>
            <w:noProof/>
            <w:webHidden/>
          </w:rPr>
          <w:t>117</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7" w:history="1">
        <w:r>
          <w:rPr>
            <w:rStyle w:val="Hyperlink"/>
            <w:noProof/>
          </w:rPr>
          <w:t>1.4.</w:t>
        </w:r>
        <w:r>
          <w:rPr>
            <w:rFonts w:asciiTheme="minorHAnsi" w:eastAsiaTheme="minorEastAsia" w:hAnsiTheme="minorHAnsi" w:cstheme="minorBidi"/>
            <w:noProof/>
            <w:color w:val="auto"/>
            <w:szCs w:val="22"/>
            <w:lang w:val="de-DE" w:eastAsia="de-DE"/>
          </w:rPr>
          <w:tab/>
        </w:r>
        <w:r>
          <w:rPr>
            <w:rStyle w:val="Hyperlink"/>
            <w:noProof/>
          </w:rPr>
          <w:t>REVENUE</w:t>
        </w:r>
        <w:r>
          <w:rPr>
            <w:noProof/>
            <w:webHidden/>
          </w:rPr>
          <w:tab/>
        </w:r>
        <w:r>
          <w:rPr>
            <w:noProof/>
            <w:webHidden/>
          </w:rPr>
          <w:fldChar w:fldCharType="begin"/>
        </w:r>
        <w:r>
          <w:rPr>
            <w:noProof/>
            <w:webHidden/>
          </w:rPr>
          <w:instrText xml:space="preserve"> </w:instrText>
        </w:r>
        <w:r>
          <w:rPr>
            <w:noProof/>
            <w:webHidden/>
          </w:rPr>
          <w:instrText xml:space="preserve">PAGEREF _Toc43223217 \h </w:instrText>
        </w:r>
        <w:r>
          <w:rPr>
            <w:noProof/>
            <w:webHidden/>
          </w:rPr>
        </w:r>
        <w:r>
          <w:rPr>
            <w:noProof/>
            <w:webHidden/>
          </w:rPr>
          <w:fldChar w:fldCharType="separate"/>
        </w:r>
        <w:r>
          <w:rPr>
            <w:noProof/>
            <w:webHidden/>
          </w:rPr>
          <w:t>118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8" w:history="1">
        <w:r>
          <w:rPr>
            <w:rStyle w:val="Hyperlink"/>
            <w:noProof/>
          </w:rPr>
          <w:t>1.5.</w:t>
        </w:r>
        <w:r>
          <w:rPr>
            <w:rFonts w:asciiTheme="minorHAnsi" w:eastAsiaTheme="minorEastAsia" w:hAnsiTheme="minorHAnsi" w:cstheme="minorBidi"/>
            <w:noProof/>
            <w:color w:val="auto"/>
            <w:szCs w:val="22"/>
            <w:lang w:val="de-DE" w:eastAsia="de-DE"/>
          </w:rPr>
          <w:tab/>
        </w:r>
        <w:r>
          <w:rPr>
            <w:rStyle w:val="Hyperlink"/>
            <w:noProof/>
          </w:rPr>
          <w:t>CALCULATION OF THE BUDGET RESULT</w:t>
        </w:r>
        <w:r>
          <w:rPr>
            <w:noProof/>
            <w:webHidden/>
          </w:rPr>
          <w:tab/>
        </w:r>
        <w:r>
          <w:rPr>
            <w:noProof/>
            <w:webHidden/>
          </w:rPr>
          <w:fldChar w:fldCharType="begin"/>
        </w:r>
        <w:r>
          <w:rPr>
            <w:noProof/>
            <w:webHidden/>
          </w:rPr>
          <w:instrText xml:space="preserve"> PAGEREF _Toc43223218 \h </w:instrText>
        </w:r>
        <w:r>
          <w:rPr>
            <w:noProof/>
            <w:webHidden/>
          </w:rPr>
        </w:r>
        <w:r>
          <w:rPr>
            <w:noProof/>
            <w:webHidden/>
          </w:rPr>
          <w:fldChar w:fldCharType="separate"/>
        </w:r>
        <w:r>
          <w:rPr>
            <w:noProof/>
            <w:webHidden/>
          </w:rPr>
          <w:t>119</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19" w:history="1">
        <w:r>
          <w:rPr>
            <w:rStyle w:val="Hyperlink"/>
            <w:noProof/>
          </w:rPr>
          <w:t>1.6.</w:t>
        </w:r>
        <w:r>
          <w:rPr>
            <w:rFonts w:asciiTheme="minorHAnsi" w:eastAsiaTheme="minorEastAsia" w:hAnsiTheme="minorHAnsi" w:cstheme="minorBidi"/>
            <w:noProof/>
            <w:color w:val="auto"/>
            <w:szCs w:val="22"/>
            <w:lang w:val="de-DE" w:eastAsia="de-DE"/>
          </w:rPr>
          <w:tab/>
        </w:r>
        <w:r>
          <w:rPr>
            <w:rStyle w:val="Hyperlink"/>
            <w:noProof/>
          </w:rPr>
          <w:t>RECONCILIATION OF ECONOMIC RESULT WITH BUDGET RESULT</w:t>
        </w:r>
        <w:r>
          <w:rPr>
            <w:noProof/>
            <w:webHidden/>
          </w:rPr>
          <w:tab/>
        </w:r>
        <w:r>
          <w:rPr>
            <w:noProof/>
            <w:webHidden/>
          </w:rPr>
          <w:fldChar w:fldCharType="begin"/>
        </w:r>
        <w:r>
          <w:rPr>
            <w:noProof/>
            <w:webHidden/>
          </w:rPr>
          <w:instrText xml:space="preserve"> PAGEREF _Toc43223219 \h </w:instrText>
        </w:r>
        <w:r>
          <w:rPr>
            <w:noProof/>
            <w:webHidden/>
          </w:rPr>
        </w:r>
        <w:r>
          <w:rPr>
            <w:noProof/>
            <w:webHidden/>
          </w:rPr>
          <w:fldChar w:fldCharType="separate"/>
        </w:r>
        <w:r>
          <w:rPr>
            <w:noProof/>
            <w:webHidden/>
          </w:rPr>
          <w:t>120</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20"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de-DE" w:eastAsia="de-DE"/>
          </w:rPr>
          <w:tab/>
        </w:r>
        <w:r>
          <w:rPr>
            <w:rStyle w:val="Hyperlink"/>
            <w:noProof/>
          </w:rPr>
          <w:t>IMPLEMENTATION OF THE 2019 EU BUDGET – COMMENTARY</w:t>
        </w:r>
        <w:r>
          <w:rPr>
            <w:noProof/>
            <w:webHidden/>
          </w:rPr>
          <w:tab/>
        </w:r>
        <w:r>
          <w:rPr>
            <w:noProof/>
            <w:webHidden/>
          </w:rPr>
          <w:fldChar w:fldCharType="begin"/>
        </w:r>
        <w:r>
          <w:rPr>
            <w:noProof/>
            <w:webHidden/>
          </w:rPr>
          <w:instrText xml:space="preserve"> PAGEREF _Toc</w:instrText>
        </w:r>
        <w:r>
          <w:rPr>
            <w:noProof/>
            <w:webHidden/>
          </w:rPr>
          <w:instrText xml:space="preserve">43223220 \h </w:instrText>
        </w:r>
        <w:r>
          <w:rPr>
            <w:noProof/>
            <w:webHidden/>
          </w:rPr>
        </w:r>
        <w:r>
          <w:rPr>
            <w:noProof/>
            <w:webHidden/>
          </w:rPr>
          <w:fldChar w:fldCharType="separate"/>
        </w:r>
        <w:r>
          <w:rPr>
            <w:noProof/>
            <w:webHidden/>
          </w:rPr>
          <w:t>122</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1" w:history="1">
        <w:r>
          <w:rPr>
            <w:rStyle w:val="Hyperlink"/>
            <w:noProof/>
          </w:rPr>
          <w:t>2.1.</w:t>
        </w:r>
        <w:r>
          <w:rPr>
            <w:rFonts w:asciiTheme="minorHAnsi" w:eastAsiaTheme="minorEastAsia" w:hAnsiTheme="minorHAnsi" w:cstheme="minorBidi"/>
            <w:noProof/>
            <w:color w:val="auto"/>
            <w:szCs w:val="22"/>
            <w:lang w:val="de-DE" w:eastAsia="de-DE"/>
          </w:rPr>
          <w:tab/>
        </w:r>
        <w:r>
          <w:rPr>
            <w:rStyle w:val="Hyperlink"/>
            <w:noProof/>
          </w:rPr>
          <w:t>REVENUE</w:t>
        </w:r>
        <w:r>
          <w:rPr>
            <w:noProof/>
            <w:webHidden/>
          </w:rPr>
          <w:tab/>
        </w:r>
        <w:r>
          <w:rPr>
            <w:noProof/>
            <w:webHidden/>
          </w:rPr>
          <w:fldChar w:fldCharType="begin"/>
        </w:r>
        <w:r>
          <w:rPr>
            <w:noProof/>
            <w:webHidden/>
          </w:rPr>
          <w:instrText xml:space="preserve"> PAGEREF _Toc43223221 \h </w:instrText>
        </w:r>
        <w:r>
          <w:rPr>
            <w:noProof/>
            <w:webHidden/>
          </w:rPr>
        </w:r>
        <w:r>
          <w:rPr>
            <w:noProof/>
            <w:webHidden/>
          </w:rPr>
          <w:fldChar w:fldCharType="separate"/>
        </w:r>
        <w:r>
          <w:rPr>
            <w:noProof/>
            <w:webHidden/>
          </w:rPr>
          <w:t>122</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2" w:history="1">
        <w:r>
          <w:rPr>
            <w:rStyle w:val="Hyperlink"/>
            <w:noProof/>
          </w:rPr>
          <w:t>2.</w:t>
        </w:r>
        <w:r>
          <w:rPr>
            <w:rStyle w:val="Hyperlink"/>
            <w:noProof/>
          </w:rPr>
          <w:t>2.</w:t>
        </w:r>
        <w:r>
          <w:rPr>
            <w:rFonts w:asciiTheme="minorHAnsi" w:eastAsiaTheme="minorEastAsia" w:hAnsiTheme="minorHAnsi" w:cstheme="minorBidi"/>
            <w:noProof/>
            <w:color w:val="auto"/>
            <w:szCs w:val="22"/>
            <w:lang w:val="de-DE" w:eastAsia="de-DE"/>
          </w:rPr>
          <w:tab/>
        </w:r>
        <w:r>
          <w:rPr>
            <w:rStyle w:val="Hyperlink"/>
            <w:noProof/>
          </w:rPr>
          <w:t>EXPENDITURE</w:t>
        </w:r>
        <w:r>
          <w:rPr>
            <w:noProof/>
            <w:webHidden/>
          </w:rPr>
          <w:tab/>
        </w:r>
        <w:r>
          <w:rPr>
            <w:noProof/>
            <w:webHidden/>
          </w:rPr>
          <w:fldChar w:fldCharType="begin"/>
        </w:r>
        <w:r>
          <w:rPr>
            <w:noProof/>
            <w:webHidden/>
          </w:rPr>
          <w:instrText xml:space="preserve"> PAGEREF _Toc43223222 \h </w:instrText>
        </w:r>
        <w:r>
          <w:rPr>
            <w:noProof/>
            <w:webHidden/>
          </w:rPr>
        </w:r>
        <w:r>
          <w:rPr>
            <w:noProof/>
            <w:webHidden/>
          </w:rPr>
          <w:fldChar w:fldCharType="separate"/>
        </w:r>
        <w:r>
          <w:rPr>
            <w:noProof/>
            <w:webHidden/>
          </w:rPr>
          <w:t>122</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23"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de-DE" w:eastAsia="de-DE"/>
          </w:rPr>
          <w:tab/>
        </w:r>
        <w:r>
          <w:rPr>
            <w:rStyle w:val="Hyperlink"/>
            <w:noProof/>
          </w:rPr>
          <w:t>IMPLEMENTATION OF</w:t>
        </w:r>
        <w:r>
          <w:rPr>
            <w:rStyle w:val="Hyperlink"/>
            <w:noProof/>
          </w:rPr>
          <w:t xml:space="preserve"> EU BUDGET REVENUE</w:t>
        </w:r>
        <w:r>
          <w:rPr>
            <w:noProof/>
            <w:webHidden/>
          </w:rPr>
          <w:tab/>
        </w:r>
        <w:r>
          <w:rPr>
            <w:noProof/>
            <w:webHidden/>
          </w:rPr>
          <w:fldChar w:fldCharType="begin"/>
        </w:r>
        <w:r>
          <w:rPr>
            <w:noProof/>
            <w:webHidden/>
          </w:rPr>
          <w:instrText xml:space="preserve"> PAGEREF _Toc43223223 \h </w:instrText>
        </w:r>
        <w:r>
          <w:rPr>
            <w:noProof/>
            <w:webHidden/>
          </w:rPr>
        </w:r>
        <w:r>
          <w:rPr>
            <w:noProof/>
            <w:webHidden/>
          </w:rPr>
          <w:fldChar w:fldCharType="separate"/>
        </w:r>
        <w:r>
          <w:rPr>
            <w:noProof/>
            <w:webHidden/>
          </w:rPr>
          <w:t>124</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4" w:history="1">
        <w:r>
          <w:rPr>
            <w:rStyle w:val="Hyperlink"/>
            <w:noProof/>
          </w:rPr>
          <w:t>3.1.</w:t>
        </w:r>
        <w:r>
          <w:rPr>
            <w:rFonts w:asciiTheme="minorHAnsi" w:eastAsiaTheme="minorEastAsia" w:hAnsiTheme="minorHAnsi" w:cstheme="minorBidi"/>
            <w:noProof/>
            <w:color w:val="auto"/>
            <w:szCs w:val="22"/>
            <w:lang w:val="de-DE" w:eastAsia="de-DE"/>
          </w:rPr>
          <w:tab/>
        </w:r>
        <w:r>
          <w:rPr>
            <w:rStyle w:val="Hyperlink"/>
            <w:noProof/>
          </w:rPr>
          <w:t>SUMMARY OF THE IMPLEMENTATION OF EU BUDGET REVENUE</w:t>
        </w:r>
        <w:r>
          <w:rPr>
            <w:noProof/>
            <w:webHidden/>
          </w:rPr>
          <w:tab/>
        </w:r>
        <w:r>
          <w:rPr>
            <w:noProof/>
            <w:webHidden/>
          </w:rPr>
          <w:fldChar w:fldCharType="begin"/>
        </w:r>
        <w:r>
          <w:rPr>
            <w:noProof/>
            <w:webHidden/>
          </w:rPr>
          <w:instrText xml:space="preserve"> PAGEREF _Toc43223224 \h </w:instrText>
        </w:r>
        <w:r>
          <w:rPr>
            <w:noProof/>
            <w:webHidden/>
          </w:rPr>
        </w:r>
        <w:r>
          <w:rPr>
            <w:noProof/>
            <w:webHidden/>
          </w:rPr>
          <w:fldChar w:fldCharType="separate"/>
        </w:r>
        <w:r>
          <w:rPr>
            <w:noProof/>
            <w:webHidden/>
          </w:rPr>
          <w:t>124</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25"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de-DE" w:eastAsia="de-DE"/>
          </w:rPr>
          <w:tab/>
        </w:r>
        <w:r>
          <w:rPr>
            <w:rStyle w:val="Hyperlink"/>
            <w:noProof/>
          </w:rPr>
          <w:t>IMPLEMENTATION OF EU BUDGET EXPENDITURE</w:t>
        </w:r>
        <w:r>
          <w:rPr>
            <w:noProof/>
            <w:webHidden/>
          </w:rPr>
          <w:tab/>
        </w:r>
        <w:r>
          <w:rPr>
            <w:noProof/>
            <w:webHidden/>
          </w:rPr>
          <w:fldChar w:fldCharType="begin"/>
        </w:r>
        <w:r>
          <w:rPr>
            <w:noProof/>
            <w:webHidden/>
          </w:rPr>
          <w:instrText xml:space="preserve"> PAGEREF _Toc43223225 \h </w:instrText>
        </w:r>
        <w:r>
          <w:rPr>
            <w:noProof/>
            <w:webHidden/>
          </w:rPr>
        </w:r>
        <w:r>
          <w:rPr>
            <w:noProof/>
            <w:webHidden/>
          </w:rPr>
          <w:fldChar w:fldCharType="separate"/>
        </w:r>
        <w:r>
          <w:rPr>
            <w:noProof/>
            <w:webHidden/>
          </w:rPr>
          <w:t>125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6" w:history="1">
        <w:r>
          <w:rPr>
            <w:rStyle w:val="Hyperlink"/>
            <w:noProof/>
          </w:rPr>
          <w:t>4.1.</w:t>
        </w:r>
        <w:r>
          <w:rPr>
            <w:rFonts w:asciiTheme="minorHAnsi" w:eastAsiaTheme="minorEastAsia" w:hAnsiTheme="minorHAnsi" w:cstheme="minorBidi"/>
            <w:noProof/>
            <w:color w:val="auto"/>
            <w:szCs w:val="22"/>
            <w:lang w:val="de-DE" w:eastAsia="de-DE"/>
          </w:rPr>
          <w:tab/>
        </w:r>
        <w:r>
          <w:rPr>
            <w:rStyle w:val="Hyperlink"/>
            <w:noProof/>
          </w:rPr>
          <w:t xml:space="preserve">MFF: BREAKDOWN &amp; CHANGES IN COMMITMENT &amp; PAYMENT </w:t>
        </w:r>
        <w:r>
          <w:rPr>
            <w:rStyle w:val="Hyperlink"/>
            <w:noProof/>
          </w:rPr>
          <w:tab/>
          <w:t>APPROPRIATIONS</w:t>
        </w:r>
        <w:r>
          <w:rPr>
            <w:noProof/>
            <w:webHidden/>
          </w:rPr>
          <w:tab/>
        </w:r>
        <w:r>
          <w:rPr>
            <w:noProof/>
            <w:webHidden/>
          </w:rPr>
          <w:fldChar w:fldCharType="begin"/>
        </w:r>
        <w:r>
          <w:rPr>
            <w:noProof/>
            <w:webHidden/>
          </w:rPr>
          <w:instrText xml:space="preserve"> PAGEREF _Toc43223226 \h </w:instrText>
        </w:r>
        <w:r>
          <w:rPr>
            <w:noProof/>
            <w:webHidden/>
          </w:rPr>
        </w:r>
        <w:r>
          <w:rPr>
            <w:noProof/>
            <w:webHidden/>
          </w:rPr>
          <w:fldChar w:fldCharType="separate"/>
        </w:r>
        <w:r>
          <w:rPr>
            <w:noProof/>
            <w:webHidden/>
          </w:rPr>
          <w:t>125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7" w:history="1">
        <w:r>
          <w:rPr>
            <w:rStyle w:val="Hyperlink"/>
            <w:noProof/>
          </w:rPr>
          <w:t>4.2.</w:t>
        </w:r>
        <w:r>
          <w:rPr>
            <w:rFonts w:asciiTheme="minorHAnsi" w:eastAsiaTheme="minorEastAsia" w:hAnsiTheme="minorHAnsi" w:cstheme="minorBidi"/>
            <w:noProof/>
            <w:color w:val="auto"/>
            <w:szCs w:val="22"/>
            <w:lang w:val="de-DE" w:eastAsia="de-DE"/>
          </w:rPr>
          <w:tab/>
        </w:r>
        <w:r>
          <w:rPr>
            <w:rStyle w:val="Hyperlink"/>
            <w:noProof/>
          </w:rPr>
          <w:t>MFF: IMPLEMENTATION OF COMMITMENT APPROPRIATIONS</w:t>
        </w:r>
        <w:r>
          <w:rPr>
            <w:noProof/>
            <w:webHidden/>
          </w:rPr>
          <w:tab/>
        </w:r>
        <w:r>
          <w:rPr>
            <w:noProof/>
            <w:webHidden/>
          </w:rPr>
          <w:fldChar w:fldCharType="begin"/>
        </w:r>
        <w:r>
          <w:rPr>
            <w:noProof/>
            <w:webHidden/>
          </w:rPr>
          <w:instrText xml:space="preserve"> PAGEREF _Toc43223227 \h </w:instrText>
        </w:r>
        <w:r>
          <w:rPr>
            <w:noProof/>
            <w:webHidden/>
          </w:rPr>
        </w:r>
        <w:r>
          <w:rPr>
            <w:noProof/>
            <w:webHidden/>
          </w:rPr>
          <w:fldChar w:fldCharType="separate"/>
        </w:r>
        <w:r>
          <w:rPr>
            <w:noProof/>
            <w:webHidden/>
          </w:rPr>
          <w:t>126</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8" w:history="1">
        <w:r>
          <w:rPr>
            <w:rStyle w:val="Hyperlink"/>
            <w:noProof/>
          </w:rPr>
          <w:t>4.3.</w:t>
        </w:r>
        <w:r>
          <w:rPr>
            <w:rFonts w:asciiTheme="minorHAnsi" w:eastAsiaTheme="minorEastAsia" w:hAnsiTheme="minorHAnsi" w:cstheme="minorBidi"/>
            <w:noProof/>
            <w:color w:val="auto"/>
            <w:szCs w:val="22"/>
            <w:lang w:val="de-DE" w:eastAsia="de-DE"/>
          </w:rPr>
          <w:tab/>
        </w:r>
        <w:r>
          <w:rPr>
            <w:rStyle w:val="Hyperlink"/>
            <w:noProof/>
          </w:rPr>
          <w:t>MFF: IMPLEMENTATION OF PAYMENT APPROPRIATIONS</w:t>
        </w:r>
        <w:r>
          <w:rPr>
            <w:noProof/>
            <w:webHidden/>
          </w:rPr>
          <w:tab/>
        </w:r>
        <w:r>
          <w:rPr>
            <w:noProof/>
            <w:webHidden/>
          </w:rPr>
          <w:fldChar w:fldCharType="begin"/>
        </w:r>
        <w:r>
          <w:rPr>
            <w:noProof/>
            <w:webHidden/>
          </w:rPr>
          <w:instrText xml:space="preserve"> PAGEREF _Toc43223228 \h </w:instrText>
        </w:r>
        <w:r>
          <w:rPr>
            <w:noProof/>
            <w:webHidden/>
          </w:rPr>
        </w:r>
        <w:r>
          <w:rPr>
            <w:noProof/>
            <w:webHidden/>
          </w:rPr>
          <w:fldChar w:fldCharType="separate"/>
        </w:r>
        <w:r>
          <w:rPr>
            <w:noProof/>
            <w:webHidden/>
          </w:rPr>
          <w:t>127</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29" w:history="1">
        <w:r>
          <w:rPr>
            <w:rStyle w:val="Hyperlink"/>
            <w:noProof/>
          </w:rPr>
          <w:t>4.4.</w:t>
        </w:r>
        <w:r>
          <w:rPr>
            <w:rFonts w:asciiTheme="minorHAnsi" w:eastAsiaTheme="minorEastAsia" w:hAnsiTheme="minorHAnsi" w:cstheme="minorBidi"/>
            <w:noProof/>
            <w:color w:val="auto"/>
            <w:szCs w:val="22"/>
            <w:lang w:val="de-DE" w:eastAsia="de-DE"/>
          </w:rPr>
          <w:tab/>
        </w:r>
        <w:r>
          <w:rPr>
            <w:rStyle w:val="Hyperlink"/>
            <w:noProof/>
          </w:rPr>
          <w:t>MFF: MOVEMENTS IN OUTSTANDING COMMITMENTS (RAL)</w:t>
        </w:r>
        <w:r>
          <w:rPr>
            <w:noProof/>
            <w:webHidden/>
          </w:rPr>
          <w:tab/>
        </w:r>
        <w:r>
          <w:rPr>
            <w:noProof/>
            <w:webHidden/>
          </w:rPr>
          <w:fldChar w:fldCharType="begin"/>
        </w:r>
        <w:r>
          <w:rPr>
            <w:noProof/>
            <w:webHidden/>
          </w:rPr>
          <w:instrText xml:space="preserve"> PAGEREF _Toc43223229 \h </w:instrText>
        </w:r>
        <w:r>
          <w:rPr>
            <w:noProof/>
            <w:webHidden/>
          </w:rPr>
        </w:r>
        <w:r>
          <w:rPr>
            <w:noProof/>
            <w:webHidden/>
          </w:rPr>
          <w:fldChar w:fldCharType="separate"/>
        </w:r>
        <w:r>
          <w:rPr>
            <w:noProof/>
            <w:webHidden/>
          </w:rPr>
          <w:t>128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0" w:history="1">
        <w:r>
          <w:rPr>
            <w:rStyle w:val="Hyperlink"/>
            <w:noProof/>
          </w:rPr>
          <w:t>4.5.</w:t>
        </w:r>
        <w:r>
          <w:rPr>
            <w:rFonts w:asciiTheme="minorHAnsi" w:eastAsiaTheme="minorEastAsia" w:hAnsiTheme="minorHAnsi" w:cstheme="minorBidi"/>
            <w:noProof/>
            <w:color w:val="auto"/>
            <w:szCs w:val="22"/>
            <w:lang w:val="de-DE" w:eastAsia="de-DE"/>
          </w:rPr>
          <w:tab/>
        </w:r>
        <w:r>
          <w:rPr>
            <w:rStyle w:val="Hyperlink"/>
            <w:noProof/>
          </w:rPr>
          <w:t>MFF: OUTSTANDING COMMITMENTS BY YEAR OF ORIGIN</w:t>
        </w:r>
        <w:r>
          <w:rPr>
            <w:noProof/>
            <w:webHidden/>
          </w:rPr>
          <w:tab/>
        </w:r>
        <w:r>
          <w:rPr>
            <w:noProof/>
            <w:webHidden/>
          </w:rPr>
          <w:fldChar w:fldCharType="begin"/>
        </w:r>
        <w:r>
          <w:rPr>
            <w:noProof/>
            <w:webHidden/>
          </w:rPr>
          <w:instrText xml:space="preserve"> PAGEREF _Toc43223230 \h </w:instrText>
        </w:r>
        <w:r>
          <w:rPr>
            <w:noProof/>
            <w:webHidden/>
          </w:rPr>
        </w:r>
        <w:r>
          <w:rPr>
            <w:noProof/>
            <w:webHidden/>
          </w:rPr>
          <w:fldChar w:fldCharType="separate"/>
        </w:r>
        <w:r>
          <w:rPr>
            <w:noProof/>
            <w:webHidden/>
          </w:rPr>
          <w:t>129</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1" w:history="1">
        <w:r>
          <w:rPr>
            <w:rStyle w:val="Hyperlink"/>
            <w:noProof/>
          </w:rPr>
          <w:t>4.6.</w:t>
        </w:r>
        <w:r>
          <w:rPr>
            <w:rFonts w:asciiTheme="minorHAnsi" w:eastAsiaTheme="minorEastAsia" w:hAnsiTheme="minorHAnsi" w:cstheme="minorBidi"/>
            <w:noProof/>
            <w:color w:val="auto"/>
            <w:szCs w:val="22"/>
            <w:lang w:val="de-DE" w:eastAsia="de-DE"/>
          </w:rPr>
          <w:tab/>
        </w:r>
        <w:r>
          <w:rPr>
            <w:rStyle w:val="Hyperlink"/>
            <w:noProof/>
          </w:rPr>
          <w:t>DETAILED MFF: BREAK</w:t>
        </w:r>
        <w:r>
          <w:rPr>
            <w:rStyle w:val="Hyperlink"/>
            <w:noProof/>
          </w:rPr>
          <w:t xml:space="preserve">DOWN &amp; CHANGES IN COMMITMENT &amp; PAYMENT </w:t>
        </w:r>
        <w:r>
          <w:rPr>
            <w:rStyle w:val="Hyperlink"/>
            <w:noProof/>
          </w:rPr>
          <w:tab/>
          <w:t>APPROPRIATIONS</w:t>
        </w:r>
        <w:r>
          <w:rPr>
            <w:noProof/>
            <w:webHidden/>
          </w:rPr>
          <w:tab/>
        </w:r>
        <w:r>
          <w:rPr>
            <w:noProof/>
            <w:webHidden/>
          </w:rPr>
          <w:fldChar w:fldCharType="begin"/>
        </w:r>
        <w:r>
          <w:rPr>
            <w:noProof/>
            <w:webHidden/>
          </w:rPr>
          <w:instrText xml:space="preserve"> PAGEREF _Toc43223231 \h </w:instrText>
        </w:r>
        <w:r>
          <w:rPr>
            <w:noProof/>
            <w:webHidden/>
          </w:rPr>
        </w:r>
        <w:r>
          <w:rPr>
            <w:noProof/>
            <w:webHidden/>
          </w:rPr>
          <w:fldChar w:fldCharType="separate"/>
        </w:r>
        <w:r>
          <w:rPr>
            <w:noProof/>
            <w:webHidden/>
          </w:rPr>
          <w:t>130</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2" w:history="1">
        <w:r>
          <w:rPr>
            <w:rStyle w:val="Hyperlink"/>
            <w:noProof/>
          </w:rPr>
          <w:t>4.7.</w:t>
        </w:r>
        <w:r>
          <w:rPr>
            <w:rFonts w:asciiTheme="minorHAnsi" w:eastAsiaTheme="minorEastAsia" w:hAnsiTheme="minorHAnsi" w:cstheme="minorBidi"/>
            <w:noProof/>
            <w:color w:val="auto"/>
            <w:szCs w:val="22"/>
            <w:lang w:val="de-DE" w:eastAsia="de-DE"/>
          </w:rPr>
          <w:tab/>
        </w:r>
        <w:r>
          <w:rPr>
            <w:rStyle w:val="Hyperlink"/>
            <w:noProof/>
          </w:rPr>
          <w:t>DETAILED MFF: IMPLEMENTATION OF COMMITMENT APPROPRIATIONS</w:t>
        </w:r>
        <w:r>
          <w:rPr>
            <w:noProof/>
            <w:webHidden/>
          </w:rPr>
          <w:tab/>
        </w:r>
        <w:r>
          <w:rPr>
            <w:noProof/>
            <w:webHidden/>
          </w:rPr>
          <w:fldChar w:fldCharType="begin"/>
        </w:r>
        <w:r>
          <w:rPr>
            <w:noProof/>
            <w:webHidden/>
          </w:rPr>
          <w:instrText xml:space="preserve"> PAGEREF _Toc43223232 \h </w:instrText>
        </w:r>
        <w:r>
          <w:rPr>
            <w:noProof/>
            <w:webHidden/>
          </w:rPr>
        </w:r>
        <w:r>
          <w:rPr>
            <w:noProof/>
            <w:webHidden/>
          </w:rPr>
          <w:fldChar w:fldCharType="separate"/>
        </w:r>
        <w:r>
          <w:rPr>
            <w:noProof/>
            <w:webHidden/>
          </w:rPr>
          <w:t>135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3" w:history="1">
        <w:r>
          <w:rPr>
            <w:rStyle w:val="Hyperlink"/>
            <w:noProof/>
          </w:rPr>
          <w:t>4.8.</w:t>
        </w:r>
        <w:r>
          <w:rPr>
            <w:rFonts w:asciiTheme="minorHAnsi" w:eastAsiaTheme="minorEastAsia" w:hAnsiTheme="minorHAnsi" w:cstheme="minorBidi"/>
            <w:noProof/>
            <w:color w:val="auto"/>
            <w:szCs w:val="22"/>
            <w:lang w:val="de-DE" w:eastAsia="de-DE"/>
          </w:rPr>
          <w:tab/>
        </w:r>
        <w:r>
          <w:rPr>
            <w:rStyle w:val="Hyperlink"/>
            <w:noProof/>
          </w:rPr>
          <w:t>DETAILED MFF: IMPLEMENTATION OF PAYMENT APPROPRIATIONS</w:t>
        </w:r>
        <w:r>
          <w:rPr>
            <w:noProof/>
            <w:webHidden/>
          </w:rPr>
          <w:tab/>
        </w:r>
        <w:r>
          <w:rPr>
            <w:noProof/>
            <w:webHidden/>
          </w:rPr>
          <w:fldChar w:fldCharType="begin"/>
        </w:r>
        <w:r>
          <w:rPr>
            <w:noProof/>
            <w:webHidden/>
          </w:rPr>
          <w:instrText xml:space="preserve"> PAGEREF _Toc43223233 \h </w:instrText>
        </w:r>
        <w:r>
          <w:rPr>
            <w:noProof/>
            <w:webHidden/>
          </w:rPr>
        </w:r>
        <w:r>
          <w:rPr>
            <w:noProof/>
            <w:webHidden/>
          </w:rPr>
          <w:fldChar w:fldCharType="separate"/>
        </w:r>
        <w:r>
          <w:rPr>
            <w:noProof/>
            <w:webHidden/>
          </w:rPr>
          <w:t>140</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4" w:history="1">
        <w:r>
          <w:rPr>
            <w:rStyle w:val="Hyperlink"/>
            <w:noProof/>
          </w:rPr>
          <w:t>4.9.</w:t>
        </w:r>
        <w:r>
          <w:rPr>
            <w:rFonts w:asciiTheme="minorHAnsi" w:eastAsiaTheme="minorEastAsia" w:hAnsiTheme="minorHAnsi" w:cstheme="minorBidi"/>
            <w:noProof/>
            <w:color w:val="auto"/>
            <w:szCs w:val="22"/>
            <w:lang w:val="de-DE" w:eastAsia="de-DE"/>
          </w:rPr>
          <w:tab/>
        </w:r>
        <w:r>
          <w:rPr>
            <w:rStyle w:val="Hyperlink"/>
            <w:noProof/>
          </w:rPr>
          <w:t>DETAILED MFF: MOVEMENTS IN OUTSTANDING COMMITMENTS (RAL)</w:t>
        </w:r>
        <w:r>
          <w:rPr>
            <w:noProof/>
            <w:webHidden/>
          </w:rPr>
          <w:tab/>
        </w:r>
        <w:r>
          <w:rPr>
            <w:noProof/>
            <w:webHidden/>
          </w:rPr>
          <w:fldChar w:fldCharType="begin"/>
        </w:r>
        <w:r>
          <w:rPr>
            <w:noProof/>
            <w:webHidden/>
          </w:rPr>
          <w:instrText xml:space="preserve"> PAGEREF _Toc43223234 \h </w:instrText>
        </w:r>
        <w:r>
          <w:rPr>
            <w:noProof/>
            <w:webHidden/>
          </w:rPr>
        </w:r>
        <w:r>
          <w:rPr>
            <w:noProof/>
            <w:webHidden/>
          </w:rPr>
          <w:fldChar w:fldCharType="separate"/>
        </w:r>
        <w:r>
          <w:rPr>
            <w:noProof/>
            <w:webHidden/>
          </w:rPr>
          <w:t>146</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5" w:history="1">
        <w:r>
          <w:rPr>
            <w:rStyle w:val="Hyperlink"/>
            <w:noProof/>
          </w:rPr>
          <w:t>4.10.</w:t>
        </w:r>
        <w:r>
          <w:rPr>
            <w:rFonts w:asciiTheme="minorHAnsi" w:eastAsiaTheme="minorEastAsia" w:hAnsiTheme="minorHAnsi" w:cstheme="minorBidi"/>
            <w:noProof/>
            <w:color w:val="auto"/>
            <w:szCs w:val="22"/>
            <w:lang w:val="de-DE" w:eastAsia="de-DE"/>
          </w:rPr>
          <w:tab/>
        </w:r>
        <w:r>
          <w:rPr>
            <w:rStyle w:val="Hyperlink"/>
            <w:noProof/>
          </w:rPr>
          <w:t>DETAILED MFF: OUTSTANDING COMMITMENTS BY YEAR OF ORIGIN</w:t>
        </w:r>
        <w:r>
          <w:rPr>
            <w:noProof/>
            <w:webHidden/>
          </w:rPr>
          <w:tab/>
        </w:r>
        <w:r>
          <w:rPr>
            <w:noProof/>
            <w:webHidden/>
          </w:rPr>
          <w:fldChar w:fldCharType="begin"/>
        </w:r>
        <w:r>
          <w:rPr>
            <w:noProof/>
            <w:webHidden/>
          </w:rPr>
          <w:instrText xml:space="preserve"> PAGEREF _Toc43223235 \h </w:instrText>
        </w:r>
        <w:r>
          <w:rPr>
            <w:noProof/>
            <w:webHidden/>
          </w:rPr>
        </w:r>
        <w:r>
          <w:rPr>
            <w:noProof/>
            <w:webHidden/>
          </w:rPr>
          <w:fldChar w:fldCharType="separate"/>
        </w:r>
        <w:r>
          <w:rPr>
            <w:noProof/>
            <w:webHidden/>
          </w:rPr>
          <w:t>151</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36"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de-DE" w:eastAsia="de-DE"/>
          </w:rPr>
          <w:tab/>
        </w:r>
        <w:r>
          <w:rPr>
            <w:rStyle w:val="Hyperlink"/>
            <w:noProof/>
          </w:rPr>
          <w:t>IMPLEMENTATION OF THE BUDGET BY INSTITUTION</w:t>
        </w:r>
        <w:r>
          <w:rPr>
            <w:noProof/>
            <w:webHidden/>
          </w:rPr>
          <w:tab/>
        </w:r>
        <w:r>
          <w:rPr>
            <w:noProof/>
            <w:webHidden/>
          </w:rPr>
          <w:fldChar w:fldCharType="begin"/>
        </w:r>
        <w:r>
          <w:rPr>
            <w:noProof/>
            <w:webHidden/>
          </w:rPr>
          <w:instrText xml:space="preserve"> PAGEREF _Toc43223236 \h </w:instrText>
        </w:r>
        <w:r>
          <w:rPr>
            <w:noProof/>
            <w:webHidden/>
          </w:rPr>
        </w:r>
        <w:r>
          <w:rPr>
            <w:noProof/>
            <w:webHidden/>
          </w:rPr>
          <w:fldChar w:fldCharType="separate"/>
        </w:r>
        <w:r>
          <w:rPr>
            <w:noProof/>
            <w:webHidden/>
          </w:rPr>
          <w:t>155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7" w:history="1">
        <w:r>
          <w:rPr>
            <w:rStyle w:val="Hyperlink"/>
            <w:noProof/>
          </w:rPr>
          <w:t>5.1.</w:t>
        </w:r>
        <w:r>
          <w:rPr>
            <w:rFonts w:asciiTheme="minorHAnsi" w:eastAsiaTheme="minorEastAsia" w:hAnsiTheme="minorHAnsi" w:cstheme="minorBidi"/>
            <w:noProof/>
            <w:color w:val="auto"/>
            <w:szCs w:val="22"/>
            <w:lang w:val="de-DE" w:eastAsia="de-DE"/>
          </w:rPr>
          <w:tab/>
        </w:r>
        <w:r>
          <w:rPr>
            <w:rStyle w:val="Hyperlink"/>
            <w:noProof/>
          </w:rPr>
          <w:t>IMPLEMENTATION OF BUDGET REVENUE</w:t>
        </w:r>
        <w:r>
          <w:rPr>
            <w:noProof/>
            <w:webHidden/>
          </w:rPr>
          <w:tab/>
        </w:r>
        <w:r>
          <w:rPr>
            <w:noProof/>
            <w:webHidden/>
          </w:rPr>
          <w:fldChar w:fldCharType="begin"/>
        </w:r>
        <w:r>
          <w:rPr>
            <w:noProof/>
            <w:webHidden/>
          </w:rPr>
          <w:instrText xml:space="preserve"> PAGEREF _Toc43223237 \h </w:instrText>
        </w:r>
        <w:r>
          <w:rPr>
            <w:noProof/>
            <w:webHidden/>
          </w:rPr>
        </w:r>
        <w:r>
          <w:rPr>
            <w:noProof/>
            <w:webHidden/>
          </w:rPr>
          <w:fldChar w:fldCharType="separate"/>
        </w:r>
        <w:r>
          <w:rPr>
            <w:noProof/>
            <w:webHidden/>
          </w:rPr>
          <w:t>155</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8" w:history="1">
        <w:r>
          <w:rPr>
            <w:rStyle w:val="Hyperlink"/>
            <w:noProof/>
          </w:rPr>
          <w:t>5.2.</w:t>
        </w:r>
        <w:r>
          <w:rPr>
            <w:rFonts w:asciiTheme="minorHAnsi" w:eastAsiaTheme="minorEastAsia" w:hAnsiTheme="minorHAnsi" w:cstheme="minorBidi"/>
            <w:noProof/>
            <w:color w:val="auto"/>
            <w:szCs w:val="22"/>
            <w:lang w:val="de-DE" w:eastAsia="de-DE"/>
          </w:rPr>
          <w:tab/>
        </w:r>
        <w:r>
          <w:rPr>
            <w:rStyle w:val="Hyperlink"/>
            <w:noProof/>
          </w:rPr>
          <w:t>IMPLEMENTATION OF COMMITMENT APPROPRIATIONS</w:t>
        </w:r>
        <w:r>
          <w:rPr>
            <w:noProof/>
            <w:webHidden/>
          </w:rPr>
          <w:tab/>
        </w:r>
        <w:r>
          <w:rPr>
            <w:noProof/>
            <w:webHidden/>
          </w:rPr>
          <w:fldChar w:fldCharType="begin"/>
        </w:r>
        <w:r>
          <w:rPr>
            <w:noProof/>
            <w:webHidden/>
          </w:rPr>
          <w:instrText xml:space="preserve"> PAGEREF _Toc43223238 \h </w:instrText>
        </w:r>
        <w:r>
          <w:rPr>
            <w:noProof/>
            <w:webHidden/>
          </w:rPr>
        </w:r>
        <w:r>
          <w:rPr>
            <w:noProof/>
            <w:webHidden/>
          </w:rPr>
          <w:fldChar w:fldCharType="separate"/>
        </w:r>
        <w:r>
          <w:rPr>
            <w:noProof/>
            <w:webHidden/>
          </w:rPr>
          <w:t>156</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39" w:history="1">
        <w:r>
          <w:rPr>
            <w:rStyle w:val="Hyperlink"/>
            <w:noProof/>
          </w:rPr>
          <w:t>5.3.</w:t>
        </w:r>
        <w:r>
          <w:rPr>
            <w:rFonts w:asciiTheme="minorHAnsi" w:eastAsiaTheme="minorEastAsia" w:hAnsiTheme="minorHAnsi" w:cstheme="minorBidi"/>
            <w:noProof/>
            <w:color w:val="auto"/>
            <w:szCs w:val="22"/>
            <w:lang w:val="de-DE" w:eastAsia="de-DE"/>
          </w:rPr>
          <w:tab/>
        </w:r>
        <w:r>
          <w:rPr>
            <w:rStyle w:val="Hyperlink"/>
            <w:noProof/>
          </w:rPr>
          <w:t>IMPLEMENTATION OF PAYMENT APPROPRIATIONS</w:t>
        </w:r>
        <w:r>
          <w:rPr>
            <w:noProof/>
            <w:webHidden/>
          </w:rPr>
          <w:tab/>
        </w:r>
        <w:r>
          <w:rPr>
            <w:noProof/>
            <w:webHidden/>
          </w:rPr>
          <w:fldChar w:fldCharType="begin"/>
        </w:r>
        <w:r>
          <w:rPr>
            <w:noProof/>
            <w:webHidden/>
          </w:rPr>
          <w:instrText xml:space="preserve"> PAGEREF _Toc43223239 \h </w:instrText>
        </w:r>
        <w:r>
          <w:rPr>
            <w:noProof/>
            <w:webHidden/>
          </w:rPr>
        </w:r>
        <w:r>
          <w:rPr>
            <w:noProof/>
            <w:webHidden/>
          </w:rPr>
          <w:fldChar w:fldCharType="separate"/>
        </w:r>
        <w:r>
          <w:rPr>
            <w:noProof/>
            <w:webHidden/>
          </w:rPr>
          <w:t>157</w:t>
        </w:r>
        <w:r>
          <w:rPr>
            <w:noProof/>
            <w:webHidden/>
          </w:rPr>
          <w:fldChar w:fldCharType="end"/>
        </w:r>
      </w:hyperlink>
    </w:p>
    <w:p w:rsidR="00135552" w:rsidRDefault="004C63B0">
      <w:pPr>
        <w:pStyle w:val="TOC1"/>
        <w:tabs>
          <w:tab w:val="left" w:pos="660"/>
          <w:tab w:val="right" w:leader="dot" w:pos="9629"/>
        </w:tabs>
        <w:rPr>
          <w:rFonts w:asciiTheme="minorHAnsi" w:eastAsiaTheme="minorEastAsia" w:hAnsiTheme="minorHAnsi" w:cstheme="minorBidi"/>
          <w:noProof/>
          <w:color w:val="auto"/>
          <w:szCs w:val="22"/>
          <w:lang w:val="de-DE" w:eastAsia="de-DE"/>
        </w:rPr>
      </w:pPr>
      <w:hyperlink w:anchor="_Toc43223240"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de-DE" w:eastAsia="de-DE"/>
          </w:rPr>
          <w:tab/>
        </w:r>
        <w:r>
          <w:rPr>
            <w:rStyle w:val="Hyperlink"/>
            <w:noProof/>
          </w:rPr>
          <w:t>IMPLEMENTATION OF THE AGENCIES' BUDGET</w:t>
        </w:r>
        <w:r>
          <w:rPr>
            <w:noProof/>
            <w:webHidden/>
          </w:rPr>
          <w:tab/>
        </w:r>
        <w:r>
          <w:rPr>
            <w:noProof/>
            <w:webHidden/>
          </w:rPr>
          <w:fldChar w:fldCharType="begin"/>
        </w:r>
        <w:r>
          <w:rPr>
            <w:noProof/>
            <w:webHidden/>
          </w:rPr>
          <w:instrText xml:space="preserve"> PAGEREF _Toc43223240 \h </w:instrText>
        </w:r>
        <w:r>
          <w:rPr>
            <w:noProof/>
            <w:webHidden/>
          </w:rPr>
        </w:r>
        <w:r>
          <w:rPr>
            <w:noProof/>
            <w:webHidden/>
          </w:rPr>
          <w:fldChar w:fldCharType="separate"/>
        </w:r>
        <w:r>
          <w:rPr>
            <w:noProof/>
            <w:webHidden/>
          </w:rPr>
          <w:t>158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41" w:history="1">
        <w:r>
          <w:rPr>
            <w:rStyle w:val="Hyperlink"/>
            <w:noProof/>
          </w:rPr>
          <w:t>6.1.</w:t>
        </w:r>
        <w:r>
          <w:rPr>
            <w:rFonts w:asciiTheme="minorHAnsi" w:eastAsiaTheme="minorEastAsia" w:hAnsiTheme="minorHAnsi" w:cstheme="minorBidi"/>
            <w:noProof/>
            <w:color w:val="auto"/>
            <w:szCs w:val="22"/>
            <w:lang w:val="de-DE" w:eastAsia="de-DE"/>
          </w:rPr>
          <w:tab/>
        </w:r>
        <w:r>
          <w:rPr>
            <w:rStyle w:val="Hyperlink"/>
            <w:noProof/>
          </w:rPr>
          <w:t>BUDGET REVENUE</w:t>
        </w:r>
        <w:r>
          <w:rPr>
            <w:noProof/>
            <w:webHidden/>
          </w:rPr>
          <w:tab/>
        </w:r>
        <w:r>
          <w:rPr>
            <w:noProof/>
            <w:webHidden/>
          </w:rPr>
          <w:fldChar w:fldCharType="begin"/>
        </w:r>
        <w:r>
          <w:rPr>
            <w:noProof/>
            <w:webHidden/>
          </w:rPr>
          <w:instrText xml:space="preserve"> PAGEREF _Toc43223241 \h </w:instrText>
        </w:r>
        <w:r>
          <w:rPr>
            <w:noProof/>
            <w:webHidden/>
          </w:rPr>
        </w:r>
        <w:r>
          <w:rPr>
            <w:noProof/>
            <w:webHidden/>
          </w:rPr>
          <w:fldChar w:fldCharType="separate"/>
        </w:r>
        <w:r>
          <w:rPr>
            <w:noProof/>
            <w:webHidden/>
          </w:rPr>
          <w:t>158</w:t>
        </w:r>
        <w:r>
          <w:rPr>
            <w:noProof/>
            <w:webHidden/>
          </w:rPr>
          <w:fldChar w:fldCharType="end"/>
        </w:r>
      </w:hyperlink>
    </w:p>
    <w:p w:rsidR="00135552" w:rsidRDefault="004C63B0">
      <w:pPr>
        <w:pStyle w:val="TOC2"/>
        <w:tabs>
          <w:tab w:val="left" w:pos="1100"/>
          <w:tab w:val="right" w:leader="dot" w:pos="9629"/>
        </w:tabs>
        <w:rPr>
          <w:rFonts w:asciiTheme="minorHAnsi" w:eastAsiaTheme="minorEastAsia" w:hAnsiTheme="minorHAnsi" w:cstheme="minorBidi"/>
          <w:noProof/>
          <w:color w:val="auto"/>
          <w:szCs w:val="22"/>
          <w:lang w:val="de-DE" w:eastAsia="de-DE"/>
        </w:rPr>
      </w:pPr>
      <w:hyperlink w:anchor="_Toc43223242" w:history="1">
        <w:r>
          <w:rPr>
            <w:rStyle w:val="Hyperlink"/>
            <w:noProof/>
          </w:rPr>
          <w:t>6.2.</w:t>
        </w:r>
        <w:r>
          <w:rPr>
            <w:rFonts w:asciiTheme="minorHAnsi" w:eastAsiaTheme="minorEastAsia" w:hAnsiTheme="minorHAnsi" w:cstheme="minorBidi"/>
            <w:noProof/>
            <w:color w:val="auto"/>
            <w:szCs w:val="22"/>
            <w:lang w:val="de-DE" w:eastAsia="de-DE"/>
          </w:rPr>
          <w:tab/>
        </w:r>
        <w:r>
          <w:rPr>
            <w:rStyle w:val="Hyperlink"/>
            <w:noProof/>
          </w:rPr>
          <w:t>COMMITM</w:t>
        </w:r>
        <w:r>
          <w:rPr>
            <w:rStyle w:val="Hyperlink"/>
            <w:noProof/>
          </w:rPr>
          <w:t>ENT AND PAYMENT APPROPRIATIONS BY AGENCY</w:t>
        </w:r>
        <w:r>
          <w:rPr>
            <w:noProof/>
            <w:webHidden/>
          </w:rPr>
          <w:tab/>
        </w:r>
        <w:r>
          <w:rPr>
            <w:noProof/>
            <w:webHidden/>
          </w:rPr>
          <w:fldChar w:fldCharType="begin"/>
        </w:r>
        <w:r>
          <w:rPr>
            <w:noProof/>
            <w:webHidden/>
          </w:rPr>
          <w:instrText xml:space="preserve"> PAGEREF _Toc43223242 \h </w:instrText>
        </w:r>
        <w:r>
          <w:rPr>
            <w:noProof/>
            <w:webHidden/>
          </w:rPr>
        </w:r>
        <w:r>
          <w:rPr>
            <w:noProof/>
            <w:webHidden/>
          </w:rPr>
          <w:fldChar w:fldCharType="separate"/>
        </w:r>
        <w:r>
          <w:rPr>
            <w:noProof/>
            <w:webHidden/>
          </w:rPr>
          <w:t>160</w:t>
        </w:r>
        <w:r>
          <w:rPr>
            <w:noProof/>
            <w:webHidden/>
          </w:rPr>
          <w:fldChar w:fldCharType="end"/>
        </w:r>
      </w:hyperlink>
    </w:p>
    <w:p w:rsidR="00135552" w:rsidRDefault="004C63B0">
      <w:pPr>
        <w:pStyle w:val="Textstand-alone"/>
        <w:sectPr w:rsidR="00135552">
          <w:headerReference w:type="even" r:id="rId318"/>
          <w:headerReference w:type="default" r:id="rId319"/>
          <w:footerReference w:type="even" r:id="rId320"/>
          <w:footerReference w:type="default" r:id="rId321"/>
          <w:headerReference w:type="first" r:id="rId322"/>
          <w:footerReference w:type="first" r:id="rId323"/>
          <w:pgSz w:w="11907" w:h="16840"/>
          <w:pgMar w:top="1134" w:right="1134" w:bottom="1134" w:left="1134" w:header="709" w:footer="709" w:gutter="0"/>
          <w:cols w:space="708"/>
          <w:docGrid w:linePitch="360"/>
        </w:sectPr>
      </w:pPr>
      <w:r>
        <w:rPr>
          <w:caps/>
          <w:color w:val="016894"/>
          <w:sz w:val="20"/>
          <w:szCs w:val="24"/>
        </w:rPr>
        <w:fldChar w:fldCharType="end"/>
      </w:r>
      <w:bookmarkEnd w:id="210"/>
    </w:p>
    <w:p w:rsidR="00135552" w:rsidRDefault="004C63B0">
      <w:pPr>
        <w:pStyle w:val="HEADERTITLE2"/>
        <w:rPr>
          <w:rFonts w:eastAsia="Calibri"/>
        </w:rPr>
      </w:pPr>
      <w:bookmarkStart w:id="212" w:name="_Toc43223210"/>
      <w:bookmarkStart w:id="213" w:name="_DMBM_17265"/>
      <w:r>
        <w:rPr>
          <w:rFonts w:eastAsia="Calibri"/>
        </w:rPr>
        <w:t>EU BUDGET RESULT</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707"/>
        <w:gridCol w:w="1186"/>
        <w:gridCol w:w="1186"/>
      </w:tblGrid>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Budgetresult"/>
              <w:rPr>
                <w:rFonts w:ascii="Verdana" w:eastAsia="Verdana" w:hAnsi="Verdana" w:cs="Verdana"/>
                <w:noProof/>
                <w:color w:val="000000"/>
                <w:sz w:val="16"/>
                <w:lang w:bidi="en-GB"/>
              </w:rPr>
            </w:pPr>
            <w:bookmarkStart w:id="214" w:name="DOC_TBL00097_1_1"/>
            <w:bookmarkEnd w:id="214"/>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Budgetresult"/>
              <w:rPr>
                <w:rFonts w:ascii="Verdana" w:eastAsia="Verdana" w:hAnsi="Verdana" w:cs="Verdana"/>
                <w:noProof/>
                <w:color w:val="000000"/>
                <w:sz w:val="16"/>
              </w:rPr>
            </w:pP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Budgetresult"/>
              <w:jc w:val="right"/>
              <w:rPr>
                <w:rFonts w:ascii="Verdana" w:eastAsia="Verdana" w:hAnsi="Verdana" w:cs="Verdana"/>
                <w:noProof/>
                <w:color w:val="000000"/>
                <w:sz w:val="16"/>
              </w:rPr>
            </w:pP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84"/>
        </w:trPr>
        <w:tc>
          <w:tcPr>
            <w:tcW w:w="65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Budgetresult"/>
              <w:jc w:val="center"/>
              <w:rPr>
                <w:rFonts w:ascii="Verdana" w:eastAsia="Verdana" w:hAnsi="Verdana" w:cs="Verdana"/>
                <w:noProof/>
                <w:color w:val="FFFFFF"/>
                <w:sz w:val="16"/>
              </w:rPr>
            </w:pPr>
            <w:r>
              <w:rPr>
                <w:rFonts w:ascii="Verdana" w:eastAsia="Verdana" w:hAnsi="Verdana" w:cs="Verdana"/>
                <w:noProof/>
                <w:color w:val="FFFFFF"/>
                <w:sz w:val="16"/>
              </w:rPr>
              <w:t>Note</w:t>
            </w:r>
          </w:p>
        </w:tc>
        <w:tc>
          <w:tcPr>
            <w:tcW w:w="6497"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40BIPBudgetresult"/>
              <w:jc w:val="center"/>
              <w:rPr>
                <w:rFonts w:ascii="Verdana" w:eastAsia="Verdana" w:hAnsi="Verdana" w:cs="Verdana"/>
                <w:noProof/>
                <w:color w:val="FFFFFF"/>
                <w:sz w:val="16"/>
              </w:rPr>
            </w:pPr>
          </w:p>
        </w:tc>
        <w:tc>
          <w:tcPr>
            <w:tcW w:w="114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Budgetresult"/>
              <w:jc w:val="right"/>
              <w:rPr>
                <w:rFonts w:ascii="Verdana" w:eastAsia="Verdana" w:hAnsi="Verdana" w:cs="Verdana"/>
                <w:noProof/>
                <w:color w:val="FFFFFF"/>
                <w:sz w:val="16"/>
              </w:rPr>
            </w:pPr>
            <w:r>
              <w:rPr>
                <w:rFonts w:ascii="Verdana" w:eastAsia="Verdana" w:hAnsi="Verdana" w:cs="Verdana"/>
                <w:noProof/>
                <w:color w:val="FFFFFF"/>
                <w:sz w:val="16"/>
              </w:rPr>
              <w:t>2019</w:t>
            </w:r>
          </w:p>
        </w:tc>
        <w:tc>
          <w:tcPr>
            <w:tcW w:w="114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Budgetresult"/>
              <w:jc w:val="right"/>
              <w:rPr>
                <w:rFonts w:ascii="Verdana" w:eastAsia="Verdana" w:hAnsi="Verdana" w:cs="Verdana"/>
                <w:noProof/>
                <w:color w:val="FFFFFF"/>
                <w:sz w:val="16"/>
                <w:lang w:bidi="en-GB"/>
              </w:rPr>
            </w:pPr>
            <w:r>
              <w:rPr>
                <w:rFonts w:ascii="Verdana" w:eastAsia="Verdana" w:hAnsi="Verdana" w:cs="Verdana"/>
                <w:noProof/>
                <w:color w:val="FFFFFF"/>
                <w:sz w:val="16"/>
              </w:rPr>
              <w:t>2018</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a</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Revenue for the financial year</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163 918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159 318</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b</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Payments against current year appropriations</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(157 428)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(154 833)</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c</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Payment appropriations carried over to year N+1</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(1 615)</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(1 675)</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d</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Cancellation of unused appropriations</w:t>
            </w:r>
            <w:r>
              <w:rPr>
                <w:rFonts w:ascii="Verdana" w:eastAsia="Verdana" w:hAnsi="Verdana" w:cs="Verdana"/>
                <w:noProof/>
                <w:color w:val="000000"/>
                <w:sz w:val="16"/>
              </w:rPr>
              <w:t xml:space="preserve"> carried over from year N-1</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106</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e</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Evolution of assigned revenue (B)-(A)</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(1 736)</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(1 114)</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i/>
                <w:noProof/>
                <w:color w:val="000000"/>
                <w:sz w:val="16"/>
              </w:rPr>
            </w:pPr>
            <w:r>
              <w:rPr>
                <w:rFonts w:ascii="Verdana" w:eastAsia="Verdana" w:hAnsi="Verdana" w:cs="Verdana"/>
                <w:i/>
                <w:noProof/>
                <w:color w:val="000000"/>
                <w:sz w:val="16"/>
              </w:rPr>
              <w:t xml:space="preserve">     Unused appropriations at the end of current year (A)</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i/>
                <w:noProof/>
                <w:color w:val="000000"/>
                <w:sz w:val="16"/>
              </w:rPr>
            </w:pPr>
            <w:r>
              <w:rPr>
                <w:rFonts w:ascii="Verdana" w:eastAsia="Verdana" w:hAnsi="Verdana" w:cs="Verdana"/>
                <w:i/>
                <w:noProof/>
                <w:color w:val="000000"/>
                <w:sz w:val="16"/>
              </w:rPr>
              <w:t>9 144</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i/>
                <w:noProof/>
                <w:color w:val="000000"/>
                <w:sz w:val="16"/>
                <w:lang w:bidi="en-GB"/>
              </w:rPr>
            </w:pPr>
            <w:r>
              <w:rPr>
                <w:rFonts w:ascii="Verdana" w:eastAsia="Verdana" w:hAnsi="Verdana" w:cs="Verdana"/>
                <w:i/>
                <w:noProof/>
                <w:color w:val="000000"/>
                <w:sz w:val="16"/>
              </w:rPr>
              <w:t>7 408</w:t>
            </w:r>
          </w:p>
        </w:tc>
      </w:tr>
      <w:tr w:rsidR="00135552">
        <w:trPr>
          <w:trHeight w:hRule="exact" w:val="284"/>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i/>
                <w:noProof/>
                <w:color w:val="000000"/>
                <w:sz w:val="16"/>
              </w:rPr>
            </w:pPr>
            <w:r>
              <w:rPr>
                <w:rFonts w:ascii="Verdana" w:eastAsia="Verdana" w:hAnsi="Verdana" w:cs="Verdana"/>
                <w:i/>
                <w:noProof/>
                <w:color w:val="000000"/>
                <w:sz w:val="16"/>
              </w:rPr>
              <w:t xml:space="preserve">     Unused appropriations at the end of previous year (B)</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i/>
                <w:noProof/>
                <w:color w:val="000000"/>
                <w:sz w:val="16"/>
              </w:rPr>
            </w:pPr>
            <w:r>
              <w:rPr>
                <w:rFonts w:ascii="Verdana" w:eastAsia="Verdana" w:hAnsi="Verdana" w:cs="Verdana"/>
                <w:i/>
                <w:noProof/>
                <w:color w:val="000000"/>
                <w:sz w:val="16"/>
              </w:rPr>
              <w:t>7 408</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i/>
                <w:noProof/>
                <w:color w:val="000000"/>
                <w:sz w:val="16"/>
                <w:lang w:bidi="en-GB"/>
              </w:rPr>
            </w:pPr>
            <w:r>
              <w:rPr>
                <w:rFonts w:ascii="Verdana" w:eastAsia="Verdana" w:hAnsi="Verdana" w:cs="Verdana"/>
                <w:i/>
                <w:noProof/>
                <w:color w:val="000000"/>
                <w:sz w:val="16"/>
              </w:rPr>
              <w:t>6 295</w:t>
            </w:r>
          </w:p>
        </w:tc>
      </w:tr>
      <w:tr w:rsidR="00135552">
        <w:trPr>
          <w:trHeight w:hRule="exact" w:val="270"/>
        </w:trPr>
        <w:tc>
          <w:tcPr>
            <w:tcW w:w="65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center"/>
              <w:rPr>
                <w:rFonts w:ascii="Verdana" w:eastAsia="Verdana" w:hAnsi="Verdana" w:cs="Verdana"/>
                <w:noProof/>
                <w:color w:val="000000"/>
                <w:sz w:val="16"/>
              </w:rPr>
            </w:pPr>
            <w:r>
              <w:rPr>
                <w:rFonts w:ascii="Verdana" w:eastAsia="Verdana" w:hAnsi="Verdana" w:cs="Verdana"/>
                <w:noProof/>
                <w:color w:val="000000"/>
                <w:sz w:val="16"/>
              </w:rPr>
              <w:t>f</w:t>
            </w:r>
          </w:p>
        </w:tc>
        <w:tc>
          <w:tcPr>
            <w:tcW w:w="64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rPr>
                <w:rFonts w:ascii="Verdana" w:eastAsia="Verdana" w:hAnsi="Verdana" w:cs="Verdana"/>
                <w:noProof/>
                <w:color w:val="000000"/>
                <w:sz w:val="16"/>
              </w:rPr>
            </w:pPr>
            <w:r>
              <w:rPr>
                <w:rFonts w:ascii="Verdana" w:eastAsia="Verdana" w:hAnsi="Verdana" w:cs="Verdana"/>
                <w:noProof/>
                <w:color w:val="000000"/>
                <w:sz w:val="16"/>
              </w:rPr>
              <w:t xml:space="preserve">Exchange rate </w:t>
            </w:r>
            <w:r>
              <w:rPr>
                <w:rFonts w:ascii="Verdana" w:eastAsia="Verdana" w:hAnsi="Verdana" w:cs="Verdana"/>
                <w:noProof/>
                <w:color w:val="000000"/>
                <w:sz w:val="16"/>
              </w:rPr>
              <w:t>differences for the year</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rPr>
            </w:pPr>
            <w:r>
              <w:rPr>
                <w:rFonts w:ascii="Verdana" w:eastAsia="Verdana" w:hAnsi="Verdana" w:cs="Verdana"/>
                <w:noProof/>
                <w:color w:val="000000"/>
                <w:sz w:val="16"/>
              </w:rPr>
              <w:t>4</w:t>
            </w:r>
          </w:p>
        </w:tc>
        <w:tc>
          <w:tcPr>
            <w:tcW w:w="11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Budgetresult"/>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270"/>
        </w:trPr>
        <w:tc>
          <w:tcPr>
            <w:tcW w:w="658" w:type="dxa"/>
            <w:tcBorders>
              <w:top w:val="nil"/>
              <w:left w:val="nil"/>
              <w:bottom w:val="nil"/>
              <w:right w:val="nil"/>
              <w:tl2br w:val="nil"/>
              <w:tr2bl w:val="nil"/>
            </w:tcBorders>
            <w:shd w:val="solid" w:color="CCE1EB" w:fill="FFFFFF"/>
            <w:tcMar>
              <w:left w:w="60" w:type="dxa"/>
              <w:right w:w="60" w:type="dxa"/>
            </w:tcMar>
            <w:vAlign w:val="center"/>
          </w:tcPr>
          <w:p w:rsidR="00135552" w:rsidRDefault="00135552">
            <w:pPr>
              <w:pStyle w:val="DMETW17140BIPBudgetresult"/>
              <w:rPr>
                <w:rFonts w:ascii="Verdana" w:eastAsia="Verdana" w:hAnsi="Verdana" w:cs="Verdana"/>
                <w:b/>
                <w:noProof/>
                <w:color w:val="000000"/>
                <w:sz w:val="16"/>
              </w:rPr>
            </w:pPr>
          </w:p>
        </w:tc>
        <w:tc>
          <w:tcPr>
            <w:tcW w:w="6497"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Budgetresult"/>
              <w:rPr>
                <w:rFonts w:ascii="Verdana" w:eastAsia="Verdana" w:hAnsi="Verdana" w:cs="Verdana"/>
                <w:b/>
                <w:noProof/>
                <w:color w:val="000000"/>
                <w:sz w:val="16"/>
              </w:rPr>
            </w:pPr>
            <w:r>
              <w:rPr>
                <w:rFonts w:ascii="Verdana" w:eastAsia="Verdana" w:hAnsi="Verdana" w:cs="Verdana"/>
                <w:b/>
                <w:noProof/>
                <w:color w:val="000000"/>
                <w:sz w:val="16"/>
              </w:rPr>
              <w:t>Budget result</w:t>
            </w:r>
          </w:p>
        </w:tc>
        <w:tc>
          <w:tcPr>
            <w:tcW w:w="1149"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Budgetresult"/>
              <w:jc w:val="right"/>
              <w:rPr>
                <w:rFonts w:ascii="Verdana" w:eastAsia="Verdana" w:hAnsi="Verdana" w:cs="Verdana"/>
                <w:b/>
                <w:noProof/>
                <w:color w:val="000000"/>
                <w:sz w:val="16"/>
              </w:rPr>
            </w:pPr>
            <w:r>
              <w:rPr>
                <w:rFonts w:ascii="Verdana" w:eastAsia="Verdana" w:hAnsi="Verdana" w:cs="Verdana"/>
                <w:b/>
                <w:noProof/>
                <w:color w:val="000000"/>
                <w:sz w:val="16"/>
              </w:rPr>
              <w:t>3 217</w:t>
            </w:r>
          </w:p>
        </w:tc>
        <w:tc>
          <w:tcPr>
            <w:tcW w:w="1149"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Budgetresult"/>
              <w:jc w:val="right"/>
              <w:rPr>
                <w:rFonts w:ascii="Verdana" w:eastAsia="Verdana" w:hAnsi="Verdana" w:cs="Verdana"/>
                <w:b/>
                <w:noProof/>
                <w:color w:val="000000"/>
                <w:sz w:val="16"/>
              </w:rPr>
            </w:pPr>
            <w:r>
              <w:rPr>
                <w:rFonts w:ascii="Verdana" w:eastAsia="Verdana" w:hAnsi="Verdana" w:cs="Verdana"/>
                <w:b/>
                <w:noProof/>
                <w:color w:val="000000"/>
                <w:sz w:val="16"/>
              </w:rPr>
              <w:t>1 802</w:t>
            </w:r>
          </w:p>
        </w:tc>
      </w:tr>
    </w:tbl>
    <w:p w:rsidR="00135552" w:rsidRDefault="00135552">
      <w:pPr>
        <w:pStyle w:val="DGTextstand-alone"/>
      </w:pPr>
    </w:p>
    <w:p w:rsidR="00135552" w:rsidRDefault="004C63B0">
      <w:pPr>
        <w:pStyle w:val="DGTextstand-alone"/>
      </w:pPr>
      <w:r>
        <w:t xml:space="preserve">The budget result of the EU is returned to the Member States in 2020 through deduction of their amounts due. It is calculated in accordance with Article 1(1) of Council Regulation No 608/2014 </w:t>
      </w:r>
      <w:r>
        <w:t>laying down implementing measures for the system of own resources. More information can be found under Calculation of the budget result.</w:t>
      </w:r>
    </w:p>
    <w:p w:rsidR="00135552" w:rsidRDefault="004C63B0">
      <w:pPr>
        <w:pStyle w:val="DGTextstand-alone"/>
        <w:numPr>
          <w:ilvl w:val="1"/>
          <w:numId w:val="47"/>
        </w:numPr>
      </w:pPr>
      <w:r>
        <w:t>Revenue for the financial year: refers to table 3.1 “Summary of the implementation of EU Budget Revenue”, column 8 “Tot</w:t>
      </w:r>
      <w:r>
        <w:t>al Revenue”.</w:t>
      </w:r>
    </w:p>
    <w:p w:rsidR="00135552" w:rsidRDefault="004C63B0">
      <w:pPr>
        <w:pStyle w:val="DGTextstand-alone"/>
        <w:numPr>
          <w:ilvl w:val="1"/>
          <w:numId w:val="47"/>
        </w:numPr>
      </w:pPr>
      <w:r>
        <w:t>Payments against current year appropriations: refer to table 4.3 “MFF – Implementation of Payment appropriations”, column 2 “Payments made from adopted budget and column 4 “Payments made from assigned revenue”.</w:t>
      </w:r>
    </w:p>
    <w:p w:rsidR="00135552" w:rsidRDefault="004C63B0">
      <w:pPr>
        <w:pStyle w:val="DGTextstand-alone"/>
        <w:numPr>
          <w:ilvl w:val="1"/>
          <w:numId w:val="47"/>
        </w:numPr>
      </w:pPr>
      <w:r>
        <w:t>Payment appropriations carried o</w:t>
      </w:r>
      <w:r>
        <w:t>ver to year N+1: refer to table 4.3 “MFF – Implementation of Payment appropriations”, column 7 automatic carry-overs plus column 8 carry-over by decision.</w:t>
      </w:r>
    </w:p>
    <w:p w:rsidR="00135552" w:rsidRDefault="004C63B0">
      <w:pPr>
        <w:pStyle w:val="DGTextstand-alone"/>
        <w:numPr>
          <w:ilvl w:val="1"/>
          <w:numId w:val="47"/>
        </w:numPr>
      </w:pPr>
      <w:r>
        <w:t>Cancellation of unused payment appropriations carried over from year N-1: takes into account the amou</w:t>
      </w:r>
      <w:r>
        <w:t>nt of payment appropriations carried over (automatically and on decision) at the end of previous year and current year’s “Payments made from carryovers” as in column 3 of table 4.3 “MFF – Implementation of Payment appropriations”.</w:t>
      </w:r>
    </w:p>
    <w:p w:rsidR="00135552" w:rsidRDefault="004C63B0">
      <w:pPr>
        <w:pStyle w:val="DGTextstand-alone"/>
        <w:numPr>
          <w:ilvl w:val="1"/>
          <w:numId w:val="47"/>
        </w:numPr>
      </w:pPr>
      <w:r>
        <w:rPr>
          <w:lang w:val="en-US"/>
        </w:rPr>
        <w:t>Evolution of the total as</w:t>
      </w:r>
      <w:r>
        <w:rPr>
          <w:lang w:val="en-US"/>
        </w:rPr>
        <w:t>signed revenue appropriations at year-end: calculates the difference of the amount of assigned revenue appropriations at the end of previous year (plus) and the amount of assigned revenue appropriations at the end of the current year (as in column 9 of tab</w:t>
      </w:r>
      <w:r>
        <w:rPr>
          <w:lang w:val="en-US"/>
        </w:rPr>
        <w:t>le 4.3 “MFF – Implementation of Payment appropriations” - minus) to obtain the net variation of assigned revenue in the current year.</w:t>
      </w:r>
    </w:p>
    <w:p w:rsidR="00135552" w:rsidRDefault="004C63B0">
      <w:pPr>
        <w:pStyle w:val="DGTextstand-alone"/>
        <w:numPr>
          <w:ilvl w:val="1"/>
          <w:numId w:val="47"/>
        </w:numPr>
      </w:pPr>
      <w:r>
        <w:t>Exchange rate differences include realised and non-realised exchange rate differences.</w:t>
      </w:r>
    </w:p>
    <w:p w:rsidR="00135552" w:rsidRDefault="00135552">
      <w:pPr>
        <w:pStyle w:val="DGTextstand-alone"/>
      </w:pPr>
    </w:p>
    <w:p w:rsidR="00135552" w:rsidRDefault="004C63B0">
      <w:pPr>
        <w:pStyle w:val="DGTextstand-alone"/>
      </w:pPr>
      <w:r>
        <w:br w:type="page"/>
      </w:r>
    </w:p>
    <w:p w:rsidR="00135552" w:rsidRDefault="004C63B0">
      <w:pPr>
        <w:pStyle w:val="HEADERTITLE2"/>
        <w:rPr>
          <w:rFonts w:eastAsia="Calibri"/>
        </w:rPr>
      </w:pPr>
      <w:bookmarkStart w:id="215" w:name="_Toc43223211"/>
      <w:r>
        <w:rPr>
          <w:rFonts w:eastAsia="Calibri"/>
        </w:rPr>
        <w:t>STATEMENTS OF COMPARISON OF BUDG</w:t>
      </w:r>
      <w:r>
        <w:rPr>
          <w:rFonts w:eastAsia="Calibri"/>
        </w:rPr>
        <w:t>ET AND ACTUAL AMOUNTS</w:t>
      </w:r>
      <w:bookmarkEnd w:id="215"/>
    </w:p>
    <w:p w:rsidR="00135552" w:rsidRDefault="004C63B0">
      <w:pPr>
        <w:pStyle w:val="HEADERTITLE"/>
        <w:rPr>
          <w:rFonts w:eastAsia="Calibri"/>
        </w:rPr>
      </w:pPr>
      <w:r>
        <w:rPr>
          <w:rFonts w:eastAsia="Calibri"/>
        </w:rPr>
        <w:t>Budget revenue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850"/>
        <w:gridCol w:w="1162"/>
        <w:gridCol w:w="1168"/>
        <w:gridCol w:w="1168"/>
        <w:gridCol w:w="1168"/>
      </w:tblGrid>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lang w:bidi="en-GB"/>
              </w:rPr>
            </w:pPr>
            <w:bookmarkStart w:id="216" w:name="DOC_TBL00098_1_1"/>
            <w:bookmarkEnd w:id="216"/>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40BIPStatementofcomparisonRevenue"/>
              <w:jc w:val="center"/>
              <w:rPr>
                <w:rFonts w:ascii="Verdana" w:eastAsia="Verdana" w:hAnsi="Verdana" w:cs="Verdana"/>
                <w:noProof/>
                <w:color w:val="FFFFFF"/>
                <w:sz w:val="16"/>
              </w:rPr>
            </w:pPr>
          </w:p>
        </w:tc>
        <w:tc>
          <w:tcPr>
            <w:tcW w:w="469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40BIPStatementofcomparisonRevenue"/>
              <w:jc w:val="center"/>
              <w:rPr>
                <w:rFonts w:ascii="Verdana" w:eastAsia="Verdana" w:hAnsi="Verdana" w:cs="Verdana"/>
                <w:noProof/>
                <w:color w:val="FFFFFF"/>
                <w:sz w:val="16"/>
              </w:rPr>
            </w:pPr>
          </w:p>
        </w:tc>
        <w:tc>
          <w:tcPr>
            <w:tcW w:w="112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Revenue"/>
              <w:jc w:val="center"/>
              <w:rPr>
                <w:rFonts w:ascii="Verdana" w:eastAsia="Verdana" w:hAnsi="Verdana" w:cs="Verdana"/>
                <w:noProof/>
                <w:color w:val="FFFFFF"/>
                <w:sz w:val="16"/>
              </w:rPr>
            </w:pPr>
            <w:r>
              <w:rPr>
                <w:rFonts w:ascii="Verdana" w:eastAsia="Verdana" w:hAnsi="Verdana" w:cs="Verdana"/>
                <w:noProof/>
                <w:color w:val="FFFFFF"/>
                <w:sz w:val="16"/>
              </w:rPr>
              <w:t>Initial budget adopted</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Revenue"/>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Revenue"/>
              <w:jc w:val="center"/>
              <w:rPr>
                <w:rFonts w:ascii="Verdana" w:eastAsia="Verdana" w:hAnsi="Verdana" w:cs="Verdana"/>
                <w:noProof/>
                <w:color w:val="FFFFFF"/>
                <w:sz w:val="16"/>
              </w:rPr>
            </w:pPr>
            <w:r>
              <w:rPr>
                <w:rFonts w:ascii="Verdana" w:eastAsia="Verdana" w:hAnsi="Verdana" w:cs="Verdana"/>
                <w:noProof/>
                <w:color w:val="FFFFFF"/>
                <w:sz w:val="16"/>
              </w:rPr>
              <w:t>Entitlements established</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Revenue"/>
              <w:jc w:val="center"/>
              <w:rPr>
                <w:rFonts w:ascii="Verdana" w:eastAsia="Verdana" w:hAnsi="Verdana" w:cs="Verdana"/>
                <w:noProof/>
                <w:color w:val="FFFFFF"/>
                <w:sz w:val="16"/>
                <w:lang w:bidi="en-GB"/>
              </w:rPr>
            </w:pPr>
            <w:r>
              <w:rPr>
                <w:rFonts w:ascii="Verdana" w:eastAsia="Verdana" w:hAnsi="Verdana" w:cs="Verdana"/>
                <w:noProof/>
                <w:color w:val="FFFFFF"/>
                <w:sz w:val="16"/>
              </w:rPr>
              <w:t>Revenue</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1</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Own resources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146 305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144 795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147 056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144 766</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11 - Sugar levies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12 - Customs duties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 xml:space="preserve">23 </w:t>
            </w:r>
            <w:r>
              <w:rPr>
                <w:rFonts w:ascii="Verdana" w:eastAsia="Verdana" w:hAnsi="Verdana" w:cs="Verdana"/>
                <w:i/>
                <w:noProof/>
                <w:color w:val="000000"/>
                <w:sz w:val="16"/>
              </w:rPr>
              <w:t>656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21 365</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13 - VAT</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17 775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17 775</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14 - GNI</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107 095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105 585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105 700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105 700</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15 - Correction of budgetary imbalances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 xml:space="preserve"> (81)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(81)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i/>
                <w:noProof/>
                <w:color w:val="000000"/>
                <w:sz w:val="16"/>
              </w:rPr>
            </w:pPr>
            <w:r>
              <w:rPr>
                <w:rFonts w:ascii="Verdana" w:eastAsia="Verdana" w:hAnsi="Verdana" w:cs="Verdana"/>
                <w:i/>
                <w:noProof/>
                <w:color w:val="000000"/>
                <w:sz w:val="16"/>
              </w:rPr>
              <w:t>16 - Reduction of GNI based contribution of the Netherlands and Sweden</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7</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3</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Surpluses, balances</w:t>
            </w:r>
            <w:r>
              <w:rPr>
                <w:rFonts w:ascii="Verdana" w:eastAsia="Verdana" w:hAnsi="Verdana" w:cs="Verdana"/>
                <w:noProof/>
                <w:color w:val="000000"/>
                <w:sz w:val="16"/>
              </w:rPr>
              <w:t xml:space="preserve"> and adjustments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1 803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1 811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1 805</w:t>
            </w:r>
          </w:p>
        </w:tc>
      </w:tr>
      <w:tr w:rsidR="00135552">
        <w:trPr>
          <w:trHeight w:val="505"/>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4</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Revenue accruing from persons working with the institutions and other union bodies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1 576</w:t>
            </w:r>
          </w:p>
        </w:tc>
      </w:tr>
      <w:tr w:rsidR="00135552">
        <w:trPr>
          <w:trHeight w:val="555"/>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5</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Revenue accruing from the administrative operation  of the institutions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589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558</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6</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Contributions</w:t>
            </w:r>
            <w:r>
              <w:rPr>
                <w:rFonts w:ascii="Verdana" w:eastAsia="Verdana" w:hAnsi="Verdana" w:cs="Verdana"/>
                <w:noProof/>
                <w:color w:val="000000"/>
                <w:sz w:val="16"/>
              </w:rPr>
              <w:t xml:space="preserve"> and refunds in connection with Union agreements and programmes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14 134</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12 577</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7</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Interests on late payments and fines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18 575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2 625</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8</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Borrowing and lending operations</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9</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rPr>
                <w:rFonts w:ascii="Verdana" w:eastAsia="Verdana" w:hAnsi="Verdana" w:cs="Verdana"/>
                <w:noProof/>
                <w:color w:val="000000"/>
                <w:sz w:val="16"/>
              </w:rPr>
            </w:pPr>
            <w:r>
              <w:rPr>
                <w:rFonts w:ascii="Verdana" w:eastAsia="Verdana" w:hAnsi="Verdana" w:cs="Verdana"/>
                <w:noProof/>
                <w:color w:val="000000"/>
                <w:sz w:val="16"/>
              </w:rPr>
              <w:t>Miscellaneous revenue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w:t>
            </w:r>
          </w:p>
        </w:tc>
      </w:tr>
      <w:tr w:rsidR="00135552">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135552" w:rsidRDefault="00135552">
            <w:pPr>
              <w:pStyle w:val="DMETW17140BIPStatementofcomparisonRevenue"/>
              <w:rPr>
                <w:rFonts w:ascii="Verdana" w:eastAsia="Verdana" w:hAnsi="Verdana" w:cs="Verdana"/>
                <w:b/>
                <w:noProof/>
                <w:color w:val="000000"/>
                <w:sz w:val="16"/>
              </w:rPr>
            </w:pPr>
          </w:p>
        </w:tc>
        <w:tc>
          <w:tcPr>
            <w:tcW w:w="4698"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Revenue"/>
              <w:rPr>
                <w:rFonts w:ascii="Verdana" w:eastAsia="Verdana" w:hAnsi="Verdana" w:cs="Verdana"/>
                <w:b/>
                <w:noProof/>
                <w:color w:val="000000"/>
                <w:sz w:val="16"/>
              </w:rPr>
            </w:pPr>
            <w:r>
              <w:rPr>
                <w:rFonts w:ascii="Verdana" w:eastAsia="Verdana" w:hAnsi="Verdana" w:cs="Verdana"/>
                <w:b/>
                <w:noProof/>
                <w:color w:val="000000"/>
                <w:sz w:val="16"/>
              </w:rPr>
              <w:t>Total</w:t>
            </w:r>
          </w:p>
        </w:tc>
        <w:tc>
          <w:tcPr>
            <w:tcW w:w="1126"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Revenue"/>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Revenue"/>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Revenue"/>
              <w:jc w:val="right"/>
              <w:rPr>
                <w:rFonts w:ascii="Verdana" w:eastAsia="Verdana" w:hAnsi="Verdana" w:cs="Verdana"/>
                <w:b/>
                <w:noProof/>
                <w:color w:val="000000"/>
                <w:sz w:val="16"/>
              </w:rPr>
            </w:pPr>
            <w:r>
              <w:rPr>
                <w:rFonts w:ascii="Verdana" w:eastAsia="Verdana" w:hAnsi="Verdana" w:cs="Verdana"/>
                <w:b/>
                <w:noProof/>
                <w:color w:val="000000"/>
                <w:sz w:val="16"/>
              </w:rPr>
              <w:t>183 771</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Revenue"/>
              <w:jc w:val="right"/>
              <w:rPr>
                <w:rFonts w:ascii="Verdana" w:eastAsia="Verdana" w:hAnsi="Verdana" w:cs="Verdana"/>
                <w:b/>
                <w:noProof/>
                <w:color w:val="000000"/>
                <w:sz w:val="16"/>
              </w:rPr>
            </w:pPr>
            <w:r>
              <w:rPr>
                <w:rFonts w:ascii="Verdana" w:eastAsia="Verdana" w:hAnsi="Verdana" w:cs="Verdana"/>
                <w:b/>
                <w:noProof/>
                <w:color w:val="000000"/>
                <w:sz w:val="16"/>
              </w:rPr>
              <w:t>163 918</w:t>
            </w:r>
          </w:p>
        </w:tc>
      </w:tr>
    </w:tbl>
    <w:p w:rsidR="00135552" w:rsidRDefault="00135552">
      <w:pPr>
        <w:pStyle w:val="Textstand-alone"/>
      </w:pPr>
    </w:p>
    <w:p w:rsidR="00135552" w:rsidRDefault="004C63B0">
      <w:pPr>
        <w:pStyle w:val="HEADERTITLE"/>
      </w:pPr>
      <w:r>
        <w:rPr>
          <w:rFonts w:eastAsia="Calibri"/>
        </w:rPr>
        <w:t>Budget expenditure: commitments by multiannual financial framework (MFF) heading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48"/>
        <w:gridCol w:w="1024"/>
        <w:gridCol w:w="1025"/>
        <w:gridCol w:w="1463"/>
        <w:gridCol w:w="1356"/>
      </w:tblGrid>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noProof/>
                <w:color w:val="000000"/>
                <w:sz w:val="16"/>
                <w:lang w:bidi="en-GB"/>
              </w:rPr>
            </w:pPr>
            <w:bookmarkStart w:id="217" w:name="DOC_TBL00099_1_1"/>
            <w:bookmarkEnd w:id="217"/>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noProof/>
                <w:color w:val="000000"/>
                <w:sz w:val="16"/>
              </w:rPr>
            </w:pP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noProof/>
                <w:color w:val="000000"/>
                <w:sz w:val="16"/>
              </w:rPr>
            </w:pP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40BIPStatementofcomparisonCommitments"/>
              <w:jc w:val="center"/>
              <w:rPr>
                <w:rFonts w:ascii="Verdana" w:eastAsia="Verdana" w:hAnsi="Verdana" w:cs="Verdana"/>
                <w:noProof/>
                <w:color w:val="FFFFFF"/>
                <w:sz w:val="16"/>
              </w:rPr>
            </w:pPr>
          </w:p>
        </w:tc>
        <w:tc>
          <w:tcPr>
            <w:tcW w:w="45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99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141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Total</w:t>
            </w:r>
          </w:p>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appropriations</w:t>
            </w:r>
          </w:p>
          <w:p w:rsidR="00135552" w:rsidRDefault="004C63B0">
            <w:pPr>
              <w:pStyle w:val="DMETW17140BIPStatementofcomparisonCommitments"/>
              <w:jc w:val="center"/>
              <w:rPr>
                <w:rFonts w:ascii="Verdana" w:eastAsia="Verdana" w:hAnsi="Verdana" w:cs="Verdana"/>
                <w:noProof/>
                <w:color w:val="FFFFFF"/>
                <w:sz w:val="16"/>
              </w:rPr>
            </w:pPr>
            <w:r>
              <w:rPr>
                <w:rFonts w:ascii="Verdana" w:eastAsia="Verdana" w:hAnsi="Verdana" w:cs="Verdana"/>
                <w:noProof/>
                <w:color w:val="FFFFFF"/>
                <w:sz w:val="16"/>
              </w:rPr>
              <w:t>available</w:t>
            </w:r>
          </w:p>
        </w:tc>
        <w:tc>
          <w:tcPr>
            <w:tcW w:w="131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Commitments"/>
              <w:jc w:val="center"/>
              <w:rPr>
                <w:rFonts w:ascii="Verdana" w:eastAsia="Verdana" w:hAnsi="Verdana" w:cs="Verdana"/>
                <w:noProof/>
                <w:color w:val="FFFFFF"/>
                <w:sz w:val="16"/>
                <w:lang w:bidi="en-GB"/>
              </w:rPr>
            </w:pPr>
            <w:r>
              <w:rPr>
                <w:rFonts w:ascii="Verdana" w:eastAsia="Verdana" w:hAnsi="Verdana" w:cs="Verdana"/>
                <w:noProof/>
                <w:color w:val="FFFFFF"/>
                <w:sz w:val="16"/>
              </w:rPr>
              <w:t>Commitments made</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1</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 xml:space="preserve">Smart and inclusive </w:t>
            </w:r>
            <w:r>
              <w:rPr>
                <w:rFonts w:ascii="Verdana" w:eastAsia="Verdana" w:hAnsi="Verdana" w:cs="Verdana"/>
                <w:noProof/>
                <w:color w:val="000000"/>
                <w:sz w:val="16"/>
              </w:rPr>
              <w:t>growth</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80 527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80 627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92 794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90 536</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23 335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23 435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27 826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25 782</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57 192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57 192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64 969</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64 754</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2</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62 846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60 600</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i/>
                <w:noProof/>
                <w:color w:val="000000"/>
                <w:sz w:val="16"/>
              </w:rPr>
            </w:pPr>
            <w:r>
              <w:rPr>
                <w:rFonts w:ascii="Verdana" w:eastAsia="Verdana" w:hAnsi="Verdana" w:cs="Verdana"/>
                <w:i/>
                <w:noProof/>
                <w:color w:val="000000"/>
                <w:sz w:val="16"/>
              </w:rPr>
              <w:t xml:space="preserve">of </w:t>
            </w:r>
            <w:r>
              <w:rPr>
                <w:rFonts w:ascii="Verdana" w:eastAsia="Verdana" w:hAnsi="Verdana" w:cs="Verdana"/>
                <w:i/>
                <w:noProof/>
                <w:color w:val="000000"/>
                <w:sz w:val="16"/>
              </w:rPr>
              <w:t>which: Market related expenditure and direct payments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43 192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43 192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44 806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43 962</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3</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4 065</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3 874</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4</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Global Europe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11 319</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11 625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13 454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13 111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5</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Administration</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10 776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10 371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i/>
                <w:noProof/>
                <w:color w:val="000000"/>
                <w:sz w:val="16"/>
              </w:rPr>
            </w:pPr>
            <w:r>
              <w:rPr>
                <w:rFonts w:ascii="Verdana" w:eastAsia="Verdana" w:hAnsi="Verdana" w:cs="Verdana"/>
                <w:i/>
                <w:noProof/>
                <w:color w:val="000000"/>
                <w:sz w:val="16"/>
              </w:rPr>
              <w:t xml:space="preserve">of which: Administrative </w:t>
            </w:r>
            <w:r>
              <w:rPr>
                <w:rFonts w:ascii="Verdana" w:eastAsia="Verdana" w:hAnsi="Verdana" w:cs="Verdana"/>
                <w:i/>
                <w:noProof/>
                <w:color w:val="000000"/>
                <w:sz w:val="16"/>
              </w:rPr>
              <w:t>expenditure of the institutions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rPr>
            </w:pPr>
            <w:r>
              <w:rPr>
                <w:rFonts w:ascii="Verdana" w:eastAsia="Verdana" w:hAnsi="Verdana" w:cs="Verdana"/>
                <w:i/>
                <w:noProof/>
                <w:color w:val="000000"/>
                <w:sz w:val="16"/>
              </w:rPr>
              <w:t>4 550</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4 371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6</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8</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9</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 xml:space="preserve"> 577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 xml:space="preserve"> 565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rPr>
            </w:pPr>
            <w:r>
              <w:rPr>
                <w:rFonts w:ascii="Verdana" w:eastAsia="Verdana" w:hAnsi="Verdana" w:cs="Verdana"/>
                <w:noProof/>
                <w:color w:val="000000"/>
                <w:sz w:val="16"/>
              </w:rPr>
              <w:t xml:space="preserve"> 618</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295</w:t>
            </w:r>
          </w:p>
        </w:tc>
      </w:tr>
      <w:tr w:rsidR="00135552">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135552" w:rsidRDefault="00135552">
            <w:pPr>
              <w:pStyle w:val="DMETW17140BIPStatementofcomparisonCommitments"/>
              <w:rPr>
                <w:rFonts w:ascii="Verdana" w:eastAsia="Verdana" w:hAnsi="Verdana" w:cs="Verdana"/>
                <w:b/>
                <w:noProof/>
                <w:color w:val="000000"/>
                <w:sz w:val="16"/>
              </w:rPr>
            </w:pPr>
          </w:p>
        </w:tc>
        <w:tc>
          <w:tcPr>
            <w:tcW w:w="4502"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Commit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992"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Commitments"/>
              <w:jc w:val="right"/>
              <w:rPr>
                <w:rFonts w:ascii="Verdana" w:eastAsia="Verdana" w:hAnsi="Verdana" w:cs="Verdana"/>
                <w:b/>
                <w:noProof/>
                <w:color w:val="000000"/>
                <w:sz w:val="16"/>
              </w:rPr>
            </w:pPr>
            <w:r>
              <w:rPr>
                <w:rFonts w:ascii="Verdana" w:eastAsia="Verdana" w:hAnsi="Verdana" w:cs="Verdana"/>
                <w:b/>
                <w:noProof/>
                <w:color w:val="000000"/>
                <w:sz w:val="16"/>
              </w:rPr>
              <w:t>165 796</w:t>
            </w:r>
          </w:p>
        </w:tc>
        <w:tc>
          <w:tcPr>
            <w:tcW w:w="993"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Commitments"/>
              <w:jc w:val="right"/>
              <w:rPr>
                <w:rFonts w:ascii="Verdana" w:eastAsia="Verdana" w:hAnsi="Verdana" w:cs="Verdana"/>
                <w:b/>
                <w:noProof/>
                <w:color w:val="000000"/>
                <w:sz w:val="16"/>
              </w:rPr>
            </w:pPr>
            <w:r>
              <w:rPr>
                <w:rFonts w:ascii="Verdana" w:eastAsia="Verdana" w:hAnsi="Verdana" w:cs="Verdana"/>
                <w:b/>
                <w:noProof/>
                <w:color w:val="000000"/>
                <w:sz w:val="16"/>
              </w:rPr>
              <w:t>166 189</w:t>
            </w:r>
          </w:p>
        </w:tc>
        <w:tc>
          <w:tcPr>
            <w:tcW w:w="1417"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Commitments"/>
              <w:jc w:val="right"/>
              <w:rPr>
                <w:rFonts w:ascii="Verdana" w:eastAsia="Verdana" w:hAnsi="Verdana" w:cs="Verdana"/>
                <w:b/>
                <w:noProof/>
                <w:color w:val="000000"/>
                <w:sz w:val="16"/>
              </w:rPr>
            </w:pPr>
            <w:r>
              <w:rPr>
                <w:rFonts w:ascii="Verdana" w:eastAsia="Verdana" w:hAnsi="Verdana" w:cs="Verdana"/>
                <w:b/>
                <w:noProof/>
                <w:color w:val="000000"/>
                <w:sz w:val="16"/>
              </w:rPr>
              <w:t>184 554</w:t>
            </w:r>
          </w:p>
        </w:tc>
        <w:tc>
          <w:tcPr>
            <w:tcW w:w="1313"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Commitments"/>
              <w:jc w:val="right"/>
              <w:rPr>
                <w:rFonts w:ascii="Verdana" w:eastAsia="Verdana" w:hAnsi="Verdana" w:cs="Verdana"/>
                <w:b/>
                <w:noProof/>
                <w:color w:val="000000"/>
                <w:sz w:val="16"/>
              </w:rPr>
            </w:pPr>
            <w:r>
              <w:rPr>
                <w:rFonts w:ascii="Verdana" w:eastAsia="Verdana" w:hAnsi="Verdana" w:cs="Verdana"/>
                <w:b/>
                <w:noProof/>
                <w:color w:val="000000"/>
                <w:sz w:val="16"/>
              </w:rPr>
              <w:t>178 787</w:t>
            </w:r>
          </w:p>
        </w:tc>
      </w:tr>
    </w:tbl>
    <w:p w:rsidR="00135552" w:rsidRDefault="00135552">
      <w:pPr>
        <w:pStyle w:val="Textstand-alone"/>
      </w:pPr>
    </w:p>
    <w:p w:rsidR="00135552" w:rsidRDefault="004C63B0">
      <w:pPr>
        <w:pStyle w:val="HEADERTITLE"/>
      </w:pPr>
      <w:r>
        <w:t>Budget expenditure: payments by multiannual financial framework (MFF) heading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30"/>
        <w:gridCol w:w="1405"/>
        <w:gridCol w:w="1268"/>
      </w:tblGrid>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noProof/>
                <w:color w:val="000000"/>
                <w:sz w:val="16"/>
                <w:lang w:bidi="en-GB"/>
              </w:rPr>
            </w:pPr>
            <w:bookmarkStart w:id="218" w:name="DOC_TBL00100_1_1"/>
            <w:bookmarkEnd w:id="218"/>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noProof/>
                <w:color w:val="000000"/>
                <w:sz w:val="16"/>
              </w:rPr>
            </w:pP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noProof/>
                <w:color w:val="000000"/>
                <w:sz w:val="16"/>
              </w:rPr>
            </w:pP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40BIPStatementofcomparisonPayments"/>
              <w:jc w:val="center"/>
              <w:rPr>
                <w:rFonts w:ascii="Verdana" w:eastAsia="Verdana" w:hAnsi="Verdana" w:cs="Verdana"/>
                <w:noProof/>
                <w:color w:val="FFFFFF"/>
                <w:sz w:val="16"/>
              </w:rPr>
            </w:pPr>
          </w:p>
        </w:tc>
        <w:tc>
          <w:tcPr>
            <w:tcW w:w="430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109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136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Total</w:t>
            </w:r>
          </w:p>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appropriations</w:t>
            </w:r>
          </w:p>
          <w:p w:rsidR="00135552" w:rsidRDefault="004C63B0">
            <w:pPr>
              <w:pStyle w:val="DMETW17140BIPStatementofcomparisonPayments"/>
              <w:jc w:val="center"/>
              <w:rPr>
                <w:rFonts w:ascii="Verdana" w:eastAsia="Verdana" w:hAnsi="Verdana" w:cs="Verdana"/>
                <w:noProof/>
                <w:color w:val="FFFFFF"/>
                <w:sz w:val="16"/>
              </w:rPr>
            </w:pPr>
            <w:r>
              <w:rPr>
                <w:rFonts w:ascii="Verdana" w:eastAsia="Verdana" w:hAnsi="Verdana" w:cs="Verdana"/>
                <w:noProof/>
                <w:color w:val="FFFFFF"/>
                <w:sz w:val="16"/>
              </w:rPr>
              <w:t>available</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40BIPStatementofcomparisonPayments"/>
              <w:jc w:val="center"/>
              <w:rPr>
                <w:rFonts w:ascii="Verdana" w:eastAsia="Verdana" w:hAnsi="Verdana" w:cs="Verdana"/>
                <w:noProof/>
                <w:color w:val="FFFFFF"/>
                <w:sz w:val="16"/>
                <w:lang w:bidi="en-GB"/>
              </w:rPr>
            </w:pPr>
            <w:r>
              <w:rPr>
                <w:rFonts w:ascii="Verdana" w:eastAsia="Verdana" w:hAnsi="Verdana" w:cs="Verdana"/>
                <w:noProof/>
                <w:color w:val="FFFFFF"/>
                <w:sz w:val="16"/>
              </w:rPr>
              <w:t>Payments made</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1</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Smart and inclusive growth</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67 557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67 823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82 553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75 535</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20 522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20 261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26 044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lang w:bidi="en-GB"/>
              </w:rPr>
            </w:pPr>
            <w:r>
              <w:rPr>
                <w:rFonts w:ascii="Verdana" w:eastAsia="Verdana" w:hAnsi="Verdana" w:cs="Verdana"/>
                <w:i/>
                <w:noProof/>
                <w:color w:val="000000"/>
                <w:sz w:val="16"/>
              </w:rPr>
              <w:t>21 748</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47 035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47 561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56 510</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lang w:bidi="en-GB"/>
              </w:rPr>
            </w:pPr>
            <w:r>
              <w:rPr>
                <w:rFonts w:ascii="Verdana" w:eastAsia="Verdana" w:hAnsi="Verdana" w:cs="Verdana"/>
                <w:i/>
                <w:noProof/>
                <w:color w:val="000000"/>
                <w:sz w:val="16"/>
              </w:rPr>
              <w:t>53 787</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2</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57 400</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57 837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61 252</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59 521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i/>
                <w:noProof/>
                <w:color w:val="000000"/>
                <w:sz w:val="16"/>
              </w:rPr>
            </w:pPr>
            <w:r>
              <w:rPr>
                <w:rFonts w:ascii="Verdana" w:eastAsia="Verdana" w:hAnsi="Verdana" w:cs="Verdana"/>
                <w:i/>
                <w:noProof/>
                <w:color w:val="000000"/>
                <w:sz w:val="16"/>
              </w:rPr>
              <w:t xml:space="preserve">of which: Market related expenditure </w:t>
            </w:r>
            <w:r>
              <w:rPr>
                <w:rFonts w:ascii="Verdana" w:eastAsia="Verdana" w:hAnsi="Verdana" w:cs="Verdana"/>
                <w:i/>
                <w:noProof/>
                <w:color w:val="000000"/>
                <w:sz w:val="16"/>
              </w:rPr>
              <w:t>and direct payments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43 116</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43 113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44 933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lang w:bidi="en-GB"/>
              </w:rPr>
            </w:pPr>
            <w:r>
              <w:rPr>
                <w:rFonts w:ascii="Verdana" w:eastAsia="Verdana" w:hAnsi="Verdana" w:cs="Verdana"/>
                <w:i/>
                <w:noProof/>
                <w:color w:val="000000"/>
                <w:sz w:val="16"/>
              </w:rPr>
              <w:t>43 885</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3</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3 527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3 291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3 575</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3 256</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4</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Global Europe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9 358</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8 953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10 933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10 108</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5</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Administration</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9 945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9 942</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11 694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10 381</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i/>
                <w:noProof/>
                <w:color w:val="000000"/>
                <w:sz w:val="16"/>
              </w:rPr>
            </w:pPr>
            <w:r>
              <w:rPr>
                <w:rFonts w:ascii="Verdana" w:eastAsia="Verdana" w:hAnsi="Verdana" w:cs="Verdana"/>
                <w:i/>
                <w:noProof/>
                <w:color w:val="000000"/>
                <w:sz w:val="16"/>
              </w:rPr>
              <w:t>of which: Administrative expenditure of the institutions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4 </w:t>
            </w:r>
            <w:r>
              <w:rPr>
                <w:rFonts w:ascii="Verdana" w:eastAsia="Verdana" w:hAnsi="Verdana" w:cs="Verdana"/>
                <w:i/>
                <w:noProof/>
                <w:color w:val="000000"/>
                <w:sz w:val="16"/>
              </w:rPr>
              <w:t>115</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rPr>
            </w:pPr>
            <w:r>
              <w:rPr>
                <w:rFonts w:ascii="Verdana" w:eastAsia="Verdana" w:hAnsi="Verdana" w:cs="Verdana"/>
                <w:i/>
                <w:noProof/>
                <w:color w:val="000000"/>
                <w:sz w:val="16"/>
              </w:rPr>
              <w:t>5 107</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i/>
                <w:noProof/>
                <w:color w:val="000000"/>
                <w:sz w:val="16"/>
                <w:lang w:bidi="en-GB"/>
              </w:rPr>
            </w:pPr>
            <w:r>
              <w:rPr>
                <w:rFonts w:ascii="Verdana" w:eastAsia="Verdana" w:hAnsi="Verdana" w:cs="Verdana"/>
                <w:i/>
                <w:noProof/>
                <w:color w:val="000000"/>
                <w:sz w:val="16"/>
              </w:rPr>
              <w:t>4 377</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6</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8</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9</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 xml:space="preserve"> 647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rPr>
            </w:pPr>
            <w:r>
              <w:rPr>
                <w:rFonts w:ascii="Verdana" w:eastAsia="Verdana" w:hAnsi="Verdana" w:cs="Verdana"/>
                <w:noProof/>
                <w:color w:val="000000"/>
                <w:sz w:val="16"/>
              </w:rPr>
              <w:t xml:space="preserve"> 671</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40BIPStatementofcomparison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295</w:t>
            </w:r>
          </w:p>
        </w:tc>
      </w:tr>
      <w:tr w:rsidR="00135552">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135552" w:rsidRDefault="00135552">
            <w:pPr>
              <w:pStyle w:val="DMETW17140BIPStatementofcomparisonPayments"/>
              <w:rPr>
                <w:rFonts w:ascii="Verdana" w:eastAsia="Verdana" w:hAnsi="Verdana" w:cs="Verdana"/>
                <w:b/>
                <w:noProof/>
                <w:color w:val="000000"/>
                <w:sz w:val="16"/>
              </w:rPr>
            </w:pPr>
          </w:p>
        </w:tc>
        <w:tc>
          <w:tcPr>
            <w:tcW w:w="4305"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Pay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Payments"/>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1095"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Payments"/>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1361"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Payments"/>
              <w:jc w:val="right"/>
              <w:rPr>
                <w:rFonts w:ascii="Verdana" w:eastAsia="Verdana" w:hAnsi="Verdana" w:cs="Verdana"/>
                <w:b/>
                <w:noProof/>
                <w:color w:val="000000"/>
                <w:sz w:val="16"/>
              </w:rPr>
            </w:pPr>
            <w:r>
              <w:rPr>
                <w:rFonts w:ascii="Verdana" w:eastAsia="Verdana" w:hAnsi="Verdana" w:cs="Verdana"/>
                <w:b/>
                <w:noProof/>
                <w:color w:val="000000"/>
                <w:sz w:val="16"/>
              </w:rPr>
              <w:t>170 679</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140BIPStatementofcomparisonPayments"/>
              <w:jc w:val="right"/>
              <w:rPr>
                <w:rFonts w:ascii="Verdana" w:eastAsia="Verdana" w:hAnsi="Verdana" w:cs="Verdana"/>
                <w:b/>
                <w:noProof/>
                <w:color w:val="000000"/>
                <w:sz w:val="16"/>
              </w:rPr>
            </w:pPr>
            <w:r>
              <w:rPr>
                <w:rFonts w:ascii="Verdana" w:eastAsia="Verdana" w:hAnsi="Verdana" w:cs="Verdana"/>
                <w:b/>
                <w:noProof/>
                <w:color w:val="000000"/>
                <w:sz w:val="16"/>
              </w:rPr>
              <w:t>159 096</w:t>
            </w:r>
          </w:p>
        </w:tc>
      </w:tr>
    </w:tbl>
    <w:p w:rsidR="00135552" w:rsidRDefault="00135552">
      <w:pPr>
        <w:pStyle w:val="Textstand-alone"/>
      </w:pPr>
    </w:p>
    <w:p w:rsidR="00135552" w:rsidRDefault="004C63B0">
      <w:pPr>
        <w:pStyle w:val="Textstand-alone"/>
        <w:sectPr w:rsidR="00135552">
          <w:headerReference w:type="even" r:id="rId324"/>
          <w:headerReference w:type="default" r:id="rId325"/>
          <w:footerReference w:type="even" r:id="rId326"/>
          <w:footerReference w:type="default" r:id="rId327"/>
          <w:headerReference w:type="first" r:id="rId328"/>
          <w:footerReference w:type="first" r:id="rId329"/>
          <w:pgSz w:w="11907" w:h="16840"/>
          <w:pgMar w:top="1134" w:right="1134" w:bottom="1134" w:left="1134" w:header="709" w:footer="709" w:gutter="0"/>
          <w:cols w:space="708"/>
          <w:docGrid w:linePitch="360"/>
        </w:sectPr>
      </w:pPr>
      <w:r>
        <w:t xml:space="preserve"> </w:t>
      </w:r>
      <w:bookmarkEnd w:id="213"/>
    </w:p>
    <w:p w:rsidR="00135552" w:rsidRDefault="004C63B0">
      <w:pPr>
        <w:pStyle w:val="HEADERTITLE2"/>
      </w:pPr>
      <w:bookmarkStart w:id="219" w:name="_Toc43223212"/>
      <w:bookmarkStart w:id="220" w:name="_DMBM_17204"/>
      <w:r>
        <w:t>NOTES TO THE BUDGETARY IMPLEMENTATION REPORTS</w:t>
      </w:r>
      <w:bookmarkEnd w:id="219"/>
      <w:r>
        <w:t xml:space="preserve"> </w:t>
      </w:r>
    </w:p>
    <w:p w:rsidR="00135552" w:rsidRDefault="004C63B0">
      <w:pPr>
        <w:pStyle w:val="HEADER1PartBUDG"/>
        <w:rPr>
          <w:noProof/>
        </w:rPr>
      </w:pPr>
      <w:r>
        <w:rPr>
          <w:noProof/>
          <w:lang w:val="en-GB"/>
        </w:rPr>
        <w:t xml:space="preserve"> </w:t>
      </w:r>
      <w:bookmarkStart w:id="221" w:name="_Toc43223213"/>
      <w:r>
        <w:rPr>
          <w:noProof/>
        </w:rPr>
        <w:t>THE EU BUDGET FRAMEWORK</w:t>
      </w:r>
      <w:bookmarkEnd w:id="221"/>
    </w:p>
    <w:p w:rsidR="00135552" w:rsidRDefault="004C63B0">
      <w:pPr>
        <w:pStyle w:val="DGTextstand-alone"/>
      </w:pPr>
      <w:r>
        <w:t xml:space="preserve">The budgetary accounts are kept in accordance with the Financial Regulation (FR). The general budget is the instrument which </w:t>
      </w:r>
      <w:r>
        <w:t>provides for and authorises the Union's revenue and expenditure every year, within the ceilings and other provisions laid down in the Multiannual Financial Framework in line with the legislative acts concerning multiannual programmes adopted under that fra</w:t>
      </w:r>
      <w:r>
        <w:t>mework.</w:t>
      </w:r>
    </w:p>
    <w:p w:rsidR="00135552" w:rsidRDefault="004C63B0">
      <w:pPr>
        <w:pStyle w:val="HEADER2PartBUDG"/>
        <w:rPr>
          <w:noProof/>
        </w:rPr>
      </w:pPr>
      <w:bookmarkStart w:id="222" w:name="_Toc43223214"/>
      <w:r>
        <w:rPr>
          <w:noProof/>
        </w:rPr>
        <w:t>MULTIANNUAL FINANCIAL FRAMEWORK 2014-2020</w:t>
      </w:r>
      <w:bookmarkEnd w:id="22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rsidR="00135552">
        <w:tc>
          <w:tcPr>
            <w:tcW w:w="1951"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Left"/>
              <w:rPr>
                <w:rFonts w:eastAsia="Verdana" w:cs="Verdana"/>
                <w:color w:val="FFFFFF"/>
                <w:lang w:bidi="en-GB"/>
              </w:rPr>
            </w:pPr>
            <w:bookmarkStart w:id="223" w:name="DOC_TBL00101_1_1"/>
            <w:bookmarkEnd w:id="223"/>
          </w:p>
        </w:tc>
        <w:tc>
          <w:tcPr>
            <w:tcW w:w="992"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135552" w:rsidRDefault="00135552">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rsidR="00135552" w:rsidRDefault="004C63B0">
            <w:pPr>
              <w:pStyle w:val="Text7pItalicRight025"/>
              <w:rPr>
                <w:rFonts w:eastAsia="Verdana" w:cs="Verdana"/>
                <w:lang w:bidi="en-GB"/>
              </w:rPr>
            </w:pPr>
            <w:r>
              <w:rPr>
                <w:rFonts w:eastAsia="Verdana" w:cs="Verdana"/>
                <w:lang w:bidi="en-GB"/>
              </w:rPr>
              <w:t>EUR million</w:t>
            </w:r>
          </w:p>
        </w:tc>
      </w:tr>
      <w:tr w:rsidR="00135552">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135552">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135552" w:rsidRDefault="004C63B0">
            <w:pPr>
              <w:pStyle w:val="Heading7pNormalRight01"/>
              <w:jc w:val="center"/>
              <w:rPr>
                <w:rFonts w:eastAsia="Verdana" w:cs="Verdana"/>
                <w:noProof/>
                <w:lang w:bidi="en-GB"/>
              </w:rPr>
            </w:pPr>
            <w:r>
              <w:rPr>
                <w:rFonts w:eastAsia="Verdana" w:cs="Verdana"/>
                <w:noProof/>
                <w:lang w:bidi="en-GB"/>
              </w:rPr>
              <w:t>Total</w:t>
            </w:r>
          </w:p>
        </w:tc>
      </w:tr>
      <w:tr w:rsidR="00135552">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1. Smart and inclusive growth</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513 563</w:t>
            </w:r>
          </w:p>
        </w:tc>
      </w:tr>
      <w:tr w:rsidR="00135552">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Text7pItalicLeft"/>
              <w:ind w:left="200"/>
              <w:rPr>
                <w:rFonts w:eastAsia="Verdana" w:cs="Verdana"/>
                <w:lang w:bidi="en-GB"/>
              </w:rPr>
            </w:pPr>
            <w:r>
              <w:rPr>
                <w:rFonts w:eastAsia="Verdana" w:cs="Verdana"/>
                <w:lang w:bidi="en-GB"/>
              </w:rPr>
              <w:t>1.a Competitiveness for growth and jobs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142 130</w:t>
            </w:r>
          </w:p>
        </w:tc>
      </w:tr>
      <w:tr w:rsidR="00135552">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Text7pItalicLeft"/>
              <w:ind w:left="200"/>
              <w:rPr>
                <w:rFonts w:eastAsia="Verdana" w:cs="Verdana"/>
                <w:lang w:bidi="en-GB"/>
              </w:rPr>
            </w:pPr>
            <w:r>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371 433</w:t>
            </w:r>
          </w:p>
        </w:tc>
      </w:tr>
      <w:tr w:rsidR="00135552">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2. Sustainable growth: natural resources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420 034</w:t>
            </w:r>
          </w:p>
        </w:tc>
      </w:tr>
      <w:tr w:rsidR="00135552">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Text7pItalicLeft"/>
              <w:ind w:left="200"/>
              <w:rPr>
                <w:rFonts w:eastAsia="Verdana" w:cs="Verdana"/>
                <w:lang w:bidi="en-GB"/>
              </w:rPr>
            </w:pPr>
            <w:r>
              <w:rPr>
                <w:rFonts w:eastAsia="Verdana" w:cs="Verdana"/>
                <w:lang w:bidi="en-GB"/>
              </w:rPr>
              <w:t>of which: market related expenditure and direct payments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43 881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43 888</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307 998</w:t>
            </w:r>
          </w:p>
        </w:tc>
      </w:tr>
      <w:tr w:rsidR="00135552">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3. Security and citizenship</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17 725</w:t>
            </w:r>
          </w:p>
        </w:tc>
      </w:tr>
      <w:tr w:rsidR="00135552">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4. Global Europe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66 262</w:t>
            </w:r>
          </w:p>
        </w:tc>
      </w:tr>
      <w:tr w:rsidR="00135552">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5. 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69 584</w:t>
            </w:r>
          </w:p>
        </w:tc>
      </w:tr>
      <w:tr w:rsidR="00135552">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Text7pItalicLeft"/>
              <w:ind w:left="200"/>
              <w:rPr>
                <w:rFonts w:eastAsia="Verdana" w:cs="Verdana"/>
                <w:lang w:bidi="en-GB"/>
              </w:rPr>
            </w:pPr>
            <w:r>
              <w:rPr>
                <w:rFonts w:eastAsia="Verdana" w:cs="Verdana"/>
                <w:lang w:bidi="en-GB"/>
              </w:rPr>
              <w:t>of which: Administrative expenditure of the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ItalicRight01"/>
              <w:rPr>
                <w:rFonts w:eastAsia="Verdana" w:cs="Verdana"/>
                <w:lang w:bidi="en-GB"/>
              </w:rPr>
            </w:pPr>
            <w:r>
              <w:rPr>
                <w:rFonts w:eastAsia="Verdana" w:cs="Verdana"/>
                <w:lang w:bidi="en-GB"/>
              </w:rPr>
              <w:t xml:space="preserve">  56 224</w:t>
            </w:r>
          </w:p>
        </w:tc>
      </w:tr>
      <w:tr w:rsidR="00135552">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6.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 xml:space="preserve">   29</w:t>
            </w:r>
          </w:p>
        </w:tc>
      </w:tr>
      <w:tr w:rsidR="00135552">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8. Negative reserve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r>
      <w:tr w:rsidR="00135552">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Text7pNormalLeft"/>
              <w:ind w:left="0"/>
              <w:rPr>
                <w:rFonts w:eastAsia="Verdana" w:cs="Verdana"/>
                <w:lang w:bidi="en-GB"/>
              </w:rPr>
            </w:pPr>
            <w:r>
              <w:rPr>
                <w:rFonts w:eastAsia="Verdana" w:cs="Verdana"/>
                <w:lang w:bidi="en-GB"/>
              </w:rPr>
              <w:t>9. Special Instruments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135552" w:rsidRDefault="004C63B0">
            <w:pPr>
              <w:pStyle w:val="Figures6pNormalright01"/>
              <w:rPr>
                <w:rFonts w:eastAsia="Verdana" w:cs="Verdana"/>
                <w:lang w:bidi="en-GB"/>
              </w:rPr>
            </w:pPr>
            <w:r>
              <w:rPr>
                <w:rFonts w:eastAsia="Verdana" w:cs="Verdana"/>
                <w:lang w:bidi="en-GB"/>
              </w:rPr>
              <w:t>–</w:t>
            </w:r>
          </w:p>
        </w:tc>
      </w:tr>
      <w:tr w:rsidR="00135552">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Text7pBoldLeft"/>
              <w:rPr>
                <w:rFonts w:eastAsia="Verdana" w:cs="Verdana"/>
                <w:lang w:bidi="en-GB"/>
              </w:rPr>
            </w:pPr>
            <w:r>
              <w:rPr>
                <w:rFonts w:eastAsia="Verdana" w:cs="Verdana"/>
                <w:lang w:bidi="en-GB"/>
              </w:rPr>
              <w:t>Commitment appropriations</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1 087 197</w:t>
            </w:r>
          </w:p>
        </w:tc>
      </w:tr>
      <w:tr w:rsidR="00135552">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135552" w:rsidRDefault="00135552">
            <w:pPr>
              <w:pStyle w:val="Figures6pNormalright01"/>
              <w:rPr>
                <w:rFonts w:eastAsia="Verdana" w:cs="Verdana"/>
                <w:lang w:bidi="en-GB"/>
              </w:rPr>
            </w:pPr>
          </w:p>
        </w:tc>
      </w:tr>
      <w:tr w:rsidR="00135552">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Text7pBoldLeft"/>
              <w:rPr>
                <w:rFonts w:eastAsia="Verdana" w:cs="Verdana"/>
                <w:lang w:bidi="en-GB"/>
              </w:rPr>
            </w:pPr>
            <w:r>
              <w:rPr>
                <w:rFonts w:eastAsia="Verdana" w:cs="Verdana"/>
                <w:lang w:bidi="en-GB"/>
              </w:rPr>
              <w:t>Total payment appropriations</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126 492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154 355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166 709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172 420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135552" w:rsidRDefault="004C63B0">
            <w:pPr>
              <w:pStyle w:val="Figures6pBoldRight01"/>
              <w:rPr>
                <w:rFonts w:eastAsia="Verdana" w:cs="Verdana"/>
                <w:lang w:bidi="en-GB"/>
              </w:rPr>
            </w:pPr>
            <w:r>
              <w:rPr>
                <w:rFonts w:eastAsia="Verdana" w:cs="Verdana"/>
                <w:lang w:bidi="en-GB"/>
              </w:rPr>
              <w:t xml:space="preserve"> 1 027 151</w:t>
            </w:r>
          </w:p>
        </w:tc>
      </w:tr>
    </w:tbl>
    <w:p w:rsidR="00135552" w:rsidRDefault="004C63B0">
      <w:pPr>
        <w:pStyle w:val="DGTextstand-alone"/>
      </w:pPr>
      <w:r>
        <w:t xml:space="preserve">The above table shows the Multiannual Financial Framework (MFF) ceilings at current prices. </w:t>
      </w:r>
      <w:r>
        <w:t>2019 was the penultimate financial year covered by the MFF 2014-2020. The overall ceiling for commitment appropriations for 2019 was EUR 164 123 million, equivalent to 1.00 % of the EU GNI, whilst the corresponding ceiling for payment appropriations was EU</w:t>
      </w:r>
      <w:r>
        <w:t>R 166 709 million, or 1.01 % of the EU GNI valid throughout the budgetary year 2019.</w:t>
      </w:r>
    </w:p>
    <w:p w:rsidR="00135552" w:rsidRDefault="004C63B0">
      <w:pPr>
        <w:pStyle w:val="DGTextstand-alone"/>
      </w:pPr>
      <w:r>
        <w:t>New flexibility provisions have been agreed for the 2014-2020 MFF. One of the new provisions is a possibility to transfer unspent margins (up until the caps set by the reg</w:t>
      </w:r>
      <w:r>
        <w:t xml:space="preserve">ulation) under the payment ceilings to the following years – via the Global Margin for Payments in the framework of the technical adjustment of the MFF for the following year. Therefore, the unspent amount from 2016 (EUR 13 991 million in current prices), </w:t>
      </w:r>
      <w:r>
        <w:t>2017 (EUR 16 414 million in current prices) and 2018 (EUR 210 million out of the calculated EUR 11 386 million due to the capping) was transferred to the years 2018-2020 and the ceilings of 2016-2020 were adjusted accordingly. On 15 May 2019 the Commission</w:t>
      </w:r>
      <w:r>
        <w:t xml:space="preserve"> adopted a Communication on technical adjustment of the financial framework for 2020 in line with movements in GNI (ESA 2010) (COM(2019)310).</w:t>
      </w:r>
    </w:p>
    <w:p w:rsidR="00135552" w:rsidRDefault="004C63B0">
      <w:pPr>
        <w:rPr>
          <w:rFonts w:ascii="Verdana" w:eastAsia="Calibri" w:hAnsi="Verdana"/>
          <w:noProof/>
          <w:sz w:val="18"/>
          <w:szCs w:val="18"/>
          <w:bdr w:val="nil"/>
          <w:lang w:eastAsia="en-US"/>
        </w:rPr>
      </w:pPr>
      <w:r>
        <w:rPr>
          <w:noProof/>
        </w:rPr>
        <w:br w:type="page"/>
      </w:r>
    </w:p>
    <w:p w:rsidR="00135552" w:rsidRDefault="004C63B0">
      <w:pPr>
        <w:pStyle w:val="DGTextstand-alone"/>
      </w:pPr>
      <w:r>
        <w:t>An explanation of the various headings of the MFF is given below:</w:t>
      </w:r>
    </w:p>
    <w:p w:rsidR="00135552" w:rsidRDefault="004C63B0">
      <w:pPr>
        <w:pStyle w:val="HEADER5"/>
        <w:rPr>
          <w:noProof/>
        </w:rPr>
      </w:pPr>
      <w:r>
        <w:rPr>
          <w:noProof/>
        </w:rPr>
        <w:t>Heading 1 – Smart and inclusive growth</w:t>
      </w:r>
    </w:p>
    <w:p w:rsidR="00135552" w:rsidRDefault="004C63B0">
      <w:pPr>
        <w:pStyle w:val="DGTextstand-alone"/>
      </w:pPr>
      <w:r>
        <w:t>This he</w:t>
      </w:r>
      <w:r>
        <w:t>ading is divided into two separate, but interlinked components:</w:t>
      </w:r>
    </w:p>
    <w:p w:rsidR="00135552" w:rsidRDefault="004C63B0">
      <w:pPr>
        <w:pStyle w:val="DGTextstand-alone"/>
        <w:ind w:left="426" w:hanging="426"/>
      </w:pPr>
      <w:r>
        <w:t>1a</w:t>
      </w:r>
      <w:r>
        <w:tab/>
        <w:t>Competitiveness for growth and jobs, encompassing expenditure on research and innovation, education and training, Connecting Europe Facility, social policy, the internal market and accompan</w:t>
      </w:r>
      <w:r>
        <w:t>ying policies.</w:t>
      </w:r>
    </w:p>
    <w:p w:rsidR="00135552" w:rsidRDefault="004C63B0">
      <w:pPr>
        <w:pStyle w:val="DGTextstand-alone"/>
        <w:ind w:left="426" w:hanging="426"/>
      </w:pPr>
      <w:r>
        <w:t>1b</w:t>
      </w:r>
      <w:r>
        <w:tab/>
        <w:t xml:space="preserve">Economic, social and territorial cohesion, designed to enhance convergence of the least developed Member States and regions, to complement the EU strategy for sustainable development outside the less prosperous regions and to support </w:t>
      </w:r>
      <w:r>
        <w:t>inter regional cooperation.</w:t>
      </w:r>
    </w:p>
    <w:p w:rsidR="00135552" w:rsidRDefault="004C63B0">
      <w:pPr>
        <w:pStyle w:val="HEADER5"/>
        <w:rPr>
          <w:noProof/>
        </w:rPr>
      </w:pPr>
      <w:r>
        <w:rPr>
          <w:noProof/>
        </w:rPr>
        <w:t>Heading 2 – Sustainable growth: natural resources</w:t>
      </w:r>
    </w:p>
    <w:p w:rsidR="00135552" w:rsidRDefault="004C63B0">
      <w:pPr>
        <w:pStyle w:val="DGTextstand-alone"/>
      </w:pPr>
      <w:r>
        <w:t>Heading 2 includes the common agricultural and fisheries policies, and the environmental measures, in particular the Life + programme.</w:t>
      </w:r>
    </w:p>
    <w:p w:rsidR="00135552" w:rsidRDefault="004C63B0">
      <w:pPr>
        <w:pStyle w:val="HEADER5"/>
        <w:rPr>
          <w:noProof/>
        </w:rPr>
      </w:pPr>
      <w:r>
        <w:rPr>
          <w:noProof/>
        </w:rPr>
        <w:t>Heading 3 – Security and citizenship</w:t>
      </w:r>
    </w:p>
    <w:p w:rsidR="00135552" w:rsidRDefault="004C63B0">
      <w:pPr>
        <w:pStyle w:val="DGTextstand-alone"/>
      </w:pPr>
      <w:r>
        <w:t>Headin</w:t>
      </w:r>
      <w:r>
        <w:t>g 3 (Security and citizenship) reflects the growing importance attached to certain fields where the EU has been assigned particular tasks – justice and home affairs, border protection, immigration and asylum policy, public health and consumer protection, c</w:t>
      </w:r>
      <w:r>
        <w:t>ulture, youth, information and dialogue with citizens.</w:t>
      </w:r>
    </w:p>
    <w:p w:rsidR="00135552" w:rsidRDefault="004C63B0">
      <w:pPr>
        <w:pStyle w:val="HEADER5"/>
        <w:rPr>
          <w:noProof/>
        </w:rPr>
      </w:pPr>
      <w:r>
        <w:rPr>
          <w:noProof/>
        </w:rPr>
        <w:t>Heading 4 – Global Europe</w:t>
      </w:r>
    </w:p>
    <w:p w:rsidR="00135552" w:rsidRDefault="004C63B0">
      <w:pPr>
        <w:pStyle w:val="DGTextstand-alone"/>
      </w:pPr>
      <w:r>
        <w:t>Heading 4 covers all external action, including development cooperation, humanitarian aid, pre-accession and neighbourhood instruments. The EDF remains outside of the EU budge</w:t>
      </w:r>
      <w:r>
        <w:t>t and is not part of the MFF.</w:t>
      </w:r>
    </w:p>
    <w:p w:rsidR="00135552" w:rsidRDefault="004C63B0">
      <w:pPr>
        <w:pStyle w:val="HEADER5"/>
        <w:rPr>
          <w:noProof/>
        </w:rPr>
      </w:pPr>
      <w:r>
        <w:rPr>
          <w:noProof/>
        </w:rPr>
        <w:t>Heading 5 - Administration</w:t>
      </w:r>
    </w:p>
    <w:p w:rsidR="00135552" w:rsidRDefault="004C63B0">
      <w:pPr>
        <w:pStyle w:val="DGTextstand-alone"/>
      </w:pPr>
      <w:r>
        <w:t>This heading covers administrative expenditure for all institutions, pensions and the European Schools. For the Institutions other than the Commission, these costs make up the totality of their expen</w:t>
      </w:r>
      <w:r>
        <w:t>diture.</w:t>
      </w:r>
    </w:p>
    <w:p w:rsidR="00135552" w:rsidRDefault="004C63B0">
      <w:pPr>
        <w:pStyle w:val="HEADER5"/>
        <w:rPr>
          <w:noProof/>
        </w:rPr>
      </w:pPr>
      <w:r>
        <w:rPr>
          <w:noProof/>
        </w:rPr>
        <w:t>Heading 6 - Compensations</w:t>
      </w:r>
    </w:p>
    <w:p w:rsidR="00135552" w:rsidRDefault="004C63B0">
      <w:pPr>
        <w:pStyle w:val="DGTextstand-alone"/>
      </w:pPr>
      <w:r>
        <w:t>In accordance with the political agreement that new Member States should not become net-contributors to the budget at the very beginning of their membership, compensation was foreseen under this heading. This amount was av</w:t>
      </w:r>
      <w:r>
        <w:t>ailable as transfers to these Member States to balance their budgetary receipts and contributions.</w:t>
      </w:r>
    </w:p>
    <w:p w:rsidR="00135552" w:rsidRDefault="004C63B0">
      <w:pPr>
        <w:pStyle w:val="HEADER5"/>
        <w:rPr>
          <w:noProof/>
        </w:rPr>
      </w:pPr>
      <w:r>
        <w:rPr>
          <w:noProof/>
        </w:rPr>
        <w:t>Heading 9 – Special instruments</w:t>
      </w:r>
    </w:p>
    <w:p w:rsidR="00135552" w:rsidRDefault="004C63B0">
      <w:pPr>
        <w:pStyle w:val="DGTextstand-alone"/>
      </w:pPr>
      <w:r>
        <w:t>Flexibility mechanisms enable the EU to mobilise the necessary funds to react to unforeseen events such as crisis and emergen</w:t>
      </w:r>
      <w:r>
        <w:t>cy situations. Their scope, financial allocation and operating modalities are provided for in the MFF regulation and the Interinstitutional Agreement. In the current context of reduced expenditure, they also ensure that budgetary resources can respond to e</w:t>
      </w:r>
      <w:r>
        <w:t>volving priorities, so that every euro is used where it is most needed. Most of the flexibility mechanisms are therefore kept outside the MFF and the funding can be mobilised above the expenditure ceilings.</w:t>
      </w:r>
    </w:p>
    <w:p w:rsidR="00135552" w:rsidRDefault="004C63B0">
      <w:pPr>
        <w:pStyle w:val="HEADER2PartBUDG"/>
        <w:rPr>
          <w:noProof/>
        </w:rPr>
      </w:pPr>
      <w:bookmarkStart w:id="224" w:name="_Toc43223215"/>
      <w:r>
        <w:rPr>
          <w:noProof/>
        </w:rPr>
        <w:t>MFF DETAILED HEADINGS (PROGRAMMES)</w:t>
      </w:r>
      <w:bookmarkEnd w:id="224"/>
    </w:p>
    <w:p w:rsidR="00135552" w:rsidRDefault="004C63B0">
      <w:pPr>
        <w:pStyle w:val="DGTextstand-alone"/>
      </w:pPr>
      <w:r>
        <w:t>The headings of the MFF are further broken down into detailed headings, corresponding to the main spending programmes (e.g. Horizon 2020, Erasmus+ etc.). Underlying legal bases for budget implementation are adopted at this programme level. Programmes are t</w:t>
      </w:r>
      <w:r>
        <w:t xml:space="preserve">he commonly used structure for reporting on implementation and results. Tables by programme are available in the budgetary implementation reports (see tables </w:t>
      </w:r>
      <w:r>
        <w:rPr>
          <w:b/>
        </w:rPr>
        <w:t xml:space="preserve">4.6 - 4.10 </w:t>
      </w:r>
      <w:r>
        <w:t>below).</w:t>
      </w:r>
    </w:p>
    <w:p w:rsidR="00135552" w:rsidRDefault="004C63B0">
      <w:pPr>
        <w:rPr>
          <w:rFonts w:ascii="Verdana" w:eastAsia="Calibri" w:hAnsi="Verdana"/>
          <w:b/>
          <w:noProof/>
          <w:color w:val="016794"/>
          <w:sz w:val="28"/>
        </w:rPr>
      </w:pPr>
      <w:bookmarkStart w:id="225" w:name="_Toc43223216"/>
      <w:r>
        <w:rPr>
          <w:noProof/>
        </w:rPr>
        <w:br w:type="page"/>
      </w:r>
    </w:p>
    <w:p w:rsidR="00135552" w:rsidRDefault="004C63B0">
      <w:pPr>
        <w:pStyle w:val="HEADER2PartBUDG"/>
        <w:rPr>
          <w:noProof/>
        </w:rPr>
      </w:pPr>
      <w:r>
        <w:rPr>
          <w:noProof/>
        </w:rPr>
        <w:t>ANNUAL BUDGET</w:t>
      </w:r>
      <w:bookmarkEnd w:id="225"/>
    </w:p>
    <w:p w:rsidR="00135552" w:rsidRDefault="004C63B0">
      <w:pPr>
        <w:pStyle w:val="DGTextstand-alone"/>
      </w:pPr>
      <w:r>
        <w:t>Every year, the Commission estimates all the Institutions' reve</w:t>
      </w:r>
      <w:r>
        <w:t>nue and expenditure for the year and draws up a draft budget which it sends to the budgetary authority. On the basis of this draft budget, the Council sets out its position, which is then the subject of negotiations between the two arms of the budgetary au</w:t>
      </w:r>
      <w:r>
        <w:t>thority. The President of the EP declares that the joint draft has been finally adopted, thus making the budget enforceable. During the year in question, amending budgets are adopted. The task of executing the budget is mainly the responsibility of the Com</w:t>
      </w:r>
      <w:r>
        <w:t>mission.</w:t>
      </w:r>
    </w:p>
    <w:p w:rsidR="00135552" w:rsidRDefault="004C63B0">
      <w:pPr>
        <w:pStyle w:val="DGTextstand-alone"/>
      </w:pPr>
      <w:r>
        <w:t>The budget structure for the Commission consists of administrative and operational appropriations. The other Institutions have only administrative appropriations. Furthermore, the budget distinguishes between two types of appropriations: non-diffe</w:t>
      </w:r>
      <w:r>
        <w:t xml:space="preserve">rentiated and differentiated. Non-differentiated appropriations are used to finance operations of an annual nature (which comply with the principle of annuality). Differentiated appropriations are used in order to reconcile the principle of annuality with </w:t>
      </w:r>
      <w:r>
        <w:t>the need to manage multiannual operations. Differentiated appropriations are split into commitment and payment appropriations:</w:t>
      </w:r>
    </w:p>
    <w:p w:rsidR="00135552" w:rsidRDefault="004C63B0">
      <w:pPr>
        <w:pStyle w:val="Textstand-aloneBulletpoint"/>
        <w:rPr>
          <w:noProof/>
        </w:rPr>
      </w:pPr>
      <w:r>
        <w:rPr>
          <w:noProof/>
          <w:color w:val="016794"/>
        </w:rPr>
        <w:t>commitment appropriations</w:t>
      </w:r>
      <w:r>
        <w:rPr>
          <w:noProof/>
        </w:rPr>
        <w:t>: cover the total cost of the legal obligations entered into for the current financial year for operatio</w:t>
      </w:r>
      <w:r>
        <w:rPr>
          <w:noProof/>
        </w:rPr>
        <w:t>ns extending over a number of years. However, budgetary commitments for actions extending over more than one financial year may be broken down over several years, into annual instalments, where the basic act so provides.</w:t>
      </w:r>
    </w:p>
    <w:p w:rsidR="00135552" w:rsidRDefault="00135552">
      <w:pPr>
        <w:pStyle w:val="Textstand-aloneBulletpoint"/>
        <w:numPr>
          <w:ilvl w:val="0"/>
          <w:numId w:val="0"/>
        </w:numPr>
        <w:ind w:left="1080" w:hanging="360"/>
        <w:rPr>
          <w:noProof/>
        </w:rPr>
      </w:pPr>
    </w:p>
    <w:p w:rsidR="00135552" w:rsidRDefault="004C63B0">
      <w:pPr>
        <w:pStyle w:val="Textstand-aloneBulletpoint"/>
        <w:rPr>
          <w:noProof/>
        </w:rPr>
      </w:pPr>
      <w:r>
        <w:rPr>
          <w:noProof/>
          <w:color w:val="016794"/>
        </w:rPr>
        <w:t>payment appropriations</w:t>
      </w:r>
      <w:r>
        <w:rPr>
          <w:noProof/>
        </w:rPr>
        <w:t>: cover expe</w:t>
      </w:r>
      <w:r>
        <w:rPr>
          <w:noProof/>
        </w:rPr>
        <w:t>nditure arising from commitments entered into in the current financial year and/or earlier financial years.</w:t>
      </w:r>
    </w:p>
    <w:p w:rsidR="00135552" w:rsidRDefault="004C63B0">
      <w:pPr>
        <w:pStyle w:val="DGTextstand-alone"/>
      </w:pPr>
      <w:r>
        <w:t>In the accounts, the types of funding are grouped into two main items:</w:t>
      </w:r>
    </w:p>
    <w:p w:rsidR="00135552" w:rsidRDefault="004C63B0">
      <w:pPr>
        <w:numPr>
          <w:ilvl w:val="0"/>
          <w:numId w:val="48"/>
        </w:numPr>
        <w:spacing w:after="120"/>
        <w:ind w:left="357" w:hanging="73"/>
        <w:rPr>
          <w:rFonts w:ascii="Verdana" w:hAnsi="Verdana"/>
          <w:noProof/>
          <w:sz w:val="18"/>
          <w:szCs w:val="18"/>
        </w:rPr>
      </w:pPr>
      <w:r>
        <w:rPr>
          <w:rFonts w:ascii="Verdana" w:hAnsi="Verdana"/>
          <w:noProof/>
          <w:sz w:val="18"/>
          <w:szCs w:val="18"/>
        </w:rPr>
        <w:t>Final adopted budget appropriations; and</w:t>
      </w:r>
    </w:p>
    <w:p w:rsidR="00135552" w:rsidRDefault="004C63B0">
      <w:pPr>
        <w:numPr>
          <w:ilvl w:val="0"/>
          <w:numId w:val="48"/>
        </w:numPr>
        <w:ind w:left="357" w:hanging="73"/>
        <w:rPr>
          <w:rFonts w:ascii="Verdana" w:hAnsi="Verdana"/>
          <w:noProof/>
          <w:sz w:val="18"/>
          <w:szCs w:val="18"/>
        </w:rPr>
      </w:pPr>
      <w:r>
        <w:rPr>
          <w:rFonts w:ascii="Verdana" w:hAnsi="Verdana"/>
          <w:noProof/>
          <w:sz w:val="18"/>
          <w:szCs w:val="18"/>
        </w:rPr>
        <w:t xml:space="preserve">Additional appropriations </w:t>
      </w:r>
      <w:r>
        <w:rPr>
          <w:rFonts w:ascii="Verdana" w:hAnsi="Verdana"/>
          <w:noProof/>
          <w:sz w:val="18"/>
          <w:szCs w:val="18"/>
        </w:rPr>
        <w:t>containing:</w:t>
      </w:r>
    </w:p>
    <w:p w:rsidR="00135552" w:rsidRDefault="004C63B0">
      <w:pPr>
        <w:pStyle w:val="Textstand-alone"/>
        <w:numPr>
          <w:ilvl w:val="0"/>
          <w:numId w:val="49"/>
        </w:numPr>
        <w:tabs>
          <w:tab w:val="clear" w:pos="0"/>
        </w:tabs>
        <w:spacing w:before="120" w:after="0"/>
        <w:ind w:left="1134" w:hanging="425"/>
      </w:pPr>
      <w:r>
        <w:t>Carry-overs from previous year (the financial regulation allows for a limited number of cases to carry unspent amounts from the previous year into the current year); and</w:t>
      </w:r>
    </w:p>
    <w:p w:rsidR="00135552" w:rsidRDefault="004C63B0">
      <w:pPr>
        <w:pStyle w:val="Textstand-alone"/>
        <w:numPr>
          <w:ilvl w:val="0"/>
          <w:numId w:val="49"/>
        </w:numPr>
        <w:tabs>
          <w:tab w:val="clear" w:pos="0"/>
        </w:tabs>
        <w:spacing w:before="0"/>
        <w:ind w:left="1134" w:hanging="425"/>
      </w:pPr>
      <w:r>
        <w:t>Assigned revenue arising from reimbursements, contributions from third par</w:t>
      </w:r>
      <w:r>
        <w:t>ties/countries to EU programmes and work performed for third parties are assigned directly to the corresponding expenditure budget lines and constitute the third pillar of funding.</w:t>
      </w:r>
    </w:p>
    <w:p w:rsidR="00135552" w:rsidRDefault="004C63B0">
      <w:pPr>
        <w:pStyle w:val="DGTextstand-alone"/>
      </w:pPr>
      <w:r>
        <w:t>All funding types together form the available appropriations.</w:t>
      </w:r>
      <w:bookmarkEnd w:id="220"/>
    </w:p>
    <w:p w:rsidR="00135552" w:rsidRDefault="00135552">
      <w:pPr>
        <w:pStyle w:val="DGTextstand-alone"/>
        <w:sectPr w:rsidR="00135552">
          <w:headerReference w:type="even" r:id="rId330"/>
          <w:headerReference w:type="default" r:id="rId331"/>
          <w:footerReference w:type="even" r:id="rId332"/>
          <w:footerReference w:type="default" r:id="rId333"/>
          <w:headerReference w:type="first" r:id="rId334"/>
          <w:footerReference w:type="first" r:id="rId335"/>
          <w:pgSz w:w="11907" w:h="16840" w:code="9"/>
          <w:pgMar w:top="1134" w:right="1134" w:bottom="1134" w:left="1134" w:header="709" w:footer="709" w:gutter="0"/>
          <w:cols w:space="708"/>
          <w:docGrid w:linePitch="360"/>
        </w:sectPr>
      </w:pPr>
    </w:p>
    <w:p w:rsidR="00135552" w:rsidRDefault="004C63B0">
      <w:pPr>
        <w:pStyle w:val="HEADER2PartBUDG"/>
        <w:rPr>
          <w:noProof/>
        </w:rPr>
      </w:pPr>
      <w:bookmarkStart w:id="226" w:name="_Toc406426450"/>
      <w:bookmarkStart w:id="227" w:name="_Toc43223217"/>
      <w:bookmarkStart w:id="228" w:name="_DMBM_17273"/>
      <w:r>
        <w:rPr>
          <w:noProof/>
        </w:rPr>
        <w:t>REVENUE</w:t>
      </w:r>
      <w:bookmarkEnd w:id="226"/>
      <w:bookmarkEnd w:id="227"/>
    </w:p>
    <w:p w:rsidR="00135552" w:rsidRDefault="004C63B0">
      <w:pPr>
        <w:pStyle w:val="HEADER3PartBUGD"/>
        <w:ind w:firstLine="387"/>
        <w:rPr>
          <w:noProof/>
        </w:rPr>
      </w:pPr>
      <w:r>
        <w:rPr>
          <w:noProof/>
        </w:rPr>
        <w:t>Own resources revenue</w:t>
      </w:r>
    </w:p>
    <w:p w:rsidR="00135552" w:rsidRDefault="004C63B0">
      <w:pPr>
        <w:pStyle w:val="DGTextstand-alone"/>
      </w:pPr>
      <w:r>
        <w:t xml:space="preserve">The vast majority of revenue comes from own resources, which consist of the following categories: </w:t>
      </w:r>
    </w:p>
    <w:p w:rsidR="00135552" w:rsidRDefault="004C63B0">
      <w:pPr>
        <w:pStyle w:val="DGTextstand-alone"/>
        <w:ind w:left="709" w:hanging="709"/>
      </w:pPr>
      <w:r>
        <w:t>(1)</w:t>
      </w:r>
      <w:r>
        <w:tab/>
        <w:t xml:space="preserve">Traditional own resources (TOR): </w:t>
      </w:r>
      <w:r>
        <w:t>usually account for +/- 14 % of own resource revenue.</w:t>
      </w:r>
    </w:p>
    <w:p w:rsidR="00135552" w:rsidRDefault="004C63B0">
      <w:pPr>
        <w:pStyle w:val="DGTextstand-alone"/>
        <w:ind w:left="709" w:hanging="709"/>
      </w:pPr>
      <w:r>
        <w:t>(2)</w:t>
      </w:r>
      <w:r>
        <w:tab/>
        <w:t>Value added tax (VAT) based resource: usually accounts for around 12 % of own resource revenue.</w:t>
      </w:r>
    </w:p>
    <w:p w:rsidR="00135552" w:rsidRDefault="004C63B0">
      <w:pPr>
        <w:pStyle w:val="DGTextstand-alone"/>
        <w:ind w:left="709" w:hanging="709"/>
      </w:pPr>
      <w:r>
        <w:t>(3)</w:t>
      </w:r>
      <w:r>
        <w:tab/>
        <w:t>Gross national income (GNI) based resource: usually accounts for +/- 74 % of own resource revenue.</w:t>
      </w:r>
    </w:p>
    <w:p w:rsidR="00135552" w:rsidRDefault="004C63B0">
      <w:pPr>
        <w:pStyle w:val="DGTextstand-alone"/>
      </w:pPr>
      <w:r>
        <w:t>The allocation of own resources is made in accordance with the rules laid down in the Council Decision No. 2014/335/EU, Euratom of 26 May 2014 on the system of the EU's own resources (ORD 2014). This decision has entered into force on 1 October 2016 and ap</w:t>
      </w:r>
      <w:r>
        <w:t xml:space="preserve">plied retroactively from 1 January 2014. </w:t>
      </w:r>
    </w:p>
    <w:p w:rsidR="00135552" w:rsidRDefault="004C63B0">
      <w:pPr>
        <w:pStyle w:val="DGTextstand-alone"/>
      </w:pPr>
      <w:r>
        <w:t>The total amount of own resources allocated to the Union to cover annual appropriations for payments shall not exceed 1.20 % of the sum of all the Member States' GNIs.</w:t>
      </w:r>
    </w:p>
    <w:p w:rsidR="00135552" w:rsidRDefault="004C63B0">
      <w:pPr>
        <w:pStyle w:val="HEADER3PartBUGD"/>
        <w:ind w:firstLine="387"/>
        <w:rPr>
          <w:noProof/>
        </w:rPr>
      </w:pPr>
      <w:r>
        <w:rPr>
          <w:noProof/>
        </w:rPr>
        <w:t>Traditional own resources (TOR)</w:t>
      </w:r>
    </w:p>
    <w:p w:rsidR="00135552" w:rsidRDefault="004C63B0">
      <w:pPr>
        <w:pStyle w:val="DGTextstand-alone"/>
      </w:pPr>
      <w:r>
        <w:t>Traditional ow</w:t>
      </w:r>
      <w:r>
        <w:t xml:space="preserve">n resources (TOR) consist of customs duties (levied on imports from third countries) and sugar levies (paid by sugar producers to finance expenditure </w:t>
      </w:r>
      <w:r>
        <w:rPr>
          <w:rFonts w:cs="EUAlbertina"/>
        </w:rPr>
        <w:t>on the sugar common organisation of the market</w:t>
      </w:r>
      <w:r>
        <w:t>) levied on economic operators and collected by Member State</w:t>
      </w:r>
      <w:r>
        <w:t>s on behalf of the EU. However, Member States keep 20 % as a compensation for their collection costs. All established traditional own resource amounts must be entered in one or other of the accounts kept by the competent authorities:</w:t>
      </w:r>
    </w:p>
    <w:p w:rsidR="00135552" w:rsidRDefault="004C63B0">
      <w:pPr>
        <w:pStyle w:val="Textstand-aloneBulletpoint"/>
        <w:jc w:val="both"/>
        <w:rPr>
          <w:noProof/>
        </w:rPr>
      </w:pPr>
      <w:r>
        <w:rPr>
          <w:noProof/>
        </w:rPr>
        <w:t>In the ordinary accoun</w:t>
      </w:r>
      <w:r>
        <w:rPr>
          <w:noProof/>
        </w:rPr>
        <w:t>ts provided for in Article 6(3) of Regulation No 609/2014: all amounts recovered or guaranteed.</w:t>
      </w:r>
    </w:p>
    <w:p w:rsidR="00135552" w:rsidRDefault="004C63B0">
      <w:pPr>
        <w:pStyle w:val="Textstand-aloneBulletpoint"/>
        <w:jc w:val="both"/>
        <w:rPr>
          <w:noProof/>
        </w:rPr>
      </w:pPr>
      <w:r>
        <w:rPr>
          <w:noProof/>
        </w:rPr>
        <w:t>In the separate accounts provided for also in the above mentioned Article: all amounts not yet recovered and/or not guaranteed; amounts guaranteed but challenge</w:t>
      </w:r>
      <w:r>
        <w:rPr>
          <w:noProof/>
        </w:rPr>
        <w:t>d may also be entered in this account.</w:t>
      </w:r>
    </w:p>
    <w:p w:rsidR="00135552" w:rsidRDefault="004C63B0">
      <w:pPr>
        <w:pStyle w:val="DGTextstand-alone"/>
      </w:pPr>
      <w:r>
        <w:t>Traditional own resources must be entered in the Commission's account with the treasury or national central bank by the Member State at the latest on the first working day following the 19th day of the second month fo</w:t>
      </w:r>
      <w:r>
        <w:t>llowing the month during which the entitlement was established (or recovered in the case of the separate account).</w:t>
      </w:r>
    </w:p>
    <w:p w:rsidR="00135552" w:rsidRDefault="004C63B0">
      <w:pPr>
        <w:pStyle w:val="HEADER3PartBUGD"/>
        <w:ind w:firstLine="387"/>
        <w:rPr>
          <w:noProof/>
        </w:rPr>
      </w:pPr>
      <w:r>
        <w:rPr>
          <w:noProof/>
        </w:rPr>
        <w:t>Value added tax (VAT)</w:t>
      </w:r>
    </w:p>
    <w:p w:rsidR="00135552" w:rsidRDefault="004C63B0">
      <w:pPr>
        <w:pStyle w:val="DGTextstand-alone"/>
      </w:pPr>
      <w:r>
        <w:t>Value added tax (VAT) is levied on Member States' VAT bases, which are harmonised for this purpose in accordance with E</w:t>
      </w:r>
      <w:r>
        <w:t>U rules. However, the VAT base is capped at 50 % of each Member State’s GNI. The uniform VAT rate applied is fixed at 0.30 % except for the period 2014-2020 in which the rate of call for Germany, the Netherlands and Sweden was fixed at 0.15 %.</w:t>
      </w:r>
    </w:p>
    <w:p w:rsidR="00135552" w:rsidRDefault="004C63B0">
      <w:pPr>
        <w:pStyle w:val="HEADER3PartBUGD"/>
        <w:ind w:firstLine="387"/>
        <w:rPr>
          <w:noProof/>
        </w:rPr>
      </w:pPr>
      <w:r>
        <w:rPr>
          <w:noProof/>
        </w:rPr>
        <w:t>Gross nation</w:t>
      </w:r>
      <w:r>
        <w:rPr>
          <w:noProof/>
        </w:rPr>
        <w:t>al income (GNI)</w:t>
      </w:r>
    </w:p>
    <w:p w:rsidR="00135552" w:rsidRDefault="004C63B0">
      <w:pPr>
        <w:pStyle w:val="DGTextstand-alone"/>
      </w:pPr>
      <w:r>
        <w:t xml:space="preserve">The resource based on gross national income (GNI) is used to finance the part of the budget not covered by any other sources of revenue. The same percentage rate is levied on each Member States' GNI, which is established in accordance with </w:t>
      </w:r>
      <w:r>
        <w:t>EU rules.</w:t>
      </w:r>
    </w:p>
    <w:p w:rsidR="00135552" w:rsidRDefault="004C63B0">
      <w:pPr>
        <w:pStyle w:val="DGTextstand-alone"/>
      </w:pPr>
      <w:r>
        <w:t>VAT and GNI-based resources are determined on the basis of forecasts of relevant bases made when the draft budget is being prepared. These forecasts are subsequently revised and updated during the budget year in question by means of an amending b</w:t>
      </w:r>
      <w:r>
        <w:t>udget. Differences between the amounts due by the Member States by reference to the actual bases and the sums actually paid on the basis of the (revised) forecasts, either positive or negative, are called by the Commission from the Member States for the fi</w:t>
      </w:r>
      <w:r>
        <w:t>rst working day of June of the second year following the budget year in question.</w:t>
      </w:r>
      <w:r>
        <w:rPr>
          <w:rFonts w:ascii="Book Antiqua" w:hAnsi="Book Antiqua"/>
          <w:sz w:val="16"/>
          <w:szCs w:val="16"/>
        </w:rPr>
        <w:t xml:space="preserve"> </w:t>
      </w:r>
      <w:r>
        <w:t>Corrections may still be made to the actual VAT and GNI bases during the subsequent four years, unless a reservation is issued. These reservations have to be seen as potentia</w:t>
      </w:r>
      <w:r>
        <w:t>l claims on the Member States for uncertain amounts as their financial impact cannot be estimated with accuracy. When the exact amount can be determined, the corresponding VAT and GNI-based resources are called either in connection with the VAT and GNI bal</w:t>
      </w:r>
      <w:r>
        <w:t>ances exercise or by individual calls for funds.</w:t>
      </w:r>
    </w:p>
    <w:p w:rsidR="00135552" w:rsidRDefault="004C63B0">
      <w:pPr>
        <w:pStyle w:val="HEADER3PartBUGD"/>
        <w:ind w:firstLine="387"/>
        <w:rPr>
          <w:noProof/>
        </w:rPr>
      </w:pPr>
      <w:r>
        <w:rPr>
          <w:noProof/>
        </w:rPr>
        <w:t>UK correction</w:t>
      </w:r>
    </w:p>
    <w:p w:rsidR="00135552" w:rsidRDefault="004C63B0">
      <w:pPr>
        <w:pStyle w:val="DGTextstand-alone"/>
      </w:pPr>
      <w:r>
        <w:t>A budgetary imbalance correction mechanism in favour of the United Kingdom (reducing their own resource payments while increasing the payments of other Member States) was instituted by the Euro</w:t>
      </w:r>
      <w:r>
        <w:t>pean Council in Fontainebleau (June 1984). Germany, Austria, Sweden and Netherlands benefit from a reduced financing of the UK correction (restricted to one quarter of their normal share).</w:t>
      </w:r>
    </w:p>
    <w:p w:rsidR="00135552" w:rsidRDefault="004C63B0">
      <w:pPr>
        <w:pStyle w:val="HEADER3PartBUGD"/>
        <w:ind w:firstLine="387"/>
        <w:rPr>
          <w:noProof/>
        </w:rPr>
      </w:pPr>
      <w:r>
        <w:rPr>
          <w:noProof/>
        </w:rPr>
        <w:t>Gross reduction</w:t>
      </w:r>
    </w:p>
    <w:p w:rsidR="00135552" w:rsidRDefault="004C63B0">
      <w:pPr>
        <w:pStyle w:val="DGTextstand-alone"/>
        <w:spacing w:after="0"/>
      </w:pPr>
      <w:r>
        <w:rPr>
          <w:color w:val="000000"/>
        </w:rPr>
        <w:t>The European Council of 7-8 February 2013 concluded</w:t>
      </w:r>
      <w:r>
        <w:rPr>
          <w:color w:val="000000"/>
        </w:rPr>
        <w:t xml:space="preserve"> that Denmark, the Netherlands and Sweden should benefit from gross reductions in their annual contributions based on GNI for the period 2014-2020 while Austria only benefited from gross reductions for the period 2014-2016. The annual reductions are as fol</w:t>
      </w:r>
      <w:r>
        <w:rPr>
          <w:color w:val="000000"/>
        </w:rPr>
        <w:t>lows: Denmark EUR 130 million, the Netherlands EUR 695 million and Sweden EUR 185 million.</w:t>
      </w:r>
    </w:p>
    <w:p w:rsidR="00135552" w:rsidRDefault="004C63B0">
      <w:pPr>
        <w:pStyle w:val="HEADER2PartBUDG"/>
        <w:rPr>
          <w:noProof/>
          <w:lang w:val="en-GB"/>
        </w:rPr>
      </w:pPr>
      <w:bookmarkStart w:id="229" w:name="_Toc43223218"/>
      <w:r>
        <w:rPr>
          <w:noProof/>
          <w:lang w:val="en-GB"/>
        </w:rPr>
        <w:t>CALCULATION OF THE BUDGET RESULT</w:t>
      </w:r>
      <w:bookmarkEnd w:id="229"/>
    </w:p>
    <w:p w:rsidR="00135552" w:rsidRDefault="004C63B0">
      <w:pPr>
        <w:pStyle w:val="DGTextstand-alone"/>
      </w:pPr>
      <w:r>
        <w:t>The budget result of the EU is returned to the Member States during the following year through deduction of their amounts due for th</w:t>
      </w:r>
      <w:r>
        <w:t>at year.</w:t>
      </w:r>
    </w:p>
    <w:p w:rsidR="00135552" w:rsidRDefault="004C63B0">
      <w:pPr>
        <w:pStyle w:val="DGTextstand-alone"/>
      </w:pPr>
      <w:r>
        <w:t>The amounts of own resources entered in the accounts are those credited during the course of the year to the accounts opened in the Commission's name by the governments of the Member States. Revenue comprises also, in the case of a surplus, the bu</w:t>
      </w:r>
      <w:r>
        <w:t>dget result for the previous financial year. The other revenue entered in the accounts is the amount actually received during the course of the year.</w:t>
      </w:r>
    </w:p>
    <w:p w:rsidR="00135552" w:rsidRDefault="004C63B0">
      <w:pPr>
        <w:pStyle w:val="DGTextstand-alone"/>
      </w:pPr>
      <w:r>
        <w:t>For the purposes of calculating the budget result for the year, expenditure comprises payments made agains</w:t>
      </w:r>
      <w:r>
        <w:t>t the year's appropriations plus any of the appropriations for that year that are carried over to the following year. Payments made against the year's appropriations means payments that are made by the Accounting Officer by 31 December of the financial yea</w:t>
      </w:r>
      <w:r>
        <w:t>r. For the EAGF, payments are those effected by the Member States between 16 October N-1 and 15 October N, provided that the Accounting Officer was notified of the commitment and authorisation by 31 January N+1. EAGF expenditure may be subject to a conform</w:t>
      </w:r>
      <w:r>
        <w:t>ity decision following controls in the Member States.</w:t>
      </w:r>
    </w:p>
    <w:p w:rsidR="00135552" w:rsidRDefault="004C63B0">
      <w:pPr>
        <w:pStyle w:val="DGTextstand-alone"/>
      </w:pPr>
      <w:r>
        <w:t>The budget result comprises two elements: the result of the EU and the result of the participation of the EFTA countries belonging to the European Economic Area (EEA). In accordance with Article 1(1) of</w:t>
      </w:r>
      <w:r>
        <w:t xml:space="preserve"> Regulation No 608/2014 laying down implementing measures for the system of own resources, this result represents the difference between:</w:t>
      </w:r>
    </w:p>
    <w:p w:rsidR="00135552" w:rsidRDefault="004C63B0">
      <w:pPr>
        <w:pStyle w:val="Textstand-aloneBulletpoint"/>
        <w:spacing w:after="120"/>
        <w:ind w:left="714"/>
        <w:jc w:val="both"/>
        <w:rPr>
          <w:noProof/>
        </w:rPr>
      </w:pPr>
      <w:r>
        <w:rPr>
          <w:noProof/>
        </w:rPr>
        <w:t>total revenue received for the financial year; and</w:t>
      </w:r>
    </w:p>
    <w:p w:rsidR="00135552" w:rsidRDefault="00135552">
      <w:pPr>
        <w:pStyle w:val="Textstand-aloneBulletpoint"/>
        <w:numPr>
          <w:ilvl w:val="0"/>
          <w:numId w:val="0"/>
        </w:numPr>
        <w:spacing w:after="120"/>
        <w:ind w:left="1437"/>
        <w:jc w:val="both"/>
        <w:rPr>
          <w:noProof/>
        </w:rPr>
      </w:pPr>
    </w:p>
    <w:p w:rsidR="00135552" w:rsidRDefault="004C63B0">
      <w:pPr>
        <w:pStyle w:val="Textstand-aloneBulletpoint"/>
        <w:ind w:left="714"/>
        <w:jc w:val="both"/>
        <w:rPr>
          <w:noProof/>
        </w:rPr>
      </w:pPr>
      <w:r>
        <w:rPr>
          <w:noProof/>
        </w:rPr>
        <w:t>total payments made against current year's appropriations plus the</w:t>
      </w:r>
      <w:r>
        <w:rPr>
          <w:noProof/>
        </w:rPr>
        <w:t xml:space="preserve"> total amount of that year's appropriations carried over to the following year.</w:t>
      </w:r>
    </w:p>
    <w:p w:rsidR="00135552" w:rsidRDefault="004C63B0">
      <w:pPr>
        <w:pStyle w:val="DGTextstand-alone"/>
      </w:pPr>
      <w:r>
        <w:t>The following are added to or deducted from the resulting figure:</w:t>
      </w:r>
    </w:p>
    <w:p w:rsidR="00135552" w:rsidRDefault="004C63B0">
      <w:pPr>
        <w:pStyle w:val="Textstand-aloneBulletpoint"/>
        <w:ind w:left="714"/>
        <w:jc w:val="both"/>
        <w:rPr>
          <w:noProof/>
        </w:rPr>
      </w:pPr>
      <w:r>
        <w:rPr>
          <w:noProof/>
        </w:rPr>
        <w:t>the net balance of cancellations of payment appropriations carried over from previous years and any payments w</w:t>
      </w:r>
      <w:r>
        <w:rPr>
          <w:noProof/>
        </w:rPr>
        <w:t xml:space="preserve">hich, because of fluctuations in the euro rate, exceed non-differentiated appropriations carried over from the previous year; </w:t>
      </w:r>
    </w:p>
    <w:p w:rsidR="00135552" w:rsidRDefault="00135552">
      <w:pPr>
        <w:pStyle w:val="Textstand-aloneBulletpoint"/>
        <w:numPr>
          <w:ilvl w:val="0"/>
          <w:numId w:val="0"/>
        </w:numPr>
        <w:ind w:left="1437"/>
        <w:jc w:val="both"/>
        <w:rPr>
          <w:noProof/>
        </w:rPr>
      </w:pPr>
    </w:p>
    <w:p w:rsidR="00135552" w:rsidRDefault="004C63B0">
      <w:pPr>
        <w:pStyle w:val="Textstand-aloneBulletpoint"/>
        <w:ind w:left="714"/>
        <w:jc w:val="both"/>
        <w:rPr>
          <w:noProof/>
        </w:rPr>
      </w:pPr>
      <w:r>
        <w:rPr>
          <w:noProof/>
        </w:rPr>
        <w:t>the evolution of assigned revenue; and</w:t>
      </w:r>
    </w:p>
    <w:p w:rsidR="00135552" w:rsidRDefault="00135552">
      <w:pPr>
        <w:pStyle w:val="Textstand-aloneBulletpoint"/>
        <w:numPr>
          <w:ilvl w:val="0"/>
          <w:numId w:val="0"/>
        </w:numPr>
        <w:ind w:left="1437"/>
        <w:jc w:val="both"/>
        <w:rPr>
          <w:noProof/>
        </w:rPr>
      </w:pPr>
    </w:p>
    <w:p w:rsidR="00135552" w:rsidRDefault="004C63B0">
      <w:pPr>
        <w:pStyle w:val="Textstand-aloneBulletpoint"/>
        <w:ind w:left="714"/>
        <w:jc w:val="both"/>
        <w:rPr>
          <w:noProof/>
        </w:rPr>
      </w:pPr>
      <w:r>
        <w:rPr>
          <w:noProof/>
        </w:rPr>
        <w:t>the net exchange rate gains or losses recorded during the year.</w:t>
      </w:r>
    </w:p>
    <w:p w:rsidR="00135552" w:rsidRDefault="004C63B0">
      <w:pPr>
        <w:pStyle w:val="DGTextstand-alone"/>
      </w:pPr>
      <w:r>
        <w:t>Appropriations carried o</w:t>
      </w:r>
      <w:r>
        <w:t>ver from the previous financial year in respect of contributions by and work for third parties, which by definition never lapse, are included as additional appropriations for the financial year. This explains the difference between carryovers from the prev</w:t>
      </w:r>
      <w:r>
        <w:t>ious year in the year N budget implementation reports and those carried over to the following year in the year N-1 budget implementation reports. Appropriations made available again following the repayment of payments on account are disregarded when calcul</w:t>
      </w:r>
      <w:r>
        <w:t>ating the budget result.</w:t>
      </w:r>
    </w:p>
    <w:p w:rsidR="00135552" w:rsidRDefault="004C63B0">
      <w:pPr>
        <w:pStyle w:val="DGTextstand-alone"/>
      </w:pPr>
      <w:r>
        <w:t>Payment appropriations carried over include: automatic carry-overs and carry-overs by decision. The cancellation of unused payment appropriations carried over from the previous year shows the cancellations of appropriations carried</w:t>
      </w:r>
      <w:r>
        <w:t xml:space="preserve"> over automatically and by decision.</w:t>
      </w:r>
    </w:p>
    <w:p w:rsidR="00135552" w:rsidRDefault="004C63B0">
      <w:pPr>
        <w:pStyle w:val="HEADER2PartBUDG"/>
        <w:rPr>
          <w:noProof/>
          <w:lang w:val="en-GB"/>
        </w:rPr>
      </w:pPr>
      <w:bookmarkStart w:id="230" w:name="_Toc43223219"/>
      <w:bookmarkStart w:id="231" w:name="_DMBM_17269"/>
      <w:bookmarkEnd w:id="228"/>
      <w:r>
        <w:rPr>
          <w:noProof/>
          <w:lang w:val="en-GB"/>
        </w:rPr>
        <w:t xml:space="preserve">RECONCILIATION OF ECONOMIC RESULT WITH BUDGET </w:t>
      </w:r>
      <w:r>
        <w:rPr>
          <w:noProof/>
          <w:lang w:val="en-GB"/>
        </w:rPr>
        <w:tab/>
        <w:t>RESULT</w:t>
      </w:r>
      <w:bookmarkEnd w:id="230"/>
      <w:r>
        <w:rPr>
          <w:noProof/>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7"/>
        <w:gridCol w:w="1436"/>
        <w:gridCol w:w="1436"/>
      </w:tblGrid>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lang w:bidi="en-GB"/>
              </w:rPr>
            </w:pPr>
            <w:bookmarkStart w:id="232" w:name="DOC_TBL00102_1_1"/>
            <w:bookmarkEnd w:id="232"/>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255"/>
        </w:trPr>
        <w:tc>
          <w:tcPr>
            <w:tcW w:w="6887"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108BIPReconciliation"/>
              <w:rPr>
                <w:rFonts w:ascii="Verdana" w:eastAsia="Verdana" w:hAnsi="Verdana" w:cs="Verdana"/>
                <w:noProof/>
                <w:color w:val="FFFFFF"/>
              </w:rPr>
            </w:pP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08BIPReconciliation"/>
              <w:jc w:val="right"/>
              <w:rPr>
                <w:rFonts w:ascii="Verdana" w:eastAsia="Verdana" w:hAnsi="Verdana" w:cs="Verdana"/>
                <w:noProof/>
                <w:color w:val="FFFFFF"/>
              </w:rPr>
            </w:pPr>
            <w:r>
              <w:rPr>
                <w:rFonts w:ascii="Verdana" w:eastAsia="Verdana" w:hAnsi="Verdana" w:cs="Verdana"/>
                <w:noProof/>
                <w:color w:val="FFFFFF"/>
              </w:rPr>
              <w:t>2019</w:t>
            </w: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108BIPReconciliation"/>
              <w:jc w:val="right"/>
              <w:rPr>
                <w:rFonts w:ascii="Verdana" w:eastAsia="Verdana" w:hAnsi="Verdana" w:cs="Verdana"/>
                <w:noProof/>
                <w:color w:val="FFFFFF"/>
                <w:lang w:bidi="en-GB"/>
              </w:rPr>
            </w:pPr>
            <w:r>
              <w:rPr>
                <w:rFonts w:ascii="Verdana" w:eastAsia="Verdana" w:hAnsi="Verdana" w:cs="Verdana"/>
                <w:noProof/>
                <w:color w:val="FFFFFF"/>
              </w:rPr>
              <w:t>2018</w:t>
            </w:r>
          </w:p>
        </w:tc>
      </w:tr>
      <w:tr w:rsidR="00135552">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4 796</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lang w:bidi="en-GB"/>
              </w:rPr>
            </w:pPr>
            <w:r>
              <w:rPr>
                <w:rFonts w:ascii="Verdana" w:eastAsia="Verdana" w:hAnsi="Verdana" w:cs="Verdana"/>
                <w:b/>
                <w:noProof/>
                <w:color w:val="000000"/>
                <w:sz w:val="18"/>
              </w:rPr>
              <w:t>13 918</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jc w:val="right"/>
              <w:rPr>
                <w:rFonts w:ascii="Verdana" w:eastAsia="Verdana" w:hAnsi="Verdana" w:cs="Verdana"/>
                <w:i/>
                <w:noProof/>
                <w:color w:val="000000"/>
                <w:sz w:val="16"/>
                <w:lang w:bidi="en-GB"/>
              </w:rPr>
            </w:pPr>
          </w:p>
        </w:tc>
      </w:tr>
      <w:tr w:rsidR="00135552">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08BIPReconciliation"/>
              <w:rPr>
                <w:rFonts w:ascii="Verdana" w:eastAsia="Verdana" w:hAnsi="Verdana" w:cs="Verdana"/>
                <w:b/>
                <w:noProof/>
                <w:color w:val="000000"/>
                <w:sz w:val="18"/>
              </w:rPr>
            </w:pPr>
            <w:r>
              <w:rPr>
                <w:rFonts w:ascii="Verdana" w:eastAsia="Verdana" w:hAnsi="Verdana" w:cs="Verdana"/>
                <w:b/>
                <w:noProof/>
                <w:color w:val="000000"/>
                <w:sz w:val="18"/>
              </w:rPr>
              <w:t>Revenue</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lang w:bidi="en-GB"/>
              </w:rPr>
            </w:pP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Entitlements established in current year but not yet collected</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(6 193)</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(6 220)</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Entitlements established in previous years and collected in current year</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8 656</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9 331</w:t>
            </w:r>
          </w:p>
        </w:tc>
      </w:tr>
      <w:tr w:rsidR="00135552">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Accrued revenue (net)</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3 341</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(4 015)</w:t>
            </w:r>
          </w:p>
        </w:tc>
      </w:tr>
      <w:tr w:rsidR="00135552">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5 804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(904)</w:t>
            </w:r>
          </w:p>
        </w:tc>
      </w:tr>
      <w:tr w:rsidR="00135552">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108BIPReconciliation"/>
              <w:rPr>
                <w:rFonts w:ascii="Verdana" w:eastAsia="Verdana" w:hAnsi="Verdana" w:cs="Verdana"/>
                <w:b/>
                <w:noProof/>
                <w:color w:val="000000"/>
                <w:sz w:val="18"/>
              </w:rPr>
            </w:pPr>
            <w:r>
              <w:rPr>
                <w:rFonts w:ascii="Verdana" w:eastAsia="Verdana" w:hAnsi="Verdana" w:cs="Verdana"/>
                <w:b/>
                <w:noProof/>
                <w:color w:val="000000"/>
                <w:sz w:val="18"/>
              </w:rPr>
              <w:t>Expenses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lang w:bidi="en-GB"/>
              </w:rPr>
            </w:pP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Accrued expenses (net)</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8 394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4 511</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Expenses prior year paid in current year</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(3 832)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(6 086)</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 xml:space="preserve">Net-effect </w:t>
            </w:r>
            <w:r>
              <w:rPr>
                <w:rFonts w:ascii="Verdana" w:eastAsia="Verdana" w:hAnsi="Verdana" w:cs="Verdana"/>
                <w:i/>
                <w:noProof/>
                <w:color w:val="000000"/>
                <w:sz w:val="18"/>
              </w:rPr>
              <w:t>pre-financing</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(10 981)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(8 634)</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Payment appropriations carried over to next year</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(3 532)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(2 941)</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Payments made from carry-overs &amp; cancellation of unused payment appropriations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1 924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2 098</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Movement in provisions</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3 801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3 567</w:t>
            </w:r>
          </w:p>
        </w:tc>
      </w:tr>
      <w:tr w:rsidR="00135552">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i/>
                <w:noProof/>
                <w:color w:val="000000"/>
                <w:sz w:val="18"/>
              </w:rPr>
            </w:pPr>
            <w:r>
              <w:rPr>
                <w:rFonts w:ascii="Verdana" w:eastAsia="Verdana" w:hAnsi="Verdana" w:cs="Verdana"/>
                <w:i/>
                <w:noProof/>
                <w:color w:val="000000"/>
                <w:sz w:val="18"/>
              </w:rPr>
              <w:t>Other</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rPr>
            </w:pPr>
            <w:r>
              <w:rPr>
                <w:rFonts w:ascii="Verdana" w:eastAsia="Verdana" w:hAnsi="Verdana" w:cs="Verdana"/>
                <w:i/>
                <w:noProof/>
                <w:color w:val="000000"/>
                <w:sz w:val="18"/>
              </w:rPr>
              <w:t>(3 076)</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i/>
                <w:noProof/>
                <w:color w:val="000000"/>
                <w:sz w:val="18"/>
                <w:lang w:bidi="en-GB"/>
              </w:rPr>
            </w:pPr>
            <w:r>
              <w:rPr>
                <w:rFonts w:ascii="Verdana" w:eastAsia="Verdana" w:hAnsi="Verdana" w:cs="Verdana"/>
                <w:i/>
                <w:noProof/>
                <w:color w:val="000000"/>
                <w:sz w:val="18"/>
              </w:rPr>
              <w:t>(4 175)</w:t>
            </w:r>
          </w:p>
        </w:tc>
      </w:tr>
      <w:tr w:rsidR="00135552">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135552">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 xml:space="preserve">(7 </w:t>
            </w:r>
            <w:r>
              <w:rPr>
                <w:rFonts w:ascii="Verdana" w:eastAsia="Verdana" w:hAnsi="Verdana" w:cs="Verdana"/>
                <w:b/>
                <w:noProof/>
                <w:color w:val="000000"/>
                <w:sz w:val="18"/>
              </w:rPr>
              <w:t>304)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lang w:bidi="en-GB"/>
              </w:rPr>
            </w:pPr>
            <w:r>
              <w:rPr>
                <w:rFonts w:ascii="Verdana" w:eastAsia="Verdana" w:hAnsi="Verdana" w:cs="Verdana"/>
                <w:b/>
                <w:noProof/>
                <w:color w:val="000000"/>
                <w:sz w:val="18"/>
              </w:rPr>
              <w:t>(11 660)</w:t>
            </w:r>
          </w:p>
        </w:tc>
      </w:tr>
      <w:tr w:rsidR="00135552">
        <w:trPr>
          <w:trHeight w:hRule="exact" w:val="255"/>
        </w:trPr>
        <w:tc>
          <w:tcPr>
            <w:tcW w:w="688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rPr>
                <w:rFonts w:ascii="Verdana" w:eastAsia="Verdana" w:hAnsi="Verdana" w:cs="Verdana"/>
                <w:b/>
                <w:noProof/>
                <w:color w:val="000000"/>
                <w:sz w:val="18"/>
              </w:rPr>
            </w:pPr>
            <w:r>
              <w:rPr>
                <w:rFonts w:ascii="Verdana" w:eastAsia="Verdana" w:hAnsi="Verdana" w:cs="Verdana"/>
                <w:b/>
                <w:noProof/>
                <w:color w:val="000000"/>
                <w:sz w:val="18"/>
              </w:rPr>
              <w:t>Economic result Agencies and ECSC i.L.</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 xml:space="preserve"> (79)</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448</w:t>
            </w:r>
          </w:p>
        </w:tc>
      </w:tr>
      <w:tr w:rsidR="00135552">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135552" w:rsidRDefault="00135552">
            <w:pPr>
              <w:pStyle w:val="DMETW17108BIPReconciliation"/>
              <w:jc w:val="right"/>
              <w:rPr>
                <w:rFonts w:ascii="Verdana" w:eastAsia="Verdana" w:hAnsi="Verdana" w:cs="Verdana"/>
                <w:i/>
                <w:noProof/>
                <w:color w:val="000000"/>
                <w:sz w:val="16"/>
                <w:lang w:bidi="en-GB"/>
              </w:rPr>
            </w:pPr>
          </w:p>
        </w:tc>
      </w:tr>
      <w:tr w:rsidR="00135552">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rPr>
                <w:rFonts w:ascii="Verdana" w:eastAsia="Verdana" w:hAnsi="Verdana" w:cs="Verdana"/>
                <w:b/>
                <w:noProof/>
                <w:color w:val="000000"/>
                <w:sz w:val="18"/>
              </w:rPr>
            </w:pPr>
            <w:r>
              <w:rPr>
                <w:rFonts w:ascii="Verdana" w:eastAsia="Verdana" w:hAnsi="Verdana" w:cs="Verdana"/>
                <w:b/>
                <w:noProof/>
                <w:color w:val="000000"/>
                <w:sz w:val="18"/>
              </w:rPr>
              <w:t>BUDGET RESULT OF THE YEAR</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3 217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108BIPReconciliation"/>
              <w:jc w:val="right"/>
              <w:rPr>
                <w:rFonts w:ascii="Verdana" w:eastAsia="Verdana" w:hAnsi="Verdana" w:cs="Verdana"/>
                <w:b/>
                <w:noProof/>
                <w:color w:val="000000"/>
                <w:sz w:val="18"/>
              </w:rPr>
            </w:pPr>
            <w:r>
              <w:rPr>
                <w:rFonts w:ascii="Verdana" w:eastAsia="Verdana" w:hAnsi="Verdana" w:cs="Verdana"/>
                <w:b/>
                <w:noProof/>
                <w:color w:val="000000"/>
                <w:sz w:val="18"/>
              </w:rPr>
              <w:t>1 802</w:t>
            </w:r>
          </w:p>
        </w:tc>
      </w:tr>
    </w:tbl>
    <w:p w:rsidR="00135552" w:rsidRDefault="004C63B0">
      <w:pPr>
        <w:pStyle w:val="DGTextstand-alone"/>
      </w:pPr>
      <w:r>
        <w:t>In accordance with the Financial Regulation, the economic result of the year is calculated on the basis of accrual accounting principles (EU Accounting Rules), while the budget result is based on modified cash accounting rules. As the economic result and t</w:t>
      </w:r>
      <w:r>
        <w:t xml:space="preserve">he budget result cover the same underlying transactions – the exception being the other (non-budgetary) sources of revenue and expenditure of the agencies and the ECSC in Liquidation which are included in the economic result only (see note </w:t>
      </w:r>
      <w:r>
        <w:rPr>
          <w:b/>
        </w:rPr>
        <w:t>6</w:t>
      </w:r>
      <w:r>
        <w:t>) – the reconci</w:t>
      </w:r>
      <w:r>
        <w:t xml:space="preserve">liation of the economic result of the year with the budget result of the year serves as a useful consistency check. </w:t>
      </w:r>
    </w:p>
    <w:p w:rsidR="00135552" w:rsidRDefault="004C63B0">
      <w:pPr>
        <w:pStyle w:val="HEADER5"/>
        <w:rPr>
          <w:noProof/>
        </w:rPr>
      </w:pPr>
      <w:r>
        <w:rPr>
          <w:noProof/>
        </w:rPr>
        <w:t>Reconciling items - Revenue</w:t>
      </w:r>
    </w:p>
    <w:p w:rsidR="00135552" w:rsidRDefault="004C63B0">
      <w:pPr>
        <w:pStyle w:val="DGTextstand-alone"/>
        <w:rPr>
          <w:color w:val="000000"/>
        </w:rPr>
      </w:pPr>
      <w:r>
        <w:rPr>
          <w:color w:val="000000"/>
        </w:rPr>
        <w:t>The actual budgetary revenue for a financial year corresponds to the revenue collected from entitlements establ</w:t>
      </w:r>
      <w:r>
        <w:rPr>
          <w:color w:val="000000"/>
        </w:rPr>
        <w:t xml:space="preserve">ished in the course of the year and amounts collected from entitlements established in previous years. Therefore the entitlements established in the current year but not yet collected are to be deducted from the economic result for reconciliation purposes </w:t>
      </w:r>
      <w:r>
        <w:rPr>
          <w:color w:val="000000"/>
        </w:rPr>
        <w:t xml:space="preserve">as they do not form part of budgetary revenue. On the contrary the entitlements established in previous years and collected in current year must be added to the economic result for reconciliation purposes. </w:t>
      </w:r>
    </w:p>
    <w:p w:rsidR="00135552" w:rsidRDefault="004C63B0">
      <w:pPr>
        <w:pStyle w:val="DGTextstand-alone"/>
        <w:rPr>
          <w:color w:val="000000"/>
        </w:rPr>
      </w:pPr>
      <w:r>
        <w:rPr>
          <w:color w:val="000000"/>
        </w:rPr>
        <w:t>The accrued revenue mainly consists of accrued re</w:t>
      </w:r>
      <w:r>
        <w:rPr>
          <w:color w:val="000000"/>
        </w:rPr>
        <w:t xml:space="preserve">venue for agriculture, own resources, interests and dividends. Only the net effect, i.e. accrued revenue for current year minus reversal accrued revenue from previous year, is taken into consideration. </w:t>
      </w:r>
    </w:p>
    <w:p w:rsidR="00135552" w:rsidRDefault="004C63B0">
      <w:pPr>
        <w:pStyle w:val="HEADER5"/>
        <w:rPr>
          <w:noProof/>
        </w:rPr>
      </w:pPr>
      <w:r>
        <w:rPr>
          <w:noProof/>
        </w:rPr>
        <w:t xml:space="preserve">Reconciling items - Expenditure </w:t>
      </w:r>
    </w:p>
    <w:p w:rsidR="00135552" w:rsidRDefault="004C63B0">
      <w:pPr>
        <w:pStyle w:val="DGTextstand-alone"/>
        <w:rPr>
          <w:color w:val="000000"/>
        </w:rPr>
      </w:pPr>
      <w:r>
        <w:rPr>
          <w:color w:val="000000"/>
        </w:rPr>
        <w:t>The accrued expenses</w:t>
      </w:r>
      <w:r>
        <w:rPr>
          <w:color w:val="000000"/>
        </w:rPr>
        <w:t xml:space="preserve"> mainly consists of accruals made for year-end cut-off purposes, i.e. eligible expenses incurred by beneficiaries of EU funds but not yet reported to the Commission. Only the net-effect, i.e. accrued expenses for current year minus the reversal of accrued </w:t>
      </w:r>
      <w:r>
        <w:rPr>
          <w:color w:val="000000"/>
        </w:rPr>
        <w:t>expenses from the previous year, is taken into consideration. Payments made in the current year relating to invoices registered in prior years are part of current year's budgetary expenditure and therefore must be added to the economic result for reconcili</w:t>
      </w:r>
      <w:r>
        <w:rPr>
          <w:color w:val="000000"/>
        </w:rPr>
        <w:t>ation purposes.</w:t>
      </w:r>
    </w:p>
    <w:p w:rsidR="00135552" w:rsidRDefault="004C63B0">
      <w:pPr>
        <w:pStyle w:val="DGTextstand-alone"/>
        <w:rPr>
          <w:color w:val="000000"/>
        </w:rPr>
      </w:pPr>
      <w:r>
        <w:rPr>
          <w:color w:val="000000"/>
        </w:rPr>
        <w:t>The net effect of pre-financing is the combination of (1) the new pre-financing amounts paid in the current year and recognised as budgetary expenditure of the year and (2) the clearing of the pre-financing through eligible costs accepted d</w:t>
      </w:r>
      <w:r>
        <w:rPr>
          <w:color w:val="000000"/>
        </w:rPr>
        <w:t xml:space="preserve">uring the current year. The latter represent an expense in accrual terms but not in the budgetary accounts since the payment of the initial pre-financing had already been considered as a budgetary expenditure at the time of its payment. </w:t>
      </w:r>
    </w:p>
    <w:p w:rsidR="00135552" w:rsidRDefault="004C63B0">
      <w:pPr>
        <w:pStyle w:val="DGTextstand-alone"/>
        <w:rPr>
          <w:color w:val="000000"/>
        </w:rPr>
      </w:pPr>
      <w:r>
        <w:rPr>
          <w:color w:val="000000"/>
        </w:rPr>
        <w:t>As well as the pay</w:t>
      </w:r>
      <w:r>
        <w:rPr>
          <w:color w:val="000000"/>
        </w:rPr>
        <w:t>ments made against the year's appropriations, the appropriations for that year that are carried forward to the next year also need to be taken into account in calculating the budget result for the year (in accordance with Article 1(1) of Regulation No 608/</w:t>
      </w:r>
      <w:r>
        <w:rPr>
          <w:color w:val="000000"/>
        </w:rPr>
        <w:t>2014). The same applies for the budgetary payments made in the current year from carry-overs from previous years, and the cancellation of unused payment appropriations.</w:t>
      </w:r>
    </w:p>
    <w:p w:rsidR="00135552" w:rsidRDefault="004C63B0">
      <w:pPr>
        <w:pStyle w:val="DGTextstand-alone"/>
        <w:rPr>
          <w:color w:val="000000"/>
        </w:rPr>
      </w:pPr>
      <w:r>
        <w:rPr>
          <w:color w:val="000000"/>
        </w:rPr>
        <w:t>The movement in provisions relates to year-end estimates made in the financial statemen</w:t>
      </w:r>
      <w:r>
        <w:rPr>
          <w:color w:val="000000"/>
        </w:rPr>
        <w:t>ts (employee benefits mainly) that do not impact the budgetary accounts. Other reconciling amounts comprise different elements such as asset amortisation/depreciation, asset acquisitions, capital lease payments and financial participations for which the bu</w:t>
      </w:r>
      <w:r>
        <w:rPr>
          <w:color w:val="000000"/>
        </w:rPr>
        <w:t>dgetary and accrual accounting treatments differ.</w:t>
      </w:r>
    </w:p>
    <w:p w:rsidR="00135552" w:rsidRDefault="004C63B0">
      <w:pPr>
        <w:pStyle w:val="HEADER5"/>
        <w:rPr>
          <w:noProof/>
        </w:rPr>
      </w:pPr>
      <w:r>
        <w:rPr>
          <w:noProof/>
        </w:rPr>
        <w:t>Reconciling item – Economic result Agencies and ECSC in Liquidation</w:t>
      </w:r>
    </w:p>
    <w:p w:rsidR="00135552" w:rsidRDefault="004C63B0">
      <w:pPr>
        <w:pStyle w:val="DGTextstand-alone"/>
        <w:rPr>
          <w:color w:val="000000"/>
        </w:rPr>
      </w:pPr>
      <w:r>
        <w:rPr>
          <w:color w:val="000000"/>
        </w:rPr>
        <w:t>The budget result of the year is a non-consolidated figure and does not include the other (non-budgetary) sources of revenue and expenditu</w:t>
      </w:r>
      <w:r>
        <w:rPr>
          <w:color w:val="000000"/>
        </w:rPr>
        <w:t xml:space="preserve">re of the consolidated agencies and the ECSC i.L. (see note </w:t>
      </w:r>
      <w:r>
        <w:rPr>
          <w:b/>
          <w:color w:val="000000"/>
        </w:rPr>
        <w:t>6</w:t>
      </w:r>
      <w:r>
        <w:rPr>
          <w:color w:val="000000"/>
        </w:rPr>
        <w:t>). To reconcile the economic result of the year – a consolidated figure which includes these amounts – with the budgetary result of the year, the whole consolidated economic result of the year of</w:t>
      </w:r>
      <w:r>
        <w:rPr>
          <w:color w:val="000000"/>
        </w:rPr>
        <w:t xml:space="preserve"> the agencies and the ECSC i.L. is presented as a reconciling item.</w:t>
      </w:r>
    </w:p>
    <w:p w:rsidR="00135552" w:rsidRDefault="00135552">
      <w:pPr>
        <w:pStyle w:val="DGTextstand-alone"/>
      </w:pPr>
    </w:p>
    <w:p w:rsidR="00135552" w:rsidRDefault="004C63B0">
      <w:pPr>
        <w:pStyle w:val="DGTextstand-alone"/>
        <w:sectPr w:rsidR="00135552">
          <w:headerReference w:type="even" r:id="rId336"/>
          <w:headerReference w:type="default" r:id="rId337"/>
          <w:footerReference w:type="even" r:id="rId338"/>
          <w:footerReference w:type="default" r:id="rId339"/>
          <w:headerReference w:type="first" r:id="rId340"/>
          <w:footerReference w:type="first" r:id="rId341"/>
          <w:pgSz w:w="11907" w:h="16840" w:code="9"/>
          <w:pgMar w:top="1134" w:right="1134" w:bottom="1134" w:left="1134" w:header="709" w:footer="709" w:gutter="0"/>
          <w:cols w:space="708"/>
          <w:docGrid w:linePitch="360"/>
        </w:sectPr>
      </w:pPr>
      <w:r>
        <w:t xml:space="preserve"> </w:t>
      </w:r>
      <w:bookmarkEnd w:id="231"/>
    </w:p>
    <w:p w:rsidR="00135552" w:rsidRDefault="004C63B0">
      <w:pPr>
        <w:pStyle w:val="HEADER1PartBUDG"/>
        <w:tabs>
          <w:tab w:val="clear" w:pos="907"/>
          <w:tab w:val="left" w:pos="709"/>
        </w:tabs>
        <w:ind w:left="357" w:hanging="357"/>
        <w:jc w:val="left"/>
        <w:rPr>
          <w:noProof/>
          <w:lang w:val="en-GB"/>
        </w:rPr>
      </w:pPr>
      <w:bookmarkStart w:id="233" w:name="_Toc43223220"/>
      <w:bookmarkStart w:id="234" w:name="_DMBM_17263"/>
      <w:r>
        <w:rPr>
          <w:noProof/>
          <w:lang w:val="en-GB"/>
        </w:rPr>
        <w:tab/>
        <w:t xml:space="preserve">IMPLEMENTATION OF THE 2019 EU BUDGET – </w:t>
      </w:r>
      <w:r>
        <w:rPr>
          <w:noProof/>
          <w:lang w:val="en-GB"/>
        </w:rPr>
        <w:tab/>
        <w:t>COMMENTARY</w:t>
      </w:r>
      <w:bookmarkEnd w:id="233"/>
    </w:p>
    <w:p w:rsidR="00135552" w:rsidRDefault="004C63B0">
      <w:pPr>
        <w:pStyle w:val="HEADER2PartBUDG"/>
        <w:rPr>
          <w:noProof/>
          <w:lang w:val="en-GB"/>
        </w:rPr>
      </w:pPr>
      <w:bookmarkStart w:id="235" w:name="_Toc43223221"/>
      <w:r>
        <w:rPr>
          <w:noProof/>
          <w:lang w:val="en-GB"/>
        </w:rPr>
        <w:t>REVENUE</w:t>
      </w:r>
      <w:bookmarkEnd w:id="235"/>
    </w:p>
    <w:p w:rsidR="00135552" w:rsidRDefault="004C63B0">
      <w:pPr>
        <w:pStyle w:val="DGTextstand-alone"/>
      </w:pPr>
      <w:r>
        <w:t>In the initial adopted EU</w:t>
      </w:r>
      <w:r>
        <w:t xml:space="preserve"> budget, signed by the President of the European Parliament on 12 December 2018, the amount of payment appropriations was EUR 148 199 million and the amount to be financed by own resources totalled EUR 146 305 million. The revenue and expenditure estimates</w:t>
      </w:r>
      <w:r>
        <w:t xml:space="preserve"> in the initial budget are typically adjusted during the budgetary year, such modifications being presented in amending budgets. Adjustments in the GNI-based own resources ensure that budgeted revenue matches exactly budgeted expenditure. In accordance wit</w:t>
      </w:r>
      <w:r>
        <w:t>h the principle of equilibrium, budget revenue and expenditure (payment appropriations) must be in balance.</w:t>
      </w:r>
    </w:p>
    <w:p w:rsidR="00135552" w:rsidRDefault="004C63B0">
      <w:pPr>
        <w:pStyle w:val="DGTextstand-alone"/>
      </w:pPr>
      <w:r>
        <w:t>During 2019, three amending budgets were adopted. Taking them into account, the final adopted revenue for 2019 amounted to EUR 148 492 million and t</w:t>
      </w:r>
      <w:r>
        <w:t>he total financed by own resources was EUR 144 795 million. The main factor for the reduction of Member States' contributions in 2019 was the surplus from the previous financial year (EUR 1 803 million) slightly counterbalanced by a net increase of payment</w:t>
      </w:r>
      <w:r>
        <w:t xml:space="preserve"> appropriations (EUR 293 million).</w:t>
      </w:r>
    </w:p>
    <w:p w:rsidR="00135552" w:rsidRDefault="004C63B0">
      <w:pPr>
        <w:pStyle w:val="DGTextstand-alone"/>
      </w:pPr>
      <w:r>
        <w:t>As far as the own resources result is concerned, the collection of traditional own resources was very close to the forecasted amounts.</w:t>
      </w:r>
    </w:p>
    <w:p w:rsidR="00135552" w:rsidRDefault="004C63B0">
      <w:pPr>
        <w:pStyle w:val="DGTextstand-alone"/>
      </w:pPr>
      <w:r>
        <w:t>The final Member States' VAT and GNI payments also correspond closely to the final bud</w:t>
      </w:r>
      <w:r>
        <w:t>getary estimate. The differences between the forecasted amounts and the amounts actually paid are due to the differences between the euro rates used for budgetary purposes and the rates in force at the time when the Member States outside the EMU actually m</w:t>
      </w:r>
      <w:r>
        <w:t>ade their payments.</w:t>
      </w:r>
    </w:p>
    <w:p w:rsidR="00135552" w:rsidRDefault="004C63B0">
      <w:pPr>
        <w:pStyle w:val="DGTextstand-alone"/>
      </w:pPr>
      <w:r>
        <w:t xml:space="preserve">For the VAT and GNI balances, the rules are set out in Article 10 b of the Making Available Regulation (Regulation 609/2014). The procedure does not entail a budgetary amendment and therefore the Commission directly requests the Member </w:t>
      </w:r>
      <w:r>
        <w:t>States to pay the net amounts. The impact for the EU budget was close to zero due to this netting system.</w:t>
      </w:r>
    </w:p>
    <w:p w:rsidR="00135552" w:rsidRDefault="004C63B0">
      <w:pPr>
        <w:pStyle w:val="DGTextstand-alone"/>
      </w:pPr>
      <w:r>
        <w:t>The heading "Contributions and refunds in connection with EU agreements and programmes" concerns mainly revenue from financial corrections (ESIF, EAGF</w:t>
      </w:r>
      <w:r>
        <w:t xml:space="preserve"> and EAFRD), the participation of third countries in research programmes, the clearance of accounts in agricultural funds and other contributions and refunds to EU programmes/activities. A substantial part of this total is made up of earmarked revenue, whi</w:t>
      </w:r>
      <w:r>
        <w:t>ch typically gives rise to the entering of additional appropriations on the expenditure side. In 2019, these contributions totalled EUR 12.6 billion.</w:t>
      </w:r>
    </w:p>
    <w:p w:rsidR="00135552" w:rsidRDefault="004C63B0">
      <w:pPr>
        <w:pStyle w:val="DGTextstand-alone"/>
      </w:pPr>
      <w:r>
        <w:t>The revenue from fines relates mainly to fines in the field of competition.</w:t>
      </w:r>
    </w:p>
    <w:p w:rsidR="00135552" w:rsidRDefault="004C63B0">
      <w:pPr>
        <w:pStyle w:val="HEADER2PartBUDG"/>
        <w:rPr>
          <w:noProof/>
        </w:rPr>
      </w:pPr>
      <w:bookmarkStart w:id="236" w:name="_Toc43223222"/>
      <w:r>
        <w:rPr>
          <w:noProof/>
        </w:rPr>
        <w:t>EXPENDITURE</w:t>
      </w:r>
      <w:bookmarkEnd w:id="236"/>
      <w:r>
        <w:rPr>
          <w:noProof/>
        </w:rPr>
        <w:t xml:space="preserve"> </w:t>
      </w:r>
    </w:p>
    <w:p w:rsidR="00135552" w:rsidRDefault="004C63B0">
      <w:pPr>
        <w:pStyle w:val="DGTextstand-alone"/>
      </w:pPr>
      <w:r>
        <w:t>The EU budget has</w:t>
      </w:r>
      <w:r>
        <w:t xml:space="preserve"> an important role to support the delivery of the Union's policies and priorities. Despite its limited amount, representing around 2 % of all public spending in the Union, it complements national budgets and has a clear focus on investment and additionalit</w:t>
      </w:r>
      <w:r>
        <w:t>y. It is a key tool among the wide set of European-level policy and regulatory instruments, to implement policy priorities which all EU members have agreed upon, translated into a Multiannual Financial Framework containing the different programmes and maxi</w:t>
      </w:r>
      <w:r>
        <w:t>mum expenditure ceilings.</w:t>
      </w:r>
    </w:p>
    <w:p w:rsidR="00135552" w:rsidRDefault="004C63B0">
      <w:pPr>
        <w:pStyle w:val="DGTextstand-alone"/>
      </w:pPr>
      <w:r>
        <w:t>The EU budget for 2019, adopted on 12 December 2018, confirms that the EU is directing money to where the needs are. In 2019, and in line with the European Commission proposal of May 2018, the biggest part of the EU budget went to</w:t>
      </w:r>
      <w:r>
        <w:t xml:space="preserve"> stimulate the creation of jobs, especially for young people, and to boost growth, strategic investments and convergence. The EU has also continued supporting the efforts to effectively deal with the migration challenge, both inside and outside the EU.</w:t>
      </w:r>
    </w:p>
    <w:p w:rsidR="00135552" w:rsidRDefault="004C63B0">
      <w:pPr>
        <w:pStyle w:val="DGTextstand-alone"/>
      </w:pPr>
      <w:r>
        <w:t>201</w:t>
      </w:r>
      <w:r>
        <w:t>9 was the sixth year of the current 2014-2020 Multiannual Financial Framework (MFF). The implementation of almost all programmes was at cruising speed except new programmes or actions for which the legislative process finished recently.</w:t>
      </w:r>
    </w:p>
    <w:p w:rsidR="00135552" w:rsidRDefault="004C63B0">
      <w:pPr>
        <w:pStyle w:val="DGTextstand-alone"/>
      </w:pPr>
      <w:r>
        <w:t>In line with the an</w:t>
      </w:r>
      <w:r>
        <w:t>nual evolution foreseen in the MFF, appropriations proposed in the draft budget were set at EUR 165.6 billion (3.1 % higher when compared to the 2018 budget) in commitments, and EUR 148.7 billion (2.7 % higher) in payments, corresponding to 1.00 % and 0.90</w:t>
      </w:r>
      <w:r>
        <w:t xml:space="preserve"> % of EU gross national income (GNI), respectively.</w:t>
      </w:r>
    </w:p>
    <w:p w:rsidR="00135552" w:rsidRDefault="004C63B0">
      <w:pPr>
        <w:pStyle w:val="DGTextstand-alone"/>
      </w:pPr>
      <w:r>
        <w:t>All headings reached high levels of implementation in 2019. The 2019 implementation for all types of appropriations (budget, carry-overs from previous year and assigned revenue) was 97 % for commitments a</w:t>
      </w:r>
      <w:r>
        <w:t>nd 93 % for payments. Implementation rates excluding assigned revenue show full implementation in 2019 (99.4 % in commitments and 98.4 % in payments).</w:t>
      </w:r>
    </w:p>
    <w:p w:rsidR="00135552" w:rsidRDefault="004C63B0">
      <w:pPr>
        <w:pStyle w:val="DGTextstand-alone"/>
      </w:pPr>
      <w:r>
        <w:t>Outstanding commitments (RAL, committed amounts not yet paid for) stood at EUR 297.7 billion at the end o</w:t>
      </w:r>
      <w:r>
        <w:t>f 2019. An increase from the 2018 level had been expected, given the difference between budgeted commitment and payment appropriations (EUR 17.7 billion) in the adopted budget and taking into account the fact that an increase in outstanding commitments con</w:t>
      </w:r>
      <w:r>
        <w:t>stitutes a normal evolution, as commitment appropriations increase every year as foreseen in the Multiannual Financial Framework. The final increase reached EUR 16.5 billion.</w:t>
      </w:r>
    </w:p>
    <w:p w:rsidR="00135552" w:rsidRDefault="004C63B0">
      <w:pPr>
        <w:pStyle w:val="DGTextstand-alone"/>
        <w:sectPr w:rsidR="00135552">
          <w:headerReference w:type="even" r:id="rId342"/>
          <w:headerReference w:type="default" r:id="rId343"/>
          <w:footerReference w:type="even" r:id="rId344"/>
          <w:footerReference w:type="default" r:id="rId345"/>
          <w:headerReference w:type="first" r:id="rId346"/>
          <w:footerReference w:type="first" r:id="rId347"/>
          <w:pgSz w:w="11907" w:h="16840" w:code="9"/>
          <w:pgMar w:top="1134" w:right="1134" w:bottom="1134" w:left="1134" w:header="709" w:footer="709" w:gutter="0"/>
          <w:cols w:space="708"/>
          <w:docGrid w:linePitch="360"/>
        </w:sectPr>
      </w:pPr>
      <w:r>
        <w:t xml:space="preserve"> </w:t>
      </w:r>
      <w:bookmarkEnd w:id="234"/>
    </w:p>
    <w:p w:rsidR="00135552" w:rsidRDefault="004C63B0">
      <w:pPr>
        <w:pStyle w:val="HEADER1PartBUDG"/>
        <w:rPr>
          <w:noProof/>
        </w:rPr>
      </w:pPr>
      <w:bookmarkStart w:id="237" w:name="_DMBM_17271"/>
      <w:r>
        <w:rPr>
          <w:noProof/>
        </w:rPr>
        <w:t xml:space="preserve"> </w:t>
      </w:r>
      <w:bookmarkStart w:id="238" w:name="_Toc43223223"/>
      <w:r>
        <w:rPr>
          <w:noProof/>
        </w:rPr>
        <w:t>IMPLEMENTATION OF EU BUDGET REVENUE</w:t>
      </w:r>
      <w:bookmarkEnd w:id="238"/>
      <w:r>
        <w:rPr>
          <w:noProof/>
        </w:rPr>
        <w:t xml:space="preserve"> </w:t>
      </w:r>
    </w:p>
    <w:p w:rsidR="00135552" w:rsidRDefault="004C63B0">
      <w:pPr>
        <w:pStyle w:val="HEADER2PartBUDG"/>
        <w:rPr>
          <w:noProof/>
          <w:lang w:val="en-GB"/>
        </w:rPr>
      </w:pPr>
      <w:bookmarkStart w:id="239" w:name="_Toc43223224"/>
      <w:r>
        <w:rPr>
          <w:noProof/>
          <w:lang w:val="en-GB"/>
        </w:rPr>
        <w:t>SUMMARY OF THE IMPLEMENTATION OF EU BUDGET REVENUE</w:t>
      </w:r>
      <w:bookmarkEnd w:id="239"/>
      <w:r>
        <w:rPr>
          <w:noProof/>
          <w:lang w:val="en-GB"/>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3468"/>
        <w:gridCol w:w="972"/>
        <w:gridCol w:w="972"/>
        <w:gridCol w:w="972"/>
        <w:gridCol w:w="973"/>
        <w:gridCol w:w="972"/>
        <w:gridCol w:w="1389"/>
        <w:gridCol w:w="1199"/>
        <w:gridCol w:w="886"/>
        <w:gridCol w:w="972"/>
        <w:gridCol w:w="1281"/>
      </w:tblGrid>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lang w:bidi="en-GB"/>
              </w:rPr>
            </w:pPr>
            <w:bookmarkStart w:id="240" w:name="DOC_TBL00103_1_1"/>
            <w:bookmarkEnd w:id="240"/>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1BIPImplementationbudgetrevenue"/>
              <w:rPr>
                <w:rFonts w:ascii="Arial" w:eastAsia="Arial" w:hAnsi="Arial" w:cs="Arial"/>
                <w:b/>
                <w:noProof/>
                <w:color w:val="000000"/>
                <w:sz w:val="18"/>
              </w:rPr>
            </w:pP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477"/>
        </w:trPr>
        <w:tc>
          <w:tcPr>
            <w:tcW w:w="342" w:type="dxa"/>
            <w:tcBorders>
              <w:top w:val="nil"/>
              <w:left w:val="nil"/>
              <w:bottom w:val="nil"/>
              <w:right w:val="nil"/>
              <w:tl2br w:val="nil"/>
              <w:tr2bl w:val="nil"/>
            </w:tcBorders>
            <w:shd w:val="solid" w:color="006496"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972" w:type="dxa"/>
            <w:gridSpan w:val="2"/>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b/>
                <w:noProof/>
                <w:color w:val="FFFFFF"/>
                <w:sz w:val="16"/>
              </w:rPr>
            </w:pPr>
            <w:r>
              <w:rPr>
                <w:rFonts w:ascii="Verdana" w:eastAsia="Verdana" w:hAnsi="Verdana" w:cs="Verdana"/>
                <w:b/>
                <w:noProof/>
                <w:color w:val="FFFFFF"/>
                <w:sz w:val="16"/>
              </w:rPr>
              <w:t>Income appropriations</w:t>
            </w:r>
          </w:p>
        </w:tc>
        <w:tc>
          <w:tcPr>
            <w:tcW w:w="972" w:type="dxa"/>
            <w:gridSpan w:val="3"/>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b/>
                <w:noProof/>
                <w:color w:val="FFFFFF"/>
                <w:sz w:val="16"/>
              </w:rPr>
            </w:pPr>
            <w:r>
              <w:rPr>
                <w:rFonts w:ascii="Verdana" w:eastAsia="Verdana" w:hAnsi="Verdana" w:cs="Verdana"/>
                <w:b/>
                <w:noProof/>
                <w:color w:val="FFFFFF"/>
                <w:sz w:val="16"/>
              </w:rPr>
              <w:t>Entitlements established</w:t>
            </w:r>
          </w:p>
        </w:tc>
        <w:tc>
          <w:tcPr>
            <w:tcW w:w="1389" w:type="dxa"/>
            <w:gridSpan w:val="3"/>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b/>
                <w:noProof/>
                <w:color w:val="FFFFFF"/>
                <w:sz w:val="16"/>
              </w:rPr>
            </w:pPr>
            <w:r>
              <w:rPr>
                <w:rFonts w:ascii="Verdana" w:eastAsia="Verdana" w:hAnsi="Verdana" w:cs="Verdana"/>
                <w:b/>
                <w:noProof/>
                <w:color w:val="FFFFFF"/>
                <w:sz w:val="16"/>
              </w:rPr>
              <w:t>Revenue</w:t>
            </w:r>
          </w:p>
        </w:tc>
        <w:tc>
          <w:tcPr>
            <w:tcW w:w="972" w:type="dxa"/>
            <w:vMerge w:val="restart"/>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Receipts as % of budget</w:t>
            </w:r>
          </w:p>
        </w:tc>
        <w:tc>
          <w:tcPr>
            <w:tcW w:w="1281" w:type="dxa"/>
            <w:vMerge w:val="restart"/>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Out-</w:t>
            </w:r>
          </w:p>
          <w:p w:rsidR="00135552" w:rsidRDefault="004C63B0">
            <w:pPr>
              <w:pStyle w:val="DMETW17211BIPImplementationbudgetrevenue"/>
              <w:jc w:val="center"/>
              <w:rPr>
                <w:rFonts w:ascii="Verdana" w:eastAsia="Verdana" w:hAnsi="Verdana" w:cs="Verdana"/>
                <w:noProof/>
                <w:color w:val="FFFFFF"/>
                <w:sz w:val="16"/>
                <w:lang w:bidi="en-GB"/>
              </w:rPr>
            </w:pPr>
            <w:r>
              <w:rPr>
                <w:rFonts w:ascii="Verdana" w:eastAsia="Verdana" w:hAnsi="Verdana" w:cs="Verdana"/>
                <w:noProof/>
                <w:color w:val="FFFFFF"/>
                <w:sz w:val="16"/>
              </w:rPr>
              <w:t>standing</w:t>
            </w:r>
          </w:p>
        </w:tc>
      </w:tr>
      <w:tr w:rsidR="00135552">
        <w:trPr>
          <w:trHeight w:val="340"/>
        </w:trPr>
        <w:tc>
          <w:tcPr>
            <w:tcW w:w="342" w:type="dxa"/>
            <w:tcBorders>
              <w:top w:val="nil"/>
              <w:left w:val="nil"/>
              <w:bottom w:val="nil"/>
              <w:right w:val="nil"/>
              <w:tl2br w:val="nil"/>
              <w:tr2bl w:val="nil"/>
            </w:tcBorders>
            <w:shd w:val="solid" w:color="006496"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Title</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Initial adopted</w:t>
            </w:r>
            <w:r>
              <w:rPr>
                <w:rFonts w:ascii="Verdana" w:eastAsia="Verdana" w:hAnsi="Verdana" w:cs="Verdana"/>
                <w:noProof/>
                <w:color w:val="FFFFFF"/>
                <w:sz w:val="16"/>
              </w:rPr>
              <w:t xml:space="preserve"> budget</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Current year</w:t>
            </w:r>
          </w:p>
        </w:tc>
        <w:tc>
          <w:tcPr>
            <w:tcW w:w="973"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Carried over</w:t>
            </w:r>
          </w:p>
        </w:tc>
        <w:tc>
          <w:tcPr>
            <w:tcW w:w="972"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1389"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On</w:t>
            </w:r>
          </w:p>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entitlements</w:t>
            </w:r>
          </w:p>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of current year</w:t>
            </w:r>
          </w:p>
        </w:tc>
        <w:tc>
          <w:tcPr>
            <w:tcW w:w="1199"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On</w:t>
            </w:r>
          </w:p>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entitlements</w:t>
            </w:r>
          </w:p>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carried over</w:t>
            </w:r>
          </w:p>
        </w:tc>
        <w:tc>
          <w:tcPr>
            <w:tcW w:w="886" w:type="dxa"/>
            <w:tcBorders>
              <w:top w:val="nil"/>
              <w:left w:val="nil"/>
              <w:bottom w:val="nil"/>
              <w:right w:val="nil"/>
              <w:tl2br w:val="nil"/>
              <w:tr2bl w:val="nil"/>
            </w:tcBorders>
            <w:shd w:val="solid" w:color="006496"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r>
      <w:tr w:rsidR="00135552">
        <w:trPr>
          <w:trHeight w:val="340"/>
        </w:trPr>
        <w:tc>
          <w:tcPr>
            <w:tcW w:w="342" w:type="dxa"/>
            <w:tcBorders>
              <w:top w:val="nil"/>
              <w:left w:val="nil"/>
              <w:bottom w:val="nil"/>
              <w:right w:val="nil"/>
              <w:tl2br w:val="nil"/>
              <w:tr2bl w:val="nil"/>
            </w:tcBorders>
            <w:shd w:val="solid" w:color="3287AA"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3287AA" w:fill="FFFFFF"/>
            <w:tcMar>
              <w:left w:w="60" w:type="dxa"/>
              <w:right w:w="60" w:type="dxa"/>
            </w:tcMar>
            <w:vAlign w:val="center"/>
          </w:tcPr>
          <w:p w:rsidR="00135552" w:rsidRDefault="00135552">
            <w:pPr>
              <w:pStyle w:val="DMETW17211BIPImplementationbudgetrevenue"/>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973"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5=3+4</w:t>
            </w:r>
          </w:p>
        </w:tc>
        <w:tc>
          <w:tcPr>
            <w:tcW w:w="1389"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6</w:t>
            </w:r>
          </w:p>
        </w:tc>
        <w:tc>
          <w:tcPr>
            <w:tcW w:w="1199"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886"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8=6+7</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rPr>
            </w:pPr>
            <w:r>
              <w:rPr>
                <w:rFonts w:ascii="Verdana" w:eastAsia="Verdana" w:hAnsi="Verdana" w:cs="Verdana"/>
                <w:noProof/>
                <w:color w:val="FFFFFF"/>
                <w:sz w:val="16"/>
              </w:rPr>
              <w:t>9=8/2</w:t>
            </w:r>
          </w:p>
        </w:tc>
        <w:tc>
          <w:tcPr>
            <w:tcW w:w="1281" w:type="dxa"/>
            <w:tcBorders>
              <w:top w:val="nil"/>
              <w:left w:val="nil"/>
              <w:bottom w:val="nil"/>
              <w:right w:val="nil"/>
              <w:tl2br w:val="nil"/>
              <w:tr2bl w:val="nil"/>
            </w:tcBorders>
            <w:shd w:val="solid" w:color="3287AA" w:fill="FFFFFF"/>
            <w:tcMar>
              <w:left w:w="60" w:type="dxa"/>
              <w:right w:w="60" w:type="dxa"/>
            </w:tcMar>
            <w:vAlign w:val="center"/>
          </w:tcPr>
          <w:p w:rsidR="00135552" w:rsidRDefault="004C63B0">
            <w:pPr>
              <w:pStyle w:val="DMETW17211BIPImplementationbudgetrevenue"/>
              <w:jc w:val="center"/>
              <w:rPr>
                <w:rFonts w:ascii="Verdana" w:eastAsia="Verdana" w:hAnsi="Verdana" w:cs="Verdana"/>
                <w:noProof/>
                <w:color w:val="FFFFFF"/>
                <w:sz w:val="16"/>
                <w:lang w:bidi="en-GB"/>
              </w:rPr>
            </w:pPr>
            <w:r>
              <w:rPr>
                <w:rFonts w:ascii="Verdana" w:eastAsia="Verdana" w:hAnsi="Verdana" w:cs="Verdana"/>
                <w:noProof/>
                <w:color w:val="FFFFFF"/>
                <w:sz w:val="16"/>
              </w:rPr>
              <w:t>10=5-8</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1</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Own resources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146 305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144 795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147 013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147 056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144 754</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144 766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2 291</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3</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Surpluses, balances and adjustments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1 803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1 811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1 811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1 805</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1 805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479"/>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4</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Revenue accruing from persons working with the institutions and other union bodies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1 607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1 607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1 576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1 585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1 566</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1 576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w:t>
            </w:r>
          </w:p>
        </w:tc>
      </w:tr>
      <w:tr w:rsidR="00135552">
        <w:trPr>
          <w:trHeight w:val="557"/>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5</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 xml:space="preserve">Revenue accruing from the </w:t>
            </w:r>
            <w:r>
              <w:rPr>
                <w:rFonts w:ascii="Verdana" w:eastAsia="Verdana" w:hAnsi="Verdana" w:cs="Verdana"/>
                <w:noProof/>
                <w:color w:val="000000"/>
                <w:sz w:val="16"/>
              </w:rPr>
              <w:t>administrative operation  of the institutions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570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589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546</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2 229 %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31</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6</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Contributions and refunds in connection with Union agreements and programmes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13 564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569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14 134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12 279</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298</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12 577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9 674 %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1 557</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7</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Interests on late</w:t>
            </w:r>
            <w:r>
              <w:rPr>
                <w:rFonts w:ascii="Verdana" w:eastAsia="Verdana" w:hAnsi="Verdana" w:cs="Verdana"/>
                <w:noProof/>
                <w:color w:val="000000"/>
                <w:sz w:val="16"/>
              </w:rPr>
              <w:t xml:space="preserve"> payments and fines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5 456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13 119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18 575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2 355</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271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2 625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2 283 %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15 949</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8</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Borrowing and lending operations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110 %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9</w:t>
            </w:r>
          </w:p>
        </w:tc>
        <w:tc>
          <w:tcPr>
            <w:tcW w:w="34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rPr>
                <w:rFonts w:ascii="Verdana" w:eastAsia="Verdana" w:hAnsi="Verdana" w:cs="Verdana"/>
                <w:noProof/>
                <w:color w:val="000000"/>
                <w:sz w:val="16"/>
              </w:rPr>
            </w:pPr>
            <w:r>
              <w:rPr>
                <w:rFonts w:ascii="Verdana" w:eastAsia="Verdana" w:hAnsi="Verdana" w:cs="Verdana"/>
                <w:noProof/>
                <w:color w:val="000000"/>
                <w:sz w:val="16"/>
              </w:rPr>
              <w:t>Miscellaneous revenue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11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rPr>
            </w:pPr>
            <w:r>
              <w:rPr>
                <w:rFonts w:ascii="Verdana" w:eastAsia="Verdana" w:hAnsi="Verdana" w:cs="Verdana"/>
                <w:noProof/>
                <w:color w:val="000000"/>
                <w:sz w:val="16"/>
              </w:rPr>
              <w:t xml:space="preserve"> 52 %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1BIPImplementationbudget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w:t>
            </w:r>
          </w:p>
        </w:tc>
      </w:tr>
      <w:tr w:rsidR="00135552">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1BIPImplementationbudgetrevenue"/>
              <w:rPr>
                <w:rFonts w:ascii="Verdana" w:eastAsia="Verdana" w:hAnsi="Verdana" w:cs="Verdana"/>
                <w:b/>
                <w:noProof/>
                <w:color w:val="000000"/>
                <w:sz w:val="16"/>
              </w:rPr>
            </w:pPr>
          </w:p>
        </w:tc>
        <w:tc>
          <w:tcPr>
            <w:tcW w:w="346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rPr>
                <w:rFonts w:ascii="Verdana" w:eastAsia="Verdana" w:hAnsi="Verdana" w:cs="Verdana"/>
                <w:b/>
                <w:noProof/>
                <w:color w:val="000000"/>
                <w:sz w:val="16"/>
              </w:rPr>
            </w:pPr>
            <w:r>
              <w:rPr>
                <w:rFonts w:ascii="Verdana" w:eastAsia="Verdana" w:hAnsi="Verdana" w:cs="Verdana"/>
                <w:b/>
                <w:noProof/>
                <w:color w:val="000000"/>
                <w:sz w:val="16"/>
              </w:rPr>
              <w:t>Total</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170 001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13 770</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183 771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163 314</w:t>
            </w:r>
          </w:p>
        </w:tc>
        <w:tc>
          <w:tcPr>
            <w:tcW w:w="119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 xml:space="preserve"> 604</w:t>
            </w:r>
          </w:p>
        </w:tc>
        <w:tc>
          <w:tcPr>
            <w:tcW w:w="8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163 918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110 %</w:t>
            </w:r>
          </w:p>
        </w:tc>
        <w:tc>
          <w:tcPr>
            <w:tcW w:w="12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1BIPImplementationbudgetrevenue"/>
              <w:jc w:val="right"/>
              <w:rPr>
                <w:rFonts w:ascii="Verdana" w:eastAsia="Verdana" w:hAnsi="Verdana" w:cs="Verdana"/>
                <w:b/>
                <w:noProof/>
                <w:color w:val="000000"/>
                <w:sz w:val="16"/>
              </w:rPr>
            </w:pPr>
            <w:r>
              <w:rPr>
                <w:rFonts w:ascii="Verdana" w:eastAsia="Verdana" w:hAnsi="Verdana" w:cs="Verdana"/>
                <w:b/>
                <w:noProof/>
                <w:color w:val="000000"/>
                <w:sz w:val="16"/>
              </w:rPr>
              <w:t>19 853</w:t>
            </w:r>
          </w:p>
        </w:tc>
      </w:tr>
    </w:tbl>
    <w:p w:rsidR="00135552" w:rsidRDefault="00135552">
      <w:pPr>
        <w:pStyle w:val="Textstand-alone"/>
      </w:pPr>
    </w:p>
    <w:p w:rsidR="00135552" w:rsidRDefault="00135552">
      <w:pPr>
        <w:pStyle w:val="Textstand-alone"/>
      </w:pPr>
    </w:p>
    <w:bookmarkEnd w:id="237"/>
    <w:p w:rsidR="00135552" w:rsidRDefault="00135552">
      <w:pPr>
        <w:pStyle w:val="Textstand-alone"/>
        <w:sectPr w:rsidR="00135552">
          <w:headerReference w:type="even" r:id="rId348"/>
          <w:headerReference w:type="default" r:id="rId349"/>
          <w:footerReference w:type="even" r:id="rId350"/>
          <w:footerReference w:type="default" r:id="rId351"/>
          <w:headerReference w:type="first" r:id="rId352"/>
          <w:footerReference w:type="first" r:id="rId353"/>
          <w:pgSz w:w="16840" w:h="11900" w:orient="landscape"/>
          <w:pgMar w:top="1134" w:right="1134" w:bottom="1134" w:left="1134" w:header="708" w:footer="708" w:gutter="0"/>
          <w:cols w:space="720"/>
        </w:sectPr>
      </w:pPr>
    </w:p>
    <w:p w:rsidR="00135552" w:rsidRDefault="004C63B0">
      <w:pPr>
        <w:pStyle w:val="HEADER1PartBUDG"/>
        <w:rPr>
          <w:noProof/>
        </w:rPr>
      </w:pPr>
      <w:bookmarkStart w:id="241" w:name="_DMBM_17268"/>
      <w:r>
        <w:rPr>
          <w:noProof/>
        </w:rPr>
        <w:t xml:space="preserve"> </w:t>
      </w:r>
      <w:bookmarkStart w:id="242" w:name="_Toc43223225"/>
      <w:r>
        <w:rPr>
          <w:noProof/>
        </w:rPr>
        <w:t>IMPLEMENTATION OF EU BUDGET EXPENDITURE</w:t>
      </w:r>
      <w:bookmarkEnd w:id="242"/>
      <w:r>
        <w:rPr>
          <w:noProof/>
        </w:rPr>
        <w:t xml:space="preserve"> </w:t>
      </w:r>
    </w:p>
    <w:p w:rsidR="00135552" w:rsidRDefault="004C63B0">
      <w:pPr>
        <w:pStyle w:val="HEADER2PartBUDG"/>
        <w:rPr>
          <w:noProof/>
          <w:lang w:val="en-GB"/>
        </w:rPr>
      </w:pPr>
      <w:bookmarkStart w:id="243" w:name="_Toc43223226"/>
      <w:r>
        <w:rPr>
          <w:noProof/>
          <w:lang w:val="en-GB"/>
        </w:rPr>
        <w:t>MFF: BREAKDOWN &amp; CHANGES IN COMMITMENT &amp; PAYMENT APPROPRIATIONS</w:t>
      </w:r>
      <w:bookmarkEnd w:id="243"/>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847"/>
        <w:gridCol w:w="962"/>
        <w:gridCol w:w="962"/>
        <w:gridCol w:w="963"/>
        <w:gridCol w:w="826"/>
        <w:gridCol w:w="962"/>
        <w:gridCol w:w="963"/>
        <w:gridCol w:w="962"/>
        <w:gridCol w:w="953"/>
        <w:gridCol w:w="898"/>
        <w:gridCol w:w="764"/>
        <w:gridCol w:w="948"/>
        <w:gridCol w:w="1134"/>
      </w:tblGrid>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lang w:bidi="en-GB"/>
              </w:rPr>
            </w:pPr>
            <w:bookmarkStart w:id="244" w:name="DOC_TBL00104_1_1"/>
            <w:bookmarkEnd w:id="244"/>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23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962" w:type="dxa"/>
            <w:gridSpan w:val="6"/>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b/>
                <w:noProof/>
                <w:color w:val="FFFFFF"/>
                <w:sz w:val="16"/>
              </w:rPr>
            </w:pPr>
            <w:r>
              <w:rPr>
                <w:rFonts w:ascii="Verdana" w:eastAsia="Verdana" w:hAnsi="Verdana" w:cs="Verdana"/>
                <w:b/>
                <w:noProof/>
                <w:color w:val="FFFFFF"/>
                <w:sz w:val="16"/>
              </w:rPr>
              <w:t>Commitment appropriations</w:t>
            </w:r>
          </w:p>
        </w:tc>
        <w:tc>
          <w:tcPr>
            <w:tcW w:w="962" w:type="dxa"/>
            <w:gridSpan w:val="6"/>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b/>
                <w:noProof/>
                <w:color w:val="FFFFFF"/>
                <w:sz w:val="16"/>
                <w:lang w:bidi="en-GB"/>
              </w:rPr>
            </w:pPr>
            <w:r>
              <w:rPr>
                <w:rFonts w:ascii="Verdana" w:eastAsia="Verdana" w:hAnsi="Verdana" w:cs="Verdana"/>
                <w:b/>
                <w:noProof/>
                <w:color w:val="FFFFFF"/>
                <w:sz w:val="16"/>
              </w:rPr>
              <w:t>Payment appropriations</w:t>
            </w:r>
          </w:p>
        </w:tc>
      </w:tr>
      <w:tr w:rsidR="00135552">
        <w:trPr>
          <w:trHeight w:val="340"/>
        </w:trPr>
        <w:tc>
          <w:tcPr>
            <w:tcW w:w="23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962"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Budget appropriations</w:t>
            </w:r>
          </w:p>
        </w:tc>
        <w:tc>
          <w:tcPr>
            <w:tcW w:w="826"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Additional appropriations</w:t>
            </w:r>
          </w:p>
        </w:tc>
        <w:tc>
          <w:tcPr>
            <w:tcW w:w="963"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b/>
                <w:noProof/>
                <w:color w:val="FFFFFF"/>
                <w:sz w:val="16"/>
              </w:rPr>
            </w:pPr>
            <w:r>
              <w:rPr>
                <w:rFonts w:ascii="Verdana" w:eastAsia="Verdana" w:hAnsi="Verdana" w:cs="Verdana"/>
                <w:b/>
                <w:noProof/>
                <w:color w:val="FFFFFF"/>
                <w:sz w:val="16"/>
              </w:rPr>
              <w:t>Total approp. available</w:t>
            </w:r>
          </w:p>
        </w:tc>
        <w:tc>
          <w:tcPr>
            <w:tcW w:w="962"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Budget appropriations</w:t>
            </w:r>
          </w:p>
        </w:tc>
        <w:tc>
          <w:tcPr>
            <w:tcW w:w="764"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Additional appropriations</w:t>
            </w:r>
          </w:p>
        </w:tc>
        <w:tc>
          <w:tcPr>
            <w:tcW w:w="1134"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b/>
                <w:noProof/>
                <w:color w:val="FFFFFF"/>
                <w:sz w:val="16"/>
                <w:lang w:bidi="en-GB"/>
              </w:rPr>
            </w:pPr>
            <w:r>
              <w:rPr>
                <w:rFonts w:ascii="Verdana" w:eastAsia="Verdana" w:hAnsi="Verdana" w:cs="Verdana"/>
                <w:b/>
                <w:noProof/>
                <w:color w:val="FFFFFF"/>
                <w:sz w:val="16"/>
              </w:rPr>
              <w:t>Total approp. available</w:t>
            </w:r>
          </w:p>
        </w:tc>
      </w:tr>
      <w:tr w:rsidR="00135552">
        <w:trPr>
          <w:trHeight w:val="743"/>
        </w:trPr>
        <w:tc>
          <w:tcPr>
            <w:tcW w:w="23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Amending</w:t>
            </w:r>
            <w:r>
              <w:rPr>
                <w:rFonts w:ascii="Verdana" w:eastAsia="Verdana" w:hAnsi="Verdana" w:cs="Verdana"/>
                <w:noProof/>
                <w:color w:val="FFFFFF"/>
                <w:sz w:val="16"/>
              </w:rPr>
              <w:t xml:space="preserve"> budgets &amp; transfers</w:t>
            </w:r>
          </w:p>
        </w:tc>
        <w:tc>
          <w:tcPr>
            <w:tcW w:w="9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Carry-overs</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102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b/>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9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Amending budgets &amp; transfers</w:t>
            </w:r>
          </w:p>
        </w:tc>
        <w:tc>
          <w:tcPr>
            <w:tcW w:w="89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76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Carry-overs</w:t>
            </w:r>
          </w:p>
        </w:tc>
        <w:tc>
          <w:tcPr>
            <w:tcW w:w="94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lang w:bidi="en-GB"/>
              </w:rPr>
            </w:pPr>
            <w:r>
              <w:rPr>
                <w:rFonts w:ascii="Verdana" w:eastAsia="Verdana" w:hAnsi="Verdana" w:cs="Verdana"/>
                <w:noProof/>
                <w:color w:val="FFFFFF"/>
                <w:sz w:val="16"/>
              </w:rPr>
              <w:t>Assigned revenue</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1BreakdownCommPaym"/>
              <w:jc w:val="center"/>
              <w:rPr>
                <w:rFonts w:ascii="Verdana" w:eastAsia="Verdana" w:hAnsi="Verdana" w:cs="Verdana"/>
                <w:b/>
                <w:noProof/>
                <w:color w:val="FFFFFF"/>
                <w:sz w:val="16"/>
              </w:rPr>
            </w:pPr>
          </w:p>
        </w:tc>
      </w:tr>
      <w:tr w:rsidR="00135552">
        <w:trPr>
          <w:trHeight w:val="340"/>
        </w:trPr>
        <w:tc>
          <w:tcPr>
            <w:tcW w:w="233"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3=1+2</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5</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6=3+</w:t>
            </w:r>
          </w:p>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4+5</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95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98"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9=7+8</w:t>
            </w:r>
          </w:p>
        </w:tc>
        <w:tc>
          <w:tcPr>
            <w:tcW w:w="76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10</w:t>
            </w:r>
          </w:p>
        </w:tc>
        <w:tc>
          <w:tcPr>
            <w:tcW w:w="948"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113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1BreakdownCommPaym"/>
              <w:jc w:val="center"/>
              <w:rPr>
                <w:rFonts w:ascii="Verdana" w:eastAsia="Verdana" w:hAnsi="Verdana" w:cs="Verdana"/>
                <w:noProof/>
                <w:color w:val="FFFFFF"/>
                <w:sz w:val="16"/>
              </w:rPr>
            </w:pPr>
            <w:r>
              <w:rPr>
                <w:rFonts w:ascii="Verdana" w:eastAsia="Verdana" w:hAnsi="Verdana" w:cs="Verdana"/>
                <w:noProof/>
                <w:color w:val="FFFFFF"/>
                <w:sz w:val="16"/>
              </w:rPr>
              <w:t>12=9+</w:t>
            </w:r>
          </w:p>
          <w:p w:rsidR="00135552" w:rsidRDefault="004C63B0">
            <w:pPr>
              <w:pStyle w:val="DMETW17212BIPMFF1BreakdownCommPaym"/>
              <w:jc w:val="center"/>
              <w:rPr>
                <w:rFonts w:ascii="Verdana" w:eastAsia="Verdana" w:hAnsi="Verdana" w:cs="Verdana"/>
                <w:noProof/>
                <w:color w:val="FFFFFF"/>
                <w:sz w:val="16"/>
                <w:lang w:bidi="en-GB"/>
              </w:rPr>
            </w:pPr>
            <w:r>
              <w:rPr>
                <w:rFonts w:ascii="Verdana" w:eastAsia="Verdana" w:hAnsi="Verdana" w:cs="Verdana"/>
                <w:noProof/>
                <w:color w:val="FFFFFF"/>
                <w:sz w:val="16"/>
              </w:rPr>
              <w:t>10+11</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1</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 xml:space="preserve">Smart and inclusive </w:t>
            </w:r>
            <w:r>
              <w:rPr>
                <w:rFonts w:ascii="Verdana" w:eastAsia="Verdana" w:hAnsi="Verdana" w:cs="Verdana"/>
                <w:noProof/>
                <w:color w:val="000000"/>
                <w:sz w:val="16"/>
              </w:rPr>
              <w:t>growth</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80 527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80 627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12 166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92 794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67 557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266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67 823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131</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14 600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82 553</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23 335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100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23 435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4 390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27 826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20 522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(260)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20 261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118</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5 664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lang w:bidi="en-GB"/>
              </w:rPr>
            </w:pPr>
            <w:r>
              <w:rPr>
                <w:rFonts w:ascii="Verdana" w:eastAsia="Verdana" w:hAnsi="Verdana" w:cs="Verdana"/>
                <w:i/>
                <w:noProof/>
                <w:color w:val="000000"/>
                <w:sz w:val="16"/>
              </w:rPr>
              <w:t>26 044</w:t>
            </w:r>
          </w:p>
        </w:tc>
      </w:tr>
      <w:tr w:rsidR="00135552">
        <w:trPr>
          <w:trHeight w:val="543"/>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57 192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57</w:t>
            </w:r>
            <w:r>
              <w:rPr>
                <w:rFonts w:ascii="Verdana" w:eastAsia="Verdana" w:hAnsi="Verdana" w:cs="Verdana"/>
                <w:i/>
                <w:noProof/>
                <w:color w:val="000000"/>
                <w:sz w:val="16"/>
              </w:rPr>
              <w:t xml:space="preserve">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7 777</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64 969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47 035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526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47 561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13</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8 935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lang w:bidi="en-GB"/>
              </w:rPr>
            </w:pPr>
            <w:r>
              <w:rPr>
                <w:rFonts w:ascii="Verdana" w:eastAsia="Verdana" w:hAnsi="Verdana" w:cs="Verdana"/>
                <w:i/>
                <w:noProof/>
                <w:color w:val="000000"/>
                <w:sz w:val="16"/>
              </w:rPr>
              <w:t>56 510</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2</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2 745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62 846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57 400</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437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57 837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672</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2 743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61 252</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i/>
                <w:noProof/>
                <w:color w:val="000000"/>
                <w:sz w:val="16"/>
              </w:rPr>
            </w:pPr>
            <w:r>
              <w:rPr>
                <w:rFonts w:ascii="Verdana" w:eastAsia="Verdana" w:hAnsi="Verdana" w:cs="Verdana"/>
                <w:i/>
                <w:noProof/>
                <w:color w:val="000000"/>
                <w:sz w:val="16"/>
              </w:rPr>
              <w:t>of which: Market related expenditure and direct payments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43 192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43 192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1 155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44</w:t>
            </w:r>
            <w:r>
              <w:rPr>
                <w:rFonts w:ascii="Verdana" w:eastAsia="Verdana" w:hAnsi="Verdana" w:cs="Verdana"/>
                <w:i/>
                <w:noProof/>
                <w:color w:val="000000"/>
                <w:sz w:val="16"/>
              </w:rPr>
              <w:t xml:space="preserve">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43 116</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43 113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665</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1 155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lang w:bidi="en-GB"/>
              </w:rPr>
            </w:pPr>
            <w:r>
              <w:rPr>
                <w:rFonts w:ascii="Verdana" w:eastAsia="Verdana" w:hAnsi="Verdana" w:cs="Verdana"/>
                <w:i/>
                <w:noProof/>
                <w:color w:val="000000"/>
                <w:sz w:val="16"/>
              </w:rPr>
              <w:t>44 933</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3</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279</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4 065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3 527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3 291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276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3 575</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4</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Global Europe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11 319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306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11 625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1 795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13 454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9 358</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8 953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1 916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10 933</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5</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Administration</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832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10 776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9 945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9 942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916</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836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11 694</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i/>
                <w:noProof/>
                <w:color w:val="000000"/>
                <w:sz w:val="16"/>
              </w:rPr>
            </w:pPr>
            <w:r>
              <w:rPr>
                <w:rFonts w:ascii="Verdana" w:eastAsia="Verdana" w:hAnsi="Verdana" w:cs="Verdana"/>
                <w:i/>
                <w:noProof/>
                <w:color w:val="000000"/>
                <w:sz w:val="16"/>
              </w:rPr>
              <w:t>of which: Administrative expenditure of the institutions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1BreakdownCommPaym"/>
              <w:jc w:val="right"/>
              <w:rPr>
                <w:rFonts w:ascii="Verdana" w:eastAsia="Verdana" w:hAnsi="Verdana" w:cs="Verdana"/>
                <w:i/>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435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4 550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4 115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554</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rPr>
            </w:pPr>
            <w:r>
              <w:rPr>
                <w:rFonts w:ascii="Verdana" w:eastAsia="Verdana" w:hAnsi="Verdana" w:cs="Verdana"/>
                <w:i/>
                <w:noProof/>
                <w:color w:val="000000"/>
                <w:sz w:val="16"/>
              </w:rPr>
              <w:t xml:space="preserve"> 437</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i/>
                <w:noProof/>
                <w:color w:val="000000"/>
                <w:sz w:val="16"/>
                <w:lang w:bidi="en-GB"/>
              </w:rPr>
            </w:pPr>
            <w:r>
              <w:rPr>
                <w:rFonts w:ascii="Verdana" w:eastAsia="Verdana" w:hAnsi="Verdana" w:cs="Verdana"/>
                <w:i/>
                <w:noProof/>
                <w:color w:val="000000"/>
                <w:sz w:val="16"/>
              </w:rPr>
              <w:t>5 107</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6</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Compensations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8</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9</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577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565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618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236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647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1BreakdownCommPaym"/>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671</w:t>
            </w:r>
          </w:p>
        </w:tc>
      </w:tr>
      <w:tr w:rsidR="00135552">
        <w:trPr>
          <w:trHeight w:val="340"/>
        </w:trPr>
        <w:tc>
          <w:tcPr>
            <w:tcW w:w="23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MFF1BreakdownCommPaym"/>
              <w:rPr>
                <w:rFonts w:ascii="Verdana" w:eastAsia="Verdana" w:hAnsi="Verdana" w:cs="Verdana"/>
                <w:b/>
                <w:noProof/>
                <w:color w:val="000000"/>
                <w:sz w:val="16"/>
              </w:rPr>
            </w:pPr>
          </w:p>
        </w:tc>
        <w:tc>
          <w:tcPr>
            <w:tcW w:w="28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rPr>
                <w:rFonts w:ascii="Verdana" w:eastAsia="Verdana" w:hAnsi="Verdana" w:cs="Verdana"/>
                <w:b/>
                <w:noProof/>
                <w:color w:val="000000"/>
                <w:sz w:val="16"/>
              </w:rPr>
            </w:pPr>
            <w:r>
              <w:rPr>
                <w:rFonts w:ascii="Verdana" w:eastAsia="Verdana" w:hAnsi="Verdana" w:cs="Verdana"/>
                <w:b/>
                <w:noProof/>
                <w:color w:val="000000"/>
                <w:sz w:val="16"/>
              </w:rPr>
              <w:t>Total</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165 796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 xml:space="preserve"> 394</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166 189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 xml:space="preserve"> 525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17 840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184 554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9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 xml:space="preserve"> 294</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1 792</w:t>
            </w:r>
          </w:p>
        </w:tc>
        <w:tc>
          <w:tcPr>
            <w:tcW w:w="94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20 394</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1BreakdownCommPaym"/>
              <w:jc w:val="right"/>
              <w:rPr>
                <w:rFonts w:ascii="Verdana" w:eastAsia="Verdana" w:hAnsi="Verdana" w:cs="Verdana"/>
                <w:b/>
                <w:noProof/>
                <w:color w:val="000000"/>
                <w:sz w:val="16"/>
              </w:rPr>
            </w:pPr>
            <w:r>
              <w:rPr>
                <w:rFonts w:ascii="Verdana" w:eastAsia="Verdana" w:hAnsi="Verdana" w:cs="Verdana"/>
                <w:b/>
                <w:noProof/>
                <w:color w:val="000000"/>
                <w:sz w:val="16"/>
              </w:rPr>
              <w:t>170 679</w:t>
            </w:r>
          </w:p>
        </w:tc>
      </w:tr>
    </w:tbl>
    <w:p w:rsidR="00135552" w:rsidRDefault="004C63B0">
      <w:pPr>
        <w:pStyle w:val="DGTextstand-alone"/>
        <w:rPr>
          <w:rFonts w:eastAsia="Verdana" w:cs="Verdana"/>
          <w:szCs w:val="14"/>
          <w:highlight w:val="yellow"/>
        </w:rPr>
      </w:pPr>
      <w:r>
        <w:rPr>
          <w:rFonts w:eastAsia="Verdana" w:cs="Verdana"/>
          <w:szCs w:val="14"/>
          <w:highlight w:val="yellow"/>
        </w:rPr>
        <w:br w:type="page"/>
      </w:r>
    </w:p>
    <w:p w:rsidR="00135552" w:rsidRDefault="00135552">
      <w:pPr>
        <w:pStyle w:val="DGTextstand-alone"/>
        <w:rPr>
          <w:rFonts w:eastAsia="Verdana" w:cs="Verdana"/>
          <w:szCs w:val="14"/>
          <w:highlight w:val="yellow"/>
        </w:rPr>
        <w:sectPr w:rsidR="00135552">
          <w:headerReference w:type="even" r:id="rId354"/>
          <w:headerReference w:type="default" r:id="rId355"/>
          <w:footerReference w:type="even" r:id="rId356"/>
          <w:footerReference w:type="default" r:id="rId357"/>
          <w:headerReference w:type="first" r:id="rId358"/>
          <w:footerReference w:type="first" r:id="rId359"/>
          <w:pgSz w:w="16840" w:h="11900" w:orient="landscape"/>
          <w:pgMar w:top="1134" w:right="1134" w:bottom="1134" w:left="1134" w:header="708" w:footer="708" w:gutter="0"/>
          <w:cols w:space="720"/>
          <w:docGrid w:linePitch="272"/>
        </w:sectPr>
      </w:pPr>
    </w:p>
    <w:p w:rsidR="00135552" w:rsidRDefault="004C63B0">
      <w:pPr>
        <w:pStyle w:val="HEADER2PartBUDG"/>
        <w:rPr>
          <w:noProof/>
          <w:lang w:val="en-GB"/>
        </w:rPr>
      </w:pPr>
      <w:bookmarkStart w:id="245" w:name="_Toc43223227"/>
      <w:r>
        <w:rPr>
          <w:noProof/>
          <w:lang w:val="en-GB"/>
        </w:rPr>
        <w:t>MFF: IMPLEMENTATION OF COMMITMENT APPROPRIATIONS</w:t>
      </w:r>
      <w:bookmarkEnd w:id="24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497"/>
        <w:gridCol w:w="1098"/>
        <w:gridCol w:w="866"/>
        <w:gridCol w:w="866"/>
        <w:gridCol w:w="866"/>
        <w:gridCol w:w="866"/>
        <w:gridCol w:w="866"/>
        <w:gridCol w:w="866"/>
        <w:gridCol w:w="866"/>
        <w:gridCol w:w="866"/>
        <w:gridCol w:w="866"/>
        <w:gridCol w:w="691"/>
        <w:gridCol w:w="835"/>
        <w:gridCol w:w="1141"/>
      </w:tblGrid>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lang w:bidi="en-GB"/>
              </w:rPr>
            </w:pPr>
            <w:bookmarkStart w:id="246" w:name="DOC_TBL00105_1_1"/>
            <w:bookmarkEnd w:id="246"/>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34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2ImplementCommitments"/>
              <w:jc w:val="center"/>
              <w:rPr>
                <w:rFonts w:ascii="Verdana" w:eastAsia="Verdana" w:hAnsi="Verdana" w:cs="Verdana"/>
                <w:noProof/>
                <w:color w:val="FFFFFF"/>
                <w:sz w:val="16"/>
              </w:rPr>
            </w:pPr>
          </w:p>
        </w:tc>
        <w:tc>
          <w:tcPr>
            <w:tcW w:w="1109"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12BIP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 xml:space="preserve">appropr. </w:t>
            </w:r>
          </w:p>
          <w:p w:rsidR="00135552" w:rsidRDefault="004C63B0">
            <w:pPr>
              <w:pStyle w:val="DMETW17212BIP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875"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Commitments made</w:t>
            </w:r>
          </w:p>
        </w:tc>
        <w:tc>
          <w:tcPr>
            <w:tcW w:w="875"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 xml:space="preserve">Appropriat. </w:t>
            </w:r>
            <w:r>
              <w:rPr>
                <w:rFonts w:ascii="Verdana" w:eastAsia="Verdana" w:hAnsi="Verdana" w:cs="Verdana"/>
                <w:b/>
                <w:noProof/>
                <w:color w:val="FFFFFF"/>
                <w:sz w:val="16"/>
              </w:rPr>
              <w:t>carried over to 2020</w:t>
            </w:r>
          </w:p>
        </w:tc>
        <w:tc>
          <w:tcPr>
            <w:tcW w:w="875"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val="715"/>
        </w:trPr>
        <w:tc>
          <w:tcPr>
            <w:tcW w:w="343"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118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2ImplementCommitments"/>
              <w:jc w:val="center"/>
              <w:rPr>
                <w:rFonts w:ascii="Verdana" w:eastAsia="Verdana" w:hAnsi="Verdana" w:cs="Verdana"/>
                <w:b/>
                <w:noProof/>
                <w:color w:val="FFFFFF"/>
                <w:sz w:val="16"/>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carry-overs by decision</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69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11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rPr>
        <w:tc>
          <w:tcPr>
            <w:tcW w:w="343"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2ImplementCommitments"/>
              <w:jc w:val="center"/>
              <w:rPr>
                <w:rFonts w:ascii="Verdana" w:eastAsia="Verdana" w:hAnsi="Verdana" w:cs="Verdana"/>
                <w:noProof/>
                <w:color w:val="FFFFFF"/>
                <w:sz w:val="16"/>
              </w:rPr>
            </w:pPr>
          </w:p>
        </w:tc>
        <w:tc>
          <w:tcPr>
            <w:tcW w:w="1109"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5=2+3</w:t>
            </w:r>
          </w:p>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9=7+8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10</w:t>
            </w:r>
          </w:p>
        </w:tc>
        <w:tc>
          <w:tcPr>
            <w:tcW w:w="698"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115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2ImplementCommitments"/>
              <w:jc w:val="center"/>
              <w:rPr>
                <w:rFonts w:ascii="Verdana" w:eastAsia="Verdana" w:hAnsi="Verdana" w:cs="Verdana"/>
                <w:noProof/>
                <w:color w:val="FFFFFF"/>
                <w:sz w:val="16"/>
              </w:rPr>
            </w:pPr>
            <w:r>
              <w:rPr>
                <w:rFonts w:ascii="Verdana" w:eastAsia="Verdana" w:hAnsi="Verdana" w:cs="Verdana"/>
                <w:noProof/>
                <w:color w:val="FFFFFF"/>
                <w:sz w:val="16"/>
              </w:rPr>
              <w:t>13=10+</w:t>
            </w:r>
          </w:p>
          <w:p w:rsidR="00135552" w:rsidRDefault="004C63B0">
            <w:pPr>
              <w:pStyle w:val="DMETW17212BIPMFF2ImplementCommitments"/>
              <w:jc w:val="center"/>
              <w:rPr>
                <w:rFonts w:ascii="Verdana" w:eastAsia="Verdana" w:hAnsi="Verdana" w:cs="Verdana"/>
                <w:noProof/>
                <w:color w:val="FFFFFF"/>
                <w:sz w:val="16"/>
                <w:lang w:bidi="en-GB"/>
              </w:rPr>
            </w:pPr>
            <w:r>
              <w:rPr>
                <w:rFonts w:ascii="Verdana" w:eastAsia="Verdana" w:hAnsi="Verdana" w:cs="Verdana"/>
                <w:noProof/>
                <w:color w:val="FFFFFF"/>
                <w:sz w:val="16"/>
              </w:rPr>
              <w:t>11+12</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1</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Smart and inclusive growth</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92 794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80 540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9 996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90 536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2 074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2 110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149</w:t>
            </w:r>
          </w:p>
        </w:tc>
      </w:tr>
      <w:tr w:rsidR="00135552">
        <w:trPr>
          <w:trHeight w:val="408"/>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27 826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23 406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2 376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25 782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93 %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2 013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2 016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27</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28</w:t>
            </w:r>
          </w:p>
        </w:tc>
      </w:tr>
      <w:tr w:rsidR="00135552">
        <w:trPr>
          <w:trHeight w:val="557"/>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64 969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57 134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7 620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64 754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100 %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60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25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121</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2</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62 846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59 161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1 001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60 600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1 330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414</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449</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i/>
                <w:noProof/>
                <w:color w:val="000000"/>
                <w:sz w:val="16"/>
              </w:rPr>
            </w:pPr>
            <w:r>
              <w:rPr>
                <w:rFonts w:ascii="Verdana" w:eastAsia="Verdana" w:hAnsi="Verdana" w:cs="Verdana"/>
                <w:i/>
                <w:noProof/>
                <w:color w:val="000000"/>
                <w:sz w:val="16"/>
              </w:rPr>
              <w:t xml:space="preserve">of which: Market related </w:t>
            </w:r>
            <w:r>
              <w:rPr>
                <w:rFonts w:ascii="Verdana" w:eastAsia="Verdana" w:hAnsi="Verdana" w:cs="Verdana"/>
                <w:i/>
                <w:noProof/>
                <w:color w:val="000000"/>
                <w:sz w:val="16"/>
              </w:rPr>
              <w:t>expenditure and direct payments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44 806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42 718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807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43 962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348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815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8</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29</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3</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4 065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3 737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3 874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50</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4</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Global Europe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13 454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11 622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13 111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5</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Administration</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10 776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9 797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10 371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149</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i/>
                <w:noProof/>
                <w:color w:val="000000"/>
                <w:sz w:val="16"/>
              </w:rPr>
            </w:pPr>
            <w:r>
              <w:rPr>
                <w:rFonts w:ascii="Verdana" w:eastAsia="Verdana" w:hAnsi="Verdana" w:cs="Verdana"/>
                <w:i/>
                <w:noProof/>
                <w:color w:val="000000"/>
                <w:sz w:val="16"/>
              </w:rPr>
              <w:t>of which: Administrative expenditure of the institutions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4 550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4 033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2ImplementCommitments"/>
              <w:jc w:val="right"/>
              <w:rPr>
                <w:rFonts w:ascii="Verdana" w:eastAsia="Verdana" w:hAnsi="Verdana" w:cs="Verdana"/>
                <w:i/>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338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4 371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82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85</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6</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8</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9</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221</w:t>
            </w:r>
          </w:p>
        </w:tc>
      </w:tr>
      <w:tr w:rsidR="00135552">
        <w:trPr>
          <w:trHeight w:val="340"/>
        </w:trPr>
        <w:tc>
          <w:tcPr>
            <w:tcW w:w="343"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MFF2ImplementCommitments"/>
              <w:rPr>
                <w:rFonts w:ascii="Verdana" w:eastAsia="Verdana" w:hAnsi="Verdana" w:cs="Verdana"/>
                <w:b/>
                <w:noProof/>
                <w:color w:val="000000"/>
                <w:sz w:val="16"/>
              </w:rPr>
            </w:pPr>
          </w:p>
        </w:tc>
        <w:tc>
          <w:tcPr>
            <w:tcW w:w="252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110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184 554</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165 153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13 161</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178 787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97 %</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4 149</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598</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4 747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438</w:t>
            </w:r>
          </w:p>
        </w:tc>
        <w:tc>
          <w:tcPr>
            <w:tcW w:w="6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530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1 019</w:t>
            </w:r>
          </w:p>
        </w:tc>
      </w:tr>
    </w:tbl>
    <w:p w:rsidR="00135552" w:rsidRDefault="00135552">
      <w:pPr>
        <w:pStyle w:val="Textstand-alone"/>
      </w:pPr>
    </w:p>
    <w:p w:rsidR="00135552" w:rsidRDefault="00135552">
      <w:pPr>
        <w:pStyle w:val="Textstand-alone"/>
        <w:rPr>
          <w:lang w:bidi="en-GB"/>
        </w:rPr>
      </w:pPr>
    </w:p>
    <w:p w:rsidR="00135552" w:rsidRDefault="00135552">
      <w:pPr>
        <w:pStyle w:val="DGTextstand-alone"/>
        <w:sectPr w:rsidR="00135552">
          <w:headerReference w:type="even" r:id="rId360"/>
          <w:headerReference w:type="default" r:id="rId361"/>
          <w:footerReference w:type="even" r:id="rId362"/>
          <w:footerReference w:type="default" r:id="rId363"/>
          <w:headerReference w:type="first" r:id="rId364"/>
          <w:footerReference w:type="first" r:id="rId365"/>
          <w:type w:val="nextColumn"/>
          <w:pgSz w:w="16840" w:h="11900" w:orient="landscape"/>
          <w:pgMar w:top="1134" w:right="1134" w:bottom="1134" w:left="1134" w:header="720" w:footer="720" w:gutter="0"/>
          <w:cols w:space="720"/>
          <w:docGrid w:linePitch="272"/>
        </w:sectPr>
      </w:pPr>
    </w:p>
    <w:p w:rsidR="00135552" w:rsidRDefault="004C63B0">
      <w:pPr>
        <w:pStyle w:val="HEADER2PartBUDG"/>
        <w:rPr>
          <w:noProof/>
        </w:rPr>
      </w:pPr>
      <w:bookmarkStart w:id="247" w:name="_Toc43223228"/>
      <w:r>
        <w:rPr>
          <w:noProof/>
        </w:rPr>
        <w:t>MFF: IMPLEMENTATION OF PAYMENT APPROPRIATIONS</w:t>
      </w:r>
      <w:bookmarkEnd w:id="24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0"/>
        <w:gridCol w:w="956"/>
        <w:gridCol w:w="833"/>
        <w:gridCol w:w="833"/>
        <w:gridCol w:w="952"/>
        <w:gridCol w:w="711"/>
        <w:gridCol w:w="833"/>
        <w:gridCol w:w="833"/>
        <w:gridCol w:w="833"/>
        <w:gridCol w:w="833"/>
        <w:gridCol w:w="833"/>
        <w:gridCol w:w="635"/>
        <w:gridCol w:w="827"/>
        <w:gridCol w:w="1129"/>
      </w:tblGrid>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lang w:bidi="en-GB"/>
              </w:rPr>
            </w:pPr>
            <w:bookmarkStart w:id="248" w:name="DOC_TBL00106_1_1"/>
            <w:bookmarkEnd w:id="248"/>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noProof/>
                <w:color w:val="000000"/>
                <w:sz w:val="16"/>
              </w:rPr>
            </w:pP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3ImplementPayments"/>
              <w:jc w:val="center"/>
              <w:rPr>
                <w:rFonts w:ascii="Verdana" w:eastAsia="Verdana" w:hAnsi="Verdana" w:cs="Verdana"/>
                <w:b/>
                <w:noProof/>
                <w:color w:val="FFFFFF"/>
                <w:sz w:val="16"/>
              </w:rPr>
            </w:pPr>
          </w:p>
        </w:tc>
        <w:tc>
          <w:tcPr>
            <w:tcW w:w="204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3ImplementPayments"/>
              <w:jc w:val="center"/>
              <w:rPr>
                <w:rFonts w:ascii="Verdana" w:eastAsia="Verdana" w:hAnsi="Verdana" w:cs="Verdana"/>
                <w:b/>
                <w:noProof/>
                <w:color w:val="FFFFFF"/>
                <w:sz w:val="16"/>
              </w:rPr>
            </w:pPr>
          </w:p>
        </w:tc>
        <w:tc>
          <w:tcPr>
            <w:tcW w:w="971"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12BIPMFF3ImplementPayments"/>
              <w:jc w:val="center"/>
              <w:rPr>
                <w:rFonts w:ascii="Verdana" w:eastAsia="Verdana" w:hAnsi="Verdana" w:cs="Verdana"/>
                <w:b/>
                <w:noProof/>
                <w:color w:val="FFFFFF"/>
                <w:sz w:val="16"/>
              </w:rPr>
            </w:pPr>
            <w:r>
              <w:rPr>
                <w:rFonts w:ascii="Verdana" w:eastAsia="Verdana" w:hAnsi="Verdana" w:cs="Verdana"/>
                <w:b/>
                <w:noProof/>
                <w:color w:val="FFFFFF"/>
                <w:sz w:val="16"/>
              </w:rPr>
              <w:t>appropr.</w:t>
            </w:r>
          </w:p>
          <w:p w:rsidR="00135552" w:rsidRDefault="004C63B0">
            <w:pPr>
              <w:pStyle w:val="DMETW17212BIPMFF3ImplementPay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967"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b/>
                <w:noProof/>
                <w:color w:val="FFFFFF"/>
                <w:sz w:val="16"/>
              </w:rPr>
            </w:pPr>
            <w:r>
              <w:rPr>
                <w:rFonts w:ascii="Verdana" w:eastAsia="Verdana" w:hAnsi="Verdana" w:cs="Verdana"/>
                <w:b/>
                <w:noProof/>
                <w:color w:val="FFFFFF"/>
                <w:sz w:val="16"/>
              </w:rPr>
              <w:t>Payments made</w:t>
            </w:r>
          </w:p>
        </w:tc>
        <w:tc>
          <w:tcPr>
            <w:tcW w:w="841"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b/>
                <w:noProof/>
                <w:color w:val="FFFFFF"/>
                <w:sz w:val="16"/>
              </w:rPr>
            </w:pPr>
            <w:r>
              <w:rPr>
                <w:rFonts w:ascii="Verdana" w:eastAsia="Verdana" w:hAnsi="Verdana" w:cs="Verdana"/>
                <w:b/>
                <w:noProof/>
                <w:color w:val="FFFFFF"/>
                <w:sz w:val="16"/>
              </w:rPr>
              <w:t xml:space="preserve">Appropriations carried </w:t>
            </w:r>
            <w:r>
              <w:rPr>
                <w:rFonts w:ascii="Verdana" w:eastAsia="Verdana" w:hAnsi="Verdana" w:cs="Verdana"/>
                <w:b/>
                <w:noProof/>
                <w:color w:val="FFFFFF"/>
                <w:sz w:val="16"/>
              </w:rPr>
              <w:t>over to 2020</w:t>
            </w:r>
          </w:p>
        </w:tc>
        <w:tc>
          <w:tcPr>
            <w:tcW w:w="841"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val="340"/>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3ImplementPayments"/>
              <w:jc w:val="center"/>
              <w:rPr>
                <w:rFonts w:ascii="Verdana" w:eastAsia="Verdana" w:hAnsi="Verdana" w:cs="Verdana"/>
                <w:noProof/>
                <w:color w:val="FFFFFF"/>
                <w:sz w:val="16"/>
              </w:rPr>
            </w:pPr>
          </w:p>
        </w:tc>
        <w:tc>
          <w:tcPr>
            <w:tcW w:w="20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114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3ImplementPayments"/>
              <w:jc w:val="center"/>
              <w:rPr>
                <w:rFonts w:ascii="Verdana" w:eastAsia="Verdana" w:hAnsi="Verdana" w:cs="Verdana"/>
                <w:b/>
                <w:noProof/>
                <w:color w:val="FFFFFF"/>
                <w:sz w:val="16"/>
              </w:rPr>
            </w:pPr>
          </w:p>
        </w:tc>
        <w:tc>
          <w:tcPr>
            <w:tcW w:w="96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71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automat. carry-overs</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carry-overs by decis.</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6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11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rPr>
        <w:tc>
          <w:tcPr>
            <w:tcW w:w="232"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3ImplementPayments"/>
              <w:jc w:val="center"/>
              <w:rPr>
                <w:rFonts w:ascii="Verdana" w:eastAsia="Verdana" w:hAnsi="Verdana" w:cs="Verdana"/>
                <w:noProof/>
                <w:color w:val="FFFFFF"/>
                <w:sz w:val="16"/>
              </w:rPr>
            </w:pPr>
          </w:p>
        </w:tc>
        <w:tc>
          <w:tcPr>
            <w:tcW w:w="2044"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3ImplementPayments"/>
              <w:jc w:val="center"/>
              <w:rPr>
                <w:rFonts w:ascii="Verdana" w:eastAsia="Verdana" w:hAnsi="Verdana" w:cs="Verdana"/>
                <w:noProof/>
                <w:color w:val="FFFFFF"/>
                <w:sz w:val="16"/>
              </w:rPr>
            </w:pPr>
          </w:p>
        </w:tc>
        <w:tc>
          <w:tcPr>
            <w:tcW w:w="97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67"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5=2+</w:t>
            </w:r>
          </w:p>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3+4</w:t>
            </w:r>
          </w:p>
        </w:tc>
        <w:tc>
          <w:tcPr>
            <w:tcW w:w="718"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9</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10=7+</w:t>
            </w:r>
          </w:p>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8+9</w:t>
            </w:r>
          </w:p>
        </w:tc>
        <w:tc>
          <w:tcPr>
            <w:tcW w:w="8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6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13</w:t>
            </w:r>
          </w:p>
        </w:tc>
        <w:tc>
          <w:tcPr>
            <w:tcW w:w="11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3ImplementPayments"/>
              <w:jc w:val="center"/>
              <w:rPr>
                <w:rFonts w:ascii="Verdana" w:eastAsia="Verdana" w:hAnsi="Verdana" w:cs="Verdana"/>
                <w:noProof/>
                <w:color w:val="FFFFFF"/>
                <w:sz w:val="16"/>
              </w:rPr>
            </w:pPr>
            <w:r>
              <w:rPr>
                <w:rFonts w:ascii="Verdana" w:eastAsia="Verdana" w:hAnsi="Verdana" w:cs="Verdana"/>
                <w:noProof/>
                <w:color w:val="FFFFFF"/>
                <w:sz w:val="16"/>
              </w:rPr>
              <w:t>14=11+</w:t>
            </w:r>
          </w:p>
          <w:p w:rsidR="00135552" w:rsidRDefault="004C63B0">
            <w:pPr>
              <w:pStyle w:val="DMETW17212BIPMFF3ImplementPayments"/>
              <w:jc w:val="center"/>
              <w:rPr>
                <w:rFonts w:ascii="Verdana" w:eastAsia="Verdana" w:hAnsi="Verdana" w:cs="Verdana"/>
                <w:noProof/>
                <w:color w:val="FFFFFF"/>
                <w:sz w:val="16"/>
                <w:lang w:bidi="en-GB"/>
              </w:rPr>
            </w:pPr>
            <w:r>
              <w:rPr>
                <w:rFonts w:ascii="Verdana" w:eastAsia="Verdana" w:hAnsi="Verdana" w:cs="Verdana"/>
                <w:noProof/>
                <w:color w:val="FFFFFF"/>
                <w:sz w:val="16"/>
              </w:rPr>
              <w:t>12+13</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1</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Smart and inclusive growth</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82 553</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67 637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7 785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75 535</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151</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6 813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6 967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52</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i/>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26 044</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20 090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102</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1 555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21 748</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84 %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138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4 108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4 249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30</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48</w:t>
            </w:r>
          </w:p>
        </w:tc>
      </w:tr>
      <w:tr w:rsidR="00135552">
        <w:trPr>
          <w:trHeight w:val="529"/>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i/>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56 510</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47 547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6 230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53 787</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95 %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2 705</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2 718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2</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2</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61 252</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57 163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637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1 721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59 521</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1 687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44</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i/>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i/>
                <w:noProof/>
                <w:color w:val="000000"/>
                <w:sz w:val="16"/>
              </w:rPr>
            </w:pPr>
            <w:r>
              <w:rPr>
                <w:rFonts w:ascii="Verdana" w:eastAsia="Verdana" w:hAnsi="Verdana" w:cs="Verdana"/>
                <w:i/>
                <w:noProof/>
                <w:color w:val="000000"/>
                <w:sz w:val="16"/>
              </w:rPr>
              <w:t>of which: Market related expenditure and direct payments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44 933</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42 449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631</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43 885</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98 %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190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467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349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1 006</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7</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42</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3</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3 575</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3 153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3 256</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131</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4</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Global Europe</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10 933</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8 </w:t>
            </w:r>
            <w:r>
              <w:rPr>
                <w:rFonts w:ascii="Verdana" w:eastAsia="Verdana" w:hAnsi="Verdana" w:cs="Verdana"/>
                <w:noProof/>
                <w:color w:val="000000"/>
                <w:sz w:val="16"/>
              </w:rPr>
              <w:t>908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1 140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10 108</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772</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811</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5</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Administration</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11 694</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9 048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850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10 381</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89 %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748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349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1 098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216</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3ImplementPayments"/>
              <w:rPr>
                <w:rFonts w:ascii="Verdana" w:eastAsia="Verdana" w:hAnsi="Verdana" w:cs="Verdana"/>
                <w:i/>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i/>
                <w:noProof/>
                <w:color w:val="000000"/>
                <w:sz w:val="16"/>
              </w:rPr>
            </w:pPr>
            <w:r>
              <w:rPr>
                <w:rFonts w:ascii="Verdana" w:eastAsia="Verdana" w:hAnsi="Verdana" w:cs="Verdana"/>
                <w:i/>
                <w:noProof/>
                <w:color w:val="000000"/>
                <w:sz w:val="16"/>
              </w:rPr>
              <w:t>of which: Administrative expenditure of the institutions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5 107</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3 571</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515</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291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4 377</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86 %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463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143</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605</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82</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124</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6</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8</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9</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97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671</w:t>
            </w:r>
          </w:p>
        </w:tc>
        <w:tc>
          <w:tcPr>
            <w:tcW w:w="96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71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44 %</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6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368</w:t>
            </w:r>
          </w:p>
        </w:tc>
      </w:tr>
      <w:tr w:rsidR="00135552">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MFF3ImplementPayments"/>
              <w:rPr>
                <w:rFonts w:ascii="Verdana" w:eastAsia="Verdana" w:hAnsi="Verdana" w:cs="Verdana"/>
                <w:b/>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97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170</w:t>
            </w:r>
            <w:r>
              <w:rPr>
                <w:rFonts w:ascii="Verdana" w:eastAsia="Verdana" w:hAnsi="Verdana" w:cs="Verdana"/>
                <w:b/>
                <w:noProof/>
                <w:color w:val="000000"/>
                <w:sz w:val="16"/>
              </w:rPr>
              <w:t xml:space="preserve"> 679</w:t>
            </w:r>
          </w:p>
        </w:tc>
        <w:tc>
          <w:tcPr>
            <w:tcW w:w="96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146 203</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1 667</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11 225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159 096</w:t>
            </w:r>
          </w:p>
        </w:tc>
        <w:tc>
          <w:tcPr>
            <w:tcW w:w="71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93 %</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1 145</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470</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9 144</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10 759</w:t>
            </w:r>
          </w:p>
        </w:tc>
        <w:tc>
          <w:tcPr>
            <w:tcW w:w="8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675</w:t>
            </w:r>
          </w:p>
        </w:tc>
        <w:tc>
          <w:tcPr>
            <w:tcW w:w="6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125</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25</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825</w:t>
            </w:r>
          </w:p>
        </w:tc>
      </w:tr>
    </w:tbl>
    <w:p w:rsidR="00135552" w:rsidRDefault="00135552">
      <w:pPr>
        <w:pStyle w:val="DGTextstand-alone"/>
        <w:rPr>
          <w:lang w:bidi="en-GB"/>
        </w:rPr>
      </w:pPr>
    </w:p>
    <w:p w:rsidR="00135552" w:rsidRDefault="00135552">
      <w:pPr>
        <w:pStyle w:val="DGTextstand-alone"/>
        <w:rPr>
          <w:lang w:bidi="en-GB"/>
        </w:rPr>
        <w:sectPr w:rsidR="00135552">
          <w:headerReference w:type="even" r:id="rId366"/>
          <w:headerReference w:type="default" r:id="rId367"/>
          <w:footerReference w:type="even" r:id="rId368"/>
          <w:footerReference w:type="default" r:id="rId369"/>
          <w:headerReference w:type="first" r:id="rId370"/>
          <w:footerReference w:type="first" r:id="rId371"/>
          <w:type w:val="nextColumn"/>
          <w:pgSz w:w="16840" w:h="11900" w:orient="landscape"/>
          <w:pgMar w:top="1134" w:right="1134" w:bottom="1134" w:left="1134" w:header="720" w:footer="720" w:gutter="0"/>
          <w:cols w:space="720"/>
          <w:docGrid w:linePitch="272"/>
        </w:sectPr>
      </w:pPr>
    </w:p>
    <w:p w:rsidR="00135552" w:rsidRDefault="004C63B0">
      <w:pPr>
        <w:pStyle w:val="HEADER2PartBUDG"/>
        <w:rPr>
          <w:noProof/>
          <w:lang w:val="en-GB"/>
        </w:rPr>
      </w:pPr>
      <w:bookmarkStart w:id="249" w:name="_Toc43223229"/>
      <w:r>
        <w:rPr>
          <w:noProof/>
          <w:lang w:val="en-GB"/>
        </w:rPr>
        <w:t>MFF: MOVEMENTS IN OUTSTANDING COMMITMENTS (RAL)</w:t>
      </w:r>
      <w:bookmarkEnd w:id="249"/>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850"/>
        <w:gridCol w:w="1786"/>
        <w:gridCol w:w="1236"/>
        <w:gridCol w:w="1101"/>
        <w:gridCol w:w="1101"/>
        <w:gridCol w:w="1101"/>
        <w:gridCol w:w="1101"/>
        <w:gridCol w:w="1376"/>
        <w:gridCol w:w="1101"/>
        <w:gridCol w:w="1268"/>
      </w:tblGrid>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lang w:bidi="en-GB"/>
              </w:rPr>
            </w:pPr>
            <w:bookmarkStart w:id="250" w:name="DOC_TBL00107_1_1"/>
            <w:bookmarkEnd w:id="250"/>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noProof/>
                <w:color w:val="000000"/>
                <w:sz w:val="16"/>
              </w:rPr>
            </w:pP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EUR </w:t>
            </w:r>
            <w:r>
              <w:rPr>
                <w:rFonts w:ascii="Verdana" w:eastAsia="Verdana" w:hAnsi="Verdana" w:cs="Verdana"/>
                <w:i/>
                <w:noProof/>
                <w:color w:val="000000"/>
                <w:sz w:val="16"/>
              </w:rPr>
              <w:t>million</w:t>
            </w:r>
          </w:p>
        </w:tc>
      </w:tr>
      <w:tr w:rsidR="00135552">
        <w:trPr>
          <w:trHeight w:val="284"/>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4Commitmentsoustanding"/>
              <w:jc w:val="center"/>
              <w:rPr>
                <w:rFonts w:ascii="Verdana" w:eastAsia="Verdana" w:hAnsi="Verdana" w:cs="Verdana"/>
                <w:noProof/>
                <w:color w:val="FFFFFF"/>
                <w:sz w:val="16"/>
              </w:rPr>
            </w:pPr>
          </w:p>
        </w:tc>
        <w:tc>
          <w:tcPr>
            <w:tcW w:w="1805"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b/>
                <w:noProof/>
                <w:color w:val="FFFFFF"/>
                <w:sz w:val="16"/>
              </w:rPr>
            </w:pPr>
            <w:r>
              <w:rPr>
                <w:rFonts w:ascii="Verdana" w:eastAsia="Verdana" w:hAnsi="Verdana" w:cs="Verdana"/>
                <w:b/>
                <w:noProof/>
                <w:color w:val="FFFFFF"/>
                <w:sz w:val="16"/>
              </w:rPr>
              <w:t>Commitments outstanding at the end of previous year</w:t>
            </w:r>
          </w:p>
        </w:tc>
        <w:tc>
          <w:tcPr>
            <w:tcW w:w="1112"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b/>
                <w:noProof/>
                <w:color w:val="FFFFFF"/>
                <w:sz w:val="16"/>
              </w:rPr>
            </w:pPr>
            <w:r>
              <w:rPr>
                <w:rFonts w:ascii="Verdana" w:eastAsia="Verdana" w:hAnsi="Verdana" w:cs="Verdana"/>
                <w:b/>
                <w:noProof/>
                <w:color w:val="FFFFFF"/>
                <w:sz w:val="16"/>
              </w:rPr>
              <w:t>Commitments of the current year</w:t>
            </w:r>
          </w:p>
        </w:tc>
        <w:tc>
          <w:tcPr>
            <w:tcW w:w="1281"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b/>
                <w:noProof/>
                <w:color w:val="FFFFFF"/>
                <w:sz w:val="16"/>
                <w:lang w:bidi="en-GB"/>
              </w:rPr>
            </w:pPr>
            <w:r>
              <w:rPr>
                <w:rFonts w:ascii="Verdana" w:eastAsia="Verdana" w:hAnsi="Verdana" w:cs="Verdana"/>
                <w:b/>
                <w:noProof/>
                <w:color w:val="FFFFFF"/>
                <w:sz w:val="16"/>
              </w:rPr>
              <w:t>Total commitm. outstanding at the end of the year</w:t>
            </w:r>
          </w:p>
        </w:tc>
      </w:tr>
      <w:tr w:rsidR="00135552">
        <w:trPr>
          <w:trHeight w:val="284"/>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180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Commitm. carried forward from previous year</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Decommitm./</w:t>
            </w:r>
          </w:p>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Revaluations/</w:t>
            </w:r>
          </w:p>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Cancellations</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Payments</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Commitm. outstanding at year-end</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Commitm. made during the year</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Payments</w:t>
            </w:r>
          </w:p>
        </w:tc>
        <w:tc>
          <w:tcPr>
            <w:tcW w:w="139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Cancellation of commitm. which cannot be carried over</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lang w:bidi="en-GB"/>
              </w:rPr>
            </w:pPr>
            <w:r>
              <w:rPr>
                <w:rFonts w:ascii="Verdana" w:eastAsia="Verdana" w:hAnsi="Verdana" w:cs="Verdana"/>
                <w:noProof/>
                <w:color w:val="FFFFFF"/>
                <w:sz w:val="16"/>
              </w:rPr>
              <w:t>Commitm. outstanding at year-end</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4Commitmentsoustanding"/>
              <w:jc w:val="center"/>
              <w:rPr>
                <w:rFonts w:ascii="Verdana" w:eastAsia="Verdana" w:hAnsi="Verdana" w:cs="Verdana"/>
                <w:b/>
                <w:noProof/>
                <w:color w:val="FFFFFF"/>
                <w:sz w:val="16"/>
              </w:rPr>
            </w:pPr>
          </w:p>
        </w:tc>
      </w:tr>
      <w:tr w:rsidR="00135552">
        <w:trPr>
          <w:trHeight w:val="284"/>
        </w:trPr>
        <w:tc>
          <w:tcPr>
            <w:tcW w:w="232"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MFF4Commitmentsoustanding"/>
              <w:jc w:val="center"/>
              <w:rPr>
                <w:rFonts w:ascii="Verdana" w:eastAsia="Verdana" w:hAnsi="Verdana" w:cs="Verdana"/>
                <w:noProof/>
                <w:color w:val="FFFFFF"/>
                <w:sz w:val="16"/>
              </w:rPr>
            </w:pPr>
          </w:p>
        </w:tc>
        <w:tc>
          <w:tcPr>
            <w:tcW w:w="180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4=1+2+3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5</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6</w:t>
            </w:r>
          </w:p>
        </w:tc>
        <w:tc>
          <w:tcPr>
            <w:tcW w:w="1390"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rPr>
            </w:pPr>
            <w:r>
              <w:rPr>
                <w:rFonts w:ascii="Verdana" w:eastAsia="Verdana" w:hAnsi="Verdana" w:cs="Verdana"/>
                <w:noProof/>
                <w:color w:val="FFFFFF"/>
                <w:sz w:val="16"/>
              </w:rPr>
              <w:t>8=5+6+7</w:t>
            </w:r>
          </w:p>
        </w:tc>
        <w:tc>
          <w:tcPr>
            <w:tcW w:w="128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MFF4Commitmentsoustanding"/>
              <w:jc w:val="center"/>
              <w:rPr>
                <w:rFonts w:ascii="Verdana" w:eastAsia="Verdana" w:hAnsi="Verdana" w:cs="Verdana"/>
                <w:noProof/>
                <w:color w:val="FFFFFF"/>
                <w:sz w:val="16"/>
                <w:lang w:bidi="en-GB"/>
              </w:rPr>
            </w:pPr>
            <w:r>
              <w:rPr>
                <w:rFonts w:ascii="Verdana" w:eastAsia="Verdana" w:hAnsi="Verdana" w:cs="Verdana"/>
                <w:noProof/>
                <w:color w:val="FFFFFF"/>
                <w:sz w:val="16"/>
              </w:rPr>
              <w:t>9=4+8</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1</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Smart and inclusive growth</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206 991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(1 360)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(66 413)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139 </w:t>
            </w:r>
            <w:r>
              <w:rPr>
                <w:rFonts w:ascii="Verdana" w:eastAsia="Verdana" w:hAnsi="Verdana" w:cs="Verdana"/>
                <w:noProof/>
                <w:color w:val="000000"/>
                <w:sz w:val="16"/>
              </w:rPr>
              <w:t>217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90 536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(9 122)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81 410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220 627</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37 006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(738)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(13 367)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22 901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25 782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(8 380)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17 397</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40 298</w:t>
            </w:r>
          </w:p>
        </w:tc>
      </w:tr>
      <w:tr w:rsidR="00135552">
        <w:trPr>
          <w:trHeight w:val="553"/>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i/>
                <w:noProof/>
                <w:color w:val="000000"/>
                <w:sz w:val="16"/>
              </w:rPr>
            </w:pPr>
            <w:r>
              <w:rPr>
                <w:rFonts w:ascii="Verdana" w:eastAsia="Verdana" w:hAnsi="Verdana" w:cs="Verdana"/>
                <w:i/>
                <w:noProof/>
                <w:color w:val="000000"/>
                <w:sz w:val="16"/>
              </w:rPr>
              <w:t>1b: Economic, social and territorial cohesion</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169 985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(622)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(53 046)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116 317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64 754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(742)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64 012</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180 </w:t>
            </w:r>
            <w:r>
              <w:rPr>
                <w:rFonts w:ascii="Verdana" w:eastAsia="Verdana" w:hAnsi="Verdana" w:cs="Verdana"/>
                <w:i/>
                <w:noProof/>
                <w:color w:val="000000"/>
                <w:sz w:val="16"/>
              </w:rPr>
              <w:t>329</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2</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40 047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(15 133)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24 661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60 600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(44 387)</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16 213</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40 874</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i/>
                <w:noProof/>
                <w:color w:val="000000"/>
                <w:sz w:val="16"/>
              </w:rPr>
            </w:pPr>
            <w:r>
              <w:rPr>
                <w:rFonts w:ascii="Verdana" w:eastAsia="Verdana" w:hAnsi="Verdana" w:cs="Verdana"/>
                <w:i/>
                <w:noProof/>
                <w:color w:val="000000"/>
                <w:sz w:val="16"/>
              </w:rPr>
              <w:t>of which: Market related expenditure and direct payments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359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(235)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117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43 962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(43 650)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313</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430</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3</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5 834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(1 934)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3 632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3 874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(1 323)</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2 551</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6 183</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4</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Global Europe</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27 352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(1 200)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(6 918)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19 234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13 111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(3 190)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9 920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29 154</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5</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Administration</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(859)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10 371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(9 522)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849</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854</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i/>
                <w:noProof/>
                <w:color w:val="000000"/>
                <w:sz w:val="16"/>
              </w:rPr>
            </w:pPr>
            <w:r>
              <w:rPr>
                <w:rFonts w:ascii="Verdana" w:eastAsia="Verdana" w:hAnsi="Verdana" w:cs="Verdana"/>
                <w:i/>
                <w:noProof/>
                <w:color w:val="000000"/>
                <w:sz w:val="16"/>
              </w:rPr>
              <w:t>of which: Administrative expenditure of the institutions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587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(515)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4 371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(3 861)</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rPr>
            </w:pPr>
            <w:r>
              <w:rPr>
                <w:rFonts w:ascii="Verdana" w:eastAsia="Verdana" w:hAnsi="Verdana" w:cs="Verdana"/>
                <w:i/>
                <w:noProof/>
                <w:color w:val="000000"/>
                <w:sz w:val="16"/>
              </w:rPr>
              <w:t xml:space="preserve"> 510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511</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6</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Compensations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8</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 xml:space="preserve">Negative reserve and deficit carried over from the previous financial year </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9</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284"/>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MFF4Commitmentsoustanding"/>
              <w:rPr>
                <w:rFonts w:ascii="Verdana" w:eastAsia="Verdana" w:hAnsi="Verdana" w:cs="Verdana"/>
                <w:b/>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rPr>
                <w:rFonts w:ascii="Verdana" w:eastAsia="Verdana" w:hAnsi="Verdana" w:cs="Verdana"/>
                <w:b/>
                <w:noProof/>
                <w:color w:val="000000"/>
                <w:sz w:val="16"/>
              </w:rPr>
            </w:pPr>
            <w:r>
              <w:rPr>
                <w:rFonts w:ascii="Verdana" w:eastAsia="Verdana" w:hAnsi="Verdana" w:cs="Verdana"/>
                <w:b/>
                <w:noProof/>
                <w:color w:val="000000"/>
                <w:sz w:val="16"/>
              </w:rPr>
              <w:t>Total</w:t>
            </w:r>
          </w:p>
        </w:tc>
        <w:tc>
          <w:tcPr>
            <w:tcW w:w="180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281 185</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(3</w:t>
            </w:r>
            <w:r>
              <w:rPr>
                <w:rFonts w:ascii="Verdana" w:eastAsia="Verdana" w:hAnsi="Verdana" w:cs="Verdana"/>
                <w:b/>
                <w:noProof/>
                <w:color w:val="000000"/>
                <w:sz w:val="16"/>
              </w:rPr>
              <w:t xml:space="preserve"> 179)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(91 257)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186 749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178 787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(67 838)</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 xml:space="preserve"> (5)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110 944</w:t>
            </w:r>
          </w:p>
        </w:tc>
        <w:tc>
          <w:tcPr>
            <w:tcW w:w="12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297 693</w:t>
            </w:r>
          </w:p>
        </w:tc>
      </w:tr>
    </w:tbl>
    <w:p w:rsidR="00135552" w:rsidRDefault="00135552">
      <w:pPr>
        <w:pStyle w:val="DGTextstand-alone"/>
        <w:rPr>
          <w:lang w:bidi="en-GB"/>
        </w:rPr>
      </w:pPr>
    </w:p>
    <w:p w:rsidR="00135552" w:rsidRDefault="00135552">
      <w:pPr>
        <w:pStyle w:val="Textstand-alone"/>
        <w:rPr>
          <w:lang w:bidi="en-GB"/>
        </w:rPr>
      </w:pPr>
    </w:p>
    <w:p w:rsidR="00135552" w:rsidRDefault="00135552">
      <w:pPr>
        <w:pStyle w:val="Textstand-alone"/>
        <w:rPr>
          <w:lang w:bidi="en-GB"/>
        </w:rPr>
        <w:sectPr w:rsidR="00135552">
          <w:headerReference w:type="even" r:id="rId372"/>
          <w:headerReference w:type="default" r:id="rId373"/>
          <w:footerReference w:type="even" r:id="rId374"/>
          <w:footerReference w:type="default" r:id="rId375"/>
          <w:headerReference w:type="first" r:id="rId376"/>
          <w:footerReference w:type="first" r:id="rId377"/>
          <w:type w:val="nextColumn"/>
          <w:pgSz w:w="16840" w:h="11900" w:orient="landscape"/>
          <w:pgMar w:top="1134" w:right="1134" w:bottom="1134" w:left="1134" w:header="720" w:footer="720" w:gutter="0"/>
          <w:cols w:space="720"/>
          <w:docGrid w:linePitch="272"/>
        </w:sectPr>
      </w:pPr>
    </w:p>
    <w:p w:rsidR="00135552" w:rsidRDefault="004C63B0">
      <w:pPr>
        <w:pStyle w:val="HEADER2PartBUDG"/>
        <w:rPr>
          <w:noProof/>
          <w:lang w:val="en-GB"/>
        </w:rPr>
      </w:pPr>
      <w:bookmarkStart w:id="251" w:name="_Toc43223230"/>
      <w:r>
        <w:rPr>
          <w:noProof/>
          <w:lang w:val="en-GB"/>
        </w:rPr>
        <w:t>MFF: OUTSTANDING COMMITMENTS BY YEAR OF ORIGIN</w:t>
      </w:r>
      <w:bookmarkEnd w:id="251"/>
      <w:r>
        <w:rPr>
          <w:noProof/>
          <w:lang w:val="en-GB"/>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4922"/>
        <w:gridCol w:w="1217"/>
        <w:gridCol w:w="993"/>
        <w:gridCol w:w="994"/>
        <w:gridCol w:w="993"/>
        <w:gridCol w:w="994"/>
        <w:gridCol w:w="993"/>
        <w:gridCol w:w="994"/>
        <w:gridCol w:w="979"/>
        <w:gridCol w:w="1125"/>
      </w:tblGrid>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lang w:bidi="en-GB"/>
              </w:rPr>
            </w:pPr>
            <w:bookmarkStart w:id="252" w:name="DOC_TBL00108_1_1"/>
            <w:bookmarkEnd w:id="252"/>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34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MFF5RALYoO"/>
              <w:jc w:val="center"/>
              <w:rPr>
                <w:rFonts w:ascii="Verdana" w:eastAsia="Verdana" w:hAnsi="Verdana" w:cs="Verdana"/>
                <w:noProof/>
                <w:color w:val="FFFFFF"/>
                <w:sz w:val="16"/>
              </w:rPr>
            </w:pPr>
          </w:p>
        </w:tc>
        <w:tc>
          <w:tcPr>
            <w:tcW w:w="496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MFF Heading</w:t>
            </w: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 xml:space="preserve">&lt; </w:t>
            </w:r>
            <w:r>
              <w:rPr>
                <w:rFonts w:ascii="Verdana" w:eastAsia="Verdana" w:hAnsi="Verdana" w:cs="Verdana"/>
                <w:noProof/>
                <w:color w:val="FFFFFF"/>
                <w:sz w:val="16"/>
              </w:rPr>
              <w:t>2013</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2013</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2014</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2015</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2016</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2017</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2018</w:t>
            </w:r>
          </w:p>
        </w:tc>
        <w:tc>
          <w:tcPr>
            <w:tcW w:w="98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rPr>
            </w:pPr>
            <w:r>
              <w:rPr>
                <w:rFonts w:ascii="Verdana" w:eastAsia="Verdana" w:hAnsi="Verdana" w:cs="Verdana"/>
                <w:noProof/>
                <w:color w:val="FFFFFF"/>
                <w:sz w:val="16"/>
              </w:rPr>
              <w:t>2019</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MFF5RALYoO"/>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1</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Smart and inclusive growth</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1 428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3 640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2 139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4 683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12 476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45 924</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68 924</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81 414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220 627</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i/>
                <w:noProof/>
                <w:color w:val="000000"/>
                <w:sz w:val="16"/>
              </w:rPr>
            </w:pPr>
            <w:r>
              <w:rPr>
                <w:rFonts w:ascii="Verdana" w:eastAsia="Verdana" w:hAnsi="Verdana" w:cs="Verdana"/>
                <w:i/>
                <w:noProof/>
                <w:color w:val="000000"/>
                <w:sz w:val="16"/>
              </w:rPr>
              <w:t>1a: Competitiveness for growth and jobs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472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921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1 175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1 608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3 133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5 427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10 160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17 402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40 298</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i/>
                <w:noProof/>
                <w:color w:val="000000"/>
                <w:sz w:val="16"/>
              </w:rPr>
            </w:pPr>
            <w:r>
              <w:rPr>
                <w:rFonts w:ascii="Verdana" w:eastAsia="Verdana" w:hAnsi="Verdana" w:cs="Verdana"/>
                <w:i/>
                <w:noProof/>
                <w:color w:val="000000"/>
                <w:sz w:val="16"/>
              </w:rPr>
              <w:t xml:space="preserve">1b: Economic, social </w:t>
            </w:r>
            <w:r>
              <w:rPr>
                <w:rFonts w:ascii="Verdana" w:eastAsia="Verdana" w:hAnsi="Verdana" w:cs="Verdana"/>
                <w:i/>
                <w:noProof/>
                <w:color w:val="000000"/>
                <w:sz w:val="16"/>
              </w:rPr>
              <w:t>and territorial cohesion</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956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2 719</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964</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3 075</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9 343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40 496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58 763</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64 012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180 329</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2</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Sustainable growth: natural resources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285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1 316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2 685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7 603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12 575</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16 213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40 874</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i/>
                <w:noProof/>
                <w:color w:val="000000"/>
                <w:sz w:val="16"/>
              </w:rPr>
            </w:pPr>
            <w:r>
              <w:rPr>
                <w:rFonts w:ascii="Verdana" w:eastAsia="Verdana" w:hAnsi="Verdana" w:cs="Verdana"/>
                <w:i/>
                <w:noProof/>
                <w:color w:val="000000"/>
                <w:sz w:val="16"/>
              </w:rPr>
              <w:t>of which: Market related expenditure and direct payments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37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76</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313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430</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3</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Security and citizenship</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433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1 223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1 851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2 552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6 183</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4</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Global Europe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909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958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1 010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1 851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3 253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4 973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6 231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9 970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29 154</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5</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Administration</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851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854</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i/>
                <w:noProof/>
                <w:color w:val="000000"/>
                <w:sz w:val="16"/>
              </w:rPr>
            </w:pPr>
            <w:r>
              <w:rPr>
                <w:rFonts w:ascii="Verdana" w:eastAsia="Verdana" w:hAnsi="Verdana" w:cs="Verdana"/>
                <w:i/>
                <w:noProof/>
                <w:color w:val="000000"/>
                <w:sz w:val="16"/>
              </w:rPr>
              <w:t xml:space="preserve">of which: Administrative expenditure of the </w:t>
            </w:r>
            <w:r>
              <w:rPr>
                <w:rFonts w:ascii="Verdana" w:eastAsia="Verdana" w:hAnsi="Verdana" w:cs="Verdana"/>
                <w:i/>
                <w:noProof/>
                <w:color w:val="000000"/>
                <w:sz w:val="16"/>
              </w:rPr>
              <w:t>institutions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rPr>
            </w:pPr>
            <w:r>
              <w:rPr>
                <w:rFonts w:ascii="Verdana" w:eastAsia="Verdana" w:hAnsi="Verdana" w:cs="Verdana"/>
                <w:i/>
                <w:noProof/>
                <w:color w:val="000000"/>
                <w:sz w:val="16"/>
              </w:rPr>
              <w:t xml:space="preserve"> 511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511</w:t>
            </w:r>
          </w:p>
        </w:tc>
      </w:tr>
      <w:tr w:rsidR="00135552">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9</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rPr>
                <w:rFonts w:ascii="Verdana" w:eastAsia="Verdana" w:hAnsi="Verdana" w:cs="Verdana"/>
                <w:noProof/>
                <w:color w:val="000000"/>
                <w:sz w:val="16"/>
              </w:rPr>
            </w:pPr>
            <w:r>
              <w:rPr>
                <w:rFonts w:ascii="Verdana" w:eastAsia="Verdana" w:hAnsi="Verdana" w:cs="Verdana"/>
                <w:noProof/>
                <w:color w:val="000000"/>
                <w:sz w:val="16"/>
              </w:rPr>
              <w:t>Special Instruments</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MFF5RALYoO"/>
              <w:rPr>
                <w:rFonts w:ascii="Verdana" w:eastAsia="Verdana" w:hAnsi="Verdana" w:cs="Verdana"/>
                <w:b/>
                <w:noProof/>
                <w:color w:val="000000"/>
                <w:sz w:val="16"/>
              </w:rPr>
            </w:pPr>
          </w:p>
        </w:tc>
        <w:tc>
          <w:tcPr>
            <w:tcW w:w="496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rPr>
                <w:rFonts w:ascii="Verdana" w:eastAsia="Verdana" w:hAnsi="Verdana" w:cs="Verdana"/>
                <w:b/>
                <w:noProof/>
                <w:color w:val="000000"/>
                <w:sz w:val="16"/>
              </w:rPr>
            </w:pPr>
            <w:r>
              <w:rPr>
                <w:rFonts w:ascii="Verdana" w:eastAsia="Verdana" w:hAnsi="Verdana" w:cs="Verdana"/>
                <w:b/>
                <w:noProof/>
                <w:color w:val="000000"/>
                <w:sz w:val="16"/>
              </w:rPr>
              <w:t>Total</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2 438</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4 746</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3 453</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7 904</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18 846</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59 723</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89 583</w:t>
            </w:r>
          </w:p>
        </w:tc>
        <w:tc>
          <w:tcPr>
            <w:tcW w:w="98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110 999</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MFF5RALYoO"/>
              <w:jc w:val="right"/>
              <w:rPr>
                <w:rFonts w:ascii="Verdana" w:eastAsia="Verdana" w:hAnsi="Verdana" w:cs="Verdana"/>
                <w:b/>
                <w:noProof/>
                <w:color w:val="000000"/>
                <w:sz w:val="16"/>
              </w:rPr>
            </w:pPr>
            <w:r>
              <w:rPr>
                <w:rFonts w:ascii="Verdana" w:eastAsia="Verdana" w:hAnsi="Verdana" w:cs="Verdana"/>
                <w:b/>
                <w:noProof/>
                <w:color w:val="000000"/>
                <w:sz w:val="16"/>
              </w:rPr>
              <w:t>297 693</w:t>
            </w:r>
          </w:p>
        </w:tc>
      </w:tr>
    </w:tbl>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Textstand-alone"/>
      </w:pPr>
    </w:p>
    <w:p w:rsidR="00135552" w:rsidRDefault="00135552">
      <w:pPr>
        <w:pStyle w:val="Textstand-alone"/>
      </w:pPr>
    </w:p>
    <w:p w:rsidR="00135552" w:rsidRDefault="004C63B0">
      <w:pPr>
        <w:pStyle w:val="Textstand-alone"/>
        <w:spacing w:after="0"/>
      </w:pPr>
      <w:r>
        <w:rPr>
          <w:rFonts w:cstheme="minorHAnsi"/>
          <w:sz w:val="16"/>
          <w:szCs w:val="20"/>
          <w:lang w:val="en-IE"/>
        </w:rPr>
        <w:t xml:space="preserve">The set up of the new Commission involved an internal re-organisation of services. Re-allocating </w:t>
      </w:r>
      <w:r>
        <w:rPr>
          <w:rFonts w:cstheme="minorHAnsi"/>
          <w:sz w:val="16"/>
          <w:szCs w:val="20"/>
          <w:lang w:val="en-IE"/>
        </w:rPr>
        <w:t>the related transactions resulted in a shift of outstanding amount between years. The overall amount of outstanding commitments remains unchanged.</w:t>
      </w:r>
    </w:p>
    <w:p w:rsidR="00135552" w:rsidRDefault="00135552">
      <w:pPr>
        <w:pStyle w:val="Textstand-alone"/>
        <w:sectPr w:rsidR="00135552">
          <w:headerReference w:type="even" r:id="rId378"/>
          <w:headerReference w:type="default" r:id="rId379"/>
          <w:footerReference w:type="even" r:id="rId380"/>
          <w:footerReference w:type="default" r:id="rId381"/>
          <w:headerReference w:type="first" r:id="rId382"/>
          <w:footerReference w:type="first" r:id="rId383"/>
          <w:type w:val="nextColumn"/>
          <w:pgSz w:w="16840" w:h="11900" w:orient="landscape"/>
          <w:pgMar w:top="1134" w:right="1134" w:bottom="1134" w:left="1134" w:header="720" w:footer="720" w:gutter="0"/>
          <w:cols w:space="720"/>
          <w:docGrid w:linePitch="272"/>
        </w:sectPr>
      </w:pPr>
    </w:p>
    <w:p w:rsidR="00135552" w:rsidRDefault="004C63B0">
      <w:pPr>
        <w:pStyle w:val="HEADER2PartBUDG"/>
        <w:rPr>
          <w:noProof/>
          <w:lang w:val="en-GB"/>
        </w:rPr>
      </w:pPr>
      <w:bookmarkStart w:id="253" w:name="_Toc43223231"/>
      <w:r>
        <w:rPr>
          <w:noProof/>
          <w:lang w:val="en-GB"/>
        </w:rPr>
        <w:t xml:space="preserve">DETAILED MFF: BREAKDOWN &amp; CHANGES IN COMMITMENT &amp; PAYMENT </w:t>
      </w:r>
      <w:r>
        <w:rPr>
          <w:noProof/>
          <w:lang w:val="en-GB"/>
        </w:rPr>
        <w:tab/>
        <w:t>APPROPRIATIONS</w:t>
      </w:r>
      <w:bookmarkEnd w:id="253"/>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850"/>
        <w:gridCol w:w="962"/>
        <w:gridCol w:w="962"/>
        <w:gridCol w:w="963"/>
        <w:gridCol w:w="687"/>
        <w:gridCol w:w="963"/>
        <w:gridCol w:w="962"/>
        <w:gridCol w:w="962"/>
        <w:gridCol w:w="1036"/>
        <w:gridCol w:w="889"/>
        <w:gridCol w:w="687"/>
        <w:gridCol w:w="963"/>
        <w:gridCol w:w="1129"/>
      </w:tblGrid>
      <w:tr w:rsidR="00135552">
        <w:trPr>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lang w:bidi="en-GB"/>
              </w:rPr>
            </w:pPr>
            <w:bookmarkStart w:id="254" w:name="DOC_TBL00109_1_1"/>
            <w:bookmarkEnd w:id="254"/>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972" w:type="dxa"/>
            <w:gridSpan w:val="6"/>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b/>
                <w:noProof/>
                <w:color w:val="FFFFFF"/>
                <w:sz w:val="16"/>
              </w:rPr>
            </w:pPr>
            <w:r>
              <w:rPr>
                <w:rFonts w:ascii="Verdana" w:eastAsia="Verdana" w:hAnsi="Verdana" w:cs="Verdana"/>
                <w:b/>
                <w:noProof/>
                <w:color w:val="FFFFFF"/>
                <w:sz w:val="16"/>
              </w:rPr>
              <w:t>Commitment appropriations</w:t>
            </w: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b/>
                <w:noProof/>
                <w:color w:val="FFFFFF"/>
                <w:sz w:val="16"/>
              </w:rPr>
            </w:pPr>
            <w:r>
              <w:rPr>
                <w:rFonts w:ascii="Verdana" w:eastAsia="Verdana" w:hAnsi="Verdana" w:cs="Verdana"/>
                <w:b/>
                <w:noProof/>
                <w:color w:val="FFFFFF"/>
                <w:sz w:val="16"/>
              </w:rPr>
              <w:t>Payment appropriations</w:t>
            </w:r>
          </w:p>
        </w:tc>
        <w:tc>
          <w:tcPr>
            <w:tcW w:w="114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lang w:bidi="en-GB"/>
              </w:rPr>
            </w:pPr>
          </w:p>
        </w:tc>
      </w:tr>
      <w:tr w:rsidR="00135552">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972"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Budget appropriations</w:t>
            </w:r>
          </w:p>
        </w:tc>
        <w:tc>
          <w:tcPr>
            <w:tcW w:w="694"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Additional appropriations</w:t>
            </w:r>
          </w:p>
        </w:tc>
        <w:tc>
          <w:tcPr>
            <w:tcW w:w="972"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Total approp. available</w:t>
            </w:r>
          </w:p>
        </w:tc>
        <w:tc>
          <w:tcPr>
            <w:tcW w:w="972"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Budget appropriations</w:t>
            </w:r>
          </w:p>
        </w:tc>
        <w:tc>
          <w:tcPr>
            <w:tcW w:w="694"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Additional appropriations</w:t>
            </w:r>
          </w:p>
        </w:tc>
        <w:tc>
          <w:tcPr>
            <w:tcW w:w="1141"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lang w:bidi="en-GB"/>
              </w:rPr>
            </w:pPr>
            <w:r>
              <w:rPr>
                <w:rFonts w:ascii="Verdana" w:eastAsia="Verdana" w:hAnsi="Verdana" w:cs="Verdana"/>
                <w:noProof/>
                <w:color w:val="FFFFFF"/>
                <w:sz w:val="16"/>
              </w:rPr>
              <w:t>Total approp. available</w:t>
            </w:r>
          </w:p>
        </w:tc>
      </w:tr>
      <w:tr w:rsidR="00135552">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Programme</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Amending budgets &amp; transfers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6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Carry-overs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104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Amending budgets &amp; transfers</w:t>
            </w:r>
          </w:p>
        </w:tc>
        <w:tc>
          <w:tcPr>
            <w:tcW w:w="89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69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Carry-overs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lang w:bidi="en-GB"/>
              </w:rPr>
            </w:pPr>
            <w:r>
              <w:rPr>
                <w:rFonts w:ascii="Verdana" w:eastAsia="Verdana" w:hAnsi="Verdana" w:cs="Verdana"/>
                <w:noProof/>
                <w:color w:val="FFFFFF"/>
                <w:sz w:val="16"/>
              </w:rPr>
              <w:t>Assigned revenue</w:t>
            </w:r>
          </w:p>
        </w:tc>
        <w:tc>
          <w:tcPr>
            <w:tcW w:w="106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r>
      <w:tr w:rsidR="00135552">
        <w:trPr>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1Breakdown"/>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3=1+2</w:t>
            </w:r>
          </w:p>
        </w:tc>
        <w:tc>
          <w:tcPr>
            <w:tcW w:w="69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5</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6=3+</w:t>
            </w:r>
          </w:p>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4+5</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1047"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98"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9=7+8</w:t>
            </w:r>
          </w:p>
        </w:tc>
        <w:tc>
          <w:tcPr>
            <w:tcW w:w="69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10</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11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1Breakdown"/>
              <w:jc w:val="center"/>
              <w:rPr>
                <w:rFonts w:ascii="Verdana" w:eastAsia="Verdana" w:hAnsi="Verdana" w:cs="Verdana"/>
                <w:noProof/>
                <w:color w:val="FFFFFF"/>
                <w:sz w:val="16"/>
              </w:rPr>
            </w:pPr>
            <w:r>
              <w:rPr>
                <w:rFonts w:ascii="Verdana" w:eastAsia="Verdana" w:hAnsi="Verdana" w:cs="Verdana"/>
                <w:noProof/>
                <w:color w:val="FFFFFF"/>
                <w:sz w:val="16"/>
              </w:rPr>
              <w:t>12=9+</w:t>
            </w:r>
          </w:p>
          <w:p w:rsidR="00135552" w:rsidRDefault="004C63B0">
            <w:pPr>
              <w:pStyle w:val="DMETW17212BIPDetailedMFF1Breakdown"/>
              <w:jc w:val="center"/>
              <w:rPr>
                <w:rFonts w:ascii="Verdana" w:eastAsia="Verdana" w:hAnsi="Verdana" w:cs="Verdana"/>
                <w:noProof/>
                <w:color w:val="FFFFFF"/>
                <w:sz w:val="16"/>
                <w:lang w:bidi="en-GB"/>
              </w:rPr>
            </w:pPr>
            <w:r>
              <w:rPr>
                <w:rFonts w:ascii="Verdana" w:eastAsia="Verdana" w:hAnsi="Verdana" w:cs="Verdana"/>
                <w:noProof/>
                <w:color w:val="FFFFFF"/>
                <w:sz w:val="16"/>
              </w:rPr>
              <w:t>10+11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1</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Fund  Strategic Investments (EFSI)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1 022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1 213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lang w:val="fr-BE"/>
              </w:rPr>
            </w:pPr>
            <w:r>
              <w:rPr>
                <w:rFonts w:ascii="Verdana" w:eastAsia="Verdana" w:hAnsi="Verdana" w:cs="Verdana"/>
                <w:noProof/>
                <w:color w:val="000000"/>
                <w:sz w:val="16"/>
                <w:lang w:val="fr-BE"/>
              </w:rPr>
              <w:t>European satellite navigation (EGNOS/Galileo)</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lang w:val="fr-BE"/>
              </w:rPr>
              <w:t xml:space="preserve"> </w:t>
            </w:r>
            <w:r>
              <w:rPr>
                <w:rFonts w:ascii="Verdana" w:eastAsia="Verdana" w:hAnsi="Verdana" w:cs="Verdana"/>
                <w:noProof/>
                <w:color w:val="000000"/>
                <w:sz w:val="16"/>
              </w:rPr>
              <w:t>691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691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923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993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1 248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International Thermonuclear Reactor (ITER)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608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Earth Observation Progr (Copernicus)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861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602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603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619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Solidarity Corps (ESC)</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Defense Industrial Development Programme (EDIDP)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Nuclear Safety and Decommissioning</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157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Horizon 2020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12 312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12 392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2 652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15 043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10 972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10 812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3 767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14 652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Euratom Research and Training Programme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488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539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Competitiveness enterprises and SME's (COSME)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Education, Training and Sport (Erasmus+)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2 786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3 271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2 563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2 609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601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3 217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Employment and Social Innovation (EaSI)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180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Customs, Fiscalis and Anti-Fraud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CEF - Energy</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949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993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327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326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331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CEF - Transport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2 640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2 640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1 223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1 314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1 334</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CEF - Information &amp; Communications Technology (ICT)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Energy projects for economic recovery (EERP)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406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665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391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556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Specific competences of the Commission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Regional convergence (Less developed regions)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27 875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27 885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3 654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31 539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24 </w:t>
            </w:r>
            <w:r>
              <w:rPr>
                <w:rFonts w:ascii="Verdana" w:eastAsia="Verdana" w:hAnsi="Verdana" w:cs="Verdana"/>
                <w:noProof/>
                <w:color w:val="000000"/>
                <w:sz w:val="16"/>
              </w:rPr>
              <w:t>042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24 248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4 304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28 551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Transition regions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5 849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5 854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6 660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4 370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4 099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5 217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Competitiveness (More developed regions)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8 649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8 676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9 827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7 442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7 470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1 382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8 852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Outermost and sparsely populated </w:t>
            </w:r>
            <w:r>
              <w:rPr>
                <w:rFonts w:ascii="Verdana" w:eastAsia="Verdana" w:hAnsi="Verdana" w:cs="Verdana"/>
                <w:noProof/>
                <w:color w:val="000000"/>
                <w:sz w:val="16"/>
              </w:rPr>
              <w:t>regions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Cohesion fund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9 754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9 754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1 801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11 555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7 706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8 107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1 695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9 801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territorial cooperation</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1 973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1 973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2 208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1 191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1 447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1 703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Technical assistance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202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Aid to the Most Deprived (FEAD)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506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Youth Employment initiative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632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523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579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Connecting Europe Facility (CEF)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w:t>
            </w:r>
            <w:r>
              <w:rPr>
                <w:rFonts w:ascii="Verdana" w:eastAsia="Verdana" w:hAnsi="Verdana" w:cs="Verdana"/>
                <w:noProof/>
                <w:color w:val="000000"/>
                <w:sz w:val="16"/>
              </w:rPr>
              <w:t xml:space="preserve"> 700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1 700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1 701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845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1</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80 527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80 627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12 166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92 794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67 557</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266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67 823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14 600</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82 553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2</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European Agricultural </w:t>
            </w:r>
            <w:r>
              <w:rPr>
                <w:rFonts w:ascii="Verdana" w:eastAsia="Verdana" w:hAnsi="Verdana" w:cs="Verdana"/>
                <w:noProof/>
                <w:color w:val="000000"/>
                <w:sz w:val="16"/>
              </w:rPr>
              <w:t>Guarantee Fund (EAGF)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43 192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43 192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44 806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43 116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43 113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665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1 155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44 933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Agricultural Fund Rural Development (EAFRD)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14 727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14 727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1 356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16 083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13 148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13 510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1 356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14 868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Maritime and Fisheries Fund (EMFF)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1 160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571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652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871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Fisheries Partnership Agreements (SFPAs) and Fisheries Management Organisations (RFMOs)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Environment and climate action (LIFE)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Other actions and measures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59 642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460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2 745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62 846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57 400</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437</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57 837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672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2 743</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61 252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3</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Asylum, Migration and Integration Fund (AMF)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1 191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1 208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953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974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Consumer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Creative Europe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Emergency Support within the Union (IES)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Internal Security Fund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533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533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664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649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IT systems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Justice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Rights, Equality and Citizenship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64</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 for Citizens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Food and feed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Health</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1 090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1 066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998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85</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Pilot projects and </w:t>
            </w:r>
            <w:r>
              <w:rPr>
                <w:rFonts w:ascii="Verdana" w:eastAsia="Verdana" w:hAnsi="Verdana" w:cs="Verdana"/>
                <w:noProof/>
                <w:color w:val="000000"/>
                <w:sz w:val="16"/>
              </w:rPr>
              <w:t>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101</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3</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3 787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4 065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3 527</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(237)</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3 291</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3 575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4</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lang w:val="fr-BE"/>
              </w:rPr>
            </w:pPr>
            <w:r>
              <w:rPr>
                <w:rFonts w:ascii="Verdana" w:eastAsia="Verdana" w:hAnsi="Verdana" w:cs="Verdana"/>
                <w:noProof/>
                <w:color w:val="000000"/>
                <w:sz w:val="16"/>
                <w:lang w:val="fr-BE"/>
              </w:rPr>
              <w:t>Pre-accession assistance (IPA II)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2 423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2 394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739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3 133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1 708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(325)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1 382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1 950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Macro-financial Assistance (MFA)</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Guarantee Fund for External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110</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 Aid Volunteers initiative (EUAV)</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Fund for Sustainable Development (EFSD)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429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479</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Neighbourhood Instrument (ENI)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2 677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2 738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2 779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2 060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2 061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2 106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Development Cooperation Instrument (DCI)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3 190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3 205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3 287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2 796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2 578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2 716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Partnership Instrument (PI)</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149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Democracy and </w:t>
            </w:r>
            <w:r>
              <w:rPr>
                <w:rFonts w:ascii="Verdana" w:eastAsia="Verdana" w:hAnsi="Verdana" w:cs="Verdana"/>
                <w:noProof/>
                <w:color w:val="000000"/>
                <w:sz w:val="16"/>
              </w:rPr>
              <w:t>Human Rights (EIDHR)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163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Stability and Peace (IcSP)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321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319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331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Humanitarian aid</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1 652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1 966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2 425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1 603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1 740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2 117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Common Foreign and </w:t>
            </w:r>
            <w:r>
              <w:rPr>
                <w:rFonts w:ascii="Verdana" w:eastAsia="Verdana" w:hAnsi="Verdana" w:cs="Verdana"/>
                <w:noProof/>
                <w:color w:val="000000"/>
                <w:sz w:val="16"/>
              </w:rPr>
              <w:t>Security Policy (CFSP)</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309</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Nuclear Safety Cooperation (INSC)</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286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206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282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74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68</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11 319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11 625</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1 795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13 454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9 358</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8 953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1 916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10 933</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5</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Pensions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2 004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2 002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2 004</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2 002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2 002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schools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191</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Commission administrative expenditure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3 629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3 641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4 027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3 629</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3 640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386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4 385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Administrative expenditure of Other Institutions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4 115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4 115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4 550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4 115</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4 115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554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437</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5 107</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 xml:space="preserve">Total MFF </w:t>
            </w:r>
            <w:r>
              <w:rPr>
                <w:rFonts w:ascii="Verdana" w:eastAsia="Verdana" w:hAnsi="Verdana" w:cs="Verdana"/>
                <w:noProof/>
                <w:color w:val="000000"/>
                <w:sz w:val="16"/>
              </w:rPr>
              <w:t>Heading 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9 943</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832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10 776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9 945</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9 942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916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836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11 694</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6</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Compensations</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8</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Negative reserve</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Deficit carried over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9</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Emergency Aid Reserve (EAR)</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352</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Globalisation Adjustment Fund (EGF)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176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199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25</w:t>
            </w:r>
          </w:p>
        </w:tc>
      </w:tr>
      <w:tr w:rsidR="00135552">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European Union Solidarity Fund (EUSF)</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344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104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295</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noProof/>
                <w:color w:val="000000"/>
                <w:sz w:val="16"/>
              </w:rPr>
            </w:pPr>
            <w:r>
              <w:rPr>
                <w:rFonts w:ascii="Verdana" w:eastAsia="Verdana" w:hAnsi="Verdana" w:cs="Verdana"/>
                <w:noProof/>
                <w:color w:val="000000"/>
                <w:sz w:val="16"/>
              </w:rPr>
              <w:t>Total MFF Heading 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577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565</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618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236</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647</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671</w:t>
            </w:r>
          </w:p>
        </w:tc>
      </w:tr>
      <w:tr w:rsidR="00135552">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1Breakdown"/>
              <w:rPr>
                <w:rFonts w:ascii="Verdana" w:eastAsia="Verdana" w:hAnsi="Verdana" w:cs="Verdana"/>
                <w:b/>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rPr>
                <w:rFonts w:ascii="Verdana" w:eastAsia="Verdana" w:hAnsi="Verdana" w:cs="Verdana"/>
                <w:b/>
                <w:noProof/>
                <w:color w:val="000000"/>
                <w:sz w:val="16"/>
              </w:rPr>
            </w:pPr>
            <w:r>
              <w:rPr>
                <w:rFonts w:ascii="Verdana" w:eastAsia="Verdana" w:hAnsi="Verdana" w:cs="Verdana"/>
                <w:b/>
                <w:noProof/>
                <w:color w:val="000000"/>
                <w:sz w:val="16"/>
              </w:rPr>
              <w:t>Total</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165 796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 xml:space="preserve"> 394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166 189</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 xml:space="preserve"> 525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17 840</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184 554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104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 xml:space="preserve"> 294</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1 792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20 394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1Breakdown"/>
              <w:jc w:val="right"/>
              <w:rPr>
                <w:rFonts w:ascii="Verdana" w:eastAsia="Verdana" w:hAnsi="Verdana" w:cs="Verdana"/>
                <w:b/>
                <w:noProof/>
                <w:color w:val="000000"/>
                <w:sz w:val="16"/>
              </w:rPr>
            </w:pPr>
            <w:r>
              <w:rPr>
                <w:rFonts w:ascii="Verdana" w:eastAsia="Verdana" w:hAnsi="Verdana" w:cs="Verdana"/>
                <w:b/>
                <w:noProof/>
                <w:color w:val="000000"/>
                <w:sz w:val="16"/>
              </w:rPr>
              <w:t>170 679</w:t>
            </w:r>
          </w:p>
        </w:tc>
      </w:tr>
    </w:tbl>
    <w:p w:rsidR="00135552" w:rsidRDefault="00135552">
      <w:pPr>
        <w:pStyle w:val="Textstand-alone"/>
        <w:rPr>
          <w:lang w:bidi="en-GB"/>
        </w:rPr>
        <w:sectPr w:rsidR="00135552">
          <w:headerReference w:type="even" r:id="rId384"/>
          <w:headerReference w:type="default" r:id="rId385"/>
          <w:footerReference w:type="even" r:id="rId386"/>
          <w:footerReference w:type="default" r:id="rId387"/>
          <w:headerReference w:type="first" r:id="rId388"/>
          <w:footerReference w:type="first" r:id="rId389"/>
          <w:type w:val="nextColumn"/>
          <w:pgSz w:w="16840" w:h="11900" w:orient="landscape"/>
          <w:pgMar w:top="1134" w:right="1134" w:bottom="1134" w:left="1134" w:header="720" w:footer="720" w:gutter="0"/>
          <w:cols w:space="720"/>
          <w:docGrid w:linePitch="272"/>
        </w:sectPr>
      </w:pPr>
    </w:p>
    <w:p w:rsidR="00135552" w:rsidRDefault="004C63B0">
      <w:pPr>
        <w:pStyle w:val="HEADER2PartBUDG"/>
        <w:spacing w:before="120" w:after="240"/>
        <w:ind w:left="357" w:hanging="357"/>
        <w:rPr>
          <w:noProof/>
          <w:lang w:val="en-GB"/>
        </w:rPr>
      </w:pPr>
      <w:bookmarkStart w:id="255" w:name="_Toc43223232"/>
      <w:r>
        <w:rPr>
          <w:noProof/>
          <w:lang w:val="en-GB"/>
        </w:rPr>
        <w:t>DETAILED MFF: IMPLEMENTATION OF COMMITMENT APPROPRIATIONS</w:t>
      </w:r>
      <w:bookmarkEnd w:id="25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
        <w:gridCol w:w="2739"/>
        <w:gridCol w:w="972"/>
        <w:gridCol w:w="973"/>
        <w:gridCol w:w="694"/>
        <w:gridCol w:w="835"/>
        <w:gridCol w:w="972"/>
        <w:gridCol w:w="835"/>
        <w:gridCol w:w="834"/>
        <w:gridCol w:w="835"/>
        <w:gridCol w:w="694"/>
        <w:gridCol w:w="835"/>
        <w:gridCol w:w="834"/>
        <w:gridCol w:w="973"/>
        <w:gridCol w:w="1141"/>
      </w:tblGrid>
      <w:tr w:rsidR="00135552">
        <w:trPr>
          <w:trHeight w:val="340"/>
          <w:tblHeader/>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lang w:bidi="en-GB"/>
              </w:rPr>
            </w:pPr>
            <w:bookmarkStart w:id="256" w:name="DOC_TBL00110_1_1"/>
            <w:bookmarkEnd w:id="256"/>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jc w:val="right"/>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b/>
                <w:noProof/>
                <w:color w:val="FFFFFF"/>
                <w:sz w:val="16"/>
              </w:rPr>
            </w:pPr>
          </w:p>
        </w:tc>
        <w:tc>
          <w:tcPr>
            <w:tcW w:w="277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b/>
                <w:noProof/>
                <w:color w:val="FFFFFF"/>
                <w:sz w:val="16"/>
              </w:rPr>
            </w:pPr>
          </w:p>
        </w:tc>
        <w:tc>
          <w:tcPr>
            <w:tcW w:w="982"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12BIPDetailed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 xml:space="preserve">appropr. </w:t>
            </w:r>
          </w:p>
          <w:p w:rsidR="00135552" w:rsidRDefault="004C63B0">
            <w:pPr>
              <w:pStyle w:val="DMETW17212BIPDetailed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983"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Commitments made</w:t>
            </w:r>
          </w:p>
        </w:tc>
        <w:tc>
          <w:tcPr>
            <w:tcW w:w="842"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b/>
                <w:noProof/>
                <w:color w:val="FFFFFF"/>
                <w:sz w:val="16"/>
              </w:rPr>
            </w:pPr>
            <w:r>
              <w:rPr>
                <w:rFonts w:ascii="Verdana" w:eastAsia="Verdana" w:hAnsi="Verdana" w:cs="Verdana"/>
                <w:b/>
                <w:noProof/>
                <w:color w:val="FFFFFF"/>
                <w:sz w:val="16"/>
              </w:rPr>
              <w:t>Appropriat. carried over to 2020</w:t>
            </w:r>
          </w:p>
        </w:tc>
        <w:tc>
          <w:tcPr>
            <w:tcW w:w="843"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noProof/>
                <w:color w:val="FFFFFF"/>
                <w:sz w:val="16"/>
              </w:rPr>
            </w:pPr>
          </w:p>
        </w:tc>
        <w:tc>
          <w:tcPr>
            <w:tcW w:w="277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Programme</w:t>
            </w:r>
          </w:p>
        </w:tc>
        <w:tc>
          <w:tcPr>
            <w:tcW w:w="103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b/>
                <w:noProof/>
                <w:color w:val="FFFFFF"/>
                <w:sz w:val="16"/>
              </w:rPr>
            </w:pPr>
          </w:p>
        </w:tc>
        <w:tc>
          <w:tcPr>
            <w:tcW w:w="98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7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98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84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carry-overs by decision</w:t>
            </w:r>
          </w:p>
        </w:tc>
        <w:tc>
          <w:tcPr>
            <w:tcW w:w="7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84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w:t>
            </w:r>
            <w:r>
              <w:rPr>
                <w:rFonts w:ascii="Verdana" w:eastAsia="Verdana" w:hAnsi="Verdana" w:cs="Verdana"/>
                <w:noProof/>
                <w:color w:val="FFFFFF"/>
                <w:sz w:val="16"/>
              </w:rPr>
              <w:t xml:space="preserve"> carry-overs</w:t>
            </w:r>
          </w:p>
        </w:tc>
        <w:tc>
          <w:tcPr>
            <w:tcW w:w="98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115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blHeader/>
        </w:trPr>
        <w:tc>
          <w:tcPr>
            <w:tcW w:w="234"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noProof/>
                <w:color w:val="FFFFFF"/>
                <w:sz w:val="16"/>
              </w:rPr>
            </w:pPr>
          </w:p>
        </w:tc>
        <w:tc>
          <w:tcPr>
            <w:tcW w:w="2770"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2ImplementCommitments"/>
              <w:jc w:val="center"/>
              <w:rPr>
                <w:rFonts w:ascii="Verdana" w:eastAsia="Verdana" w:hAnsi="Verdana" w:cs="Verdana"/>
                <w:noProof/>
                <w:color w:val="FFFFFF"/>
                <w:sz w:val="16"/>
              </w:rPr>
            </w:pPr>
          </w:p>
        </w:tc>
        <w:tc>
          <w:tcPr>
            <w:tcW w:w="98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8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70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8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5=2+3</w:t>
            </w:r>
          </w:p>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84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70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9=7+8</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10</w:t>
            </w:r>
          </w:p>
        </w:tc>
        <w:tc>
          <w:tcPr>
            <w:tcW w:w="84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98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115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2ImplementCommitments"/>
              <w:jc w:val="center"/>
              <w:rPr>
                <w:rFonts w:ascii="Verdana" w:eastAsia="Verdana" w:hAnsi="Verdana" w:cs="Verdana"/>
                <w:noProof/>
                <w:color w:val="FFFFFF"/>
                <w:sz w:val="16"/>
              </w:rPr>
            </w:pPr>
            <w:r>
              <w:rPr>
                <w:rFonts w:ascii="Verdana" w:eastAsia="Verdana" w:hAnsi="Verdana" w:cs="Verdana"/>
                <w:noProof/>
                <w:color w:val="FFFFFF"/>
                <w:sz w:val="16"/>
              </w:rPr>
              <w:t>13=10+</w:t>
            </w:r>
          </w:p>
          <w:p w:rsidR="00135552" w:rsidRDefault="004C63B0">
            <w:pPr>
              <w:pStyle w:val="DMETW17212BIPDetailedMFF2ImplementCommitments"/>
              <w:jc w:val="center"/>
              <w:rPr>
                <w:rFonts w:ascii="Verdana" w:eastAsia="Verdana" w:hAnsi="Verdana" w:cs="Verdana"/>
                <w:noProof/>
                <w:color w:val="FFFFFF"/>
                <w:sz w:val="16"/>
                <w:lang w:bidi="en-GB"/>
              </w:rPr>
            </w:pPr>
            <w:r>
              <w:rPr>
                <w:rFonts w:ascii="Verdana" w:eastAsia="Verdana" w:hAnsi="Verdana" w:cs="Verdana"/>
                <w:noProof/>
                <w:color w:val="FFFFFF"/>
                <w:sz w:val="16"/>
              </w:rPr>
              <w:t>11+12</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1</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European Fund  Strategic Investments (EFSI)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lang w:val="fr-BE"/>
              </w:rPr>
            </w:pPr>
            <w:r>
              <w:rPr>
                <w:rFonts w:ascii="Verdana" w:eastAsia="Verdana" w:hAnsi="Verdana" w:cs="Verdana"/>
                <w:noProof/>
                <w:color w:val="000000"/>
                <w:sz w:val="16"/>
                <w:lang w:val="fr-BE"/>
              </w:rPr>
              <w:t xml:space="preserve">European </w:t>
            </w:r>
            <w:r>
              <w:rPr>
                <w:rFonts w:ascii="Verdana" w:eastAsia="Verdana" w:hAnsi="Verdana" w:cs="Verdana"/>
                <w:noProof/>
                <w:color w:val="000000"/>
                <w:sz w:val="16"/>
                <w:lang w:val="fr-BE"/>
              </w:rPr>
              <w:t>satellite navigation (EGNOS/Galileo)</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lang w:val="fr-BE"/>
              </w:rPr>
              <w:t xml:space="preserve"> </w:t>
            </w:r>
            <w:r>
              <w:rPr>
                <w:rFonts w:ascii="Verdana" w:eastAsia="Verdana" w:hAnsi="Verdana" w:cs="Verdana"/>
                <w:noProof/>
                <w:color w:val="000000"/>
                <w:sz w:val="16"/>
              </w:rPr>
              <w:t>819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691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773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Internati</w:t>
            </w:r>
            <w:r>
              <w:rPr>
                <w:rFonts w:ascii="Verdana" w:eastAsia="Verdana" w:hAnsi="Verdana" w:cs="Verdana"/>
                <w:noProof/>
                <w:color w:val="000000"/>
                <w:sz w:val="16"/>
              </w:rPr>
              <w:t>onal Thermonuclear Reactor (ITER)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458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409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European Earth Observation Progr (Copernicus)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882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861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882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Solidarity Corps (ESC)</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Defense Industrial Development Programme (EDIDP)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Nuclear Safety and Decommissioning</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Horizon 2</w:t>
            </w:r>
            <w:r>
              <w:rPr>
                <w:rFonts w:ascii="Verdana" w:eastAsia="Verdana" w:hAnsi="Verdana" w:cs="Verdana"/>
                <w:noProof/>
                <w:color w:val="000000"/>
                <w:sz w:val="16"/>
              </w:rPr>
              <w:t>020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15 043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12 391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1 417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13 808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1 234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1 234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Euratom Research and Training Programme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488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422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Competiti</w:t>
            </w:r>
            <w:r>
              <w:rPr>
                <w:rFonts w:ascii="Verdana" w:eastAsia="Verdana" w:hAnsi="Verdana" w:cs="Verdana"/>
                <w:noProof/>
                <w:color w:val="000000"/>
                <w:sz w:val="16"/>
              </w:rPr>
              <w:t>veness enterprises and SME's (COSME)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398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Education</w:t>
            </w:r>
            <w:r>
              <w:rPr>
                <w:rFonts w:ascii="Verdana" w:eastAsia="Verdana" w:hAnsi="Verdana" w:cs="Verdana"/>
                <w:noProof/>
                <w:color w:val="000000"/>
                <w:sz w:val="16"/>
              </w:rPr>
              <w:t>, Training and Sport (Erasmus+)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3 271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2 786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273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3 060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Employment and Social Innovation (EaSI)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Customs, </w:t>
            </w:r>
            <w:r>
              <w:rPr>
                <w:rFonts w:ascii="Verdana" w:eastAsia="Verdana" w:hAnsi="Verdana" w:cs="Verdana"/>
                <w:noProof/>
                <w:color w:val="000000"/>
                <w:sz w:val="16"/>
              </w:rPr>
              <w:t>Fiscalis and Anti-Fraud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CEF - Ene</w:t>
            </w:r>
            <w:r>
              <w:rPr>
                <w:rFonts w:ascii="Verdana" w:eastAsia="Verdana" w:hAnsi="Verdana" w:cs="Verdana"/>
                <w:noProof/>
                <w:color w:val="000000"/>
                <w:sz w:val="16"/>
              </w:rPr>
              <w:t>rgy</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CEF - Transport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2 722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2 639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2 716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CEF - Inf</w:t>
            </w:r>
            <w:r>
              <w:rPr>
                <w:rFonts w:ascii="Verdana" w:eastAsia="Verdana" w:hAnsi="Verdana" w:cs="Verdana"/>
                <w:noProof/>
                <w:color w:val="000000"/>
                <w:sz w:val="16"/>
              </w:rPr>
              <w:t>ormation &amp; Communications Technology (ICT)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180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Energy projects for economic recovery (EERP)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Decentral</w:t>
            </w:r>
            <w:r>
              <w:rPr>
                <w:rFonts w:ascii="Verdana" w:eastAsia="Verdana" w:hAnsi="Verdana" w:cs="Verdana"/>
                <w:noProof/>
                <w:color w:val="000000"/>
                <w:sz w:val="16"/>
              </w:rPr>
              <w:t>ised agencies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Other act</w:t>
            </w:r>
            <w:r>
              <w:rPr>
                <w:rFonts w:ascii="Verdana" w:eastAsia="Verdana" w:hAnsi="Verdana" w:cs="Verdana"/>
                <w:noProof/>
                <w:color w:val="000000"/>
                <w:sz w:val="16"/>
              </w:rPr>
              <w:t>ions and programmes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665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112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97"/>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Specific </w:t>
            </w:r>
            <w:r>
              <w:rPr>
                <w:rFonts w:ascii="Verdana" w:eastAsia="Verdana" w:hAnsi="Verdana" w:cs="Verdana"/>
                <w:noProof/>
                <w:color w:val="000000"/>
                <w:sz w:val="16"/>
              </w:rPr>
              <w:t>competences of the Commission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Regional </w:t>
            </w:r>
            <w:r>
              <w:rPr>
                <w:rFonts w:ascii="Verdana" w:eastAsia="Verdana" w:hAnsi="Verdana" w:cs="Verdana"/>
                <w:noProof/>
                <w:color w:val="000000"/>
                <w:sz w:val="16"/>
              </w:rPr>
              <w:t>convergence (Less developed regions)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31 539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27 877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3 567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31 444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Transitio</w:t>
            </w:r>
            <w:r>
              <w:rPr>
                <w:rFonts w:ascii="Verdana" w:eastAsia="Verdana" w:hAnsi="Verdana" w:cs="Verdana"/>
                <w:noProof/>
                <w:color w:val="000000"/>
                <w:sz w:val="16"/>
              </w:rPr>
              <w:t>n regions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6 660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5 851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806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6 657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505"/>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Competiti</w:t>
            </w:r>
            <w:r>
              <w:rPr>
                <w:rFonts w:ascii="Verdana" w:eastAsia="Verdana" w:hAnsi="Verdana" w:cs="Verdana"/>
                <w:noProof/>
                <w:color w:val="000000"/>
                <w:sz w:val="16"/>
              </w:rPr>
              <w:t>veness (More developed regions)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9 827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8 674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1 130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9 804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Outermost</w:t>
            </w:r>
            <w:r>
              <w:rPr>
                <w:rFonts w:ascii="Verdana" w:eastAsia="Verdana" w:hAnsi="Verdana" w:cs="Verdana"/>
                <w:noProof/>
                <w:color w:val="000000"/>
                <w:sz w:val="16"/>
              </w:rPr>
              <w:t xml:space="preserve"> and sparsely populated regions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231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Cohesion </w:t>
            </w:r>
            <w:r>
              <w:rPr>
                <w:rFonts w:ascii="Verdana" w:eastAsia="Verdana" w:hAnsi="Verdana" w:cs="Verdana"/>
                <w:noProof/>
                <w:color w:val="000000"/>
                <w:sz w:val="16"/>
              </w:rPr>
              <w:t>fund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11 555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9 752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1 775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11 527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territorial cooperation</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2 208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1 973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216</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2 189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Technical</w:t>
            </w:r>
            <w:r>
              <w:rPr>
                <w:rFonts w:ascii="Verdana" w:eastAsia="Verdana" w:hAnsi="Verdana" w:cs="Verdana"/>
                <w:noProof/>
                <w:color w:val="000000"/>
                <w:sz w:val="16"/>
              </w:rPr>
              <w:t xml:space="preserve"> assistance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228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228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European Aid to the Most Deprived (FEAD)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591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590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Youth Emp</w:t>
            </w:r>
            <w:r>
              <w:rPr>
                <w:rFonts w:ascii="Verdana" w:eastAsia="Verdana" w:hAnsi="Verdana" w:cs="Verdana"/>
                <w:noProof/>
                <w:color w:val="000000"/>
                <w:sz w:val="16"/>
              </w:rPr>
              <w:t>loyment initiative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390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358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Connectin</w:t>
            </w:r>
            <w:r>
              <w:rPr>
                <w:rFonts w:ascii="Verdana" w:eastAsia="Verdana" w:hAnsi="Verdana" w:cs="Verdana"/>
                <w:noProof/>
                <w:color w:val="000000"/>
                <w:sz w:val="16"/>
              </w:rPr>
              <w:t>g Europe Facility (CEF)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1 701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1 700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1 700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w:t>
            </w:r>
            <w:r>
              <w:rPr>
                <w:rFonts w:ascii="Verdana" w:eastAsia="Verdana" w:hAnsi="Verdana" w:cs="Verdana"/>
                <w:noProof/>
                <w:color w:val="000000"/>
                <w:sz w:val="16"/>
              </w:rPr>
              <w:t>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1</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92 794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80 540</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9 996</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90 536</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98 %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2 074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2 110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149</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2</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European Agricultural Guarantee Fund (EAGF)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44 806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42 718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807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43 962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Agricultu</w:t>
            </w:r>
            <w:r>
              <w:rPr>
                <w:rFonts w:ascii="Verdana" w:eastAsia="Verdana" w:hAnsi="Verdana" w:cs="Verdana"/>
                <w:noProof/>
                <w:color w:val="000000"/>
                <w:sz w:val="16"/>
              </w:rPr>
              <w:t>ral Fund Rural Development (EAFRD)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16 083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14 725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14 765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415</w:t>
            </w:r>
          </w:p>
        </w:tc>
      </w:tr>
      <w:tr w:rsidR="00135552">
        <w:trPr>
          <w:trHeight w:val="507"/>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Maritime and Fisheries Fund (EMFF)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1 160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1 082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855"/>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Fisheries Partnership Agreements (SFPAs) and Fisheries Management Organisations (RFMOs)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Environme</w:t>
            </w:r>
            <w:r>
              <w:rPr>
                <w:rFonts w:ascii="Verdana" w:eastAsia="Verdana" w:hAnsi="Verdana" w:cs="Verdana"/>
                <w:noProof/>
                <w:color w:val="000000"/>
                <w:sz w:val="16"/>
              </w:rPr>
              <w:t>nt and climate action (LIFE)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567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564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Other act</w:t>
            </w:r>
            <w:r>
              <w:rPr>
                <w:rFonts w:ascii="Verdana" w:eastAsia="Verdana" w:hAnsi="Verdana" w:cs="Verdana"/>
                <w:noProof/>
                <w:color w:val="000000"/>
                <w:sz w:val="16"/>
              </w:rPr>
              <w:t>ions and measures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w:t>
            </w:r>
            <w:r>
              <w:rPr>
                <w:rFonts w:ascii="Verdana" w:eastAsia="Verdana" w:hAnsi="Verdana" w:cs="Verdana"/>
                <w:noProof/>
                <w:color w:val="000000"/>
                <w:sz w:val="16"/>
              </w:rPr>
              <w:t>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2</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62 846</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59 161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438</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1 001</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60 600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96 %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1 330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1 797</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414</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449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3</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Asylum, </w:t>
            </w:r>
            <w:r>
              <w:rPr>
                <w:rFonts w:ascii="Verdana" w:eastAsia="Verdana" w:hAnsi="Verdana" w:cs="Verdana"/>
                <w:noProof/>
                <w:color w:val="000000"/>
                <w:sz w:val="16"/>
              </w:rPr>
              <w:t>Migration and Integration Fund (AMF)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1 208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1 184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Consumer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Creative </w:t>
            </w:r>
            <w:r>
              <w:rPr>
                <w:rFonts w:ascii="Verdana" w:eastAsia="Verdana" w:hAnsi="Verdana" w:cs="Verdana"/>
                <w:noProof/>
                <w:color w:val="000000"/>
                <w:sz w:val="16"/>
              </w:rPr>
              <w:t>Europe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Emergency Support within the Union (IES)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Internal </w:t>
            </w:r>
            <w:r>
              <w:rPr>
                <w:rFonts w:ascii="Verdana" w:eastAsia="Verdana" w:hAnsi="Verdana" w:cs="Verdana"/>
                <w:noProof/>
                <w:color w:val="000000"/>
                <w:sz w:val="16"/>
              </w:rPr>
              <w:t>Security Fund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533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597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IT system</w:t>
            </w:r>
            <w:r>
              <w:rPr>
                <w:rFonts w:ascii="Verdana" w:eastAsia="Verdana" w:hAnsi="Verdana" w:cs="Verdana"/>
                <w:noProof/>
                <w:color w:val="000000"/>
                <w:sz w:val="16"/>
              </w:rPr>
              <w:t>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Justice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Rights, E</w:t>
            </w:r>
            <w:r>
              <w:rPr>
                <w:rFonts w:ascii="Verdana" w:eastAsia="Verdana" w:hAnsi="Verdana" w:cs="Verdana"/>
                <w:noProof/>
                <w:color w:val="000000"/>
                <w:sz w:val="16"/>
              </w:rPr>
              <w:t>quality and Citizenship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Union Civ</w:t>
            </w:r>
            <w:r>
              <w:rPr>
                <w:rFonts w:ascii="Verdana" w:eastAsia="Verdana" w:hAnsi="Verdana" w:cs="Verdana"/>
                <w:noProof/>
                <w:color w:val="000000"/>
                <w:sz w:val="16"/>
              </w:rPr>
              <w:t>il protection Mechanism</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 for Citizens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Food and </w:t>
            </w:r>
            <w:r>
              <w:rPr>
                <w:rFonts w:ascii="Verdana" w:eastAsia="Verdana" w:hAnsi="Verdana" w:cs="Verdana"/>
                <w:noProof/>
                <w:color w:val="000000"/>
                <w:sz w:val="16"/>
              </w:rPr>
              <w:t>feed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Health</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Decentral</w:t>
            </w:r>
            <w:r>
              <w:rPr>
                <w:rFonts w:ascii="Verdana" w:eastAsia="Verdana" w:hAnsi="Verdana" w:cs="Verdana"/>
                <w:noProof/>
                <w:color w:val="000000"/>
                <w:sz w:val="16"/>
              </w:rPr>
              <w:t>ised agencies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1 151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1 059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1 102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w:t>
            </w:r>
            <w:r>
              <w:rPr>
                <w:rFonts w:ascii="Verdana" w:eastAsia="Verdana" w:hAnsi="Verdana" w:cs="Verdana"/>
                <w:noProof/>
                <w:color w:val="000000"/>
                <w:sz w:val="16"/>
              </w:rPr>
              <w:t>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3</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4 065</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3 737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3 874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95 %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4</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lang w:val="fr-BE"/>
              </w:rPr>
            </w:pPr>
            <w:r>
              <w:rPr>
                <w:rFonts w:ascii="Verdana" w:eastAsia="Verdana" w:hAnsi="Verdana" w:cs="Verdana"/>
                <w:noProof/>
                <w:color w:val="000000"/>
                <w:sz w:val="16"/>
                <w:lang w:val="fr-BE"/>
              </w:rPr>
              <w:t>Pre-acce</w:t>
            </w:r>
            <w:r>
              <w:rPr>
                <w:rFonts w:ascii="Verdana" w:eastAsia="Verdana" w:hAnsi="Verdana" w:cs="Verdana"/>
                <w:noProof/>
                <w:color w:val="000000"/>
                <w:sz w:val="16"/>
                <w:lang w:val="fr-BE"/>
              </w:rPr>
              <w:t>ssion assistance (IPA II)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3 133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2 393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2 994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Macro-fin</w:t>
            </w:r>
            <w:r>
              <w:rPr>
                <w:rFonts w:ascii="Verdana" w:eastAsia="Verdana" w:hAnsi="Verdana" w:cs="Verdana"/>
                <w:noProof/>
                <w:color w:val="000000"/>
                <w:sz w:val="16"/>
              </w:rPr>
              <w:t>ancial Assistance (MFA)</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Guarantee</w:t>
            </w:r>
            <w:r>
              <w:rPr>
                <w:rFonts w:ascii="Verdana" w:eastAsia="Verdana" w:hAnsi="Verdana" w:cs="Verdana"/>
                <w:noProof/>
                <w:color w:val="000000"/>
                <w:sz w:val="16"/>
              </w:rPr>
              <w:t xml:space="preserve"> Fund for External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Union Civ</w:t>
            </w:r>
            <w:r>
              <w:rPr>
                <w:rFonts w:ascii="Verdana" w:eastAsia="Verdana" w:hAnsi="Verdana" w:cs="Verdana"/>
                <w:noProof/>
                <w:color w:val="000000"/>
                <w:sz w:val="16"/>
              </w:rPr>
              <w:t>il Protection Mechanism</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 Aid Volunteers initiative (EUAV)</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Fund for </w:t>
            </w:r>
            <w:r>
              <w:rPr>
                <w:rFonts w:ascii="Verdana" w:eastAsia="Verdana" w:hAnsi="Verdana" w:cs="Verdana"/>
                <w:noProof/>
                <w:color w:val="000000"/>
                <w:sz w:val="16"/>
              </w:rPr>
              <w:t>Sustainable Development (EFSD)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61 %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European Neighbourhood Instrument (ENI)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2 779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2 738</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2 769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45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Developme</w:t>
            </w:r>
            <w:r>
              <w:rPr>
                <w:rFonts w:ascii="Verdana" w:eastAsia="Verdana" w:hAnsi="Verdana" w:cs="Verdana"/>
                <w:noProof/>
                <w:color w:val="000000"/>
                <w:sz w:val="16"/>
              </w:rPr>
              <w:t>nt Cooperation Instrument (DCI)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3 287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3 204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3 262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Partnersh</w:t>
            </w:r>
            <w:r>
              <w:rPr>
                <w:rFonts w:ascii="Verdana" w:eastAsia="Verdana" w:hAnsi="Verdana" w:cs="Verdana"/>
                <w:noProof/>
                <w:color w:val="000000"/>
                <w:sz w:val="16"/>
              </w:rPr>
              <w:t>ip Instrument (PI)</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Democracy and Human Rights (EIDHR)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Stability</w:t>
            </w:r>
            <w:r>
              <w:rPr>
                <w:rFonts w:ascii="Verdana" w:eastAsia="Verdana" w:hAnsi="Verdana" w:cs="Verdana"/>
                <w:noProof/>
                <w:color w:val="000000"/>
                <w:sz w:val="16"/>
              </w:rPr>
              <w:t xml:space="preserve"> and Peace (IcSP)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388</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387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Humanitar</w:t>
            </w:r>
            <w:r>
              <w:rPr>
                <w:rFonts w:ascii="Verdana" w:eastAsia="Verdana" w:hAnsi="Verdana" w:cs="Verdana"/>
                <w:noProof/>
                <w:color w:val="000000"/>
                <w:sz w:val="16"/>
              </w:rPr>
              <w:t>ian aid</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2 425</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1 966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2 412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Common Foreign and Security Policy (CFSP)</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384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Nuclear S</w:t>
            </w:r>
            <w:r>
              <w:rPr>
                <w:rFonts w:ascii="Verdana" w:eastAsia="Verdana" w:hAnsi="Verdana" w:cs="Verdana"/>
                <w:noProof/>
                <w:color w:val="000000"/>
                <w:sz w:val="16"/>
              </w:rPr>
              <w:t>afety Cooperation (INSC)</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Other act</w:t>
            </w:r>
            <w:r>
              <w:rPr>
                <w:rFonts w:ascii="Verdana" w:eastAsia="Verdana" w:hAnsi="Verdana" w:cs="Verdana"/>
                <w:noProof/>
                <w:color w:val="000000"/>
                <w:sz w:val="16"/>
              </w:rPr>
              <w:t>ions and programmes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286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226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w:t>
            </w:r>
            <w:r>
              <w:rPr>
                <w:rFonts w:ascii="Verdana" w:eastAsia="Verdana" w:hAnsi="Verdana" w:cs="Verdana"/>
                <w:noProof/>
                <w:color w:val="000000"/>
                <w:sz w:val="16"/>
              </w:rPr>
              <w:t>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47 %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4</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13 454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11 622</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1 454</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13 111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97 %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341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5</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Pensions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2 002</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schools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Decentral</w:t>
            </w:r>
            <w:r>
              <w:rPr>
                <w:rFonts w:ascii="Verdana" w:eastAsia="Verdana" w:hAnsi="Verdana" w:cs="Verdana"/>
                <w:noProof/>
                <w:color w:val="000000"/>
                <w:sz w:val="16"/>
              </w:rPr>
              <w:t>ised agencies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Pilot pro</w:t>
            </w:r>
            <w:r>
              <w:rPr>
                <w:rFonts w:ascii="Verdana" w:eastAsia="Verdana" w:hAnsi="Verdana" w:cs="Verdana"/>
                <w:noProof/>
                <w:color w:val="000000"/>
                <w:sz w:val="16"/>
              </w:rPr>
              <w:t>jects and preparatory actions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Commissio</w:t>
            </w:r>
            <w:r>
              <w:rPr>
                <w:rFonts w:ascii="Verdana" w:eastAsia="Verdana" w:hAnsi="Verdana" w:cs="Verdana"/>
                <w:noProof/>
                <w:color w:val="000000"/>
                <w:sz w:val="16"/>
              </w:rPr>
              <w:t>n administrative expenditure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4 027</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3 589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225</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3 816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Administr</w:t>
            </w:r>
            <w:r>
              <w:rPr>
                <w:rFonts w:ascii="Verdana" w:eastAsia="Verdana" w:hAnsi="Verdana" w:cs="Verdana"/>
                <w:noProof/>
                <w:color w:val="000000"/>
                <w:sz w:val="16"/>
              </w:rPr>
              <w:t>ative expenditure of Other Institutions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4 550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4 033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338</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4 371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85</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5</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10 776</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9 797</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574</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10 371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96 %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6</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6</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8</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Negative</w:t>
            </w:r>
            <w:r>
              <w:rPr>
                <w:rFonts w:ascii="Verdana" w:eastAsia="Verdana" w:hAnsi="Verdana" w:cs="Verdana"/>
                <w:noProof/>
                <w:color w:val="000000"/>
                <w:sz w:val="16"/>
              </w:rPr>
              <w:t xml:space="preserve"> reserve</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Deficit c</w:t>
            </w:r>
            <w:r>
              <w:rPr>
                <w:rFonts w:ascii="Verdana" w:eastAsia="Verdana" w:hAnsi="Verdana" w:cs="Verdana"/>
                <w:noProof/>
                <w:color w:val="000000"/>
                <w:sz w:val="16"/>
              </w:rPr>
              <w:t>arried over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w:t>
            </w:r>
            <w:r>
              <w:rPr>
                <w:rFonts w:ascii="Verdana" w:eastAsia="Verdana" w:hAnsi="Verdana" w:cs="Verdana"/>
                <w:noProof/>
                <w:color w:val="000000"/>
                <w:sz w:val="16"/>
              </w:rPr>
              <w:t xml:space="preserve"> Heading 8</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9</w:t>
            </w: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Emergency Aid Reserve (EAR)</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Globalisation Adjustment Fund (EGF)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199</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0 %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Union Solidarity Fund (EUSF)</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373</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79 %</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30</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noProof/>
                <w:color w:val="000000"/>
                <w:sz w:val="16"/>
              </w:rPr>
            </w:pPr>
            <w:r>
              <w:rPr>
                <w:rFonts w:ascii="Verdana" w:eastAsia="Verdana" w:hAnsi="Verdana" w:cs="Verdana"/>
                <w:noProof/>
                <w:color w:val="000000"/>
                <w:sz w:val="16"/>
              </w:rPr>
              <w:t>Total MFF Heading 9</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618</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48 %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102</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221</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2ImplementCommitments"/>
              <w:rPr>
                <w:rFonts w:ascii="Verdana" w:eastAsia="Verdana" w:hAnsi="Verdana" w:cs="Verdana"/>
                <w:b/>
                <w:noProof/>
                <w:color w:val="000000"/>
                <w:sz w:val="16"/>
              </w:rPr>
            </w:pPr>
          </w:p>
        </w:tc>
        <w:tc>
          <w:tcPr>
            <w:tcW w:w="277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184</w:t>
            </w:r>
            <w:r>
              <w:rPr>
                <w:rFonts w:ascii="Verdana" w:eastAsia="Verdana" w:hAnsi="Verdana" w:cs="Verdana"/>
                <w:b/>
                <w:noProof/>
                <w:color w:val="000000"/>
                <w:sz w:val="16"/>
              </w:rPr>
              <w:t xml:space="preserve"> 554</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165 153</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473</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13 161</w:t>
            </w:r>
          </w:p>
        </w:tc>
        <w:tc>
          <w:tcPr>
            <w:tcW w:w="98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178 787</w:t>
            </w:r>
          </w:p>
        </w:tc>
        <w:tc>
          <w:tcPr>
            <w:tcW w:w="843" w:type="dxa"/>
            <w:tcBorders>
              <w:top w:val="nil"/>
              <w:left w:val="nil"/>
              <w:bottom w:val="nil"/>
              <w:right w:val="nil"/>
              <w:tl2br w:val="nil"/>
              <w:tr2bl w:val="nil"/>
            </w:tcBorders>
            <w:shd w:val="solid" w:color="CCE1EB"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97 %</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4 149</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598</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4 747</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438</w:t>
            </w:r>
          </w:p>
        </w:tc>
        <w:tc>
          <w:tcPr>
            <w:tcW w:w="84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51</w:t>
            </w:r>
          </w:p>
        </w:tc>
        <w:tc>
          <w:tcPr>
            <w:tcW w:w="98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530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2ImplementCommitments"/>
              <w:jc w:val="right"/>
              <w:rPr>
                <w:rFonts w:ascii="Verdana" w:eastAsia="Verdana" w:hAnsi="Verdana" w:cs="Verdana"/>
                <w:b/>
                <w:noProof/>
                <w:color w:val="000000"/>
                <w:sz w:val="16"/>
              </w:rPr>
            </w:pPr>
            <w:r>
              <w:rPr>
                <w:rFonts w:ascii="Verdana" w:eastAsia="Verdana" w:hAnsi="Verdana" w:cs="Verdana"/>
                <w:b/>
                <w:noProof/>
                <w:color w:val="000000"/>
                <w:sz w:val="16"/>
              </w:rPr>
              <w:t>1 019</w:t>
            </w:r>
          </w:p>
        </w:tc>
      </w:tr>
    </w:tbl>
    <w:p w:rsidR="00135552" w:rsidRDefault="004C63B0">
      <w:pPr>
        <w:pStyle w:val="HEADER2PartBUDG"/>
        <w:rPr>
          <w:noProof/>
          <w:lang w:val="en-GB"/>
        </w:rPr>
      </w:pPr>
      <w:bookmarkStart w:id="257" w:name="_Toc43223233"/>
      <w:r>
        <w:rPr>
          <w:noProof/>
          <w:lang w:val="en-GB"/>
        </w:rPr>
        <w:t>DETAILED MFF: IMPLEMENTATION OF PAYMENT APPROPRIATIONS</w:t>
      </w:r>
      <w:bookmarkEnd w:id="25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3"/>
        <w:gridCol w:w="962"/>
        <w:gridCol w:w="688"/>
        <w:gridCol w:w="826"/>
        <w:gridCol w:w="962"/>
        <w:gridCol w:w="764"/>
        <w:gridCol w:w="835"/>
        <w:gridCol w:w="694"/>
        <w:gridCol w:w="835"/>
        <w:gridCol w:w="863"/>
        <w:gridCol w:w="827"/>
        <w:gridCol w:w="826"/>
        <w:gridCol w:w="827"/>
        <w:gridCol w:w="1129"/>
      </w:tblGrid>
      <w:tr w:rsidR="00135552">
        <w:trPr>
          <w:trHeight w:hRule="exact" w:val="397"/>
          <w:tblHeader/>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lang w:bidi="en-GB"/>
              </w:rPr>
            </w:pPr>
            <w:bookmarkStart w:id="258" w:name="DOC_TBL00111_1_1"/>
            <w:bookmarkEnd w:id="258"/>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hRule="exact" w:val="397"/>
          <w:tblHeader/>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3ImplementPayments"/>
              <w:jc w:val="center"/>
              <w:rPr>
                <w:rFonts w:ascii="Verdana" w:eastAsia="Verdana" w:hAnsi="Verdana" w:cs="Verdana"/>
                <w:noProof/>
                <w:color w:val="FFFFFF"/>
                <w:sz w:val="16"/>
              </w:rPr>
            </w:pPr>
          </w:p>
        </w:tc>
        <w:tc>
          <w:tcPr>
            <w:tcW w:w="204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3ImplementPayments"/>
              <w:jc w:val="center"/>
              <w:rPr>
                <w:rFonts w:ascii="Verdana" w:eastAsia="Verdana" w:hAnsi="Verdana" w:cs="Verdana"/>
                <w:b/>
                <w:noProof/>
                <w:color w:val="FFFFFF"/>
                <w:sz w:val="16"/>
              </w:rPr>
            </w:pPr>
          </w:p>
        </w:tc>
        <w:tc>
          <w:tcPr>
            <w:tcW w:w="973"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12BIPDetailedMFF3ImplementPayments"/>
              <w:jc w:val="center"/>
              <w:rPr>
                <w:rFonts w:ascii="Verdana" w:eastAsia="Verdana" w:hAnsi="Verdana" w:cs="Verdana"/>
                <w:b/>
                <w:noProof/>
                <w:color w:val="FFFFFF"/>
                <w:sz w:val="16"/>
              </w:rPr>
            </w:pPr>
            <w:r>
              <w:rPr>
                <w:rFonts w:ascii="Verdana" w:eastAsia="Verdana" w:hAnsi="Verdana" w:cs="Verdana"/>
                <w:b/>
                <w:noProof/>
                <w:color w:val="FFFFFF"/>
                <w:sz w:val="16"/>
              </w:rPr>
              <w:t>appropr.</w:t>
            </w:r>
          </w:p>
          <w:p w:rsidR="00135552" w:rsidRDefault="004C63B0">
            <w:pPr>
              <w:pStyle w:val="DMETW17212BIPDetailedMFF3ImplementPay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b/>
                <w:noProof/>
                <w:color w:val="FFFFFF"/>
                <w:sz w:val="16"/>
              </w:rPr>
            </w:pPr>
            <w:r>
              <w:rPr>
                <w:rFonts w:ascii="Verdana" w:eastAsia="Verdana" w:hAnsi="Verdana" w:cs="Verdana"/>
                <w:b/>
                <w:noProof/>
                <w:color w:val="FFFFFF"/>
                <w:sz w:val="16"/>
              </w:rPr>
              <w:t>Payments made</w:t>
            </w:r>
          </w:p>
        </w:tc>
        <w:tc>
          <w:tcPr>
            <w:tcW w:w="843"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b/>
                <w:noProof/>
                <w:color w:val="FFFFFF"/>
                <w:sz w:val="16"/>
              </w:rPr>
            </w:pPr>
            <w:r>
              <w:rPr>
                <w:rFonts w:ascii="Verdana" w:eastAsia="Verdana" w:hAnsi="Verdana" w:cs="Verdana"/>
                <w:b/>
                <w:noProof/>
                <w:color w:val="FFFFFF"/>
                <w:sz w:val="16"/>
              </w:rPr>
              <w:t>Appropriations carried over to 2020</w:t>
            </w:r>
          </w:p>
        </w:tc>
        <w:tc>
          <w:tcPr>
            <w:tcW w:w="835"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hRule="exact" w:val="913"/>
          <w:tblHeader/>
        </w:trPr>
        <w:tc>
          <w:tcPr>
            <w:tcW w:w="232"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3ImplementPayments"/>
              <w:jc w:val="center"/>
              <w:rPr>
                <w:rFonts w:ascii="Verdana" w:eastAsia="Verdana" w:hAnsi="Verdana" w:cs="Verdana"/>
                <w:noProof/>
                <w:color w:val="FFFFFF"/>
                <w:sz w:val="16"/>
              </w:rPr>
            </w:pPr>
          </w:p>
        </w:tc>
        <w:tc>
          <w:tcPr>
            <w:tcW w:w="204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Programme</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3ImplementPayments"/>
              <w:jc w:val="center"/>
              <w:rPr>
                <w:rFonts w:ascii="Verdana" w:eastAsia="Verdana" w:hAnsi="Verdana" w:cs="Verdana"/>
                <w:b/>
                <w:noProof/>
                <w:color w:val="FFFFFF"/>
                <w:sz w:val="16"/>
              </w:rPr>
            </w:pP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69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3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7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automat. carry overs</w:t>
            </w:r>
          </w:p>
        </w:tc>
        <w:tc>
          <w:tcPr>
            <w:tcW w:w="70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carry-overs by decis.</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assigned revenue</w:t>
            </w:r>
          </w:p>
        </w:tc>
        <w:tc>
          <w:tcPr>
            <w:tcW w:w="8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final adopted budge</w:t>
            </w:r>
          </w:p>
        </w:tc>
        <w:tc>
          <w:tcPr>
            <w:tcW w:w="83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114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hRule="exact" w:val="397"/>
          <w:tblHeader/>
        </w:trPr>
        <w:tc>
          <w:tcPr>
            <w:tcW w:w="232"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3ImplementPayments"/>
              <w:jc w:val="center"/>
              <w:rPr>
                <w:rFonts w:ascii="Verdana" w:eastAsia="Verdana" w:hAnsi="Verdana" w:cs="Verdana"/>
                <w:noProof/>
                <w:color w:val="FFFFFF"/>
                <w:sz w:val="16"/>
              </w:rPr>
            </w:pPr>
          </w:p>
        </w:tc>
        <w:tc>
          <w:tcPr>
            <w:tcW w:w="2044"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3ImplementPayments"/>
              <w:jc w:val="center"/>
              <w:rPr>
                <w:rFonts w:ascii="Verdana" w:eastAsia="Verdana" w:hAnsi="Verdana" w:cs="Verdana"/>
                <w:noProof/>
                <w:color w:val="FFFFFF"/>
                <w:sz w:val="16"/>
              </w:rPr>
            </w:pP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69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83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5=2+</w:t>
            </w:r>
          </w:p>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3+4</w:t>
            </w:r>
          </w:p>
        </w:tc>
        <w:tc>
          <w:tcPr>
            <w:tcW w:w="7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70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9</w:t>
            </w:r>
          </w:p>
        </w:tc>
        <w:tc>
          <w:tcPr>
            <w:tcW w:w="87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10=7+</w:t>
            </w:r>
          </w:p>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8+9</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834"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13</w:t>
            </w:r>
          </w:p>
        </w:tc>
        <w:tc>
          <w:tcPr>
            <w:tcW w:w="1141"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3ImplementPayments"/>
              <w:jc w:val="center"/>
              <w:rPr>
                <w:rFonts w:ascii="Verdana" w:eastAsia="Verdana" w:hAnsi="Verdana" w:cs="Verdana"/>
                <w:noProof/>
                <w:color w:val="FFFFFF"/>
                <w:sz w:val="16"/>
              </w:rPr>
            </w:pPr>
            <w:r>
              <w:rPr>
                <w:rFonts w:ascii="Verdana" w:eastAsia="Verdana" w:hAnsi="Verdana" w:cs="Verdana"/>
                <w:noProof/>
                <w:color w:val="FFFFFF"/>
                <w:sz w:val="16"/>
              </w:rPr>
              <w:t>14=11+</w:t>
            </w:r>
          </w:p>
          <w:p w:rsidR="00135552" w:rsidRDefault="004C63B0">
            <w:pPr>
              <w:pStyle w:val="DMETW17212BIPDetailedMFF3ImplementPayments"/>
              <w:jc w:val="center"/>
              <w:rPr>
                <w:rFonts w:ascii="Verdana" w:eastAsia="Verdana" w:hAnsi="Verdana" w:cs="Verdana"/>
                <w:noProof/>
                <w:color w:val="FFFFFF"/>
                <w:sz w:val="16"/>
                <w:lang w:bidi="en-GB"/>
              </w:rPr>
            </w:pPr>
            <w:r>
              <w:rPr>
                <w:rFonts w:ascii="Verdana" w:eastAsia="Verdana" w:hAnsi="Verdana" w:cs="Verdana"/>
                <w:noProof/>
                <w:color w:val="FFFFFF"/>
                <w:sz w:val="16"/>
              </w:rPr>
              <w:t>12+13</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1</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Fund  Strategic Investments (EFSI)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1 213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1 186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724"/>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lang w:val="fr-BE"/>
              </w:rPr>
            </w:pPr>
            <w:r>
              <w:rPr>
                <w:rFonts w:ascii="Verdana" w:eastAsia="Verdana" w:hAnsi="Verdana" w:cs="Verdana"/>
                <w:noProof/>
                <w:color w:val="000000"/>
                <w:sz w:val="16"/>
                <w:lang w:val="fr-BE"/>
              </w:rPr>
              <w:t>European satellite navigation (EGNOS/Galileo)</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1 248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1 041</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83 %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205</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International Thermonuclear Reactor (ITER)</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558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575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68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Earth Observation Progr (Copernicus)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617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Solidarity Corps (ESC)</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Defense Industrial Development Programme (EDIDP)</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Nuclear Safety and Decommissioning</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Horizon 2020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14 652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10 731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11 578</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2 983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3 065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w:t>
            </w:r>
          </w:p>
        </w:tc>
      </w:tr>
      <w:tr w:rsidR="00135552">
        <w:trPr>
          <w:trHeight w:hRule="exact" w:val="67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Euratom Research and Training Programme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539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390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72 %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669"/>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Competitiveness enterprises and SME's (COSME)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566"/>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Education, Training and Sport (Erasmus+)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3 217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2 602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2 857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Employment and Social Innovation (EaSI)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72 %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Customs, Fiscalis and Anti-Fraud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CEF - Energy</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CEF - Transport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1 334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1 312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1 327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CEF - Information &amp; Communications Technology (ICT)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Energy projects for economic recovery (EERP)</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hRule="exact" w:val="641"/>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556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268</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285</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287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w:t>
            </w:r>
          </w:p>
        </w:tc>
      </w:tr>
      <w:tr w:rsidR="00135552">
        <w:trPr>
          <w:trHeight w:hRule="exact" w:val="523"/>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Specific competences of the Commission</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Regional convergence (Less developed regions)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28 551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24 248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3 281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27 529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Transition regions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5 217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4 099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1 053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5 151</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Competitiveness (More developed regions)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8 852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7 470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8 452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400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400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Outermost and sparsely populated regions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215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223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Cohesion fund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9 801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8 107</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8 793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1 008</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1 008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territorial cooperation</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1 703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1 447</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1 546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Technical assistance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173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Aid to the Most Deprived (FEAD)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504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45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Youth Employment initiative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579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523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549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Connecting Europe Facility (CEF)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843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845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82 553</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67 637</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113</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7 785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75 535</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91 %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6 813</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6 967</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52</w:t>
            </w:r>
          </w:p>
        </w:tc>
      </w:tr>
      <w:tr w:rsidR="00135552">
        <w:trPr>
          <w:trHeight w:hRule="exact" w:val="525"/>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2</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Agricultural Guarantee Fund (EAGF)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44 933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42 449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631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43 885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349</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1 006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Agricultural Fund Rural Development (EAFRD)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14 868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13 505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14 213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593"/>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Maritime and Fisheries Fund (EMFF)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871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848</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Fisheries Partnership Agreements (SFPAs) and Fisheries Management Organisations (RFMOs)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Environment and climate action (LIFE)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Other actions and measures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2</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61 252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57 163</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637</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1 721</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59 521</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97 %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198</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467</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1 023</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1 687</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44</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3</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Asylum, Migration and Integration Fund (AMF)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878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886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95</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Consumer</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Creative Europe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Emergency Support within the Union (IES)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Internal Security Fund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649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500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529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IT systems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Justice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Rights, Equality and Citizenship</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42</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27</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 for Citizens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Food and feed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247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241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246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Health</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905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949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84 %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3</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3 575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3 153</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3 256</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91 %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180</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188</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4</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lang w:val="fr-BE"/>
              </w:rPr>
            </w:pPr>
            <w:r>
              <w:rPr>
                <w:rFonts w:ascii="Verdana" w:eastAsia="Verdana" w:hAnsi="Verdana" w:cs="Verdana"/>
                <w:noProof/>
                <w:color w:val="000000"/>
                <w:sz w:val="16"/>
                <w:lang w:val="fr-BE"/>
              </w:rPr>
              <w:t>Pre-accession assistance (IPA II)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1 950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1 375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1 583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525"/>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Macro-financial Assistance (MFA)</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Guarantee Fund for External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581"/>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82 %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 Aid Volunteers initiative (EUAV)</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Fund for Sustainable Development (EFSD)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479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721"/>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Neighbourhood Instrument (ENI)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2 106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2 055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2 080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733"/>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Development Cooperation Instrument (DCI)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2 716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2 564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2 627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hRule="exact" w:val="573"/>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Partnership Instrument (PI)</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95 %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Democracy and Human Rights (EIDHR)</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Stability and Peace (IcSP)</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315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Humanitarian aid</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2 117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1 734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324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2 064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Common Foreign and Security Policy (CFSP)</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308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340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Nuclear Safety Cooperation (INSC)</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589"/>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199</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10 933</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8 908</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1 140</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10 108</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92 %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772</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811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5</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Pensions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2 002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schools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192</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hRule="exact" w:val="515"/>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Commission administrative expenditure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4 385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3 303</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332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3 817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87 %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285</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204</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79</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Administrative expenditure of Other Institutions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5 107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3 571</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515</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4 377</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86 %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463</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605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124</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11 694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9 048</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850</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482</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10 381</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89 %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748</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349</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1 098</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146</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66</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216</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6</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Compensations</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8</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Negative reserve</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Deficit carried over</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8</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hRule="exact" w:val="485"/>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9</w:t>
            </w: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Emergency Aid Reserve (EAR)</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352</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Globalisation Adjustment Fund (EGF)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w:t>
            </w:r>
          </w:p>
        </w:tc>
      </w:tr>
      <w:tr w:rsidR="00135552">
        <w:trPr>
          <w:trHeight w:hRule="exac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European Union Solidarity Fund (EUSF)</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69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7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100 %</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70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hRule="exact" w:val="397"/>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noProof/>
                <w:color w:val="000000"/>
                <w:sz w:val="16"/>
              </w:rPr>
            </w:pPr>
            <w:r>
              <w:rPr>
                <w:rFonts w:ascii="Verdana" w:eastAsia="Verdana" w:hAnsi="Verdana" w:cs="Verdana"/>
                <w:noProof/>
                <w:color w:val="000000"/>
                <w:sz w:val="16"/>
              </w:rPr>
              <w:t>Total MFF Heading 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671</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44 %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352</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368</w:t>
            </w:r>
          </w:p>
        </w:tc>
      </w:tr>
      <w:tr w:rsidR="00135552">
        <w:trPr>
          <w:trHeight w:hRule="exact" w:val="469"/>
        </w:trPr>
        <w:tc>
          <w:tcPr>
            <w:tcW w:w="232"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3ImplementPayments"/>
              <w:rPr>
                <w:rFonts w:ascii="Verdana" w:eastAsia="Verdana" w:hAnsi="Verdana" w:cs="Verdana"/>
                <w:b/>
                <w:noProof/>
                <w:color w:val="000000"/>
                <w:sz w:val="16"/>
              </w:rPr>
            </w:pPr>
          </w:p>
        </w:tc>
        <w:tc>
          <w:tcPr>
            <w:tcW w:w="204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170 679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146 203</w:t>
            </w:r>
          </w:p>
        </w:tc>
        <w:tc>
          <w:tcPr>
            <w:tcW w:w="69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1 667</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11 225</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159 096</w:t>
            </w:r>
          </w:p>
        </w:tc>
        <w:tc>
          <w:tcPr>
            <w:tcW w:w="7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93 %</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1 145</w:t>
            </w:r>
          </w:p>
        </w:tc>
        <w:tc>
          <w:tcPr>
            <w:tcW w:w="70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470</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9 144</w:t>
            </w:r>
          </w:p>
        </w:tc>
        <w:tc>
          <w:tcPr>
            <w:tcW w:w="8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10 759</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675</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125</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25</w:t>
            </w:r>
          </w:p>
        </w:tc>
        <w:tc>
          <w:tcPr>
            <w:tcW w:w="114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3Implement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825</w:t>
            </w:r>
          </w:p>
        </w:tc>
      </w:tr>
    </w:tbl>
    <w:p w:rsidR="00135552" w:rsidRDefault="00135552">
      <w:pPr>
        <w:pStyle w:val="Textstand-alone"/>
        <w:rPr>
          <w:lang w:bidi="en-GB"/>
        </w:rPr>
      </w:pPr>
    </w:p>
    <w:p w:rsidR="00135552" w:rsidRDefault="004C63B0">
      <w:pPr>
        <w:pStyle w:val="Textstand-alone"/>
        <w:rPr>
          <w:lang w:bidi="en-GB"/>
        </w:rPr>
      </w:pPr>
      <w:r>
        <w:rPr>
          <w:lang w:bidi="en-GB"/>
        </w:rPr>
        <w:br w:type="page"/>
      </w:r>
    </w:p>
    <w:p w:rsidR="00135552" w:rsidRDefault="004C63B0">
      <w:pPr>
        <w:pStyle w:val="HEADER2PartBUDG"/>
        <w:spacing w:before="240" w:after="240"/>
        <w:ind w:left="357" w:hanging="357"/>
        <w:rPr>
          <w:noProof/>
          <w:lang w:val="en-GB"/>
        </w:rPr>
      </w:pPr>
      <w:bookmarkStart w:id="259" w:name="_Toc43223234"/>
      <w:r>
        <w:rPr>
          <w:noProof/>
          <w:lang w:val="en-GB"/>
        </w:rPr>
        <w:t>DETAILED MFF: MOVEMENTS IN OUTSTANDING COMMITMENTS (RAL)</w:t>
      </w:r>
      <w:bookmarkEnd w:id="259"/>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
        <w:gridCol w:w="3121"/>
        <w:gridCol w:w="1376"/>
        <w:gridCol w:w="1375"/>
        <w:gridCol w:w="963"/>
        <w:gridCol w:w="1236"/>
        <w:gridCol w:w="1101"/>
        <w:gridCol w:w="963"/>
        <w:gridCol w:w="1236"/>
        <w:gridCol w:w="1184"/>
        <w:gridCol w:w="1316"/>
      </w:tblGrid>
      <w:tr w:rsidR="00135552">
        <w:trPr>
          <w:trHeight w:val="340"/>
          <w:tblHeader/>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lang w:bidi="en-GB"/>
              </w:rPr>
            </w:pPr>
            <w:bookmarkStart w:id="260" w:name="DOC_TBL00112_1_1"/>
            <w:bookmarkEnd w:id="260"/>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noProof/>
                <w:color w:val="FFFFFF"/>
                <w:sz w:val="16"/>
              </w:rPr>
            </w:pPr>
          </w:p>
        </w:tc>
        <w:tc>
          <w:tcPr>
            <w:tcW w:w="1390"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b/>
                <w:noProof/>
                <w:color w:val="FFFFFF"/>
                <w:sz w:val="16"/>
              </w:rPr>
            </w:pPr>
            <w:r>
              <w:rPr>
                <w:rFonts w:ascii="Verdana" w:eastAsia="Verdana" w:hAnsi="Verdana" w:cs="Verdana"/>
                <w:b/>
                <w:noProof/>
                <w:color w:val="FFFFFF"/>
                <w:sz w:val="16"/>
              </w:rPr>
              <w:t>Commitments outstanding at the end of previous year</w:t>
            </w:r>
          </w:p>
        </w:tc>
        <w:tc>
          <w:tcPr>
            <w:tcW w:w="1112"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b/>
                <w:noProof/>
                <w:color w:val="FFFFFF"/>
                <w:sz w:val="16"/>
              </w:rPr>
            </w:pPr>
            <w:r>
              <w:rPr>
                <w:rFonts w:ascii="Verdana" w:eastAsia="Verdana" w:hAnsi="Verdana" w:cs="Verdana"/>
                <w:b/>
                <w:noProof/>
                <w:color w:val="FFFFFF"/>
                <w:sz w:val="16"/>
              </w:rPr>
              <w:t>Commitments of the current year</w:t>
            </w:r>
          </w:p>
        </w:tc>
        <w:tc>
          <w:tcPr>
            <w:tcW w:w="1330"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b/>
                <w:noProof/>
                <w:color w:val="FFFFFF"/>
                <w:sz w:val="16"/>
                <w:lang w:bidi="en-GB"/>
              </w:rPr>
            </w:pPr>
            <w:r>
              <w:rPr>
                <w:rFonts w:ascii="Verdana" w:eastAsia="Verdana" w:hAnsi="Verdana" w:cs="Verdana"/>
                <w:b/>
                <w:noProof/>
                <w:color w:val="FFFFFF"/>
                <w:sz w:val="16"/>
              </w:rPr>
              <w:t>Total commitm. outstanding at the end of the year</w:t>
            </w:r>
          </w:p>
        </w:tc>
      </w:tr>
      <w:tr w:rsidR="00135552">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Programme</w:t>
            </w:r>
          </w:p>
        </w:tc>
        <w:tc>
          <w:tcPr>
            <w:tcW w:w="139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 xml:space="preserve">Commitm. carried </w:t>
            </w:r>
            <w:r>
              <w:rPr>
                <w:rFonts w:ascii="Verdana" w:eastAsia="Verdana" w:hAnsi="Verdana" w:cs="Verdana"/>
                <w:noProof/>
                <w:color w:val="FFFFFF"/>
                <w:sz w:val="16"/>
              </w:rPr>
              <w:t>forward from previous year</w:t>
            </w:r>
          </w:p>
        </w:tc>
        <w:tc>
          <w:tcPr>
            <w:tcW w:w="138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Decommitm./</w:t>
            </w:r>
          </w:p>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Revaluations/</w:t>
            </w:r>
          </w:p>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Cancellations</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Payments</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Commitm. outstanding at year-end</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Commitm. made during the year</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Payments</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Cancellation of commitm. which cannot be carried over</w:t>
            </w:r>
          </w:p>
        </w:tc>
        <w:tc>
          <w:tcPr>
            <w:tcW w:w="119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lang w:bidi="en-GB"/>
              </w:rPr>
            </w:pPr>
            <w:r>
              <w:rPr>
                <w:rFonts w:ascii="Verdana" w:eastAsia="Verdana" w:hAnsi="Verdana" w:cs="Verdana"/>
                <w:noProof/>
                <w:color w:val="FFFFFF"/>
                <w:sz w:val="16"/>
              </w:rPr>
              <w:t>Commitm. outstanding at year-end</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b/>
                <w:noProof/>
                <w:color w:val="FFFFFF"/>
                <w:sz w:val="16"/>
              </w:rPr>
            </w:pPr>
          </w:p>
        </w:tc>
      </w:tr>
      <w:tr w:rsidR="00135552">
        <w:trPr>
          <w:trHeight w:val="340"/>
          <w:tblHeader/>
        </w:trPr>
        <w:tc>
          <w:tcPr>
            <w:tcW w:w="234"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3487A9" w:fill="FFFFFF"/>
            <w:tcMar>
              <w:left w:w="60" w:type="dxa"/>
              <w:right w:w="60" w:type="dxa"/>
            </w:tcMar>
            <w:vAlign w:val="center"/>
          </w:tcPr>
          <w:p w:rsidR="00135552" w:rsidRDefault="00135552">
            <w:pPr>
              <w:pStyle w:val="DMETW17212BIPDetailedMFF4Commitmentsoustanding"/>
              <w:jc w:val="center"/>
              <w:rPr>
                <w:rFonts w:ascii="Verdana" w:eastAsia="Verdana" w:hAnsi="Verdana" w:cs="Verdana"/>
                <w:noProof/>
                <w:color w:val="FFFFFF"/>
                <w:sz w:val="16"/>
              </w:rPr>
            </w:pPr>
          </w:p>
        </w:tc>
        <w:tc>
          <w:tcPr>
            <w:tcW w:w="1390"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1389"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4=1+2+3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5</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6</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1196"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rPr>
            </w:pPr>
            <w:r>
              <w:rPr>
                <w:rFonts w:ascii="Verdana" w:eastAsia="Verdana" w:hAnsi="Verdana" w:cs="Verdana"/>
                <w:noProof/>
                <w:color w:val="FFFFFF"/>
                <w:sz w:val="16"/>
              </w:rPr>
              <w:t>8=5+6+7</w:t>
            </w:r>
          </w:p>
        </w:tc>
        <w:tc>
          <w:tcPr>
            <w:tcW w:w="1330" w:type="dxa"/>
            <w:tcBorders>
              <w:top w:val="nil"/>
              <w:left w:val="nil"/>
              <w:bottom w:val="nil"/>
              <w:right w:val="nil"/>
              <w:tl2br w:val="nil"/>
              <w:tr2bl w:val="nil"/>
            </w:tcBorders>
            <w:shd w:val="solid" w:color="3487A9" w:fill="FFFFFF"/>
            <w:tcMar>
              <w:left w:w="60" w:type="dxa"/>
              <w:right w:w="60" w:type="dxa"/>
            </w:tcMar>
            <w:vAlign w:val="center"/>
          </w:tcPr>
          <w:p w:rsidR="00135552" w:rsidRDefault="004C63B0">
            <w:pPr>
              <w:pStyle w:val="DMETW17212BIPDetailedMFF4Commitmentsoustanding"/>
              <w:jc w:val="center"/>
              <w:rPr>
                <w:rFonts w:ascii="Verdana" w:eastAsia="Verdana" w:hAnsi="Verdana" w:cs="Verdana"/>
                <w:noProof/>
                <w:color w:val="FFFFFF"/>
                <w:sz w:val="16"/>
                <w:lang w:bidi="en-GB"/>
              </w:rPr>
            </w:pPr>
            <w:r>
              <w:rPr>
                <w:rFonts w:ascii="Verdana" w:eastAsia="Verdana" w:hAnsi="Verdana" w:cs="Verdana"/>
                <w:noProof/>
                <w:color w:val="FFFFFF"/>
                <w:sz w:val="16"/>
              </w:rPr>
              <w:t>9=4+8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1</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Fund  Strategic Investments (EFSI)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2 714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(1 015)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1 698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377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1 905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lang w:val="fr-BE"/>
              </w:rPr>
            </w:pPr>
            <w:r>
              <w:rPr>
                <w:rFonts w:ascii="Verdana" w:eastAsia="Verdana" w:hAnsi="Verdana" w:cs="Verdana"/>
                <w:noProof/>
                <w:color w:val="000000"/>
                <w:sz w:val="16"/>
                <w:lang w:val="fr-BE"/>
              </w:rPr>
              <w:t>European satellite navigation (EGNOS/Galileo)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1 224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957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International Thermonuclear Reactor (ITER)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1 </w:t>
            </w:r>
            <w:r>
              <w:rPr>
                <w:rFonts w:ascii="Verdana" w:eastAsia="Verdana" w:hAnsi="Verdana" w:cs="Verdana"/>
                <w:noProof/>
                <w:color w:val="000000"/>
                <w:sz w:val="16"/>
              </w:rPr>
              <w:t>454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370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1 305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Earth Observation Progr (Copernicus)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507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Solidarity Corps (ESC)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Defense Industrial Development</w:t>
            </w:r>
            <w:r>
              <w:rPr>
                <w:rFonts w:ascii="Verdana" w:eastAsia="Verdana" w:hAnsi="Verdana" w:cs="Verdana"/>
                <w:noProof/>
                <w:color w:val="000000"/>
                <w:sz w:val="16"/>
              </w:rPr>
              <w:t xml:space="preserve"> Programme (EDIDP)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Nuclear Safety and Decommissioning</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468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583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Horizon 2020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20 541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(7 640)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12 490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13 808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(3 938)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9 866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22 356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Euratom Research and Training Programme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Competitiveness enterprises and SME's (COSME)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628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Education, Training and Sport (Erasmus+)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406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3 060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(2 469)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 xml:space="preserve">Employment and Social </w:t>
            </w:r>
            <w:r>
              <w:rPr>
                <w:rFonts w:ascii="Verdana" w:eastAsia="Verdana" w:hAnsi="Verdana" w:cs="Verdana"/>
                <w:noProof/>
                <w:color w:val="000000"/>
                <w:sz w:val="16"/>
              </w:rPr>
              <w:t>Innovation (EaSI)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Customs, Fiscalis and Anti-Fraud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CEF - Energy</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2 072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(320)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1 738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983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2 721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CEF - Transport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4 241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(1 277)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2 890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2 716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2 666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5 556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CEF - Information &amp; Communications Technology (ICT)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448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321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490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Energy projects for economic recovery (EERP)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376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Specific competences of the Commission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Regional convergence (Less developed regions)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85 194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(27 428)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57 272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31 444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31 343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88 615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Transition regions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18 502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(5 139)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13 338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6 657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6 645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19 984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Competitiveness (More developed regions)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26 523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(8 380)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18 092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9 </w:t>
            </w:r>
            <w:r>
              <w:rPr>
                <w:rFonts w:ascii="Verdana" w:eastAsia="Verdana" w:hAnsi="Verdana" w:cs="Verdana"/>
                <w:noProof/>
                <w:color w:val="000000"/>
                <w:sz w:val="16"/>
              </w:rPr>
              <w:t>804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9 732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27 824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Outermost and sparsely populated regions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588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234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618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Cohesion fund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25 851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(8 404)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17 444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11 527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11 138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28 582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territorial cooperation</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(1 536)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2 964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2 189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2 178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5 142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Technical assistance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273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Aid to the Most Deprived (FEAD)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1 304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(483)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820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1 390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Youth Employment initiative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1 655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1 114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337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1 450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Connecting Europe Facility (CEF)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5 595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4 745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1 700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1 694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6 439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1</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206 991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(1 360)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(66 413)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139 217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90 536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(9 122)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81 410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220 627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2</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Agricultural Guarantee Fund (EAGF)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43 962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(43 650)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313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430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Agricultural Fund Rural Development (EAFRD)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34 594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(13 714)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20 842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14 765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(499)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14 266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35 108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Maritime and Fisheries Fund (EMFF)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3 280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(826)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2 382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1 082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1 059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3 441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Fisheries Partnership Agreements (SFPAs) and Fisheries Management Organisations (RFMOs)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Environment and climate action (LIFE)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1 768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(342)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1 294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564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548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1 841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Other actions and measures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2</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40 047</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(253)</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(15 133)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24 661</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60 600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(44 387)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16 213</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40 874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3</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Asylum, Migration and Integration Fund (AMF)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2 662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1 814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1 192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1 057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2 870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Consumer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Creative Europe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256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Emergency Support within the Union (IES)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Internal Security Fund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1 746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(525)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1 118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1 711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IT systems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Justice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Rights, Equality and Citizenship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 for Citizens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Food and feed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Health</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1 102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395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86</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3</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5 834</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(269)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(1 934)</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3 632</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3 874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(1 323)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2 551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6 183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4</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lang w:val="fr-BE"/>
              </w:rPr>
            </w:pPr>
            <w:r>
              <w:rPr>
                <w:rFonts w:ascii="Verdana" w:eastAsia="Verdana" w:hAnsi="Verdana" w:cs="Verdana"/>
                <w:noProof/>
                <w:color w:val="000000"/>
                <w:sz w:val="16"/>
                <w:lang w:val="fr-BE"/>
              </w:rPr>
              <w:t>Pre-accession assistance (IPA II)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7 425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(1 414)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5 656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2 994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2 826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8 481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Macro-financial Assistance (MFA)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Guarantee Fund for External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 Aid Volunteers initiative (EUAV)</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 xml:space="preserve">Fund for Sustainable </w:t>
            </w:r>
            <w:r>
              <w:rPr>
                <w:rFonts w:ascii="Verdana" w:eastAsia="Verdana" w:hAnsi="Verdana" w:cs="Verdana"/>
                <w:noProof/>
                <w:color w:val="000000"/>
                <w:sz w:val="16"/>
              </w:rPr>
              <w:t>Development (EFSD)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Neighbourhood Instrument (ENI)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7 833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(1 713)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5 594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2 769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2 401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7 995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Development Cooperation Instrument (DCI)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8 755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(2 298)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6 269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3 262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2 933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9 203</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Partnership Instrument (PI)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400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Democracy and Human Rights (EIDHR)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358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179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Stability and Peace (IcSP)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627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(206)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408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268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Humanitarian aid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893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(552)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(1 511)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1 205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Common Foreign and Security Policy (CFSP)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238</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Nuclear Safety Cooperation (INSC)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102</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126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135</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4</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27 352</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(1 </w:t>
            </w:r>
            <w:r>
              <w:rPr>
                <w:rFonts w:ascii="Verdana" w:eastAsia="Verdana" w:hAnsi="Verdana" w:cs="Verdana"/>
                <w:noProof/>
                <w:color w:val="000000"/>
                <w:sz w:val="16"/>
              </w:rPr>
              <w:t>200)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(6 918)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19 234</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13 111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(3 190)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9 920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29 154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5</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Pensions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(1 990)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schools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Commission administrative expenditure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3 816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(3 480)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335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335</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Administrative expenditure of Other Institutions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587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4 371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(3 861)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511</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5</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961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(859)</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10 371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(9 522)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849</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854</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6</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Compensations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6</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8</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Negative reserve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Deficit carried over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8</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9</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Emergency Aid Reserve (EAR)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Globalisation Adjustment Fund (EGF)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European Union Solidarity Fund (EUSF)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noProof/>
                <w:color w:val="000000"/>
                <w:sz w:val="16"/>
              </w:rPr>
            </w:pPr>
            <w:r>
              <w:rPr>
                <w:rFonts w:ascii="Verdana" w:eastAsia="Verdana" w:hAnsi="Verdana" w:cs="Verdana"/>
                <w:noProof/>
                <w:color w:val="000000"/>
                <w:sz w:val="16"/>
              </w:rPr>
              <w:t>Total MFF Heading 9</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(295)</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4Commitmentsoustanding"/>
              <w:rPr>
                <w:rFonts w:ascii="Verdana" w:eastAsia="Verdana" w:hAnsi="Verdana" w:cs="Verdana"/>
                <w:b/>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rPr>
                <w:rFonts w:ascii="Verdana" w:eastAsia="Verdana" w:hAnsi="Verdana" w:cs="Verdana"/>
                <w:b/>
                <w:noProof/>
                <w:color w:val="000000"/>
                <w:sz w:val="16"/>
              </w:rPr>
            </w:pPr>
            <w:r>
              <w:rPr>
                <w:rFonts w:ascii="Verdana" w:eastAsia="Verdana" w:hAnsi="Verdana" w:cs="Verdana"/>
                <w:b/>
                <w:noProof/>
                <w:color w:val="000000"/>
                <w:sz w:val="16"/>
              </w:rPr>
              <w:t>Total</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281 185</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(3 179)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(91 257)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186 749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178 787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(67 838)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 xml:space="preserve"> (5)</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110 944</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4Commitmentsoustanding"/>
              <w:jc w:val="right"/>
              <w:rPr>
                <w:rFonts w:ascii="Verdana" w:eastAsia="Verdana" w:hAnsi="Verdana" w:cs="Verdana"/>
                <w:b/>
                <w:noProof/>
                <w:color w:val="000000"/>
                <w:sz w:val="16"/>
              </w:rPr>
            </w:pPr>
            <w:r>
              <w:rPr>
                <w:rFonts w:ascii="Verdana" w:eastAsia="Verdana" w:hAnsi="Verdana" w:cs="Verdana"/>
                <w:b/>
                <w:noProof/>
                <w:color w:val="000000"/>
                <w:sz w:val="16"/>
              </w:rPr>
              <w:t>297 693</w:t>
            </w:r>
          </w:p>
        </w:tc>
      </w:tr>
    </w:tbl>
    <w:p w:rsidR="00135552" w:rsidRDefault="00135552">
      <w:pPr>
        <w:pStyle w:val="DGTextstand-alone"/>
      </w:pPr>
    </w:p>
    <w:p w:rsidR="00135552" w:rsidRDefault="004C63B0">
      <w:pPr>
        <w:rPr>
          <w:rFonts w:ascii="Verdana" w:eastAsia="Calibri" w:hAnsi="Verdana"/>
          <w:b/>
          <w:noProof/>
          <w:color w:val="016794"/>
          <w:sz w:val="28"/>
        </w:rPr>
      </w:pPr>
      <w:r>
        <w:rPr>
          <w:noProof/>
        </w:rPr>
        <w:br w:type="page"/>
      </w:r>
    </w:p>
    <w:p w:rsidR="00135552" w:rsidRDefault="004C63B0">
      <w:pPr>
        <w:pStyle w:val="HEADER2PartBUDG"/>
        <w:rPr>
          <w:noProof/>
          <w:lang w:val="en-GB"/>
        </w:rPr>
      </w:pPr>
      <w:r>
        <w:rPr>
          <w:noProof/>
          <w:lang w:val="en-GB"/>
        </w:rPr>
        <w:t xml:space="preserve"> </w:t>
      </w:r>
      <w:bookmarkStart w:id="261" w:name="_Toc43223235"/>
      <w:r>
        <w:rPr>
          <w:noProof/>
          <w:lang w:val="en-GB"/>
        </w:rPr>
        <w:t>DETAILED MFF: OUTSTANDING COMMITMENTS BY YEAR OF ORIGIN</w:t>
      </w:r>
      <w:bookmarkEnd w:id="261"/>
    </w:p>
    <w:p w:rsidR="00135552" w:rsidRDefault="004C63B0">
      <w:pPr>
        <w:pStyle w:val="DGTextstand-alone"/>
        <w:spacing w:before="0" w:after="0"/>
        <w:rPr>
          <w:lang w:bidi="en-GB"/>
        </w:rPr>
      </w:pPr>
      <w:r>
        <w:rPr>
          <w:lang w:bidi="en-GB"/>
        </w:rPr>
        <w:t xml:space="preserve">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5275"/>
        <w:gridCol w:w="945"/>
        <w:gridCol w:w="947"/>
        <w:gridCol w:w="947"/>
        <w:gridCol w:w="947"/>
        <w:gridCol w:w="947"/>
        <w:gridCol w:w="947"/>
        <w:gridCol w:w="947"/>
        <w:gridCol w:w="947"/>
        <w:gridCol w:w="1067"/>
      </w:tblGrid>
      <w:tr w:rsidR="00135552">
        <w:trPr>
          <w:trHeight w:val="312"/>
          <w:tblHeader/>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lang w:bidi="en-GB"/>
              </w:rPr>
            </w:pPr>
            <w:bookmarkStart w:id="262" w:name="DOC_TBL00113_1_1"/>
            <w:bookmarkEnd w:id="262"/>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12"/>
          <w:tblHeader/>
        </w:trPr>
        <w:tc>
          <w:tcPr>
            <w:tcW w:w="33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12BIPDetailedMFF5RALYoO"/>
              <w:jc w:val="center"/>
              <w:rPr>
                <w:rFonts w:ascii="Verdana" w:eastAsia="Verdana" w:hAnsi="Verdana" w:cs="Verdana"/>
                <w:noProof/>
                <w:color w:val="FFFFFF"/>
                <w:sz w:val="16"/>
              </w:rPr>
            </w:pPr>
          </w:p>
        </w:tc>
        <w:tc>
          <w:tcPr>
            <w:tcW w:w="53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Programme</w:t>
            </w:r>
          </w:p>
        </w:tc>
        <w:tc>
          <w:tcPr>
            <w:tcW w:w="95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&lt; 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2014</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2015</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2016</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2017</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2018</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rPr>
            </w:pPr>
            <w:r>
              <w:rPr>
                <w:rFonts w:ascii="Verdana" w:eastAsia="Verdana" w:hAnsi="Verdana" w:cs="Verdana"/>
                <w:noProof/>
                <w:color w:val="FFFFFF"/>
                <w:sz w:val="16"/>
              </w:rPr>
              <w:t>2019</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12BIPDetailedMFF5RALYoO"/>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1</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Fund  Strategic Investments (EFSI)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1 691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1 905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lang w:val="fr-BE"/>
              </w:rPr>
            </w:pPr>
            <w:r>
              <w:rPr>
                <w:rFonts w:ascii="Verdana" w:eastAsia="Verdana" w:hAnsi="Verdana" w:cs="Verdana"/>
                <w:noProof/>
                <w:color w:val="000000"/>
                <w:sz w:val="16"/>
                <w:lang w:val="fr-BE"/>
              </w:rPr>
              <w:t xml:space="preserve">European </w:t>
            </w:r>
            <w:r>
              <w:rPr>
                <w:rFonts w:ascii="Verdana" w:eastAsia="Verdana" w:hAnsi="Verdana" w:cs="Verdana"/>
                <w:noProof/>
                <w:color w:val="000000"/>
                <w:sz w:val="16"/>
                <w:lang w:val="fr-BE"/>
              </w:rPr>
              <w:t>satellite navigation (EGNOS/Galileo)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lang w:val="fr-BE"/>
              </w:rPr>
              <w:t xml:space="preserve"> </w:t>
            </w: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957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International Thermonuclear Reactor (ITER)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370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1 305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Earth Observation Progr (Copernicus)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507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European Solidarity Corps </w:t>
            </w:r>
            <w:r>
              <w:rPr>
                <w:rFonts w:ascii="Verdana" w:eastAsia="Verdana" w:hAnsi="Verdana" w:cs="Verdana"/>
                <w:noProof/>
                <w:color w:val="000000"/>
                <w:sz w:val="16"/>
              </w:rPr>
              <w:t>(ESC)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Defense Industrial Development Programme (EDIDP)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Nuclear Safety and Decommissioning</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583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Horizon 2020</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1 187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1 988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3 219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4 615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9 866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22 356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Euratom Research and Training Programme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Competitiveness enterprises and SME's (COSME)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Education, Training and Sport (Erasmus+)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591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997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Employment</w:t>
            </w:r>
            <w:r>
              <w:rPr>
                <w:rFonts w:ascii="Verdana" w:eastAsia="Verdana" w:hAnsi="Verdana" w:cs="Verdana"/>
                <w:noProof/>
                <w:color w:val="000000"/>
                <w:sz w:val="16"/>
              </w:rPr>
              <w:t xml:space="preserve"> and Social Innovation (EaSI)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Customs, Fiscalis and Anti-Fraud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CEF - Energy</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983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2 721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CEF - Transport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1 543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2 666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5 556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CEF - </w:t>
            </w:r>
            <w:r>
              <w:rPr>
                <w:rFonts w:ascii="Verdana" w:eastAsia="Verdana" w:hAnsi="Verdana" w:cs="Verdana"/>
                <w:noProof/>
                <w:color w:val="000000"/>
                <w:sz w:val="16"/>
              </w:rPr>
              <w:t>Information &amp; Communications Technology (ICT)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490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Energy projects for economic recovery (EERP)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172</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Specific competences of the Commission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Regional convergence (Less developed regions)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665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2 184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4 259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19 724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28 628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31 </w:t>
            </w:r>
            <w:r>
              <w:rPr>
                <w:rFonts w:ascii="Verdana" w:eastAsia="Verdana" w:hAnsi="Verdana" w:cs="Verdana"/>
                <w:noProof/>
                <w:color w:val="000000"/>
                <w:sz w:val="16"/>
              </w:rPr>
              <w:t>343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88 615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Transition regions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1 382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5 230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6 291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6 645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19 984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Competitiveness (More developed regions)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532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1 114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6 502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9 398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9 732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27 824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Outermost and sparsely populated regions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618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Cohesion fund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793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6 061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9 940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11 138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28 582</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territorial cooperation</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986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1 871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2 178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5 142</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Technical assistance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273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Aid to the Most Deprived (FEAD)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1 390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Youth Employment initiative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400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1 450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Connecting Europe Facility (CEF)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1 245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1 283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1 579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1 694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6 439</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12</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1</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1 428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3 640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2 139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4 683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12 476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45 924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68 924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81 414</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220 627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2</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Agricultural Guarantee Fund (EAGF)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313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430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Agricultural Fund Rural Development (EAFRD)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1 149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2 148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6 413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10 934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14 266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35 108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European Maritime and </w:t>
            </w:r>
            <w:r>
              <w:rPr>
                <w:rFonts w:ascii="Verdana" w:eastAsia="Verdana" w:hAnsi="Verdana" w:cs="Verdana"/>
                <w:noProof/>
                <w:color w:val="000000"/>
                <w:sz w:val="16"/>
              </w:rPr>
              <w:t>Fisheries Fund (EMFF)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1 022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1 059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3 441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Fisheries Partnership Agreements (SFPAs) and Fisheries Management Organisations (RFMOs)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Environment and climate action (LIFE)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548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w:t>
            </w:r>
            <w:r>
              <w:rPr>
                <w:rFonts w:ascii="Verdana" w:eastAsia="Verdana" w:hAnsi="Verdana" w:cs="Verdana"/>
                <w:noProof/>
                <w:color w:val="000000"/>
                <w:sz w:val="16"/>
              </w:rPr>
              <w:t xml:space="preserve"> 841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Other actions and measures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2</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1 316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2 685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7 </w:t>
            </w:r>
            <w:r>
              <w:rPr>
                <w:rFonts w:ascii="Verdana" w:eastAsia="Verdana" w:hAnsi="Verdana" w:cs="Verdana"/>
                <w:noProof/>
                <w:color w:val="000000"/>
                <w:sz w:val="16"/>
              </w:rPr>
              <w:t>603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12 575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16 213</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40 874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3</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Asylum, Migration and Integration Fund (AMF)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267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1 057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2 870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Consumer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Creative Europe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256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Emergency Support within the Union (IES)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Internal Security Fund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593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1 711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IT systems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Justice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Rights, Equality and Citizenship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Union Civil protection </w:t>
            </w:r>
            <w:r>
              <w:rPr>
                <w:rFonts w:ascii="Verdana" w:eastAsia="Verdana" w:hAnsi="Verdana" w:cs="Verdana"/>
                <w:noProof/>
                <w:color w:val="000000"/>
                <w:sz w:val="16"/>
              </w:rPr>
              <w:t>Mechanism</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 for Citizens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Food and feed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Health</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395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w:t>
            </w:r>
            <w:r>
              <w:rPr>
                <w:rFonts w:ascii="Verdana" w:eastAsia="Verdana" w:hAnsi="Verdana" w:cs="Verdana"/>
                <w:noProof/>
                <w:color w:val="000000"/>
                <w:sz w:val="16"/>
              </w:rPr>
              <w:t xml:space="preserve">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86</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3</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1 223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2 552</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6 183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4</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lang w:val="fr-BE"/>
              </w:rPr>
            </w:pPr>
            <w:r>
              <w:rPr>
                <w:rFonts w:ascii="Verdana" w:eastAsia="Verdana" w:hAnsi="Verdana" w:cs="Verdana"/>
                <w:noProof/>
                <w:color w:val="000000"/>
                <w:sz w:val="16"/>
                <w:lang w:val="fr-BE"/>
              </w:rPr>
              <w:t>Pre-accession assistance (IPA II)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lang w:val="fr-BE"/>
              </w:rPr>
              <w:t xml:space="preserve"> </w:t>
            </w:r>
            <w:r>
              <w:rPr>
                <w:rFonts w:ascii="Verdana" w:eastAsia="Verdana" w:hAnsi="Verdana" w:cs="Verdana"/>
                <w:noProof/>
                <w:color w:val="000000"/>
                <w:sz w:val="16"/>
              </w:rPr>
              <w:t>179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1 096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1 518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1 642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2 826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8 481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Macro-financial Assistance (MFA)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Guarantee Fund for External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Union Civil Protection Mechanism</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 Aid Volunteers initiative (EUAV)</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Fund for </w:t>
            </w:r>
            <w:r>
              <w:rPr>
                <w:rFonts w:ascii="Verdana" w:eastAsia="Verdana" w:hAnsi="Verdana" w:cs="Verdana"/>
                <w:noProof/>
                <w:color w:val="000000"/>
                <w:sz w:val="16"/>
              </w:rPr>
              <w:t>Sustainable Development (EFSD)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Neighbourhood Instrument (ENI)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455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1 302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1 770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2 424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7 995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Development Cooperation Instrument (DCI)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247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608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1 738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2 049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2 956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9 203</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Partnership </w:t>
            </w:r>
            <w:r>
              <w:rPr>
                <w:rFonts w:ascii="Verdana" w:eastAsia="Verdana" w:hAnsi="Verdana" w:cs="Verdana"/>
                <w:noProof/>
                <w:color w:val="000000"/>
                <w:sz w:val="16"/>
              </w:rPr>
              <w:t>Instrument (PI)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400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Democracy and Human Rights (EIDHR)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367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Stability and Peace (IcSP)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268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676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Humanitarian aid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194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901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1 205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 xml:space="preserve">Common </w:t>
            </w:r>
            <w:r>
              <w:rPr>
                <w:rFonts w:ascii="Verdana" w:eastAsia="Verdana" w:hAnsi="Verdana" w:cs="Verdana"/>
                <w:noProof/>
                <w:color w:val="000000"/>
                <w:sz w:val="16"/>
              </w:rPr>
              <w:t>Foreign and Security Policy (CFSP)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238</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Nuclear Safety Cooperation (INSC)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102</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Other actions and programmes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Specific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135</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4</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909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958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1 010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3 253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4 973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6 231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9 970</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29 154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5</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Pensions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schools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Decentralised agencies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Pilot projects and preparatory actions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Commission administrative expenditure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335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335</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Administrative expenditure of Other Institutions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511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511</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5</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851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854</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6</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Compensations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6</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8</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Negative reserve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Deficit carried over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8</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9</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Emergency</w:t>
            </w:r>
            <w:r>
              <w:rPr>
                <w:rFonts w:ascii="Verdana" w:eastAsia="Verdana" w:hAnsi="Verdana" w:cs="Verdana"/>
                <w:noProof/>
                <w:color w:val="000000"/>
                <w:sz w:val="16"/>
              </w:rPr>
              <w:t xml:space="preserve"> Aid Reserve (EAR)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Globalisation Adjustment Fund (EGF)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European Union Solidarity Fund (EUSF)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noProof/>
                <w:color w:val="000000"/>
                <w:sz w:val="16"/>
              </w:rPr>
            </w:pPr>
            <w:r>
              <w:rPr>
                <w:rFonts w:ascii="Verdana" w:eastAsia="Verdana" w:hAnsi="Verdana" w:cs="Verdana"/>
                <w:noProof/>
                <w:color w:val="000000"/>
                <w:sz w:val="16"/>
              </w:rPr>
              <w:t>Total MFF Heading 9</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12BIPDetailedMFF5RALYoO"/>
              <w:rPr>
                <w:rFonts w:ascii="Verdana" w:eastAsia="Verdana" w:hAnsi="Verdana" w:cs="Verdana"/>
                <w:b/>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rPr>
                <w:rFonts w:ascii="Verdana" w:eastAsia="Verdana" w:hAnsi="Verdana" w:cs="Verdana"/>
                <w:b/>
                <w:noProof/>
                <w:color w:val="000000"/>
                <w:sz w:val="16"/>
              </w:rPr>
            </w:pPr>
            <w:r>
              <w:rPr>
                <w:rFonts w:ascii="Verdana" w:eastAsia="Verdana" w:hAnsi="Verdana" w:cs="Verdana"/>
                <w:b/>
                <w:noProof/>
                <w:color w:val="000000"/>
                <w:sz w:val="16"/>
              </w:rPr>
              <w:t>Total</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2 438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4 746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3 453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7 904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18 846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59 723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89 583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110 999</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12BIPDetailedMFF5RALYoO"/>
              <w:jc w:val="right"/>
              <w:rPr>
                <w:rFonts w:ascii="Verdana" w:eastAsia="Verdana" w:hAnsi="Verdana" w:cs="Verdana"/>
                <w:b/>
                <w:noProof/>
                <w:color w:val="000000"/>
                <w:sz w:val="16"/>
              </w:rPr>
            </w:pPr>
            <w:r>
              <w:rPr>
                <w:rFonts w:ascii="Verdana" w:eastAsia="Verdana" w:hAnsi="Verdana" w:cs="Verdana"/>
                <w:b/>
                <w:noProof/>
                <w:color w:val="000000"/>
                <w:sz w:val="16"/>
              </w:rPr>
              <w:t>297 693</w:t>
            </w:r>
          </w:p>
        </w:tc>
      </w:tr>
    </w:tbl>
    <w:p w:rsidR="00135552" w:rsidRDefault="00135552">
      <w:pPr>
        <w:pStyle w:val="DGTextstand-alone"/>
        <w:spacing w:before="0" w:after="0"/>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135552">
      <w:pPr>
        <w:pStyle w:val="Textstand-alone"/>
        <w:rPr>
          <w:lang w:bidi="en-GB"/>
        </w:rPr>
      </w:pPr>
    </w:p>
    <w:p w:rsidR="00135552" w:rsidRDefault="004C63B0">
      <w:pPr>
        <w:pStyle w:val="Textstand-alone"/>
        <w:spacing w:after="0"/>
        <w:rPr>
          <w:lang w:bidi="en-GB"/>
        </w:rPr>
      </w:pPr>
      <w:r>
        <w:rPr>
          <w:rFonts w:cstheme="minorHAnsi"/>
          <w:sz w:val="16"/>
          <w:szCs w:val="20"/>
          <w:lang w:val="en-IE"/>
        </w:rPr>
        <w:t xml:space="preserve">The set up of the new Commission involved an internal re-organisation of services. Re-allocating the related transactions resulted in a shift of outstanding amount between years. The overall amount of outstanding commitments </w:t>
      </w:r>
      <w:r>
        <w:rPr>
          <w:rFonts w:cstheme="minorHAnsi"/>
          <w:sz w:val="16"/>
          <w:szCs w:val="20"/>
          <w:lang w:val="en-IE"/>
        </w:rPr>
        <w:t>remains unchanged.</w:t>
      </w:r>
    </w:p>
    <w:bookmarkEnd w:id="241"/>
    <w:p w:rsidR="00135552" w:rsidRDefault="00135552">
      <w:pPr>
        <w:pStyle w:val="Textstand-alone"/>
        <w:rPr>
          <w:lang w:bidi="en-GB"/>
        </w:rPr>
        <w:sectPr w:rsidR="00135552">
          <w:headerReference w:type="even" r:id="rId390"/>
          <w:headerReference w:type="default" r:id="rId391"/>
          <w:footerReference w:type="even" r:id="rId392"/>
          <w:footerReference w:type="default" r:id="rId393"/>
          <w:headerReference w:type="first" r:id="rId394"/>
          <w:footerReference w:type="first" r:id="rId395"/>
          <w:type w:val="nextColumn"/>
          <w:pgSz w:w="16840" w:h="11900" w:orient="landscape"/>
          <w:pgMar w:top="1077" w:right="1134" w:bottom="1134" w:left="1134" w:header="720" w:footer="720" w:gutter="0"/>
          <w:cols w:space="720"/>
          <w:docGrid w:linePitch="272"/>
        </w:sectPr>
      </w:pPr>
    </w:p>
    <w:p w:rsidR="00135552" w:rsidRDefault="004C63B0">
      <w:pPr>
        <w:pStyle w:val="HEADER1PartBUDG"/>
        <w:rPr>
          <w:noProof/>
          <w:lang w:val="en-GB"/>
        </w:rPr>
      </w:pPr>
      <w:bookmarkStart w:id="263" w:name="_DMBM_17272"/>
      <w:r>
        <w:rPr>
          <w:noProof/>
          <w:lang w:val="en-GB"/>
        </w:rPr>
        <w:t xml:space="preserve"> </w:t>
      </w:r>
      <w:bookmarkStart w:id="264" w:name="_Toc43223236"/>
      <w:r>
        <w:rPr>
          <w:noProof/>
          <w:lang w:val="en-GB"/>
        </w:rPr>
        <w:t>IMPLEMENTATION OF THE BUDGET BY INSTITUTION</w:t>
      </w:r>
      <w:bookmarkEnd w:id="264"/>
    </w:p>
    <w:p w:rsidR="00135552" w:rsidRDefault="004C63B0">
      <w:pPr>
        <w:pStyle w:val="HEADER2PartBUDG"/>
        <w:rPr>
          <w:noProof/>
        </w:rPr>
      </w:pPr>
      <w:bookmarkStart w:id="265" w:name="_Toc43223237"/>
      <w:r>
        <w:rPr>
          <w:noProof/>
        </w:rPr>
        <w:t>IMPLEMENTATION OF BUDGET REVENUE</w:t>
      </w:r>
      <w:bookmarkEnd w:id="265"/>
      <w:r>
        <w:rPr>
          <w:noProof/>
        </w:rPr>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28"/>
        <w:gridCol w:w="1029"/>
        <w:gridCol w:w="1030"/>
        <w:gridCol w:w="1030"/>
        <w:gridCol w:w="1030"/>
        <w:gridCol w:w="1030"/>
        <w:gridCol w:w="1030"/>
        <w:gridCol w:w="1030"/>
        <w:gridCol w:w="1030"/>
        <w:gridCol w:w="1206"/>
      </w:tblGrid>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lang w:bidi="en-GB"/>
              </w:rPr>
            </w:pPr>
            <w:bookmarkStart w:id="266" w:name="DOC_TBL00114_1_1"/>
            <w:bookmarkEnd w:id="266"/>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1Revenue"/>
              <w:rPr>
                <w:rFonts w:ascii="Verdana" w:eastAsia="Verdana" w:hAnsi="Verdana" w:cs="Verdana"/>
                <w:noProof/>
                <w:color w:val="000000"/>
                <w:sz w:val="16"/>
              </w:rPr>
            </w:pP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1Revenue"/>
              <w:jc w:val="center"/>
              <w:rPr>
                <w:rFonts w:ascii="Verdana" w:eastAsia="Verdana" w:hAnsi="Verdana" w:cs="Verdana"/>
                <w:noProof/>
                <w:color w:val="FFFFFF"/>
                <w:sz w:val="16"/>
              </w:rPr>
            </w:pPr>
          </w:p>
        </w:tc>
        <w:tc>
          <w:tcPr>
            <w:tcW w:w="1020"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b/>
                <w:noProof/>
                <w:color w:val="FFFFFF"/>
                <w:sz w:val="16"/>
              </w:rPr>
            </w:pPr>
            <w:r>
              <w:rPr>
                <w:rFonts w:ascii="Verdana" w:eastAsia="Verdana" w:hAnsi="Verdana" w:cs="Verdana"/>
                <w:b/>
                <w:noProof/>
                <w:color w:val="FFFFFF"/>
                <w:sz w:val="16"/>
              </w:rPr>
              <w:t>Income appropriations</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b/>
                <w:noProof/>
                <w:color w:val="FFFFFF"/>
                <w:sz w:val="16"/>
              </w:rPr>
            </w:pPr>
            <w:r>
              <w:rPr>
                <w:rFonts w:ascii="Verdana" w:eastAsia="Verdana" w:hAnsi="Verdana" w:cs="Verdana"/>
                <w:b/>
                <w:noProof/>
                <w:color w:val="FFFFFF"/>
                <w:sz w:val="16"/>
              </w:rPr>
              <w:t>Entitlements established</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b/>
                <w:noProof/>
                <w:color w:val="FFFFFF"/>
                <w:sz w:val="16"/>
              </w:rPr>
            </w:pPr>
            <w:r>
              <w:rPr>
                <w:rFonts w:ascii="Verdana" w:eastAsia="Verdana" w:hAnsi="Verdana" w:cs="Verdana"/>
                <w:b/>
                <w:noProof/>
                <w:color w:val="FFFFFF"/>
                <w:sz w:val="16"/>
              </w:rPr>
              <w:t>Revenue</w:t>
            </w:r>
          </w:p>
        </w:tc>
        <w:tc>
          <w:tcPr>
            <w:tcW w:w="1023"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Receipts as % of budget</w:t>
            </w:r>
          </w:p>
        </w:tc>
        <w:tc>
          <w:tcPr>
            <w:tcW w:w="1197"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Out-</w:t>
            </w:r>
          </w:p>
          <w:p w:rsidR="00135552" w:rsidRDefault="004C63B0">
            <w:pPr>
              <w:pStyle w:val="DMETW17256BIPInstitutions1Revenue"/>
              <w:jc w:val="center"/>
              <w:rPr>
                <w:rFonts w:ascii="Verdana" w:eastAsia="Verdana" w:hAnsi="Verdana" w:cs="Verdana"/>
                <w:noProof/>
                <w:color w:val="FFFFFF"/>
                <w:sz w:val="16"/>
                <w:lang w:bidi="en-GB"/>
              </w:rPr>
            </w:pPr>
            <w:r>
              <w:rPr>
                <w:rFonts w:ascii="Verdana" w:eastAsia="Verdana" w:hAnsi="Verdana" w:cs="Verdana"/>
                <w:noProof/>
                <w:color w:val="FFFFFF"/>
                <w:sz w:val="16"/>
              </w:rPr>
              <w:t>standing</w:t>
            </w:r>
          </w:p>
        </w:tc>
      </w:tr>
      <w:tr w:rsidR="00135552">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Institution</w:t>
            </w:r>
          </w:p>
        </w:tc>
        <w:tc>
          <w:tcPr>
            <w:tcW w:w="102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Initial adopted budget</w:t>
            </w:r>
          </w:p>
        </w:tc>
        <w:tc>
          <w:tcPr>
            <w:tcW w:w="102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Current year</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Carried over</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On entitlem. of current year</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On entitlem. carried over</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1Revenue"/>
              <w:jc w:val="center"/>
              <w:rPr>
                <w:rFonts w:ascii="Verdana" w:eastAsia="Verdana" w:hAnsi="Verdana" w:cs="Verdana"/>
                <w:noProof/>
                <w:color w:val="FFFFFF"/>
                <w:sz w:val="16"/>
              </w:rPr>
            </w:pPr>
          </w:p>
        </w:tc>
        <w:tc>
          <w:tcPr>
            <w:tcW w:w="112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1Revenue"/>
              <w:jc w:val="center"/>
              <w:rPr>
                <w:rFonts w:ascii="Verdana" w:eastAsia="Verdana" w:hAnsi="Verdana" w:cs="Verdana"/>
                <w:noProof/>
                <w:color w:val="FFFFFF"/>
                <w:sz w:val="16"/>
              </w:rPr>
            </w:pPr>
          </w:p>
        </w:tc>
      </w:tr>
      <w:tr w:rsidR="00135552">
        <w:trPr>
          <w:trHeight w:val="284"/>
        </w:trPr>
        <w:tc>
          <w:tcPr>
            <w:tcW w:w="3604" w:type="dxa"/>
            <w:tcBorders>
              <w:top w:val="nil"/>
              <w:left w:val="nil"/>
              <w:bottom w:val="nil"/>
              <w:right w:val="nil"/>
              <w:tl2br w:val="nil"/>
              <w:tr2bl w:val="nil"/>
            </w:tcBorders>
            <w:shd w:val="solid" w:color="3486A9" w:fill="FFFFFF"/>
            <w:tcMar>
              <w:left w:w="60" w:type="dxa"/>
              <w:right w:w="60" w:type="dxa"/>
            </w:tcMar>
            <w:vAlign w:val="center"/>
          </w:tcPr>
          <w:p w:rsidR="00135552" w:rsidRDefault="00135552">
            <w:pPr>
              <w:pStyle w:val="DMETW17256BIPInstitutions1Revenue"/>
              <w:jc w:val="center"/>
              <w:rPr>
                <w:rFonts w:ascii="Verdana" w:eastAsia="Verdana" w:hAnsi="Verdana" w:cs="Verdana"/>
                <w:noProof/>
                <w:color w:val="FFFFFF"/>
                <w:sz w:val="16"/>
              </w:rPr>
            </w:pPr>
          </w:p>
        </w:tc>
        <w:tc>
          <w:tcPr>
            <w:tcW w:w="1020"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102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5=3+4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6</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8=6+7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rPr>
            </w:pPr>
            <w:r>
              <w:rPr>
                <w:rFonts w:ascii="Verdana" w:eastAsia="Verdana" w:hAnsi="Verdana" w:cs="Verdana"/>
                <w:noProof/>
                <w:color w:val="FFFFFF"/>
                <w:sz w:val="16"/>
              </w:rPr>
              <w:t>9=8/2</w:t>
            </w:r>
          </w:p>
        </w:tc>
        <w:tc>
          <w:tcPr>
            <w:tcW w:w="1197"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1Revenue"/>
              <w:jc w:val="center"/>
              <w:rPr>
                <w:rFonts w:ascii="Verdana" w:eastAsia="Verdana" w:hAnsi="Verdana" w:cs="Verdana"/>
                <w:noProof/>
                <w:color w:val="FFFFFF"/>
                <w:sz w:val="16"/>
                <w:lang w:bidi="en-GB"/>
              </w:rPr>
            </w:pPr>
            <w:r>
              <w:rPr>
                <w:rFonts w:ascii="Verdana" w:eastAsia="Verdana" w:hAnsi="Verdana" w:cs="Verdana"/>
                <w:noProof/>
                <w:color w:val="FFFFFF"/>
                <w:sz w:val="16"/>
              </w:rPr>
              <w:t>10=5-8</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European Parliament</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207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201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208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European Council and Council</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75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72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132 %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Commission</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147 824</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148 117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169 322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13 747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183 069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162 644</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596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163 240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110 %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19 829</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Court of Justice</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Court of Auditors</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103 %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Economic and Social Committee</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134 %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Committee of the Regions</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Ombudsman</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90 %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European Data Protection Supervisor</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87 %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w:t>
            </w:r>
          </w:p>
        </w:tc>
      </w:tr>
      <w:tr w:rsidR="00135552">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rPr>
                <w:rFonts w:ascii="Verdana" w:eastAsia="Verdana" w:hAnsi="Verdana" w:cs="Verdana"/>
                <w:noProof/>
                <w:color w:val="000000"/>
                <w:sz w:val="16"/>
              </w:rPr>
            </w:pPr>
            <w:r>
              <w:rPr>
                <w:rFonts w:ascii="Verdana" w:eastAsia="Verdana" w:hAnsi="Verdana" w:cs="Verdana"/>
                <w:noProof/>
                <w:color w:val="000000"/>
                <w:sz w:val="16"/>
              </w:rPr>
              <w:t>European External Action Service</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288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289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rPr>
            </w:pPr>
            <w:r>
              <w:rPr>
                <w:rFonts w:ascii="Verdana" w:eastAsia="Verdana" w:hAnsi="Verdana" w:cs="Verdana"/>
                <w:noProof/>
                <w:color w:val="000000"/>
                <w:sz w:val="16"/>
              </w:rPr>
              <w:t xml:space="preserve"> 623 %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284"/>
        </w:trPr>
        <w:tc>
          <w:tcPr>
            <w:tcW w:w="36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rPr>
                <w:rFonts w:ascii="Verdana" w:eastAsia="Verdana" w:hAnsi="Verdana" w:cs="Verdana"/>
                <w:b/>
                <w:noProof/>
                <w:color w:val="000000"/>
                <w:sz w:val="16"/>
              </w:rPr>
            </w:pPr>
            <w:r>
              <w:rPr>
                <w:rFonts w:ascii="Verdana" w:eastAsia="Verdana" w:hAnsi="Verdana" w:cs="Verdana"/>
                <w:b/>
                <w:noProof/>
                <w:color w:val="000000"/>
                <w:sz w:val="16"/>
              </w:rPr>
              <w:t>Total</w:t>
            </w:r>
          </w:p>
        </w:tc>
        <w:tc>
          <w:tcPr>
            <w:tcW w:w="102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148 199</w:t>
            </w:r>
          </w:p>
        </w:tc>
        <w:tc>
          <w:tcPr>
            <w:tcW w:w="102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148 492</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170 001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13 770</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183 771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163 314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 xml:space="preserve"> 604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163 918</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110 %</w:t>
            </w:r>
          </w:p>
        </w:tc>
        <w:tc>
          <w:tcPr>
            <w:tcW w:w="119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1Revenue"/>
              <w:jc w:val="right"/>
              <w:rPr>
                <w:rFonts w:ascii="Verdana" w:eastAsia="Verdana" w:hAnsi="Verdana" w:cs="Verdana"/>
                <w:b/>
                <w:noProof/>
                <w:color w:val="000000"/>
                <w:sz w:val="16"/>
              </w:rPr>
            </w:pPr>
            <w:r>
              <w:rPr>
                <w:rFonts w:ascii="Verdana" w:eastAsia="Verdana" w:hAnsi="Verdana" w:cs="Verdana"/>
                <w:b/>
                <w:noProof/>
                <w:color w:val="000000"/>
                <w:sz w:val="16"/>
              </w:rPr>
              <w:t>19 853</w:t>
            </w:r>
          </w:p>
        </w:tc>
      </w:tr>
    </w:tbl>
    <w:p w:rsidR="00135552" w:rsidRDefault="004C63B0">
      <w:pPr>
        <w:pStyle w:val="DGTextstand-alone"/>
      </w:pPr>
      <w:r>
        <w:t xml:space="preserve">The consolidated reports on the implementation of the general budget of the EU include, as in previous years, the budget implementation of all Institutions since within the EU budget a separate budget for each Institution is established. </w:t>
      </w:r>
    </w:p>
    <w:p w:rsidR="00135552" w:rsidRDefault="004C63B0">
      <w:pPr>
        <w:pStyle w:val="DGTextstand-alone"/>
      </w:pPr>
      <w:r>
        <w:t>The budget and im</w:t>
      </w:r>
      <w:r>
        <w:t xml:space="preserve">plementation of Agencies are not consolidated within the EU budget and are not included in the EU budget reports. The Commission subsidy paid to the agencies however is part of the EU budget. In this budgetary part of the annual accounts, only the </w:t>
      </w:r>
      <w:r>
        <w:rPr>
          <w:bCs/>
        </w:rPr>
        <w:t>subsidy</w:t>
      </w:r>
      <w:r>
        <w:t xml:space="preserve"> </w:t>
      </w:r>
      <w:r>
        <w:t>paid from the Commission budget to the Agencies is taken into consideration.</w:t>
      </w:r>
    </w:p>
    <w:p w:rsidR="00135552" w:rsidRDefault="004C63B0">
      <w:pPr>
        <w:pStyle w:val="DGTextstand-alone"/>
      </w:pPr>
      <w:r>
        <w:t xml:space="preserve">Concerning the EEAS, it should be noted that, in addition to its own budget, it also receives contributions from the Commission of EUR 152.7 million (2018: EUR 141.7 million) and </w:t>
      </w:r>
      <w:r>
        <w:t>the EDF and the Trust Funds of EUR 63.1 million (2018: EUR 70.1 million). These contributions cover the costs of Commission's staff in the delegations financed under the EDF and the Trust Funds including assigned revenue generated in the year from these co</w:t>
      </w:r>
      <w:r>
        <w:t xml:space="preserve">ntributions. These budget credits are put at the disposal of the EEAS (as assigned revenue) to cover primarily the costs of Commission staff working in the EU delegations, these delegations being administratively managed by the EEAS.  </w:t>
      </w:r>
    </w:p>
    <w:p w:rsidR="00135552" w:rsidRDefault="00135552">
      <w:pPr>
        <w:pStyle w:val="DGTextstand-alone"/>
        <w:rPr>
          <w:rFonts w:eastAsia="Verdana" w:cs="Verdana"/>
          <w:sz w:val="25"/>
          <w:szCs w:val="25"/>
          <w:highlight w:val="yellow"/>
        </w:rPr>
        <w:sectPr w:rsidR="00135552">
          <w:headerReference w:type="even" r:id="rId396"/>
          <w:headerReference w:type="default" r:id="rId397"/>
          <w:footerReference w:type="even" r:id="rId398"/>
          <w:footerReference w:type="default" r:id="rId399"/>
          <w:headerReference w:type="first" r:id="rId400"/>
          <w:footerReference w:type="first" r:id="rId401"/>
          <w:pgSz w:w="16840" w:h="11900" w:orient="landscape"/>
          <w:pgMar w:top="1134" w:right="1134" w:bottom="1134" w:left="1134" w:header="708" w:footer="708" w:gutter="0"/>
          <w:cols w:space="720"/>
        </w:sectPr>
      </w:pPr>
    </w:p>
    <w:p w:rsidR="00135552" w:rsidRDefault="004C63B0">
      <w:pPr>
        <w:pStyle w:val="HEADER2PartBUDG"/>
        <w:rPr>
          <w:noProof/>
        </w:rPr>
      </w:pPr>
      <w:bookmarkStart w:id="267" w:name="_Toc43223238"/>
      <w:r>
        <w:rPr>
          <w:noProof/>
        </w:rPr>
        <w:t>IMPLEMENTATION OF COMMITMENT APPROPRIATIONS</w:t>
      </w:r>
      <w:bookmarkEnd w:id="267"/>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237"/>
        <w:gridCol w:w="1010"/>
        <w:gridCol w:w="895"/>
        <w:gridCol w:w="895"/>
        <w:gridCol w:w="895"/>
        <w:gridCol w:w="895"/>
        <w:gridCol w:w="895"/>
        <w:gridCol w:w="895"/>
        <w:gridCol w:w="895"/>
        <w:gridCol w:w="895"/>
        <w:gridCol w:w="770"/>
        <w:gridCol w:w="827"/>
        <w:gridCol w:w="1124"/>
      </w:tblGrid>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lang w:bidi="en-GB"/>
              </w:rPr>
            </w:pPr>
            <w:bookmarkStart w:id="268" w:name="DOC_TBL00115_1_1"/>
            <w:bookmarkEnd w:id="268"/>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2Commitments"/>
              <w:rPr>
                <w:rFonts w:ascii="Verdana" w:eastAsia="Verdana" w:hAnsi="Verdana" w:cs="Verdana"/>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1999"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2Commitments"/>
              <w:jc w:val="center"/>
              <w:rPr>
                <w:rFonts w:ascii="Verdana" w:eastAsia="Verdana" w:hAnsi="Verdana" w:cs="Verdana"/>
                <w:noProof/>
                <w:color w:val="FFFFFF"/>
                <w:sz w:val="16"/>
              </w:rPr>
            </w:pPr>
          </w:p>
        </w:tc>
        <w:tc>
          <w:tcPr>
            <w:tcW w:w="1250"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56BIPInstitutions2Commitments"/>
              <w:jc w:val="center"/>
              <w:rPr>
                <w:rFonts w:ascii="Verdana" w:eastAsia="Verdana" w:hAnsi="Verdana" w:cs="Verdana"/>
                <w:b/>
                <w:noProof/>
                <w:color w:val="FFFFFF"/>
                <w:sz w:val="16"/>
              </w:rPr>
            </w:pPr>
            <w:r>
              <w:rPr>
                <w:rFonts w:ascii="Verdana" w:eastAsia="Verdana" w:hAnsi="Verdana" w:cs="Verdana"/>
                <w:b/>
                <w:noProof/>
                <w:color w:val="FFFFFF"/>
                <w:sz w:val="16"/>
              </w:rPr>
              <w:t>appropriat.</w:t>
            </w:r>
          </w:p>
          <w:p w:rsidR="00135552" w:rsidRDefault="004C63B0">
            <w:pPr>
              <w:pStyle w:val="DMETW17256BIPInstitutions2Commit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1021"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b/>
                <w:noProof/>
                <w:color w:val="FFFFFF"/>
                <w:sz w:val="16"/>
              </w:rPr>
            </w:pPr>
            <w:r>
              <w:rPr>
                <w:rFonts w:ascii="Verdana" w:eastAsia="Verdana" w:hAnsi="Verdana" w:cs="Verdana"/>
                <w:b/>
                <w:noProof/>
                <w:color w:val="FFFFFF"/>
                <w:sz w:val="16"/>
              </w:rPr>
              <w:t>Commitments made</w:t>
            </w:r>
          </w:p>
        </w:tc>
        <w:tc>
          <w:tcPr>
            <w:tcW w:w="904" w:type="dxa"/>
            <w:gridSpan w:val="3"/>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b/>
                <w:noProof/>
                <w:color w:val="FFFFFF"/>
                <w:sz w:val="16"/>
              </w:rPr>
            </w:pPr>
            <w:r>
              <w:rPr>
                <w:rFonts w:ascii="Verdana" w:eastAsia="Verdana" w:hAnsi="Verdana" w:cs="Verdana"/>
                <w:b/>
                <w:noProof/>
                <w:color w:val="FFFFFF"/>
                <w:sz w:val="16"/>
              </w:rPr>
              <w:t>Appropriations carried over to 2020</w:t>
            </w:r>
          </w:p>
        </w:tc>
        <w:tc>
          <w:tcPr>
            <w:tcW w:w="904"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val="340"/>
        </w:trPr>
        <w:tc>
          <w:tcPr>
            <w:tcW w:w="199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Institution</w:t>
            </w:r>
          </w:p>
        </w:tc>
        <w:tc>
          <w:tcPr>
            <w:tcW w:w="1215"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2Commitments"/>
              <w:jc w:val="center"/>
              <w:rPr>
                <w:rFonts w:ascii="Verdana" w:eastAsia="Verdana" w:hAnsi="Verdana" w:cs="Verdana"/>
                <w:b/>
                <w:noProof/>
                <w:color w:val="FFFFFF"/>
                <w:sz w:val="16"/>
              </w:rPr>
            </w:pPr>
          </w:p>
        </w:tc>
        <w:tc>
          <w:tcPr>
            <w:tcW w:w="102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carry-overs by decision</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final adopted budget</w:t>
            </w:r>
          </w:p>
        </w:tc>
        <w:tc>
          <w:tcPr>
            <w:tcW w:w="77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carry-overs</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rPr>
        <w:tc>
          <w:tcPr>
            <w:tcW w:w="1999" w:type="dxa"/>
            <w:tcBorders>
              <w:top w:val="nil"/>
              <w:left w:val="nil"/>
              <w:bottom w:val="nil"/>
              <w:right w:val="nil"/>
              <w:tl2br w:val="nil"/>
              <w:tr2bl w:val="nil"/>
            </w:tcBorders>
            <w:shd w:val="solid" w:color="3486A9" w:fill="FFFFFF"/>
            <w:tcMar>
              <w:left w:w="60" w:type="dxa"/>
              <w:right w:w="60" w:type="dxa"/>
            </w:tcMar>
            <w:vAlign w:val="center"/>
          </w:tcPr>
          <w:p w:rsidR="00135552" w:rsidRDefault="00135552">
            <w:pPr>
              <w:pStyle w:val="DMETW17256BIPInstitutions2Commitments"/>
              <w:jc w:val="center"/>
              <w:rPr>
                <w:rFonts w:ascii="Verdana" w:eastAsia="Verdana" w:hAnsi="Verdana" w:cs="Verdana"/>
                <w:noProof/>
                <w:color w:val="FFFFFF"/>
                <w:sz w:val="16"/>
              </w:rPr>
            </w:pPr>
          </w:p>
        </w:tc>
        <w:tc>
          <w:tcPr>
            <w:tcW w:w="1250"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1021"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5=2+3+4</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9=7+8</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10</w:t>
            </w:r>
          </w:p>
        </w:tc>
        <w:tc>
          <w:tcPr>
            <w:tcW w:w="778"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83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113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2Commitments"/>
              <w:jc w:val="center"/>
              <w:rPr>
                <w:rFonts w:ascii="Verdana" w:eastAsia="Verdana" w:hAnsi="Verdana" w:cs="Verdana"/>
                <w:noProof/>
                <w:color w:val="FFFFFF"/>
                <w:sz w:val="16"/>
                <w:lang w:bidi="en-GB"/>
              </w:rPr>
            </w:pPr>
            <w:r>
              <w:rPr>
                <w:rFonts w:ascii="Verdana" w:eastAsia="Verdana" w:hAnsi="Verdana" w:cs="Verdana"/>
                <w:noProof/>
                <w:color w:val="FFFFFF"/>
                <w:sz w:val="16"/>
              </w:rPr>
              <w:t>13=10+ 11+12</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European Parliament</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2 083</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1 973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2 033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26</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European Council and Council</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621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537</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562</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45</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Commission</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180 004</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161 120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473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12 823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174 416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97 %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4 055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598</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4 653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356</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527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934</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Court of Justice</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431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424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425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Court of Auditors</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147</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Economic and Social Committee</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143</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136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140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Committee of Regions</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98</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100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0</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Ombudsman</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485"/>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European Data-protection Supervisor</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92 %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rPr>
                <w:rFonts w:ascii="Verdana" w:eastAsia="Verdana" w:hAnsi="Verdana" w:cs="Verdana"/>
                <w:noProof/>
                <w:color w:val="000000"/>
                <w:sz w:val="16"/>
              </w:rPr>
            </w:pPr>
            <w:r>
              <w:rPr>
                <w:rFonts w:ascii="Verdana" w:eastAsia="Verdana" w:hAnsi="Verdana" w:cs="Verdana"/>
                <w:noProof/>
                <w:color w:val="000000"/>
                <w:sz w:val="16"/>
              </w:rPr>
              <w:t>European External Action Service</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996</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694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246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94 %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2Commit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199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rPr>
                <w:rFonts w:ascii="Verdana" w:eastAsia="Verdana" w:hAnsi="Verdana" w:cs="Verdana"/>
                <w:b/>
                <w:noProof/>
                <w:color w:val="000000"/>
                <w:sz w:val="16"/>
              </w:rPr>
            </w:pPr>
            <w:r>
              <w:rPr>
                <w:rFonts w:ascii="Verdana" w:eastAsia="Verdana" w:hAnsi="Verdana" w:cs="Verdana"/>
                <w:b/>
                <w:noProof/>
                <w:color w:val="000000"/>
                <w:sz w:val="16"/>
              </w:rPr>
              <w:t>Sum:</w:t>
            </w:r>
          </w:p>
        </w:tc>
        <w:tc>
          <w:tcPr>
            <w:tcW w:w="125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184 554</w:t>
            </w:r>
          </w:p>
        </w:tc>
        <w:tc>
          <w:tcPr>
            <w:tcW w:w="102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165 153</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473</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13 </w:t>
            </w:r>
            <w:r>
              <w:rPr>
                <w:rFonts w:ascii="Verdana" w:eastAsia="Verdana" w:hAnsi="Verdana" w:cs="Verdana"/>
                <w:b/>
                <w:noProof/>
                <w:color w:val="000000"/>
                <w:sz w:val="16"/>
              </w:rPr>
              <w:t>161</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178 787</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97 %</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4 149</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598</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4 747</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438</w:t>
            </w:r>
          </w:p>
        </w:tc>
        <w:tc>
          <w:tcPr>
            <w:tcW w:w="77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 xml:space="preserve"> 530</w:t>
            </w:r>
          </w:p>
        </w:tc>
        <w:tc>
          <w:tcPr>
            <w:tcW w:w="113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2Commitments"/>
              <w:jc w:val="right"/>
              <w:rPr>
                <w:rFonts w:ascii="Verdana" w:eastAsia="Verdana" w:hAnsi="Verdana" w:cs="Verdana"/>
                <w:b/>
                <w:noProof/>
                <w:color w:val="000000"/>
                <w:sz w:val="16"/>
              </w:rPr>
            </w:pPr>
            <w:r>
              <w:rPr>
                <w:rFonts w:ascii="Verdana" w:eastAsia="Verdana" w:hAnsi="Verdana" w:cs="Verdana"/>
                <w:b/>
                <w:noProof/>
                <w:color w:val="000000"/>
                <w:sz w:val="16"/>
              </w:rPr>
              <w:t>1 019</w:t>
            </w:r>
          </w:p>
        </w:tc>
      </w:tr>
    </w:tbl>
    <w:p w:rsidR="00135552" w:rsidRDefault="00135552">
      <w:pPr>
        <w:pStyle w:val="Textstand-alone"/>
      </w:pPr>
    </w:p>
    <w:p w:rsidR="00135552" w:rsidRDefault="004C63B0">
      <w:pPr>
        <w:pStyle w:val="Textstand-alone"/>
        <w:rPr>
          <w:lang w:bidi="en-GB"/>
        </w:rPr>
        <w:sectPr w:rsidR="00135552">
          <w:headerReference w:type="even" r:id="rId402"/>
          <w:headerReference w:type="default" r:id="rId403"/>
          <w:footerReference w:type="even" r:id="rId404"/>
          <w:footerReference w:type="default" r:id="rId405"/>
          <w:headerReference w:type="first" r:id="rId406"/>
          <w:footerReference w:type="first" r:id="rId407"/>
          <w:type w:val="nextColumn"/>
          <w:pgSz w:w="16840" w:h="11900" w:orient="landscape"/>
          <w:pgMar w:top="1134" w:right="1134" w:bottom="1134" w:left="1134" w:header="720" w:footer="720" w:gutter="0"/>
          <w:cols w:space="720"/>
        </w:sectPr>
      </w:pPr>
      <w:r>
        <w:rPr>
          <w:lang w:bidi="en-GB"/>
        </w:rPr>
        <w:t xml:space="preserve">       </w:t>
      </w:r>
    </w:p>
    <w:p w:rsidR="00135552" w:rsidRDefault="004C63B0">
      <w:pPr>
        <w:pStyle w:val="HEADER2PartBUDG"/>
        <w:rPr>
          <w:noProof/>
        </w:rPr>
      </w:pPr>
      <w:bookmarkStart w:id="269" w:name="_Toc43223239"/>
      <w:r>
        <w:rPr>
          <w:noProof/>
        </w:rPr>
        <w:t>IMPLEMENTATION OF PAYMENT APPROPRIATIONS</w:t>
      </w:r>
      <w:bookmarkEnd w:id="269"/>
      <w:r>
        <w:rPr>
          <w:noProof/>
        </w:rPr>
        <w:t xml:space="preserve"> </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907"/>
        <w:gridCol w:w="962"/>
        <w:gridCol w:w="715"/>
        <w:gridCol w:w="837"/>
        <w:gridCol w:w="947"/>
        <w:gridCol w:w="617"/>
        <w:gridCol w:w="950"/>
        <w:gridCol w:w="836"/>
        <w:gridCol w:w="836"/>
        <w:gridCol w:w="836"/>
        <w:gridCol w:w="836"/>
        <w:gridCol w:w="685"/>
        <w:gridCol w:w="811"/>
        <w:gridCol w:w="1100"/>
      </w:tblGrid>
      <w:tr w:rsidR="00135552">
        <w:trPr>
          <w:trHeight w:val="181"/>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lang w:bidi="en-GB"/>
              </w:rPr>
            </w:pPr>
            <w:bookmarkStart w:id="270" w:name="DOC_TBL00116_1_1"/>
            <w:bookmarkEnd w:id="270"/>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Institutions3Payments"/>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rPr>
        <w:tc>
          <w:tcPr>
            <w:tcW w:w="1957"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3Payments"/>
              <w:jc w:val="center"/>
              <w:rPr>
                <w:rFonts w:ascii="Verdana" w:eastAsia="Verdana" w:hAnsi="Verdana" w:cs="Verdana"/>
                <w:noProof/>
                <w:color w:val="FFFFFF"/>
                <w:sz w:val="16"/>
              </w:rPr>
            </w:pPr>
          </w:p>
        </w:tc>
        <w:tc>
          <w:tcPr>
            <w:tcW w:w="917" w:type="dxa"/>
            <w:vMerge w:val="restart"/>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b/>
                <w:noProof/>
                <w:color w:val="FFFFFF"/>
                <w:sz w:val="16"/>
              </w:rPr>
            </w:pPr>
            <w:r>
              <w:rPr>
                <w:rFonts w:ascii="Verdana" w:eastAsia="Verdana" w:hAnsi="Verdana" w:cs="Verdana"/>
                <w:b/>
                <w:noProof/>
                <w:color w:val="FFFFFF"/>
                <w:sz w:val="16"/>
              </w:rPr>
              <w:t>Total</w:t>
            </w:r>
          </w:p>
          <w:p w:rsidR="00135552" w:rsidRDefault="004C63B0">
            <w:pPr>
              <w:pStyle w:val="DMETW17256BIPInstitutions3Payments"/>
              <w:jc w:val="center"/>
              <w:rPr>
                <w:rFonts w:ascii="Verdana" w:eastAsia="Verdana" w:hAnsi="Verdana" w:cs="Verdana"/>
                <w:b/>
                <w:noProof/>
                <w:color w:val="FFFFFF"/>
                <w:sz w:val="16"/>
              </w:rPr>
            </w:pPr>
            <w:r>
              <w:rPr>
                <w:rFonts w:ascii="Verdana" w:eastAsia="Verdana" w:hAnsi="Verdana" w:cs="Verdana"/>
                <w:b/>
                <w:noProof/>
                <w:color w:val="FFFFFF"/>
                <w:sz w:val="16"/>
              </w:rPr>
              <w:t>approp.</w:t>
            </w:r>
          </w:p>
          <w:p w:rsidR="00135552" w:rsidRDefault="004C63B0">
            <w:pPr>
              <w:pStyle w:val="DMETW17256BIPInstitutions3Payments"/>
              <w:jc w:val="center"/>
              <w:rPr>
                <w:rFonts w:ascii="Verdana" w:eastAsia="Verdana" w:hAnsi="Verdana" w:cs="Verdana"/>
                <w:b/>
                <w:noProof/>
                <w:color w:val="FFFFFF"/>
                <w:sz w:val="16"/>
              </w:rPr>
            </w:pPr>
            <w:r>
              <w:rPr>
                <w:rFonts w:ascii="Verdana" w:eastAsia="Verdana" w:hAnsi="Verdana" w:cs="Verdana"/>
                <w:b/>
                <w:noProof/>
                <w:color w:val="FFFFFF"/>
                <w:sz w:val="16"/>
              </w:rPr>
              <w:t>available</w:t>
            </w: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b/>
                <w:noProof/>
                <w:color w:val="FFFFFF"/>
                <w:sz w:val="16"/>
              </w:rPr>
            </w:pPr>
            <w:r>
              <w:rPr>
                <w:rFonts w:ascii="Verdana" w:eastAsia="Verdana" w:hAnsi="Verdana" w:cs="Verdana"/>
                <w:b/>
                <w:noProof/>
                <w:color w:val="FFFFFF"/>
                <w:sz w:val="16"/>
              </w:rPr>
              <w:t>Payments made</w:t>
            </w:r>
          </w:p>
        </w:tc>
        <w:tc>
          <w:tcPr>
            <w:tcW w:w="960"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b/>
                <w:noProof/>
                <w:color w:val="FFFFFF"/>
                <w:sz w:val="16"/>
              </w:rPr>
            </w:pPr>
            <w:r>
              <w:rPr>
                <w:rFonts w:ascii="Verdana" w:eastAsia="Verdana" w:hAnsi="Verdana" w:cs="Verdana"/>
                <w:b/>
                <w:noProof/>
                <w:color w:val="FFFFFF"/>
                <w:sz w:val="16"/>
              </w:rPr>
              <w:t>Appropriations carried over to 2020</w:t>
            </w:r>
          </w:p>
        </w:tc>
        <w:tc>
          <w:tcPr>
            <w:tcW w:w="845" w:type="dxa"/>
            <w:gridSpan w:val="4"/>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b/>
                <w:noProof/>
                <w:color w:val="FFFFFF"/>
                <w:sz w:val="16"/>
                <w:lang w:bidi="en-GB"/>
              </w:rPr>
            </w:pPr>
            <w:r>
              <w:rPr>
                <w:rFonts w:ascii="Verdana" w:eastAsia="Verdana" w:hAnsi="Verdana" w:cs="Verdana"/>
                <w:b/>
                <w:noProof/>
                <w:color w:val="FFFFFF"/>
                <w:sz w:val="16"/>
              </w:rPr>
              <w:t>Appropriations lapsing</w:t>
            </w:r>
          </w:p>
        </w:tc>
      </w:tr>
      <w:tr w:rsidR="00135552">
        <w:trPr>
          <w:trHeight w:val="340"/>
        </w:trPr>
        <w:tc>
          <w:tcPr>
            <w:tcW w:w="19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Institution</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Institutions3Payments"/>
              <w:jc w:val="center"/>
              <w:rPr>
                <w:rFonts w:ascii="Verdana" w:eastAsia="Verdana" w:hAnsi="Verdana" w:cs="Verdana"/>
                <w:b/>
                <w:noProof/>
                <w:color w:val="FFFFFF"/>
                <w:sz w:val="16"/>
              </w:rPr>
            </w:pP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final</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adopted</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budget</w:t>
            </w:r>
          </w:p>
        </w:tc>
        <w:tc>
          <w:tcPr>
            <w:tcW w:w="72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carry-</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overs</w:t>
            </w:r>
          </w:p>
        </w:tc>
        <w:tc>
          <w:tcPr>
            <w:tcW w:w="84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assigned</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revenue</w:t>
            </w:r>
          </w:p>
        </w:tc>
        <w:tc>
          <w:tcPr>
            <w:tcW w:w="95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62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w:t>
            </w: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automatic</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carry-overs</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carry-</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overs</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by</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decision</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 assigned revenue</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Total</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final</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adopted</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budget</w:t>
            </w:r>
          </w:p>
        </w:tc>
        <w:tc>
          <w:tcPr>
            <w:tcW w:w="6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carry-</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overs</w:t>
            </w:r>
          </w:p>
        </w:tc>
        <w:tc>
          <w:tcPr>
            <w:tcW w:w="819"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from</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assigned</w:t>
            </w:r>
          </w:p>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revenue</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lang w:bidi="en-GB"/>
              </w:rPr>
            </w:pPr>
            <w:r>
              <w:rPr>
                <w:rFonts w:ascii="Verdana" w:eastAsia="Verdana" w:hAnsi="Verdana" w:cs="Verdana"/>
                <w:noProof/>
                <w:color w:val="FFFFFF"/>
                <w:sz w:val="16"/>
              </w:rPr>
              <w:t>Total</w:t>
            </w:r>
          </w:p>
        </w:tc>
      </w:tr>
      <w:tr w:rsidR="00135552">
        <w:trPr>
          <w:trHeight w:val="340"/>
        </w:trPr>
        <w:tc>
          <w:tcPr>
            <w:tcW w:w="1957" w:type="dxa"/>
            <w:tcBorders>
              <w:top w:val="nil"/>
              <w:left w:val="nil"/>
              <w:bottom w:val="nil"/>
              <w:right w:val="nil"/>
              <w:tl2br w:val="nil"/>
              <w:tr2bl w:val="nil"/>
            </w:tcBorders>
            <w:shd w:val="solid" w:color="3486A9" w:fill="FFFFFF"/>
            <w:tcMar>
              <w:left w:w="60" w:type="dxa"/>
              <w:right w:w="60" w:type="dxa"/>
            </w:tcMar>
            <w:vAlign w:val="center"/>
          </w:tcPr>
          <w:p w:rsidR="00135552" w:rsidRDefault="00135552">
            <w:pPr>
              <w:pStyle w:val="DMETW17256BIPInstitutions3Payments"/>
              <w:jc w:val="center"/>
              <w:rPr>
                <w:rFonts w:ascii="Verdana" w:eastAsia="Verdana" w:hAnsi="Verdana" w:cs="Verdana"/>
                <w:noProof/>
                <w:color w:val="FFFFFF"/>
                <w:sz w:val="16"/>
              </w:rPr>
            </w:pPr>
          </w:p>
        </w:tc>
        <w:tc>
          <w:tcPr>
            <w:tcW w:w="917"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1</w:t>
            </w:r>
          </w:p>
        </w:tc>
        <w:tc>
          <w:tcPr>
            <w:tcW w:w="97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2</w:t>
            </w:r>
          </w:p>
        </w:tc>
        <w:tc>
          <w:tcPr>
            <w:tcW w:w="72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3</w:t>
            </w:r>
          </w:p>
        </w:tc>
        <w:tc>
          <w:tcPr>
            <w:tcW w:w="846"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4</w:t>
            </w:r>
          </w:p>
        </w:tc>
        <w:tc>
          <w:tcPr>
            <w:tcW w:w="957"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5=2+3+4</w:t>
            </w:r>
          </w:p>
        </w:tc>
        <w:tc>
          <w:tcPr>
            <w:tcW w:w="623"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6=5/1</w:t>
            </w:r>
          </w:p>
        </w:tc>
        <w:tc>
          <w:tcPr>
            <w:tcW w:w="960"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7</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8</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9</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10=7+8+9</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11</w:t>
            </w:r>
          </w:p>
        </w:tc>
        <w:tc>
          <w:tcPr>
            <w:tcW w:w="69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12</w:t>
            </w:r>
          </w:p>
        </w:tc>
        <w:tc>
          <w:tcPr>
            <w:tcW w:w="819"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rPr>
            </w:pPr>
            <w:r>
              <w:rPr>
                <w:rFonts w:ascii="Verdana" w:eastAsia="Verdana" w:hAnsi="Verdana" w:cs="Verdana"/>
                <w:noProof/>
                <w:color w:val="FFFFFF"/>
                <w:sz w:val="16"/>
              </w:rPr>
              <w:t>13</w:t>
            </w:r>
          </w:p>
        </w:tc>
        <w:tc>
          <w:tcPr>
            <w:tcW w:w="1112" w:type="dxa"/>
            <w:tcBorders>
              <w:top w:val="nil"/>
              <w:left w:val="nil"/>
              <w:bottom w:val="nil"/>
              <w:right w:val="nil"/>
              <w:tl2br w:val="nil"/>
              <w:tr2bl w:val="nil"/>
            </w:tcBorders>
            <w:shd w:val="solid" w:color="3486A9" w:fill="FFFFFF"/>
            <w:tcMar>
              <w:left w:w="60" w:type="dxa"/>
              <w:right w:w="60" w:type="dxa"/>
            </w:tcMar>
            <w:vAlign w:val="center"/>
          </w:tcPr>
          <w:p w:rsidR="00135552" w:rsidRDefault="004C63B0">
            <w:pPr>
              <w:pStyle w:val="DMETW17256BIPInstitutions3Payments"/>
              <w:jc w:val="center"/>
              <w:rPr>
                <w:rFonts w:ascii="Verdana" w:eastAsia="Verdana" w:hAnsi="Verdana" w:cs="Verdana"/>
                <w:noProof/>
                <w:color w:val="FFFFFF"/>
                <w:sz w:val="16"/>
                <w:lang w:bidi="en-GB"/>
              </w:rPr>
            </w:pPr>
            <w:r>
              <w:rPr>
                <w:rFonts w:ascii="Verdana" w:eastAsia="Verdana" w:hAnsi="Verdana" w:cs="Verdana"/>
                <w:noProof/>
                <w:color w:val="FFFFFF"/>
                <w:sz w:val="16"/>
              </w:rPr>
              <w:t>14=11+12+13</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European Parliament</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1 699</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284</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2 035</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85 %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274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305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European Council and Council</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682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484</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562</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82 %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67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53</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Commission</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165 573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142 633</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1 152</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10 934</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154 719</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682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470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9 001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10 154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592</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86</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700</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Court of Justice</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452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399</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418</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Court of Auditors</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144</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Economic and Social Committee</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128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7</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91 %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3</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Committee of Regions</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97</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88 %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Ombudsman</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90 %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w:t>
            </w:r>
          </w:p>
        </w:tc>
      </w:tr>
      <w:tr w:rsidR="00135552">
        <w:trPr>
          <w:trHeight w:val="485"/>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 xml:space="preserve">European Data-protection </w:t>
            </w:r>
            <w:r>
              <w:rPr>
                <w:rFonts w:ascii="Verdana" w:eastAsia="Verdana" w:hAnsi="Verdana" w:cs="Verdana"/>
                <w:noProof/>
                <w:color w:val="000000"/>
                <w:sz w:val="16"/>
              </w:rPr>
              <w:t>Supervisor</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81 %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w:t>
            </w:r>
          </w:p>
        </w:tc>
      </w:tr>
      <w:tr w:rsidR="00135552">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rPr>
                <w:rFonts w:ascii="Verdana" w:eastAsia="Verdana" w:hAnsi="Verdana" w:cs="Verdana"/>
                <w:noProof/>
                <w:color w:val="000000"/>
                <w:sz w:val="16"/>
              </w:rPr>
            </w:pPr>
            <w:r>
              <w:rPr>
                <w:rFonts w:ascii="Verdana" w:eastAsia="Verdana" w:hAnsi="Verdana" w:cs="Verdana"/>
                <w:noProof/>
                <w:color w:val="000000"/>
                <w:sz w:val="16"/>
              </w:rPr>
              <w:t>European External Action Service</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1 143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610</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135</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210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956</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84 %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84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93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177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rPr>
            </w:pPr>
            <w:r>
              <w:rPr>
                <w:rFonts w:ascii="Verdana" w:eastAsia="Verdana" w:hAnsi="Verdana" w:cs="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Institutions3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w:t>
            </w:r>
          </w:p>
        </w:tc>
      </w:tr>
      <w:tr w:rsidR="00135552">
        <w:trPr>
          <w:trHeight w:val="340"/>
        </w:trPr>
        <w:tc>
          <w:tcPr>
            <w:tcW w:w="195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91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170 679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146 203</w:t>
            </w:r>
          </w:p>
        </w:tc>
        <w:tc>
          <w:tcPr>
            <w:tcW w:w="72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1 667</w:t>
            </w:r>
          </w:p>
        </w:tc>
        <w:tc>
          <w:tcPr>
            <w:tcW w:w="8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11 225</w:t>
            </w:r>
          </w:p>
        </w:tc>
        <w:tc>
          <w:tcPr>
            <w:tcW w:w="95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159 096</w:t>
            </w:r>
          </w:p>
        </w:tc>
        <w:tc>
          <w:tcPr>
            <w:tcW w:w="62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93 %</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1 145</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470</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9 144</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10 759</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675</w:t>
            </w:r>
          </w:p>
        </w:tc>
        <w:tc>
          <w:tcPr>
            <w:tcW w:w="69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125</w:t>
            </w:r>
          </w:p>
        </w:tc>
        <w:tc>
          <w:tcPr>
            <w:tcW w:w="819"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25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Institutions3Payments"/>
              <w:jc w:val="right"/>
              <w:rPr>
                <w:rFonts w:ascii="Verdana" w:eastAsia="Verdana" w:hAnsi="Verdana" w:cs="Verdana"/>
                <w:b/>
                <w:noProof/>
                <w:color w:val="000000"/>
                <w:sz w:val="16"/>
              </w:rPr>
            </w:pPr>
            <w:r>
              <w:rPr>
                <w:rFonts w:ascii="Verdana" w:eastAsia="Verdana" w:hAnsi="Verdana" w:cs="Verdana"/>
                <w:b/>
                <w:noProof/>
                <w:color w:val="000000"/>
                <w:sz w:val="16"/>
              </w:rPr>
              <w:t xml:space="preserve"> 825</w:t>
            </w:r>
          </w:p>
        </w:tc>
      </w:tr>
    </w:tbl>
    <w:p w:rsidR="00135552" w:rsidRDefault="00135552">
      <w:pPr>
        <w:pStyle w:val="DGTextstand-alone"/>
      </w:pPr>
    </w:p>
    <w:bookmarkEnd w:id="263"/>
    <w:p w:rsidR="00135552" w:rsidRDefault="00135552">
      <w:pPr>
        <w:pStyle w:val="DGTextstand-alone"/>
        <w:sectPr w:rsidR="00135552">
          <w:headerReference w:type="even" r:id="rId408"/>
          <w:headerReference w:type="default" r:id="rId409"/>
          <w:footerReference w:type="even" r:id="rId410"/>
          <w:footerReference w:type="default" r:id="rId411"/>
          <w:headerReference w:type="first" r:id="rId412"/>
          <w:footerReference w:type="first" r:id="rId413"/>
          <w:type w:val="nextColumn"/>
          <w:pgSz w:w="16840" w:h="11907" w:orient="landscape" w:code="9"/>
          <w:pgMar w:top="1134" w:right="1134" w:bottom="1134" w:left="1134" w:header="709" w:footer="709" w:gutter="0"/>
          <w:cols w:space="708"/>
          <w:docGrid w:linePitch="360"/>
        </w:sectPr>
      </w:pPr>
    </w:p>
    <w:p w:rsidR="00135552" w:rsidRDefault="004C63B0">
      <w:pPr>
        <w:pStyle w:val="HEADER1PartBUDG"/>
        <w:rPr>
          <w:noProof/>
        </w:rPr>
      </w:pPr>
      <w:bookmarkStart w:id="271" w:name="_DMBM_17270"/>
      <w:r>
        <w:rPr>
          <w:noProof/>
        </w:rPr>
        <w:t xml:space="preserve"> </w:t>
      </w:r>
      <w:bookmarkStart w:id="272" w:name="_Toc43223240"/>
      <w:r>
        <w:rPr>
          <w:noProof/>
        </w:rPr>
        <w:t>IMPLEMENTATION OF THE AGENCIES' BUDGET</w:t>
      </w:r>
      <w:bookmarkEnd w:id="272"/>
    </w:p>
    <w:p w:rsidR="00135552" w:rsidRDefault="004C63B0">
      <w:pPr>
        <w:pStyle w:val="DGTextstand-alone"/>
      </w:pPr>
      <w:r>
        <w:t xml:space="preserve">The agencies’ revenue and expenditure, as shown in the reports 6.1 and 6.2 below, are not consolidated as such within </w:t>
      </w:r>
      <w:r>
        <w:t>the EU budget. In this budgetary part of the annual accounts, only the subsidy paid from the Commission budget to the Agencies is taken into consideration.</w:t>
      </w:r>
    </w:p>
    <w:p w:rsidR="00135552" w:rsidRDefault="004C63B0">
      <w:pPr>
        <w:pStyle w:val="DGTextstand-alone"/>
      </w:pPr>
      <w:r>
        <w:t>The EU budget implementation reports do indeed include the subsidy paid from the EU budget to the ag</w:t>
      </w:r>
      <w:r>
        <w:t>encies as commitment and payment appropriations, when applicable.</w:t>
      </w:r>
    </w:p>
    <w:p w:rsidR="00135552" w:rsidRDefault="004C63B0">
      <w:pPr>
        <w:pStyle w:val="DGTextstand-alone"/>
      </w:pPr>
      <w:r>
        <w:t>The agencies’ reports below show an overview of the Agencies, both decentralised (also known as traditional agencies) and executive agencies, and of their revenue (6.1) and expenditure (6.2)</w:t>
      </w:r>
      <w:r>
        <w:t>.</w:t>
      </w:r>
    </w:p>
    <w:p w:rsidR="00135552" w:rsidRDefault="004C63B0">
      <w:pPr>
        <w:pStyle w:val="DGTextstand-alone"/>
      </w:pPr>
      <w:r>
        <w:t>Other sources of revenue and their related expenditure are not added into the EU budget accounts. Each agency presents its own set of annual accounts.</w:t>
      </w:r>
    </w:p>
    <w:p w:rsidR="00135552" w:rsidRDefault="004C63B0">
      <w:pPr>
        <w:pStyle w:val="HEADER2PartBUDG"/>
        <w:rPr>
          <w:noProof/>
        </w:rPr>
      </w:pPr>
      <w:bookmarkStart w:id="273" w:name="_Toc43223241"/>
      <w:r>
        <w:rPr>
          <w:noProof/>
        </w:rPr>
        <w:t>BUDGET REVENUE</w:t>
      </w:r>
      <w:bookmarkEnd w:id="273"/>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6"/>
        <w:gridCol w:w="1134"/>
        <w:gridCol w:w="1355"/>
        <w:gridCol w:w="1107"/>
      </w:tblGrid>
      <w:tr w:rsidR="00135552">
        <w:trPr>
          <w:trHeight w:val="284"/>
          <w:tblHeader/>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1Revenue"/>
              <w:rPr>
                <w:rFonts w:ascii="Verdana" w:eastAsia="Verdana" w:hAnsi="Verdana" w:cs="Verdana"/>
                <w:noProof/>
                <w:color w:val="000000"/>
                <w:sz w:val="16"/>
                <w:lang w:bidi="en-GB"/>
              </w:rPr>
            </w:pPr>
            <w:bookmarkStart w:id="274" w:name="DOC_TBL00117_1_1"/>
            <w:bookmarkEnd w:id="274"/>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1Revenue"/>
              <w:rPr>
                <w:rFonts w:ascii="Verdana" w:eastAsia="Verdana" w:hAnsi="Verdana" w:cs="Verdana"/>
                <w:noProof/>
                <w:color w:val="000000"/>
                <w:sz w:val="16"/>
              </w:rPr>
            </w:pP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1Revenue"/>
              <w:rPr>
                <w:rFonts w:ascii="Verdana" w:eastAsia="Verdana" w:hAnsi="Verdana" w:cs="Verdana"/>
                <w:noProof/>
                <w:color w:val="000000"/>
                <w:sz w:val="16"/>
              </w:rPr>
            </w:pP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284"/>
          <w:tblHeader/>
        </w:trPr>
        <w:tc>
          <w:tcPr>
            <w:tcW w:w="615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1Revenue"/>
              <w:jc w:val="center"/>
              <w:rPr>
                <w:rFonts w:ascii="Verdana" w:eastAsia="Verdana" w:hAnsi="Verdana" w:cs="Verdana"/>
                <w:noProof/>
                <w:color w:val="FFFFFF"/>
                <w:sz w:val="16"/>
              </w:rPr>
            </w:pPr>
            <w:r>
              <w:rPr>
                <w:rFonts w:ascii="Verdana" w:eastAsia="Verdana" w:hAnsi="Verdana" w:cs="Verdana"/>
                <w:noProof/>
                <w:color w:val="FFFFFF"/>
                <w:sz w:val="16"/>
              </w:rPr>
              <w:t>Agency</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1Revenue"/>
              <w:jc w:val="center"/>
              <w:rPr>
                <w:rFonts w:ascii="Verdana" w:eastAsia="Verdana" w:hAnsi="Verdana" w:cs="Verdana"/>
                <w:noProof/>
                <w:color w:val="FFFFFF"/>
                <w:sz w:val="16"/>
              </w:rPr>
            </w:pPr>
            <w:r>
              <w:rPr>
                <w:rFonts w:ascii="Verdana" w:eastAsia="Verdana" w:hAnsi="Verdana" w:cs="Verdana"/>
                <w:noProof/>
                <w:color w:val="FFFFFF"/>
                <w:sz w:val="16"/>
              </w:rPr>
              <w:t>Funding MFF sub-heading</w:t>
            </w:r>
          </w:p>
        </w:tc>
        <w:tc>
          <w:tcPr>
            <w:tcW w:w="135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1Revenue"/>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1107"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1Revenue"/>
              <w:jc w:val="center"/>
              <w:rPr>
                <w:rFonts w:ascii="Verdana" w:eastAsia="Verdana" w:hAnsi="Verdana" w:cs="Verdana"/>
                <w:noProof/>
                <w:color w:val="FFFFFF"/>
                <w:sz w:val="16"/>
                <w:lang w:bidi="en-GB"/>
              </w:rPr>
            </w:pPr>
            <w:r>
              <w:rPr>
                <w:rFonts w:ascii="Verdana" w:eastAsia="Verdana" w:hAnsi="Verdana" w:cs="Verdana"/>
                <w:noProof/>
                <w:color w:val="FFFFFF"/>
                <w:sz w:val="16"/>
              </w:rPr>
              <w:t>Revenue received</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Agency for Operational Management of Large-Scale IT Systems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140</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Agency for the Cooperation of Energy Regulators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Body of European Regulators for Electronic Communications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Community Plant Variety Office</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N/A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18</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 xml:space="preserve">Consumers, </w:t>
            </w:r>
            <w:r>
              <w:rPr>
                <w:rFonts w:ascii="Verdana" w:eastAsia="Verdana" w:hAnsi="Verdana" w:cs="Verdana"/>
                <w:noProof/>
                <w:color w:val="000000"/>
                <w:sz w:val="16"/>
              </w:rPr>
              <w:t>Health, Agriculture and Food Executive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Education, Audiovisual and Culture Executive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 3, 4</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Agency for Safety and Health at Work</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Asylum Support Office</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103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103</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Banking Authority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Border and Coast Guard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333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350</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Centre for Disease Prevention and Control</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Centre for the Development of Vocational Training</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Chemicals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 2</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112</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Environment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2</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52</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Fisheries Control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2</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Food Safety Authority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80</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80</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Global Navigation Satellite Systems (GNSS)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36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768</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Institute for Gender Equality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 xml:space="preserve">European Institute </w:t>
            </w:r>
            <w:r>
              <w:rPr>
                <w:rFonts w:ascii="Verdana" w:eastAsia="Verdana" w:hAnsi="Verdana" w:cs="Verdana"/>
                <w:noProof/>
                <w:color w:val="000000"/>
                <w:sz w:val="16"/>
              </w:rPr>
              <w:t>of Innovation and Technology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416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Insurance and Occupational Pensions Authority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Maritime Safety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79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Medicines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347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340</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Monitoring Centre for Drugs and Drug Addiction</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18</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Research Council</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52</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Securities and Markets Authority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Training Foundation</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4</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Agency for Criminal Justice Cooperation</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40</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Agency for Cybersecurity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Agency for Law Enforcement Cooperation</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143</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Agency for Law Enforcement Training</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Agency for Railways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Aviation Safety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196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171</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 xml:space="preserve">European Union Fundamental </w:t>
            </w:r>
            <w:r>
              <w:rPr>
                <w:rFonts w:ascii="Verdana" w:eastAsia="Verdana" w:hAnsi="Verdana" w:cs="Verdana"/>
                <w:noProof/>
                <w:color w:val="000000"/>
                <w:sz w:val="16"/>
              </w:rPr>
              <w:t>Rights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3</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European Union Intellectual Property Office</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N/A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259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Executive Agency for Small and Medium-sized Enterprises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Foundation for Improvement of Living and Working Conditions</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22</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 xml:space="preserve">Fusion for Energy Joint </w:t>
            </w:r>
            <w:r>
              <w:rPr>
                <w:rFonts w:ascii="Verdana" w:eastAsia="Verdana" w:hAnsi="Verdana" w:cs="Verdana"/>
                <w:noProof/>
                <w:color w:val="000000"/>
                <w:sz w:val="16"/>
              </w:rPr>
              <w:t>Undertaking</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576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729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Innovation and Networks Executive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1a</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Research Executive Agency</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5</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76</w:t>
            </w:r>
          </w:p>
        </w:tc>
      </w:tr>
      <w:tr w:rsidR="00135552">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Translation Centre for the Bodies of the European Union</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rPr>
                <w:rFonts w:ascii="Verdana" w:eastAsia="Verdana" w:hAnsi="Verdana" w:cs="Verdana"/>
                <w:noProof/>
                <w:color w:val="000000"/>
                <w:sz w:val="16"/>
              </w:rPr>
            </w:pPr>
            <w:r>
              <w:rPr>
                <w:rFonts w:ascii="Verdana" w:eastAsia="Verdana" w:hAnsi="Verdana" w:cs="Verdana"/>
                <w:noProof/>
                <w:color w:val="000000"/>
                <w:sz w:val="16"/>
              </w:rPr>
              <w:t>5</w:t>
            </w:r>
          </w:p>
        </w:tc>
        <w:tc>
          <w:tcPr>
            <w:tcW w:w="135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1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37</w:t>
            </w:r>
          </w:p>
        </w:tc>
      </w:tr>
      <w:tr w:rsidR="00135552">
        <w:trPr>
          <w:trHeight w:val="284"/>
        </w:trPr>
        <w:tc>
          <w:tcPr>
            <w:tcW w:w="615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1Revenue"/>
              <w:rPr>
                <w:rFonts w:ascii="Verdana" w:eastAsia="Verdana" w:hAnsi="Verdana" w:cs="Verdana"/>
                <w:b/>
                <w:noProof/>
                <w:color w:val="000000"/>
                <w:sz w:val="16"/>
              </w:rPr>
            </w:pPr>
            <w:r>
              <w:rPr>
                <w:rFonts w:ascii="Verdana" w:eastAsia="Verdana" w:hAnsi="Verdana" w:cs="Verdana"/>
                <w:b/>
                <w:noProof/>
                <w:color w:val="000000"/>
                <w:sz w:val="16"/>
              </w:rPr>
              <w:t>Total</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56BIPAgencies1Revenue"/>
              <w:rPr>
                <w:rFonts w:ascii="Verdana" w:eastAsia="Verdana" w:hAnsi="Verdana" w:cs="Verdana"/>
                <w:b/>
                <w:noProof/>
                <w:color w:val="000000"/>
                <w:sz w:val="16"/>
              </w:rPr>
            </w:pPr>
          </w:p>
        </w:tc>
        <w:tc>
          <w:tcPr>
            <w:tcW w:w="135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1Revenue"/>
              <w:jc w:val="right"/>
              <w:rPr>
                <w:rFonts w:ascii="Verdana" w:eastAsia="Verdana" w:hAnsi="Verdana" w:cs="Verdana"/>
                <w:b/>
                <w:noProof/>
                <w:color w:val="000000"/>
                <w:sz w:val="16"/>
              </w:rPr>
            </w:pPr>
            <w:r>
              <w:rPr>
                <w:rFonts w:ascii="Verdana" w:eastAsia="Verdana" w:hAnsi="Verdana" w:cs="Verdana"/>
                <w:b/>
                <w:noProof/>
                <w:color w:val="000000"/>
                <w:sz w:val="16"/>
              </w:rPr>
              <w:t>3 626</w:t>
            </w:r>
          </w:p>
        </w:tc>
        <w:tc>
          <w:tcPr>
            <w:tcW w:w="1107"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1Revenue"/>
              <w:jc w:val="right"/>
              <w:rPr>
                <w:rFonts w:ascii="Verdana" w:eastAsia="Verdana" w:hAnsi="Verdana" w:cs="Verdana"/>
                <w:b/>
                <w:noProof/>
                <w:color w:val="000000"/>
                <w:sz w:val="16"/>
              </w:rPr>
            </w:pPr>
            <w:r>
              <w:rPr>
                <w:rFonts w:ascii="Verdana" w:eastAsia="Verdana" w:hAnsi="Verdana" w:cs="Verdana"/>
                <w:b/>
                <w:noProof/>
                <w:color w:val="000000"/>
                <w:sz w:val="16"/>
              </w:rPr>
              <w:t>4 533</w:t>
            </w:r>
          </w:p>
        </w:tc>
      </w:tr>
    </w:tbl>
    <w:p w:rsidR="00135552" w:rsidRDefault="00135552">
      <w:pPr>
        <w:pStyle w:val="DGTextstand-alone"/>
        <w:rPr>
          <w:lang w:bidi="en-GB"/>
        </w:rPr>
      </w:pPr>
    </w:p>
    <w:p w:rsidR="00135552" w:rsidRDefault="00135552">
      <w:pPr>
        <w:pStyle w:val="DGTextstand-alone"/>
      </w:pPr>
    </w:p>
    <w:tbl>
      <w:tblPr>
        <w:tblW w:w="957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6"/>
        <w:gridCol w:w="3260"/>
        <w:gridCol w:w="1276"/>
        <w:gridCol w:w="992"/>
      </w:tblGrid>
      <w:tr w:rsidR="00135552">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rPr>
                <w:rFonts w:ascii="Verdana" w:eastAsia="Verdana" w:hAnsi="Verdana" w:cs="Verdana"/>
                <w:noProof/>
                <w:color w:val="000000"/>
                <w:sz w:val="16"/>
                <w:lang w:bidi="en-GB"/>
              </w:rPr>
            </w:pPr>
            <w:bookmarkStart w:id="275" w:name="DOC_TBL00118_1_1"/>
            <w:bookmarkEnd w:id="275"/>
          </w:p>
        </w:tc>
        <w:tc>
          <w:tcPr>
            <w:tcW w:w="326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jc w:val="right"/>
              <w:rPr>
                <w:rFonts w:ascii="Verdana" w:eastAsia="Verdana" w:hAnsi="Verdana" w:cs="Verdana"/>
                <w:i/>
                <w:noProof/>
                <w:color w:val="000000"/>
                <w:sz w:val="16"/>
                <w:lang w:bidi="en-GB"/>
              </w:rPr>
            </w:pPr>
          </w:p>
        </w:tc>
      </w:tr>
      <w:tr w:rsidR="00135552">
        <w:trPr>
          <w:trHeight w:val="284"/>
        </w:trPr>
        <w:tc>
          <w:tcPr>
            <w:tcW w:w="404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2TypeofRevenue"/>
              <w:jc w:val="center"/>
              <w:rPr>
                <w:rFonts w:ascii="Verdana" w:eastAsia="Verdana" w:hAnsi="Verdana" w:cs="Verdana"/>
                <w:noProof/>
                <w:color w:val="FFFFFF"/>
                <w:sz w:val="16"/>
              </w:rPr>
            </w:pPr>
            <w:r>
              <w:rPr>
                <w:rFonts w:ascii="Verdana" w:eastAsia="Verdana" w:hAnsi="Verdana" w:cs="Verdana"/>
                <w:noProof/>
                <w:color w:val="FFFFFF"/>
                <w:sz w:val="16"/>
              </w:rPr>
              <w:t>Type of revenue</w:t>
            </w:r>
          </w:p>
        </w:tc>
        <w:tc>
          <w:tcPr>
            <w:tcW w:w="3260"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Agencies2TypeofRevenue"/>
              <w:jc w:val="center"/>
              <w:rPr>
                <w:rFonts w:ascii="Verdana" w:eastAsia="Verdana" w:hAnsi="Verdana" w:cs="Verdana"/>
                <w:noProof/>
                <w:color w:val="FFFFFF"/>
                <w:sz w:val="16"/>
              </w:rPr>
            </w:pPr>
          </w:p>
        </w:tc>
        <w:tc>
          <w:tcPr>
            <w:tcW w:w="1276"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2TypeofRevenue"/>
              <w:jc w:val="center"/>
              <w:rPr>
                <w:rFonts w:ascii="Verdana" w:eastAsia="Verdana" w:hAnsi="Verdana" w:cs="Verdana"/>
                <w:noProof/>
                <w:color w:val="FFFFFF"/>
                <w:sz w:val="16"/>
              </w:rPr>
            </w:pPr>
            <w:r>
              <w:rPr>
                <w:rFonts w:ascii="Verdana" w:eastAsia="Verdana" w:hAnsi="Verdana" w:cs="Verdana"/>
                <w:noProof/>
                <w:color w:val="FFFFFF"/>
                <w:sz w:val="16"/>
              </w:rPr>
              <w:t>Final adopted budget</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2TypeofRevenue"/>
              <w:jc w:val="center"/>
              <w:rPr>
                <w:rFonts w:ascii="Verdana" w:eastAsia="Verdana" w:hAnsi="Verdana" w:cs="Verdana"/>
                <w:noProof/>
                <w:color w:val="FFFFFF"/>
                <w:sz w:val="16"/>
                <w:lang w:bidi="en-GB"/>
              </w:rPr>
            </w:pPr>
            <w:r>
              <w:rPr>
                <w:rFonts w:ascii="Verdana" w:eastAsia="Verdana" w:hAnsi="Verdana" w:cs="Verdana"/>
                <w:noProof/>
                <w:color w:val="FFFFFF"/>
                <w:sz w:val="16"/>
              </w:rPr>
              <w:t xml:space="preserve">Amounts </w:t>
            </w:r>
            <w:r>
              <w:rPr>
                <w:rFonts w:ascii="Verdana" w:eastAsia="Verdana" w:hAnsi="Verdana" w:cs="Verdana"/>
                <w:noProof/>
                <w:color w:val="FFFFFF"/>
                <w:sz w:val="16"/>
              </w:rPr>
              <w:t>received</w:t>
            </w:r>
          </w:p>
        </w:tc>
      </w:tr>
      <w:tr w:rsidR="00135552">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rPr>
                <w:rFonts w:ascii="Verdana" w:eastAsia="Verdana" w:hAnsi="Verdana" w:cs="Verdana"/>
                <w:noProof/>
                <w:color w:val="000000"/>
                <w:sz w:val="16"/>
              </w:rPr>
            </w:pPr>
            <w:r>
              <w:rPr>
                <w:rFonts w:ascii="Verdana" w:eastAsia="Verdana" w:hAnsi="Verdana" w:cs="Verdana"/>
                <w:noProof/>
                <w:color w:val="000000"/>
                <w:sz w:val="16"/>
              </w:rPr>
              <w:t>Commission subsidy</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rPr>
            </w:pPr>
            <w:r>
              <w:rPr>
                <w:rFonts w:ascii="Verdana" w:eastAsia="Verdana" w:hAnsi="Verdana" w:cs="Verdana"/>
                <w:noProof/>
                <w:color w:val="000000"/>
                <w:sz w:val="16"/>
              </w:rPr>
              <w:t>1 459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lang w:bidi="en-GB"/>
              </w:rPr>
            </w:pPr>
            <w:r>
              <w:rPr>
                <w:rFonts w:ascii="Verdana" w:eastAsia="Verdana" w:hAnsi="Verdana" w:cs="Verdana"/>
                <w:noProof/>
                <w:color w:val="000000"/>
                <w:sz w:val="16"/>
              </w:rPr>
              <w:t>1 471</w:t>
            </w:r>
          </w:p>
        </w:tc>
      </w:tr>
      <w:tr w:rsidR="00135552">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rPr>
                <w:rFonts w:ascii="Verdana" w:eastAsia="Verdana" w:hAnsi="Verdana" w:cs="Verdana"/>
                <w:noProof/>
                <w:color w:val="000000"/>
                <w:sz w:val="16"/>
              </w:rPr>
            </w:pPr>
            <w:r>
              <w:rPr>
                <w:rFonts w:ascii="Verdana" w:eastAsia="Verdana" w:hAnsi="Verdana" w:cs="Verdana"/>
                <w:noProof/>
                <w:color w:val="000000"/>
                <w:sz w:val="16"/>
              </w:rPr>
              <w:t>Fee income</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rPr>
            </w:pPr>
            <w:r>
              <w:rPr>
                <w:rFonts w:ascii="Verdana" w:eastAsia="Verdana" w:hAnsi="Verdana" w:cs="Verdana"/>
                <w:noProof/>
                <w:color w:val="000000"/>
                <w:sz w:val="16"/>
              </w:rPr>
              <w:t xml:space="preserve"> 726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732</w:t>
            </w:r>
          </w:p>
        </w:tc>
      </w:tr>
      <w:tr w:rsidR="00135552">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rPr>
                <w:rFonts w:ascii="Verdana" w:eastAsia="Verdana" w:hAnsi="Verdana" w:cs="Verdana"/>
                <w:noProof/>
                <w:color w:val="000000"/>
                <w:sz w:val="16"/>
              </w:rPr>
            </w:pPr>
            <w:r>
              <w:rPr>
                <w:rFonts w:ascii="Verdana" w:eastAsia="Verdana" w:hAnsi="Verdana" w:cs="Verdana"/>
                <w:noProof/>
                <w:color w:val="000000"/>
                <w:sz w:val="16"/>
              </w:rPr>
              <w:t>Other income</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rPr>
            </w:pPr>
            <w:r>
              <w:rPr>
                <w:rFonts w:ascii="Verdana" w:eastAsia="Verdana" w:hAnsi="Verdana" w:cs="Verdana"/>
                <w:noProof/>
                <w:color w:val="000000"/>
                <w:sz w:val="16"/>
              </w:rPr>
              <w:t>1 441</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2TypeofRevenue"/>
              <w:jc w:val="right"/>
              <w:rPr>
                <w:rFonts w:ascii="Verdana" w:eastAsia="Verdana" w:hAnsi="Verdana" w:cs="Verdana"/>
                <w:noProof/>
                <w:color w:val="000000"/>
                <w:sz w:val="16"/>
                <w:lang w:bidi="en-GB"/>
              </w:rPr>
            </w:pPr>
            <w:r>
              <w:rPr>
                <w:rFonts w:ascii="Verdana" w:eastAsia="Verdana" w:hAnsi="Verdana" w:cs="Verdana"/>
                <w:noProof/>
                <w:color w:val="000000"/>
                <w:sz w:val="16"/>
              </w:rPr>
              <w:t>2 331</w:t>
            </w:r>
          </w:p>
        </w:tc>
      </w:tr>
      <w:tr w:rsidR="00135552">
        <w:trPr>
          <w:trHeight w:val="284"/>
        </w:trPr>
        <w:tc>
          <w:tcPr>
            <w:tcW w:w="404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2TypeofRevenue"/>
              <w:rPr>
                <w:rFonts w:ascii="Verdana" w:eastAsia="Verdana" w:hAnsi="Verdana" w:cs="Verdana"/>
                <w:b/>
                <w:noProof/>
                <w:color w:val="000000"/>
                <w:sz w:val="16"/>
              </w:rPr>
            </w:pPr>
            <w:r>
              <w:rPr>
                <w:rFonts w:ascii="Verdana" w:eastAsia="Verdana" w:hAnsi="Verdana" w:cs="Verdana"/>
                <w:b/>
                <w:noProof/>
                <w:color w:val="000000"/>
                <w:sz w:val="16"/>
              </w:rPr>
              <w:t>Total</w:t>
            </w:r>
          </w:p>
        </w:tc>
        <w:tc>
          <w:tcPr>
            <w:tcW w:w="3260" w:type="dxa"/>
            <w:tcBorders>
              <w:top w:val="nil"/>
              <w:left w:val="nil"/>
              <w:bottom w:val="nil"/>
              <w:right w:val="nil"/>
              <w:tl2br w:val="nil"/>
              <w:tr2bl w:val="nil"/>
            </w:tcBorders>
            <w:shd w:val="solid" w:color="CCE1EA" w:fill="FFFFFF"/>
            <w:tcMar>
              <w:left w:w="60" w:type="dxa"/>
              <w:right w:w="60" w:type="dxa"/>
            </w:tcMar>
            <w:vAlign w:val="center"/>
          </w:tcPr>
          <w:p w:rsidR="00135552" w:rsidRDefault="00135552">
            <w:pPr>
              <w:pStyle w:val="DMETW17256BIPAgencies2TypeofRevenue"/>
              <w:jc w:val="right"/>
              <w:rPr>
                <w:rFonts w:ascii="Verdana" w:eastAsia="Verdana" w:hAnsi="Verdana" w:cs="Verdana"/>
                <w:b/>
                <w:noProof/>
                <w:color w:val="000000"/>
                <w:sz w:val="16"/>
              </w:rPr>
            </w:pPr>
          </w:p>
        </w:tc>
        <w:tc>
          <w:tcPr>
            <w:tcW w:w="1276"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2TypeofRevenue"/>
              <w:jc w:val="right"/>
              <w:rPr>
                <w:rFonts w:ascii="Verdana" w:eastAsia="Verdana" w:hAnsi="Verdana" w:cs="Verdana"/>
                <w:b/>
                <w:noProof/>
                <w:color w:val="000000"/>
                <w:sz w:val="16"/>
              </w:rPr>
            </w:pPr>
            <w:r>
              <w:rPr>
                <w:rFonts w:ascii="Verdana" w:eastAsia="Verdana" w:hAnsi="Verdana" w:cs="Verdana"/>
                <w:b/>
                <w:noProof/>
                <w:color w:val="000000"/>
                <w:sz w:val="16"/>
              </w:rPr>
              <w:t>3 626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2TypeofRevenue"/>
              <w:jc w:val="right"/>
              <w:rPr>
                <w:rFonts w:ascii="Verdana" w:eastAsia="Verdana" w:hAnsi="Verdana" w:cs="Verdana"/>
                <w:b/>
                <w:noProof/>
                <w:color w:val="000000"/>
                <w:sz w:val="16"/>
              </w:rPr>
            </w:pPr>
            <w:r>
              <w:rPr>
                <w:rFonts w:ascii="Verdana" w:eastAsia="Verdana" w:hAnsi="Verdana" w:cs="Verdana"/>
                <w:b/>
                <w:noProof/>
                <w:color w:val="000000"/>
                <w:sz w:val="16"/>
              </w:rPr>
              <w:t>4 533</w:t>
            </w:r>
          </w:p>
        </w:tc>
      </w:tr>
    </w:tbl>
    <w:p w:rsidR="00135552" w:rsidRDefault="00135552">
      <w:pPr>
        <w:pStyle w:val="DGTextstand-alone"/>
      </w:pPr>
    </w:p>
    <w:p w:rsidR="00135552" w:rsidRDefault="004C63B0">
      <w:pPr>
        <w:pStyle w:val="DGTextstand-alone"/>
      </w:pPr>
      <w:r>
        <w:br w:type="page"/>
      </w:r>
    </w:p>
    <w:p w:rsidR="00135552" w:rsidRDefault="004C63B0">
      <w:pPr>
        <w:pStyle w:val="HEADER2PartBUDG"/>
        <w:rPr>
          <w:noProof/>
          <w:lang w:val="en-GB"/>
        </w:rPr>
      </w:pPr>
      <w:bookmarkStart w:id="276" w:name="_Toc43223242"/>
      <w:r>
        <w:rPr>
          <w:noProof/>
          <w:lang w:val="en-GB"/>
        </w:rPr>
        <w:t xml:space="preserve">COMMITMENT AND PAYMENT APPROPRIATIONS BY </w:t>
      </w:r>
      <w:r>
        <w:rPr>
          <w:noProof/>
          <w:lang w:val="en-GB"/>
        </w:rPr>
        <w:tab/>
        <w:t>AGENCY</w:t>
      </w:r>
      <w:bookmarkEnd w:id="276"/>
      <w:r>
        <w:rPr>
          <w:noProof/>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5"/>
        <w:gridCol w:w="1038"/>
        <w:gridCol w:w="1043"/>
        <w:gridCol w:w="1043"/>
        <w:gridCol w:w="1043"/>
      </w:tblGrid>
      <w:tr w:rsidR="00135552">
        <w:trPr>
          <w:trHeight w:val="340"/>
          <w:tblHeader/>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3CommitmentsPayments"/>
              <w:rPr>
                <w:rFonts w:ascii="Verdana" w:eastAsia="Verdana" w:hAnsi="Verdana" w:cs="Verdana"/>
                <w:noProof/>
                <w:color w:val="000000"/>
                <w:sz w:val="16"/>
                <w:lang w:bidi="en-GB"/>
              </w:rPr>
            </w:pPr>
            <w:bookmarkStart w:id="277" w:name="DOC_TBL00119_1_1"/>
            <w:bookmarkEnd w:id="277"/>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Agencies3CommitmentsPayments"/>
              <w:jc w:val="center"/>
              <w:rPr>
                <w:rFonts w:ascii="Verdana" w:eastAsia="Verdana" w:hAnsi="Verdana" w:cs="Verdana"/>
                <w:noProof/>
                <w:color w:val="FFFFFF"/>
                <w:sz w:val="16"/>
              </w:rPr>
            </w:pPr>
          </w:p>
        </w:tc>
        <w:tc>
          <w:tcPr>
            <w:tcW w:w="1038"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b/>
                <w:noProof/>
                <w:color w:val="FFFFFF"/>
                <w:sz w:val="16"/>
              </w:rPr>
            </w:pPr>
            <w:r>
              <w:rPr>
                <w:rFonts w:ascii="Verdana" w:eastAsia="Verdana" w:hAnsi="Verdana" w:cs="Verdana"/>
                <w:b/>
                <w:noProof/>
                <w:color w:val="FFFFFF"/>
                <w:sz w:val="16"/>
              </w:rPr>
              <w:t>Commitment appropriations</w:t>
            </w:r>
          </w:p>
        </w:tc>
        <w:tc>
          <w:tcPr>
            <w:tcW w:w="1043"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b/>
                <w:noProof/>
                <w:color w:val="FFFFFF"/>
                <w:sz w:val="16"/>
                <w:lang w:bidi="en-GB"/>
              </w:rPr>
            </w:pPr>
            <w:r>
              <w:rPr>
                <w:rFonts w:ascii="Verdana" w:eastAsia="Verdana" w:hAnsi="Verdana" w:cs="Verdana"/>
                <w:b/>
                <w:noProof/>
                <w:color w:val="FFFFFF"/>
                <w:sz w:val="16"/>
              </w:rPr>
              <w:t>Payment appropriations</w:t>
            </w:r>
          </w:p>
        </w:tc>
      </w:tr>
      <w:tr w:rsidR="00135552">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noProof/>
                <w:color w:val="FFFFFF"/>
                <w:sz w:val="16"/>
              </w:rPr>
            </w:pPr>
            <w:r>
              <w:rPr>
                <w:rFonts w:ascii="Verdana" w:eastAsia="Verdana" w:hAnsi="Verdana" w:cs="Verdana"/>
                <w:noProof/>
                <w:color w:val="FFFFFF"/>
                <w:sz w:val="16"/>
              </w:rPr>
              <w:t>Agency</w:t>
            </w:r>
          </w:p>
        </w:tc>
        <w:tc>
          <w:tcPr>
            <w:tcW w:w="103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noProof/>
                <w:color w:val="FFFFFF"/>
                <w:sz w:val="16"/>
              </w:rPr>
            </w:pPr>
            <w:r>
              <w:rPr>
                <w:rFonts w:ascii="Verdana" w:eastAsia="Verdana" w:hAnsi="Verdana" w:cs="Verdana"/>
                <w:noProof/>
                <w:color w:val="FFFFFF"/>
                <w:sz w:val="16"/>
              </w:rPr>
              <w:t xml:space="preserve">Total appropr. </w:t>
            </w:r>
            <w:r>
              <w:rPr>
                <w:rFonts w:ascii="Verdana" w:eastAsia="Verdana" w:hAnsi="Verdana" w:cs="Verdana"/>
                <w:noProof/>
                <w:color w:val="FFFFFF"/>
                <w:sz w:val="16"/>
              </w:rPr>
              <w:t>available</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noProof/>
                <w:color w:val="FFFFFF"/>
                <w:sz w:val="16"/>
              </w:rPr>
            </w:pPr>
            <w:r>
              <w:rPr>
                <w:rFonts w:ascii="Verdana" w:eastAsia="Verdana" w:hAnsi="Verdana" w:cs="Verdana"/>
                <w:noProof/>
                <w:color w:val="FFFFFF"/>
                <w:sz w:val="16"/>
              </w:rPr>
              <w:t>Commit. made</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noProof/>
                <w:color w:val="FFFFFF"/>
                <w:sz w:val="16"/>
              </w:rPr>
            </w:pPr>
            <w:r>
              <w:rPr>
                <w:rFonts w:ascii="Verdana" w:eastAsia="Verdana" w:hAnsi="Verdana" w:cs="Verdana"/>
                <w:noProof/>
                <w:color w:val="FFFFFF"/>
                <w:sz w:val="16"/>
              </w:rPr>
              <w:t>Total appropr. available</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3CommitmentsPayments"/>
              <w:jc w:val="center"/>
              <w:rPr>
                <w:rFonts w:ascii="Verdana" w:eastAsia="Verdana" w:hAnsi="Verdana" w:cs="Verdana"/>
                <w:noProof/>
                <w:color w:val="FFFFFF"/>
                <w:sz w:val="16"/>
                <w:lang w:bidi="en-GB"/>
              </w:rPr>
            </w:pPr>
            <w:r>
              <w:rPr>
                <w:rFonts w:ascii="Verdana" w:eastAsia="Verdana" w:hAnsi="Verdana" w:cs="Verdana"/>
                <w:noProof/>
                <w:color w:val="FFFFFF"/>
                <w:sz w:val="16"/>
              </w:rPr>
              <w:t>Payments made</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Agency for Operational Management of Large-Scale IT Systems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133</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Agency for the Cooperation of Energy Regulators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 xml:space="preserve">Body of European Regulators for Electronic </w:t>
            </w:r>
            <w:r>
              <w:rPr>
                <w:rFonts w:ascii="Verdana" w:eastAsia="Verdana" w:hAnsi="Verdana" w:cs="Verdana"/>
                <w:noProof/>
                <w:color w:val="000000"/>
                <w:sz w:val="16"/>
              </w:rPr>
              <w:t>Communications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Community Plant Variety Office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Consumers, Health, Agriculture and Food Executive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Education, Audiovisual and Culture Executive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Agency for Safety and Health</w:t>
            </w:r>
            <w:r>
              <w:rPr>
                <w:rFonts w:ascii="Verdana" w:eastAsia="Verdana" w:hAnsi="Verdana" w:cs="Verdana"/>
                <w:noProof/>
                <w:color w:val="000000"/>
                <w:sz w:val="16"/>
              </w:rPr>
              <w:t xml:space="preserve"> at Work</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Asylum Support Office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109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94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96</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Banking Authority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46</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Border and Coast Guard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357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318</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Centre for Disease Prevention and Control</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58</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w:t>
            </w:r>
            <w:r>
              <w:rPr>
                <w:rFonts w:ascii="Verdana" w:eastAsia="Verdana" w:hAnsi="Verdana" w:cs="Verdana"/>
                <w:noProof/>
                <w:color w:val="000000"/>
                <w:sz w:val="16"/>
              </w:rPr>
              <w:t xml:space="preserve"> Centre for the Development of Vocational Training</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Chemicals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110</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Environment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60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92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Fisheries Control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Food Safety Authority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Global Navigation Satellite Systems (GNSS)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1 164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1 211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560</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Institute for Gender Equality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8</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Institute of Innovation and Technology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558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415</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 xml:space="preserve">European Insurance and Occupational Pensions </w:t>
            </w:r>
            <w:r>
              <w:rPr>
                <w:rFonts w:ascii="Verdana" w:eastAsia="Verdana" w:hAnsi="Verdana" w:cs="Verdana"/>
                <w:noProof/>
                <w:color w:val="000000"/>
                <w:sz w:val="16"/>
              </w:rPr>
              <w:t>Authority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Maritime Safety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105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98</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Medicines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375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362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345</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Monitoring Centre for Drugs and Drug Addiction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Research Council</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51</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 xml:space="preserve">European </w:t>
            </w:r>
            <w:r>
              <w:rPr>
                <w:rFonts w:ascii="Verdana" w:eastAsia="Verdana" w:hAnsi="Verdana" w:cs="Verdana"/>
                <w:noProof/>
                <w:color w:val="000000"/>
                <w:sz w:val="16"/>
              </w:rPr>
              <w:t>Securities and Markets Authority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Training Foundation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20</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Agency for Criminal Justice Cooperation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40</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Agency for Cybersecurity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13</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 xml:space="preserve">European Union Agency for Law </w:t>
            </w:r>
            <w:r>
              <w:rPr>
                <w:rFonts w:ascii="Verdana" w:eastAsia="Verdana" w:hAnsi="Verdana" w:cs="Verdana"/>
                <w:noProof/>
                <w:color w:val="000000"/>
                <w:sz w:val="16"/>
              </w:rPr>
              <w:t>Enforcement Cooperation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150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169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144</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Agency for Law Enforcement Training</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14</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Agency for Railways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Aviation Safety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189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267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163</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 xml:space="preserve">European Union Fundamental </w:t>
            </w:r>
            <w:r>
              <w:rPr>
                <w:rFonts w:ascii="Verdana" w:eastAsia="Verdana" w:hAnsi="Verdana" w:cs="Verdana"/>
                <w:noProof/>
                <w:color w:val="000000"/>
                <w:sz w:val="16"/>
              </w:rPr>
              <w:t>Rights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23</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European Union Intellectual Property Office</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477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240</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Executive Agency for Small and Medium-sized Enterprises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47</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Foundation for Improvement of Living and Working Conditions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21</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Fusion for</w:t>
            </w:r>
            <w:r>
              <w:rPr>
                <w:rFonts w:ascii="Verdana" w:eastAsia="Verdana" w:hAnsi="Verdana" w:cs="Verdana"/>
                <w:noProof/>
                <w:color w:val="000000"/>
                <w:sz w:val="16"/>
              </w:rPr>
              <w:t xml:space="preserve"> Energy Joint Undertaking</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728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761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739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Innovation and Networks Executive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29</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Research Executive Agency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82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75</w:t>
            </w:r>
          </w:p>
        </w:tc>
      </w:tr>
      <w:tr w:rsidR="00135552">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rPr>
                <w:rFonts w:ascii="Verdana" w:eastAsia="Verdana" w:hAnsi="Verdana" w:cs="Verdana"/>
                <w:noProof/>
                <w:color w:val="000000"/>
                <w:sz w:val="16"/>
              </w:rPr>
            </w:pPr>
            <w:r>
              <w:rPr>
                <w:rFonts w:ascii="Verdana" w:eastAsia="Verdana" w:hAnsi="Verdana" w:cs="Verdana"/>
                <w:noProof/>
                <w:color w:val="000000"/>
                <w:sz w:val="16"/>
              </w:rPr>
              <w:t>Translation Centre for the Bodies of the European Union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rPr>
            </w:pPr>
            <w:r>
              <w:rPr>
                <w:rFonts w:ascii="Verdana" w:eastAsia="Verdana" w:hAnsi="Verdana" w:cs="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3CommitmentsPayments"/>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42</w:t>
            </w:r>
          </w:p>
        </w:tc>
      </w:tr>
      <w:tr w:rsidR="00135552">
        <w:trPr>
          <w:trHeight w:val="340"/>
        </w:trPr>
        <w:tc>
          <w:tcPr>
            <w:tcW w:w="5585"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3CommitmentsPayments"/>
              <w:rPr>
                <w:rFonts w:ascii="Verdana" w:eastAsia="Verdana" w:hAnsi="Verdana" w:cs="Verdana"/>
                <w:b/>
                <w:noProof/>
                <w:color w:val="000000"/>
                <w:sz w:val="16"/>
              </w:rPr>
            </w:pPr>
            <w:r>
              <w:rPr>
                <w:rFonts w:ascii="Verdana" w:eastAsia="Verdana" w:hAnsi="Verdana" w:cs="Verdana"/>
                <w:b/>
                <w:noProof/>
                <w:color w:val="000000"/>
                <w:sz w:val="16"/>
              </w:rPr>
              <w:t>Total</w:t>
            </w:r>
          </w:p>
        </w:tc>
        <w:tc>
          <w:tcPr>
            <w:tcW w:w="103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3CommitmentsPayments"/>
              <w:jc w:val="right"/>
              <w:rPr>
                <w:rFonts w:ascii="Verdana" w:eastAsia="Verdana" w:hAnsi="Verdana" w:cs="Verdana"/>
                <w:b/>
                <w:noProof/>
                <w:color w:val="000000"/>
                <w:sz w:val="16"/>
              </w:rPr>
            </w:pPr>
            <w:r>
              <w:rPr>
                <w:rFonts w:ascii="Verdana" w:eastAsia="Verdana" w:hAnsi="Verdana" w:cs="Verdana"/>
                <w:b/>
                <w:noProof/>
                <w:color w:val="000000"/>
                <w:sz w:val="16"/>
              </w:rPr>
              <w:t>5 678</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3CommitmentsPayments"/>
              <w:jc w:val="right"/>
              <w:rPr>
                <w:rFonts w:ascii="Verdana" w:eastAsia="Verdana" w:hAnsi="Verdana" w:cs="Verdana"/>
                <w:b/>
                <w:noProof/>
                <w:color w:val="000000"/>
                <w:sz w:val="16"/>
              </w:rPr>
            </w:pPr>
            <w:r>
              <w:rPr>
                <w:rFonts w:ascii="Verdana" w:eastAsia="Verdana" w:hAnsi="Verdana" w:cs="Verdana"/>
                <w:b/>
                <w:noProof/>
                <w:color w:val="000000"/>
                <w:sz w:val="16"/>
              </w:rPr>
              <w:t>4 225</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3CommitmentsPayments"/>
              <w:jc w:val="right"/>
              <w:rPr>
                <w:rFonts w:ascii="Verdana" w:eastAsia="Verdana" w:hAnsi="Verdana" w:cs="Verdana"/>
                <w:b/>
                <w:noProof/>
                <w:color w:val="000000"/>
                <w:sz w:val="16"/>
              </w:rPr>
            </w:pPr>
            <w:r>
              <w:rPr>
                <w:rFonts w:ascii="Verdana" w:eastAsia="Verdana" w:hAnsi="Verdana" w:cs="Verdana"/>
                <w:b/>
                <w:noProof/>
                <w:color w:val="000000"/>
                <w:sz w:val="16"/>
              </w:rPr>
              <w:t>5 806</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3CommitmentsPayments"/>
              <w:jc w:val="right"/>
              <w:rPr>
                <w:rFonts w:ascii="Verdana" w:eastAsia="Verdana" w:hAnsi="Verdana" w:cs="Verdana"/>
                <w:b/>
                <w:noProof/>
                <w:color w:val="000000"/>
                <w:sz w:val="16"/>
              </w:rPr>
            </w:pPr>
            <w:r>
              <w:rPr>
                <w:rFonts w:ascii="Verdana" w:eastAsia="Verdana" w:hAnsi="Verdana" w:cs="Verdana"/>
                <w:b/>
                <w:noProof/>
                <w:color w:val="000000"/>
                <w:sz w:val="16"/>
              </w:rPr>
              <w:t>4 253</w:t>
            </w:r>
          </w:p>
        </w:tc>
      </w:tr>
    </w:tbl>
    <w:p w:rsidR="00135552" w:rsidRDefault="00135552">
      <w:pPr>
        <w:pStyle w:val="DGTextstand-alone"/>
        <w:rPr>
          <w:lang w:bidi="en-GB"/>
        </w:rPr>
      </w:pPr>
    </w:p>
    <w:tbl>
      <w:tblPr>
        <w:tblW w:w="963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851"/>
        <w:gridCol w:w="992"/>
        <w:gridCol w:w="1134"/>
        <w:gridCol w:w="992"/>
      </w:tblGrid>
      <w:tr w:rsidR="00135552">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4TypeofExpenditure"/>
              <w:rPr>
                <w:rFonts w:ascii="Verdana" w:eastAsia="Verdana" w:hAnsi="Verdana" w:cs="Verdana"/>
                <w:noProof/>
                <w:color w:val="000000"/>
                <w:sz w:val="16"/>
                <w:lang w:bidi="en-GB"/>
              </w:rPr>
            </w:pPr>
            <w:bookmarkStart w:id="278" w:name="DOC_TBL00120_1_1"/>
            <w:bookmarkEnd w:id="278"/>
          </w:p>
        </w:tc>
        <w:tc>
          <w:tcPr>
            <w:tcW w:w="851"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4TypeofExpenditure"/>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135552">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rsidR="00135552">
        <w:trPr>
          <w:trHeight w:val="544"/>
        </w:trPr>
        <w:tc>
          <w:tcPr>
            <w:tcW w:w="5668" w:type="dxa"/>
            <w:tcBorders>
              <w:top w:val="nil"/>
              <w:left w:val="nil"/>
              <w:bottom w:val="nil"/>
              <w:right w:val="nil"/>
              <w:tl2br w:val="nil"/>
              <w:tr2bl w:val="nil"/>
            </w:tcBorders>
            <w:shd w:val="solid" w:color="016794" w:fill="FFFFFF"/>
            <w:tcMar>
              <w:left w:w="60" w:type="dxa"/>
              <w:right w:w="60" w:type="dxa"/>
            </w:tcMar>
            <w:vAlign w:val="center"/>
          </w:tcPr>
          <w:p w:rsidR="00135552" w:rsidRDefault="00135552">
            <w:pPr>
              <w:pStyle w:val="DMETW17256BIPAgencies4TypeofExpenditure"/>
              <w:jc w:val="center"/>
              <w:rPr>
                <w:rFonts w:ascii="Verdana" w:eastAsia="Verdana" w:hAnsi="Verdana" w:cs="Verdana"/>
                <w:noProof/>
                <w:color w:val="FFFFFF"/>
                <w:sz w:val="16"/>
              </w:rPr>
            </w:pPr>
          </w:p>
        </w:tc>
        <w:tc>
          <w:tcPr>
            <w:tcW w:w="851"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b/>
                <w:noProof/>
                <w:color w:val="FFFFFF"/>
                <w:sz w:val="16"/>
              </w:rPr>
            </w:pPr>
            <w:r>
              <w:rPr>
                <w:rFonts w:ascii="Verdana" w:eastAsia="Verdana" w:hAnsi="Verdana" w:cs="Verdana"/>
                <w:b/>
                <w:noProof/>
                <w:color w:val="FFFFFF"/>
                <w:sz w:val="16"/>
              </w:rPr>
              <w:t>Commitment appropriations</w:t>
            </w: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b/>
                <w:noProof/>
                <w:color w:val="FFFFFF"/>
                <w:sz w:val="16"/>
                <w:lang w:bidi="en-GB"/>
              </w:rPr>
            </w:pPr>
            <w:r>
              <w:rPr>
                <w:rFonts w:ascii="Verdana" w:eastAsia="Verdana" w:hAnsi="Verdana" w:cs="Verdana"/>
                <w:b/>
                <w:noProof/>
                <w:color w:val="FFFFFF"/>
                <w:sz w:val="16"/>
              </w:rPr>
              <w:t>Payment appropriations</w:t>
            </w:r>
          </w:p>
        </w:tc>
      </w:tr>
      <w:tr w:rsidR="00135552">
        <w:trPr>
          <w:trHeight w:val="340"/>
        </w:trPr>
        <w:tc>
          <w:tcPr>
            <w:tcW w:w="5668"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noProof/>
                <w:color w:val="FFFFFF"/>
                <w:sz w:val="16"/>
              </w:rPr>
            </w:pPr>
            <w:r>
              <w:rPr>
                <w:rFonts w:ascii="Verdana" w:eastAsia="Verdana" w:hAnsi="Verdana" w:cs="Verdana"/>
                <w:noProof/>
                <w:color w:val="FFFFFF"/>
                <w:sz w:val="16"/>
              </w:rPr>
              <w:t>Type of expenditure</w:t>
            </w:r>
          </w:p>
        </w:tc>
        <w:tc>
          <w:tcPr>
            <w:tcW w:w="851"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noProof/>
                <w:color w:val="FFFFFF"/>
                <w:sz w:val="16"/>
              </w:rPr>
            </w:pPr>
            <w:r>
              <w:rPr>
                <w:rFonts w:ascii="Verdana" w:eastAsia="Verdana" w:hAnsi="Verdana" w:cs="Verdana"/>
                <w:noProof/>
                <w:color w:val="FFFFFF"/>
                <w:sz w:val="16"/>
              </w:rPr>
              <w:t>Total appropr. available</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noProof/>
                <w:color w:val="FFFFFF"/>
                <w:sz w:val="16"/>
              </w:rPr>
            </w:pPr>
            <w:r>
              <w:rPr>
                <w:rFonts w:ascii="Verdana" w:eastAsia="Verdana" w:hAnsi="Verdana" w:cs="Verdana"/>
                <w:noProof/>
                <w:color w:val="FFFFFF"/>
                <w:sz w:val="16"/>
              </w:rPr>
              <w:t>Commit. made</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noProof/>
                <w:color w:val="FFFFFF"/>
                <w:sz w:val="16"/>
              </w:rPr>
            </w:pPr>
            <w:r>
              <w:rPr>
                <w:rFonts w:ascii="Verdana" w:eastAsia="Verdana" w:hAnsi="Verdana" w:cs="Verdana"/>
                <w:noProof/>
                <w:color w:val="FFFFFF"/>
                <w:sz w:val="16"/>
              </w:rPr>
              <w:t>Total appropr. available</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135552" w:rsidRDefault="004C63B0">
            <w:pPr>
              <w:pStyle w:val="DMETW17256BIPAgencies4TypeofExpenditure"/>
              <w:jc w:val="center"/>
              <w:rPr>
                <w:rFonts w:ascii="Verdana" w:eastAsia="Verdana" w:hAnsi="Verdana" w:cs="Verdana"/>
                <w:noProof/>
                <w:color w:val="FFFFFF"/>
                <w:sz w:val="16"/>
                <w:lang w:bidi="en-GB"/>
              </w:rPr>
            </w:pPr>
            <w:r>
              <w:rPr>
                <w:rFonts w:ascii="Verdana" w:eastAsia="Verdana" w:hAnsi="Verdana" w:cs="Verdana"/>
                <w:noProof/>
                <w:color w:val="FFFFFF"/>
                <w:sz w:val="16"/>
              </w:rPr>
              <w:t>Payments made</w:t>
            </w:r>
          </w:p>
        </w:tc>
      </w:tr>
      <w:tr w:rsidR="00135552">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rPr>
                <w:rFonts w:ascii="Verdana" w:eastAsia="Verdana" w:hAnsi="Verdana" w:cs="Verdana"/>
                <w:noProof/>
                <w:color w:val="000000"/>
                <w:sz w:val="16"/>
              </w:rPr>
            </w:pPr>
            <w:r>
              <w:rPr>
                <w:rFonts w:ascii="Verdana" w:eastAsia="Verdana" w:hAnsi="Verdana" w:cs="Verdana"/>
                <w:noProof/>
                <w:color w:val="000000"/>
                <w:sz w:val="16"/>
              </w:rPr>
              <w:t>Staff</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1 269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1 251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1 288</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lang w:bidi="en-GB"/>
              </w:rPr>
            </w:pPr>
            <w:r>
              <w:rPr>
                <w:rFonts w:ascii="Verdana" w:eastAsia="Verdana" w:hAnsi="Verdana" w:cs="Verdana"/>
                <w:noProof/>
                <w:color w:val="000000"/>
                <w:sz w:val="16"/>
              </w:rPr>
              <w:t>1 246</w:t>
            </w:r>
          </w:p>
        </w:tc>
      </w:tr>
      <w:tr w:rsidR="00135552">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rPr>
                <w:rFonts w:ascii="Verdana" w:eastAsia="Verdana" w:hAnsi="Verdana" w:cs="Verdana"/>
                <w:noProof/>
                <w:color w:val="000000"/>
                <w:sz w:val="16"/>
              </w:rPr>
            </w:pPr>
            <w:r>
              <w:rPr>
                <w:rFonts w:ascii="Verdana" w:eastAsia="Verdana" w:hAnsi="Verdana" w:cs="Verdana"/>
                <w:noProof/>
                <w:color w:val="000000"/>
                <w:sz w:val="16"/>
              </w:rPr>
              <w:t>Administrative</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 xml:space="preserve"> 430</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 xml:space="preserve">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 xml:space="preserve"> 502</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lang w:bidi="en-GB"/>
              </w:rPr>
            </w:pPr>
            <w:r>
              <w:rPr>
                <w:rFonts w:ascii="Verdana" w:eastAsia="Verdana" w:hAnsi="Verdana" w:cs="Verdana"/>
                <w:noProof/>
                <w:color w:val="000000"/>
                <w:sz w:val="16"/>
              </w:rPr>
              <w:t xml:space="preserve"> 387</w:t>
            </w:r>
          </w:p>
        </w:tc>
      </w:tr>
      <w:tr w:rsidR="00135552">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rPr>
                <w:rFonts w:ascii="Verdana" w:eastAsia="Verdana" w:hAnsi="Verdana" w:cs="Verdana"/>
                <w:noProof/>
                <w:color w:val="000000"/>
                <w:sz w:val="16"/>
              </w:rPr>
            </w:pPr>
            <w:r>
              <w:rPr>
                <w:rFonts w:ascii="Verdana" w:eastAsia="Verdana" w:hAnsi="Verdana" w:cs="Verdana"/>
                <w:noProof/>
                <w:color w:val="000000"/>
                <w:sz w:val="16"/>
              </w:rPr>
              <w:t>Operational</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3 979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2 561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rPr>
            </w:pPr>
            <w:r>
              <w:rPr>
                <w:rFonts w:ascii="Verdana" w:eastAsia="Verdana" w:hAnsi="Verdana" w:cs="Verdana"/>
                <w:noProof/>
                <w:color w:val="000000"/>
                <w:sz w:val="16"/>
              </w:rPr>
              <w:t xml:space="preserve">4 </w:t>
            </w:r>
            <w:r>
              <w:rPr>
                <w:rFonts w:ascii="Verdana" w:eastAsia="Verdana" w:hAnsi="Verdana" w:cs="Verdana"/>
                <w:noProof/>
                <w:color w:val="000000"/>
                <w:sz w:val="16"/>
              </w:rPr>
              <w:t>016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135552" w:rsidRDefault="004C63B0">
            <w:pPr>
              <w:pStyle w:val="DMETW17256BIPAgencies4TypeofExpenditure"/>
              <w:jc w:val="right"/>
              <w:rPr>
                <w:rFonts w:ascii="Verdana" w:eastAsia="Verdana" w:hAnsi="Verdana" w:cs="Verdana"/>
                <w:noProof/>
                <w:color w:val="000000"/>
                <w:sz w:val="16"/>
                <w:lang w:bidi="en-GB"/>
              </w:rPr>
            </w:pPr>
            <w:r>
              <w:rPr>
                <w:rFonts w:ascii="Verdana" w:eastAsia="Verdana" w:hAnsi="Verdana" w:cs="Verdana"/>
                <w:noProof/>
                <w:color w:val="000000"/>
                <w:sz w:val="16"/>
              </w:rPr>
              <w:t>2 621</w:t>
            </w:r>
          </w:p>
        </w:tc>
      </w:tr>
      <w:tr w:rsidR="00135552">
        <w:trPr>
          <w:trHeight w:val="340"/>
        </w:trPr>
        <w:tc>
          <w:tcPr>
            <w:tcW w:w="5668"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4TypeofExpenditure"/>
              <w:rPr>
                <w:rFonts w:ascii="Verdana" w:eastAsia="Verdana" w:hAnsi="Verdana" w:cs="Verdana"/>
                <w:b/>
                <w:noProof/>
                <w:color w:val="000000"/>
                <w:sz w:val="16"/>
              </w:rPr>
            </w:pPr>
            <w:r>
              <w:rPr>
                <w:rFonts w:ascii="Verdana" w:eastAsia="Verdana" w:hAnsi="Verdana" w:cs="Verdana"/>
                <w:b/>
                <w:noProof/>
                <w:color w:val="000000"/>
                <w:sz w:val="16"/>
              </w:rPr>
              <w:t>Total</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4TypeofExpenditure"/>
              <w:jc w:val="right"/>
              <w:rPr>
                <w:rFonts w:ascii="Verdana" w:eastAsia="Verdana" w:hAnsi="Verdana" w:cs="Verdana"/>
                <w:b/>
                <w:noProof/>
                <w:color w:val="000000"/>
                <w:sz w:val="16"/>
              </w:rPr>
            </w:pPr>
            <w:r>
              <w:rPr>
                <w:rFonts w:ascii="Verdana" w:eastAsia="Verdana" w:hAnsi="Verdana" w:cs="Verdana"/>
                <w:b/>
                <w:noProof/>
                <w:color w:val="000000"/>
                <w:sz w:val="16"/>
              </w:rPr>
              <w:t>5 678</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4TypeofExpenditure"/>
              <w:jc w:val="right"/>
              <w:rPr>
                <w:rFonts w:ascii="Verdana" w:eastAsia="Verdana" w:hAnsi="Verdana" w:cs="Verdana"/>
                <w:b/>
                <w:noProof/>
                <w:color w:val="000000"/>
                <w:sz w:val="16"/>
              </w:rPr>
            </w:pPr>
            <w:r>
              <w:rPr>
                <w:rFonts w:ascii="Verdana" w:eastAsia="Verdana" w:hAnsi="Verdana" w:cs="Verdana"/>
                <w:b/>
                <w:noProof/>
                <w:color w:val="000000"/>
                <w:sz w:val="16"/>
              </w:rPr>
              <w:t>4 225</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4TypeofExpenditure"/>
              <w:jc w:val="right"/>
              <w:rPr>
                <w:rFonts w:ascii="Verdana" w:eastAsia="Verdana" w:hAnsi="Verdana" w:cs="Verdana"/>
                <w:b/>
                <w:noProof/>
                <w:color w:val="000000"/>
                <w:sz w:val="16"/>
              </w:rPr>
            </w:pPr>
            <w:r>
              <w:rPr>
                <w:rFonts w:ascii="Verdana" w:eastAsia="Verdana" w:hAnsi="Verdana" w:cs="Verdana"/>
                <w:b/>
                <w:noProof/>
                <w:color w:val="000000"/>
                <w:sz w:val="16"/>
              </w:rPr>
              <w:t>5 806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135552" w:rsidRDefault="004C63B0">
            <w:pPr>
              <w:pStyle w:val="DMETW17256BIPAgencies4TypeofExpenditure"/>
              <w:jc w:val="right"/>
              <w:rPr>
                <w:rFonts w:ascii="Verdana" w:eastAsia="Verdana" w:hAnsi="Verdana" w:cs="Verdana"/>
                <w:b/>
                <w:noProof/>
                <w:color w:val="000000"/>
                <w:sz w:val="16"/>
              </w:rPr>
            </w:pPr>
            <w:r>
              <w:rPr>
                <w:rFonts w:ascii="Verdana" w:eastAsia="Verdana" w:hAnsi="Verdana" w:cs="Verdana"/>
                <w:b/>
                <w:noProof/>
                <w:color w:val="000000"/>
                <w:sz w:val="16"/>
              </w:rPr>
              <w:t>4 253</w:t>
            </w:r>
          </w:p>
        </w:tc>
      </w:tr>
    </w:tbl>
    <w:p w:rsidR="00135552" w:rsidRDefault="00135552">
      <w:pPr>
        <w:pStyle w:val="DGTextstand-alone"/>
        <w:rPr>
          <w:lang w:bidi="en-GB"/>
        </w:rPr>
      </w:pPr>
    </w:p>
    <w:bookmarkEnd w:id="271"/>
    <w:p w:rsidR="00135552" w:rsidRDefault="00135552">
      <w:pPr>
        <w:pStyle w:val="DGTextstand-alone"/>
        <w:rPr>
          <w:lang w:bidi="en-GB"/>
        </w:rPr>
        <w:sectPr w:rsidR="00135552">
          <w:headerReference w:type="even" r:id="rId414"/>
          <w:headerReference w:type="default" r:id="rId415"/>
          <w:footerReference w:type="even" r:id="rId416"/>
          <w:footerReference w:type="default" r:id="rId417"/>
          <w:headerReference w:type="first" r:id="rId418"/>
          <w:footerReference w:type="first" r:id="rId419"/>
          <w:pgSz w:w="11900" w:h="16840"/>
          <w:pgMar w:top="1134" w:right="1134" w:bottom="1134" w:left="1134" w:header="709" w:footer="709" w:gutter="0"/>
          <w:cols w:space="720"/>
        </w:sectPr>
      </w:pPr>
    </w:p>
    <w:p w:rsidR="00135552" w:rsidRDefault="004C63B0">
      <w:pPr>
        <w:pStyle w:val="FIRSTCHAPTERPAGE"/>
        <w:rPr>
          <w:noProof/>
        </w:rPr>
      </w:pPr>
      <w:bookmarkStart w:id="279" w:name="_Toc43224159"/>
      <w:bookmarkStart w:id="280" w:name="_DMBM_17258"/>
      <w:r>
        <w:rPr>
          <w:noProof/>
        </w:rPr>
        <w:t>GLOSSARY</w:t>
      </w:r>
      <w:bookmarkEnd w:id="279"/>
    </w:p>
    <w:p w:rsidR="00135552" w:rsidRDefault="004C63B0">
      <w:pPr>
        <w:pStyle w:val="HEADER5"/>
        <w:rPr>
          <w:noProof/>
        </w:rPr>
      </w:pPr>
      <w:r>
        <w:rPr>
          <w:noProof/>
        </w:rPr>
        <w:t>Actuarial assumptions</w:t>
      </w:r>
    </w:p>
    <w:p w:rsidR="00135552" w:rsidRDefault="004C63B0">
      <w:pPr>
        <w:pStyle w:val="DGTextstand-alone"/>
      </w:pPr>
      <w:r>
        <w:t xml:space="preserve">Assumptions used to calculate the costs of future events that affect the pension </w:t>
      </w:r>
      <w:r>
        <w:t>liability.</w:t>
      </w:r>
    </w:p>
    <w:p w:rsidR="00135552" w:rsidRDefault="004C63B0">
      <w:pPr>
        <w:pStyle w:val="HEADER5"/>
        <w:rPr>
          <w:noProof/>
        </w:rPr>
      </w:pPr>
      <w:r>
        <w:rPr>
          <w:noProof/>
        </w:rPr>
        <w:t>Actuarial gains and losses</w:t>
      </w:r>
    </w:p>
    <w:p w:rsidR="00135552" w:rsidRDefault="004C63B0">
      <w:pPr>
        <w:pStyle w:val="DGTextstand-alone"/>
      </w:pPr>
      <w:r>
        <w:t>For a defined benefit scheme, the changes in actuarial deficits or surpluses. They arise as a result of differences between the previous actuarial assumptions and what has actually occurred and due to effects of change</w:t>
      </w:r>
      <w:r>
        <w:t>s in actuarial assumptions.</w:t>
      </w:r>
    </w:p>
    <w:p w:rsidR="00135552" w:rsidRDefault="004C63B0">
      <w:pPr>
        <w:pStyle w:val="HEADER5"/>
        <w:rPr>
          <w:noProof/>
        </w:rPr>
      </w:pPr>
      <w:r>
        <w:rPr>
          <w:noProof/>
        </w:rPr>
        <w:t>Administrative appropriations</w:t>
      </w:r>
    </w:p>
    <w:p w:rsidR="00135552" w:rsidRDefault="004C63B0">
      <w:pPr>
        <w:pStyle w:val="DGTextstand-alone"/>
      </w:pPr>
      <w:r>
        <w:t>Administrative appropriations cover the running costs of the Institutions and entities (staff, buildings, office equipment).</w:t>
      </w:r>
    </w:p>
    <w:p w:rsidR="00135552" w:rsidRDefault="004C63B0">
      <w:pPr>
        <w:pStyle w:val="HEADER5"/>
        <w:rPr>
          <w:noProof/>
        </w:rPr>
      </w:pPr>
      <w:r>
        <w:rPr>
          <w:noProof/>
        </w:rPr>
        <w:t>Adopted budget</w:t>
      </w:r>
    </w:p>
    <w:p w:rsidR="00135552" w:rsidRDefault="004C63B0">
      <w:pPr>
        <w:pStyle w:val="DGTextstand-alone"/>
      </w:pPr>
      <w:r>
        <w:t>Draft budget becomes the adopted budget as soon as it is a</w:t>
      </w:r>
      <w:r>
        <w:t>pproved by the Budgetary Authority.</w:t>
      </w:r>
    </w:p>
    <w:p w:rsidR="00135552" w:rsidRDefault="004C63B0">
      <w:pPr>
        <w:pStyle w:val="HEADER5"/>
        <w:rPr>
          <w:noProof/>
        </w:rPr>
      </w:pPr>
      <w:r>
        <w:rPr>
          <w:noProof/>
        </w:rPr>
        <w:t>Amending budget</w:t>
      </w:r>
    </w:p>
    <w:p w:rsidR="00135552" w:rsidRDefault="004C63B0">
      <w:pPr>
        <w:pStyle w:val="DGTextstand-alone"/>
      </w:pPr>
      <w:r>
        <w:t>Decision adopted during the budget year to amend (increase, decrease, transfer) aspects of the adopted budget of that year.</w:t>
      </w:r>
    </w:p>
    <w:p w:rsidR="00135552" w:rsidRDefault="004C63B0">
      <w:pPr>
        <w:pStyle w:val="HEADER5"/>
        <w:rPr>
          <w:noProof/>
        </w:rPr>
      </w:pPr>
      <w:r>
        <w:rPr>
          <w:noProof/>
        </w:rPr>
        <w:t>Amounts to be called from Member States</w:t>
      </w:r>
    </w:p>
    <w:p w:rsidR="00135552" w:rsidRDefault="004C63B0">
      <w:pPr>
        <w:pStyle w:val="DGTextstand-alone"/>
      </w:pPr>
      <w:r>
        <w:t>These represent expenses incurred during</w:t>
      </w:r>
      <w:r>
        <w:t xml:space="preserve"> the reporting period that will need to be funded by future budgets, i.e. by the EU Member States. This is a consequence of the co-existence of accruals based financial statements and a cash based budget.</w:t>
      </w:r>
    </w:p>
    <w:p w:rsidR="00135552" w:rsidRDefault="004C63B0">
      <w:pPr>
        <w:pStyle w:val="HEADER5"/>
        <w:rPr>
          <w:noProof/>
        </w:rPr>
      </w:pPr>
      <w:r>
        <w:rPr>
          <w:noProof/>
        </w:rPr>
        <w:t>Annual Activity Report (AAR)</w:t>
      </w:r>
    </w:p>
    <w:p w:rsidR="00135552" w:rsidRDefault="004C63B0">
      <w:pPr>
        <w:pStyle w:val="DGTextstand-alone"/>
      </w:pPr>
      <w:r>
        <w:t>Annual Activity Report</w:t>
      </w:r>
      <w:r>
        <w:t>s indicate the results of operations by reference to objectives set, associated risks and the internal control structure, inter alia. Since the 2001 budget exercise for the Commission and since 2003 for all European Union institutions, the ‘authorising off</w:t>
      </w:r>
      <w:r>
        <w:t>icer by delegation’ must submit an AAR to his/her institution on the performance of his/her duties, together with financial and management information.</w:t>
      </w:r>
    </w:p>
    <w:p w:rsidR="00135552" w:rsidRDefault="004C63B0">
      <w:pPr>
        <w:pStyle w:val="HEADER5"/>
        <w:rPr>
          <w:noProof/>
        </w:rPr>
      </w:pPr>
      <w:r>
        <w:rPr>
          <w:noProof/>
        </w:rPr>
        <w:t>Appropriations</w:t>
      </w:r>
    </w:p>
    <w:p w:rsidR="00135552" w:rsidRDefault="004C63B0">
      <w:pPr>
        <w:pStyle w:val="DGTextstand-alone"/>
      </w:pPr>
      <w:r>
        <w:t>Budget funding. The budget forecasts both commitments and payments (cash or bank transfer</w:t>
      </w:r>
      <w:r>
        <w:t>s to the beneficiaries). Appropriations for commitments and payments often differ (differentiated appropriations) because multi annual programmes and projects are usually fully committed in the year they are decided and are paid over the years as the imple</w:t>
      </w:r>
      <w:r>
        <w:t>mentation of the programme and project progresses. Non-differentiated appropriations apply to administrative expenditure, for agricultural market support and direct payments and commitment appropriations equal payment appropriations.</w:t>
      </w:r>
    </w:p>
    <w:p w:rsidR="00135552" w:rsidRDefault="004C63B0">
      <w:pPr>
        <w:pStyle w:val="HEADER5"/>
        <w:rPr>
          <w:noProof/>
        </w:rPr>
      </w:pPr>
      <w:r>
        <w:rPr>
          <w:noProof/>
        </w:rPr>
        <w:t>Assigned revenue</w:t>
      </w:r>
    </w:p>
    <w:p w:rsidR="00135552" w:rsidRDefault="004C63B0">
      <w:pPr>
        <w:pStyle w:val="DGTextstand-alone"/>
      </w:pPr>
      <w:r>
        <w:t>Dedic</w:t>
      </w:r>
      <w:r>
        <w:t>ated revenue received to finance specific items of expenditure. The main source of external assigned revenue is financial contributions from third countries to programmes financed by the Union. The main source of internal assigned revenue is revenue from t</w:t>
      </w:r>
      <w:r>
        <w:t>hird parties in respect of goods, services or work supplied at their request; revenue arising from the repayment of amounts wrongly paid and revenue from the sale of publications and films.</w:t>
      </w:r>
    </w:p>
    <w:p w:rsidR="00135552" w:rsidRDefault="00135552">
      <w:pPr>
        <w:pStyle w:val="DGTextstand-alone"/>
      </w:pPr>
    </w:p>
    <w:p w:rsidR="00135552" w:rsidRDefault="00135552">
      <w:pPr>
        <w:pStyle w:val="DGTextstand-alone"/>
      </w:pPr>
    </w:p>
    <w:p w:rsidR="00135552" w:rsidRDefault="004C63B0">
      <w:pPr>
        <w:pStyle w:val="HEADER5"/>
        <w:rPr>
          <w:noProof/>
        </w:rPr>
      </w:pPr>
      <w:r>
        <w:rPr>
          <w:noProof/>
        </w:rPr>
        <w:t>Available for sale financial assets</w:t>
      </w:r>
    </w:p>
    <w:p w:rsidR="00135552" w:rsidRDefault="004C63B0">
      <w:pPr>
        <w:pStyle w:val="DGTextstand-alone"/>
      </w:pPr>
      <w:r>
        <w:t>All financial assets (except</w:t>
      </w:r>
      <w:r>
        <w:t xml:space="preserve"> derivatives) that are according to International Public Sector Accounting Standards measured at fair value and for which the changes in fair value are to be recognised in a reserve in net assets until derecognition (or impairment).</w:t>
      </w:r>
    </w:p>
    <w:p w:rsidR="00135552" w:rsidRDefault="004C63B0">
      <w:pPr>
        <w:pStyle w:val="HEADER5"/>
        <w:rPr>
          <w:noProof/>
        </w:rPr>
      </w:pPr>
      <w:r>
        <w:rPr>
          <w:noProof/>
        </w:rPr>
        <w:t>Budget line</w:t>
      </w:r>
    </w:p>
    <w:p w:rsidR="00135552" w:rsidRDefault="004C63B0">
      <w:pPr>
        <w:pStyle w:val="DGTextstand-alone"/>
      </w:pPr>
      <w:r>
        <w:t>As far as t</w:t>
      </w:r>
      <w:r>
        <w:t xml:space="preserve">he budget structure is concerned, revenue and expenditure are shown in the budget in accordance with a binding nomenclature which reflects the nature and purpose of each item, as imposed by the budgetary authority. The individual headings (title, chapter, </w:t>
      </w:r>
      <w:r>
        <w:t>article or line) provide a formal description of the nomenclature.</w:t>
      </w:r>
    </w:p>
    <w:p w:rsidR="00135552" w:rsidRDefault="004C63B0">
      <w:pPr>
        <w:pStyle w:val="HEADER5"/>
        <w:rPr>
          <w:noProof/>
        </w:rPr>
      </w:pPr>
      <w:r>
        <w:rPr>
          <w:noProof/>
        </w:rPr>
        <w:t>Cancellation of appropriations</w:t>
      </w:r>
    </w:p>
    <w:p w:rsidR="00135552" w:rsidRDefault="004C63B0">
      <w:pPr>
        <w:pStyle w:val="DGTextstand-alone"/>
      </w:pPr>
      <w:r>
        <w:t>Unused appropriations that may no longer be used.</w:t>
      </w:r>
    </w:p>
    <w:p w:rsidR="00135552" w:rsidRDefault="004C63B0">
      <w:pPr>
        <w:pStyle w:val="HEADER5"/>
        <w:rPr>
          <w:noProof/>
        </w:rPr>
      </w:pPr>
      <w:r>
        <w:rPr>
          <w:noProof/>
        </w:rPr>
        <w:t>Carryover of appropriations</w:t>
      </w:r>
    </w:p>
    <w:p w:rsidR="00135552" w:rsidRDefault="004C63B0">
      <w:pPr>
        <w:pStyle w:val="DGTextstand-alone"/>
      </w:pPr>
      <w:r>
        <w:t xml:space="preserve">Exception to the principle of annuality in so far as appropriations that could </w:t>
      </w:r>
      <w:r>
        <w:t>not be used in a given budget year may, under strict conditions, be exceptionally carried over for use during the following year.</w:t>
      </w:r>
    </w:p>
    <w:p w:rsidR="00135552" w:rsidRDefault="004C63B0">
      <w:pPr>
        <w:pStyle w:val="HEADER5"/>
        <w:rPr>
          <w:noProof/>
        </w:rPr>
      </w:pPr>
      <w:r>
        <w:rPr>
          <w:noProof/>
        </w:rPr>
        <w:t>Commitment</w:t>
      </w:r>
    </w:p>
    <w:p w:rsidR="00135552" w:rsidRDefault="004C63B0">
      <w:pPr>
        <w:pStyle w:val="DGTextstand-alone"/>
      </w:pPr>
      <w:r>
        <w:t xml:space="preserve">Legal pledge to provide finance subject to certain conditions. The EU commits itself to reimbursing its share of </w:t>
      </w:r>
      <w:r>
        <w:t>the costs of an EU funded project. Today’s commitments are tomorrow’s payments. Today’s payments are yesterday’s commitments.</w:t>
      </w:r>
    </w:p>
    <w:p w:rsidR="00135552" w:rsidRDefault="004C63B0">
      <w:pPr>
        <w:pStyle w:val="HEADER5"/>
        <w:rPr>
          <w:noProof/>
        </w:rPr>
      </w:pPr>
      <w:r>
        <w:rPr>
          <w:noProof/>
        </w:rPr>
        <w:t>Commitment appropriation</w:t>
      </w:r>
    </w:p>
    <w:p w:rsidR="00135552" w:rsidRDefault="004C63B0">
      <w:pPr>
        <w:pStyle w:val="DGTextstand-alone"/>
      </w:pPr>
      <w:r>
        <w:t>Commitment appropriations cover the total cost of legal obligations (contracts, grant agreements/decision</w:t>
      </w:r>
      <w:r>
        <w:t>s) that could be signed in the current financial year.</w:t>
      </w:r>
    </w:p>
    <w:p w:rsidR="00135552" w:rsidRDefault="004C63B0">
      <w:pPr>
        <w:pStyle w:val="HEADER5"/>
        <w:rPr>
          <w:noProof/>
        </w:rPr>
      </w:pPr>
      <w:r>
        <w:rPr>
          <w:noProof/>
        </w:rPr>
        <w:t>Current service cost</w:t>
      </w:r>
    </w:p>
    <w:p w:rsidR="00135552" w:rsidRDefault="004C63B0">
      <w:pPr>
        <w:pStyle w:val="DGTextstand-alone"/>
      </w:pPr>
      <w:r>
        <w:t>The increase in scheme liabilities arising from service in the current financial year.</w:t>
      </w:r>
    </w:p>
    <w:p w:rsidR="00135552" w:rsidRDefault="004C63B0">
      <w:pPr>
        <w:pStyle w:val="HEADER5"/>
        <w:rPr>
          <w:noProof/>
        </w:rPr>
      </w:pPr>
      <w:r>
        <w:rPr>
          <w:noProof/>
        </w:rPr>
        <w:t>Decommitment</w:t>
      </w:r>
    </w:p>
    <w:p w:rsidR="00135552" w:rsidRDefault="004C63B0">
      <w:pPr>
        <w:pStyle w:val="DGTextstand-alone"/>
      </w:pPr>
      <w:r>
        <w:t>An act whereby a previous commitment (or part of it) is cancelled.</w:t>
      </w:r>
    </w:p>
    <w:p w:rsidR="00135552" w:rsidRDefault="004C63B0">
      <w:pPr>
        <w:pStyle w:val="HEADER5"/>
        <w:rPr>
          <w:noProof/>
        </w:rPr>
      </w:pPr>
      <w:r>
        <w:rPr>
          <w:noProof/>
        </w:rPr>
        <w:t>Defined benef</w:t>
      </w:r>
      <w:r>
        <w:rPr>
          <w:noProof/>
        </w:rPr>
        <w:t>it scheme</w:t>
      </w:r>
    </w:p>
    <w:p w:rsidR="00135552" w:rsidRDefault="004C63B0">
      <w:pPr>
        <w:pStyle w:val="DGTextstand-alone"/>
      </w:pPr>
      <w:r>
        <w:t>A pension or other retirement benefit scheme where the scheme rules define the benefits independently of the contributions payable, and the benefits are not directly related to the investments of the scheme. The scheme may be funded or unfunded.</w:t>
      </w:r>
    </w:p>
    <w:p w:rsidR="00135552" w:rsidRDefault="004C63B0">
      <w:pPr>
        <w:pStyle w:val="HEADER5"/>
        <w:rPr>
          <w:noProof/>
        </w:rPr>
      </w:pPr>
      <w:r>
        <w:rPr>
          <w:noProof/>
        </w:rPr>
        <w:t>Derivatives</w:t>
      </w:r>
    </w:p>
    <w:p w:rsidR="00135552" w:rsidRDefault="004C63B0">
      <w:pPr>
        <w:pStyle w:val="DGTextstand-alone"/>
      </w:pPr>
      <w:r>
        <w:t>Financial instruments whose value is linked to changes in the value of another financial instrument, an indicator or a commodity. In contrast to the holder of a primary financial instrument (e.g. a government bond), who has an unqualified right</w:t>
      </w:r>
      <w:r>
        <w:t xml:space="preserve"> to receive cash (or some other economic benefit) in the future, the holder of a derivative has only a qualified right to receive such a benefit. An example of a derivative is currency forward contract.</w:t>
      </w:r>
    </w:p>
    <w:p w:rsidR="00135552" w:rsidRDefault="004C63B0">
      <w:pPr>
        <w:pStyle w:val="HEADER5"/>
        <w:rPr>
          <w:noProof/>
        </w:rPr>
      </w:pPr>
      <w:r>
        <w:rPr>
          <w:noProof/>
        </w:rPr>
        <w:t>Direct management</w:t>
      </w:r>
    </w:p>
    <w:p w:rsidR="00135552" w:rsidRDefault="004C63B0">
      <w:pPr>
        <w:pStyle w:val="DGTextstand-alone"/>
      </w:pPr>
      <w:r>
        <w:t>Mode of budget implementation. Unde</w:t>
      </w:r>
      <w:r>
        <w:t>r direct management the budget is implemented directly by Commission services, Executive Agencies or Trust Funds.</w:t>
      </w:r>
    </w:p>
    <w:p w:rsidR="00135552" w:rsidRDefault="004C63B0">
      <w:pPr>
        <w:pStyle w:val="HEADER5"/>
        <w:rPr>
          <w:noProof/>
        </w:rPr>
      </w:pPr>
      <w:r>
        <w:rPr>
          <w:noProof/>
        </w:rPr>
        <w:t>Discount rate</w:t>
      </w:r>
    </w:p>
    <w:p w:rsidR="00135552" w:rsidRDefault="004C63B0">
      <w:pPr>
        <w:pStyle w:val="DGTextstand-alone"/>
      </w:pPr>
      <w:r>
        <w:t>The rate used to adjust for the time value of money. Discounting is a technique used to compare costs and benefits that occur in</w:t>
      </w:r>
      <w:r>
        <w:t xml:space="preserve"> different time periods.</w:t>
      </w:r>
    </w:p>
    <w:p w:rsidR="00135552" w:rsidRDefault="004C63B0">
      <w:pPr>
        <w:pStyle w:val="HEADER5"/>
        <w:rPr>
          <w:noProof/>
        </w:rPr>
      </w:pPr>
      <w:r>
        <w:rPr>
          <w:noProof/>
        </w:rPr>
        <w:t>Effective interest rate</w:t>
      </w:r>
    </w:p>
    <w:p w:rsidR="00135552" w:rsidRDefault="004C63B0">
      <w:pPr>
        <w:pStyle w:val="DGTextstand-alone"/>
      </w:pPr>
      <w:r>
        <w:t xml:space="preserve">The rate that discounts estimated future cash receipts or payments over the expected life of the financial asset or financial liability to the net carrying amount of the asset or liability. </w:t>
      </w:r>
    </w:p>
    <w:p w:rsidR="00135552" w:rsidRDefault="004C63B0">
      <w:pPr>
        <w:pStyle w:val="HEADER5"/>
        <w:rPr>
          <w:noProof/>
        </w:rPr>
      </w:pPr>
      <w:r>
        <w:rPr>
          <w:noProof/>
        </w:rPr>
        <w:t>Financial assets</w:t>
      </w:r>
      <w:r>
        <w:rPr>
          <w:noProof/>
        </w:rPr>
        <w:t xml:space="preserve"> or liabilities at fair value through surplus or deficit</w:t>
      </w:r>
    </w:p>
    <w:p w:rsidR="00135552" w:rsidRDefault="004C63B0">
      <w:pPr>
        <w:pStyle w:val="DGTextstand-alone"/>
      </w:pPr>
      <w:r>
        <w:t>All financial assets or liabilities that are according to International Public Sector Accounting Standards measured at fair value and for which the changes in fair value are to be recognised in surpl</w:t>
      </w:r>
      <w:r>
        <w:t>us or deficit of the period (i.e. derivatives).</w:t>
      </w:r>
    </w:p>
    <w:p w:rsidR="00135552" w:rsidRDefault="004C63B0">
      <w:pPr>
        <w:pStyle w:val="HEADER5"/>
        <w:rPr>
          <w:noProof/>
        </w:rPr>
      </w:pPr>
      <w:r>
        <w:rPr>
          <w:noProof/>
        </w:rPr>
        <w:t>Financial correction</w:t>
      </w:r>
    </w:p>
    <w:p w:rsidR="00135552" w:rsidRDefault="004C63B0">
      <w:pPr>
        <w:pStyle w:val="DGTextstand-alone"/>
      </w:pPr>
      <w:r>
        <w:t>The purpose of financial corrections is to protect the EU budget from the burden of erroneous or irregular expenditure. For expenditure under shared management, the task of recovering inc</w:t>
      </w:r>
      <w:r>
        <w:t>orrect payments is primarily the responsibility of the Member State.</w:t>
      </w:r>
    </w:p>
    <w:p w:rsidR="00135552" w:rsidRDefault="004C63B0">
      <w:pPr>
        <w:pStyle w:val="DGTextstand-alone"/>
      </w:pPr>
      <w:r>
        <w:t>A 'confirmed' financial correction has been accepted by the Member State concerned. A 'decided' financial correction has been adopted by a Commission decision and is always a net correcti</w:t>
      </w:r>
      <w:r>
        <w:t>on, where the Member State is required to reimburse irregular funds to the EU budget, thus leading to a definitive reduction of the allocated envelope to the Member State concerned. Confirmed and decided financial corrections are reported in this publicati</w:t>
      </w:r>
      <w:r>
        <w:t>on as one category.</w:t>
      </w:r>
    </w:p>
    <w:p w:rsidR="00135552" w:rsidRDefault="004C63B0">
      <w:pPr>
        <w:pStyle w:val="DGTextstand-alone"/>
      </w:pPr>
      <w:r>
        <w:t>An 'implemented' financial correction has corrected the observed irregularity.</w:t>
      </w:r>
    </w:p>
    <w:p w:rsidR="00135552" w:rsidRDefault="004C63B0">
      <w:pPr>
        <w:pStyle w:val="HEADER5"/>
        <w:rPr>
          <w:noProof/>
        </w:rPr>
      </w:pPr>
      <w:r>
        <w:rPr>
          <w:noProof/>
        </w:rPr>
        <w:t>Indirect management</w:t>
      </w:r>
    </w:p>
    <w:p w:rsidR="00135552" w:rsidRDefault="004C63B0">
      <w:pPr>
        <w:pStyle w:val="DGTextstand-alone"/>
      </w:pPr>
      <w:r>
        <w:t>Mode of budget implementation. Under indirect management the Commission confers tasks of budget implementation to bodies of EU law or nat</w:t>
      </w:r>
      <w:r>
        <w:t>ional law.</w:t>
      </w:r>
    </w:p>
    <w:p w:rsidR="00135552" w:rsidRDefault="004C63B0">
      <w:pPr>
        <w:pStyle w:val="HEADER5"/>
        <w:rPr>
          <w:noProof/>
        </w:rPr>
      </w:pPr>
      <w:r>
        <w:rPr>
          <w:noProof/>
        </w:rPr>
        <w:t>Interruptions and suspensions</w:t>
      </w:r>
    </w:p>
    <w:p w:rsidR="00135552" w:rsidRDefault="004C63B0">
      <w:pPr>
        <w:pStyle w:val="DGTextstand-alone"/>
      </w:pPr>
      <w:r>
        <w:t xml:space="preserve">If the Commission finds, based on its own work or the information reported by audit authorities, that a Member State has failed to remedy serious shortcomings in the management and control systems and/or to correct </w:t>
      </w:r>
      <w:r>
        <w:t>irregular expenditure which had been declared and certified, it may interrupt or suspend payments.</w:t>
      </w:r>
    </w:p>
    <w:p w:rsidR="00135552" w:rsidRDefault="004C63B0">
      <w:pPr>
        <w:pStyle w:val="HEADER5"/>
        <w:rPr>
          <w:noProof/>
        </w:rPr>
      </w:pPr>
      <w:r>
        <w:rPr>
          <w:noProof/>
        </w:rPr>
        <w:t>Irregularity</w:t>
      </w:r>
    </w:p>
    <w:p w:rsidR="00135552" w:rsidRDefault="004C63B0">
      <w:pPr>
        <w:pStyle w:val="DGTextstand-alone"/>
      </w:pPr>
      <w:r>
        <w:t>An irregularity is an act which does not comply with EU rules and which has a potentially negative impact on EU financial interests, but which m</w:t>
      </w:r>
      <w:r>
        <w:t>ay be the result of genuine errors committed either by beneficiaries claiming funds or by the authorities responsible for making payments. If an irregularity is committed deliberately, it constitutes fraud.</w:t>
      </w:r>
    </w:p>
    <w:p w:rsidR="00135552" w:rsidRDefault="004C63B0">
      <w:pPr>
        <w:pStyle w:val="HEADER5"/>
        <w:rPr>
          <w:noProof/>
        </w:rPr>
      </w:pPr>
      <w:r>
        <w:rPr>
          <w:noProof/>
        </w:rPr>
        <w:t>Lapsing appropriations</w:t>
      </w:r>
    </w:p>
    <w:p w:rsidR="00135552" w:rsidRDefault="004C63B0">
      <w:pPr>
        <w:pStyle w:val="DGTextstand-alone"/>
      </w:pPr>
      <w:r>
        <w:t xml:space="preserve">Unused appropriations to </w:t>
      </w:r>
      <w:r>
        <w:t>be cancelled at the end of the financial year. Lapsing means the cancellation of all or part of the authorisation to make expenditures and/or incur liabilities which is represented by an appropriation. Only for Joint Undertakings, as specified in their Fin</w:t>
      </w:r>
      <w:r>
        <w:t>ancial Rules, any unused appropriations may be entered in the estimate of revenue and expenditure of up to the following three financial years (the so-called "N+3" rule). Hence, lapsing appropriations for JUs could be reactivated until financial year "N+3"</w:t>
      </w:r>
    </w:p>
    <w:p w:rsidR="00135552" w:rsidRDefault="004C63B0">
      <w:pPr>
        <w:pStyle w:val="HEADER5"/>
        <w:rPr>
          <w:noProof/>
        </w:rPr>
      </w:pPr>
      <w:r>
        <w:rPr>
          <w:noProof/>
        </w:rPr>
        <w:t>Outstanding commitments</w:t>
      </w:r>
    </w:p>
    <w:p w:rsidR="00135552" w:rsidRDefault="004C63B0">
      <w:pPr>
        <w:pStyle w:val="DGTextstand-alone"/>
      </w:pPr>
      <w:r>
        <w:t xml:space="preserve">As the </w:t>
      </w:r>
      <w:r>
        <w:rPr>
          <w:i/>
        </w:rPr>
        <w:t>Reste à Liquider (RAL)</w:t>
      </w:r>
      <w:r>
        <w:t>, they represent the amount where a budgetary commitment has been made but the subsequent payment is not yet done. They represent payment obligations for the EU for future years and stem directly from t</w:t>
      </w:r>
      <w:r>
        <w:t>he existence of multi annual programmes and the dissociation between commitment and payment appropriations.</w:t>
      </w:r>
    </w:p>
    <w:p w:rsidR="00135552" w:rsidRDefault="00135552">
      <w:pPr>
        <w:pStyle w:val="DGTextstand-alone"/>
      </w:pPr>
    </w:p>
    <w:p w:rsidR="00135552" w:rsidRDefault="00135552">
      <w:pPr>
        <w:pStyle w:val="DGTextstand-alone"/>
      </w:pPr>
    </w:p>
    <w:p w:rsidR="00135552" w:rsidRDefault="004C63B0">
      <w:pPr>
        <w:pStyle w:val="HEADER5"/>
        <w:rPr>
          <w:noProof/>
        </w:rPr>
      </w:pPr>
      <w:r>
        <w:rPr>
          <w:noProof/>
        </w:rPr>
        <w:t>Own resources</w:t>
      </w:r>
    </w:p>
    <w:p w:rsidR="00135552" w:rsidRDefault="004C63B0">
      <w:pPr>
        <w:pStyle w:val="DGTextstand-alone"/>
      </w:pPr>
      <w:r>
        <w:t>Represent the main funding for the EU institutions and bodies and are defined in the own resources regulation 609/2014. Own resource</w:t>
      </w:r>
      <w:r>
        <w:t>s comprise GNI-based resources, VAT-based resources and traditional own resources.</w:t>
      </w:r>
    </w:p>
    <w:p w:rsidR="00135552" w:rsidRDefault="004C63B0">
      <w:pPr>
        <w:pStyle w:val="HEADER5"/>
        <w:rPr>
          <w:noProof/>
        </w:rPr>
      </w:pPr>
      <w:r>
        <w:rPr>
          <w:noProof/>
        </w:rPr>
        <w:t>Payment appropriations</w:t>
      </w:r>
    </w:p>
    <w:p w:rsidR="00135552" w:rsidRDefault="004C63B0">
      <w:pPr>
        <w:pStyle w:val="DGTextstand-alone"/>
      </w:pPr>
      <w:r>
        <w:t>Payment appropriations cover expenditure due in the current year, arising from legal commitments entered in the current year and/or earlier years.</w:t>
      </w:r>
    </w:p>
    <w:p w:rsidR="00135552" w:rsidRDefault="004C63B0">
      <w:pPr>
        <w:pStyle w:val="HEADER5"/>
        <w:rPr>
          <w:noProof/>
        </w:rPr>
      </w:pPr>
      <w:r>
        <w:rPr>
          <w:noProof/>
        </w:rPr>
        <w:t>Pre</w:t>
      </w:r>
      <w:r>
        <w:rPr>
          <w:noProof/>
        </w:rPr>
        <w:t>-financing</w:t>
      </w:r>
    </w:p>
    <w:p w:rsidR="00135552" w:rsidRDefault="004C63B0">
      <w:pPr>
        <w:pStyle w:val="DGTextstand-alone"/>
      </w:pPr>
      <w:r>
        <w:t>A payment intended to provide the beneficiary with a float. It may be split into a number of payments in accordance with the provisions of the underlying contract, decision, agreement or the basic legal act. The float or advance is either used f</w:t>
      </w:r>
      <w:r>
        <w:t>or the purpose for which it was provided during the period defined in the agreement or it is repaid.</w:t>
      </w:r>
    </w:p>
    <w:p w:rsidR="00135552" w:rsidRDefault="004C63B0">
      <w:pPr>
        <w:pStyle w:val="HEADER5"/>
        <w:rPr>
          <w:noProof/>
        </w:rPr>
      </w:pPr>
      <w:r>
        <w:rPr>
          <w:noProof/>
        </w:rPr>
        <w:t>Preventive measure</w:t>
      </w:r>
    </w:p>
    <w:p w:rsidR="00135552" w:rsidRDefault="004C63B0">
      <w:pPr>
        <w:pStyle w:val="DGTextstand-alone"/>
      </w:pPr>
      <w:r>
        <w:t>Preventive measures, which are at the Commission’s disposal to protect the EU budget when it is aware of potential deficiencies, include</w:t>
      </w:r>
      <w:r>
        <w:t xml:space="preserve"> suspensions and interruptions of payments from the EU budget to the operational programme.</w:t>
      </w:r>
    </w:p>
    <w:p w:rsidR="00135552" w:rsidRDefault="004C63B0">
      <w:pPr>
        <w:pStyle w:val="HEADER5"/>
        <w:rPr>
          <w:noProof/>
        </w:rPr>
      </w:pPr>
      <w:r>
        <w:rPr>
          <w:noProof/>
        </w:rPr>
        <w:t>Reste à Liquider (RAL)</w:t>
      </w:r>
    </w:p>
    <w:p w:rsidR="00135552" w:rsidRDefault="004C63B0">
      <w:pPr>
        <w:pStyle w:val="DGTextstand-alone"/>
      </w:pPr>
      <w:r>
        <w:t xml:space="preserve">As the </w:t>
      </w:r>
      <w:r>
        <w:rPr>
          <w:i/>
        </w:rPr>
        <w:t>Outstanding commitments</w:t>
      </w:r>
      <w:r>
        <w:t xml:space="preserve">, it represents the amount where a budgetary commitment has been made but the subsequent payment is not yet </w:t>
      </w:r>
      <w:r>
        <w:t>done. They represent payment obligations for the EU for future years and stem directly from the existence of multi annual programmes and the dissociation between commitment and payment appropriations.</w:t>
      </w:r>
    </w:p>
    <w:p w:rsidR="00135552" w:rsidRDefault="004C63B0">
      <w:pPr>
        <w:pStyle w:val="HEADER5"/>
        <w:rPr>
          <w:noProof/>
        </w:rPr>
      </w:pPr>
      <w:r>
        <w:rPr>
          <w:noProof/>
        </w:rPr>
        <w:t>Shared management</w:t>
      </w:r>
    </w:p>
    <w:p w:rsidR="00135552" w:rsidRDefault="004C63B0">
      <w:pPr>
        <w:pStyle w:val="DGTextstand-alone"/>
      </w:pPr>
      <w:r>
        <w:t xml:space="preserve">Mode of budget implementation. Under </w:t>
      </w:r>
      <w:r>
        <w:t>shared management budget implementation tasks are delegated to Member States. About 80 % of the EU expenditure falls under this implementation mode.</w:t>
      </w:r>
    </w:p>
    <w:p w:rsidR="00135552" w:rsidRDefault="004C63B0">
      <w:pPr>
        <w:pStyle w:val="HEADER5"/>
        <w:rPr>
          <w:noProof/>
        </w:rPr>
      </w:pPr>
      <w:r>
        <w:rPr>
          <w:noProof/>
        </w:rPr>
        <w:t>Traditional own resources</w:t>
      </w:r>
    </w:p>
    <w:p w:rsidR="00135552" w:rsidRDefault="004C63B0">
      <w:pPr>
        <w:pStyle w:val="DGTextstand-alone"/>
      </w:pPr>
      <w:r>
        <w:t>These represent revenue for the EU and are part of the 'own resources' which fund</w:t>
      </w:r>
      <w:r>
        <w:t xml:space="preserve"> the activities of the EU. Traditional own resources are defined in the own resource regulation 609/2014 and comprise customs duties and sugar levies.</w:t>
      </w:r>
    </w:p>
    <w:p w:rsidR="00135552" w:rsidRDefault="004C63B0">
      <w:pPr>
        <w:pStyle w:val="HEADER5"/>
        <w:rPr>
          <w:noProof/>
        </w:rPr>
      </w:pPr>
      <w:r>
        <w:rPr>
          <w:noProof/>
        </w:rPr>
        <w:t>Transfers (between budget lines)</w:t>
      </w:r>
    </w:p>
    <w:p w:rsidR="00135552" w:rsidRDefault="004C63B0">
      <w:pPr>
        <w:pStyle w:val="DGTextstand-alone"/>
      </w:pPr>
      <w:r>
        <w:t>Transfers between budget lines imply the relocation of appropriations fr</w:t>
      </w:r>
      <w:r>
        <w:t>om one budget line to another, in the course of the financial year, and thereby they constitute an exception to the budgetary principle of specification. They are, however, expressly authorised by the Treaty on the Functioning of the European Union under t</w:t>
      </w:r>
      <w:r>
        <w:t>he conditions laid down in the Financial Regulation (FR). The FR identifies different types of transfers depending on whether they are between or within budget titles, chapters, articles or headings and require different levels of authorisation.</w:t>
      </w:r>
    </w:p>
    <w:p w:rsidR="00135552" w:rsidRDefault="00135552">
      <w:pPr>
        <w:pStyle w:val="DGTextstand-alone"/>
      </w:pPr>
    </w:p>
    <w:bookmarkEnd w:id="280"/>
    <w:p w:rsidR="00135552" w:rsidRDefault="00135552">
      <w:pPr>
        <w:pStyle w:val="DGTextstand-alone"/>
        <w:sectPr w:rsidR="00135552">
          <w:headerReference w:type="even" r:id="rId420"/>
          <w:headerReference w:type="default" r:id="rId421"/>
          <w:footerReference w:type="even" r:id="rId422"/>
          <w:footerReference w:type="default" r:id="rId423"/>
          <w:headerReference w:type="first" r:id="rId424"/>
          <w:footerReference w:type="first" r:id="rId425"/>
          <w:pgSz w:w="11906" w:h="16838"/>
          <w:pgMar w:top="1134" w:right="1134" w:bottom="1134" w:left="1134" w:header="709" w:footer="709" w:gutter="0"/>
          <w:cols w:space="708"/>
          <w:docGrid w:linePitch="360"/>
        </w:sectPr>
      </w:pPr>
    </w:p>
    <w:p w:rsidR="00135552" w:rsidRDefault="004C63B0">
      <w:pPr>
        <w:pStyle w:val="FIRSTCHAPTERPAGE"/>
        <w:rPr>
          <w:noProof/>
        </w:rPr>
      </w:pPr>
      <w:bookmarkStart w:id="281" w:name="_Toc43224160"/>
      <w:bookmarkStart w:id="282" w:name="_DMBM_17267"/>
      <w:r>
        <w:rPr>
          <w:noProof/>
        </w:rPr>
        <w:t>LIST OF ABBREVIATIONS</w:t>
      </w:r>
      <w:bookmarkEnd w:id="281"/>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Annual Activity Report</w:t>
            </w:r>
          </w:p>
        </w:tc>
      </w:tr>
      <w:tr w:rsidR="00135552">
        <w:tc>
          <w:tcPr>
            <w:tcW w:w="1526" w:type="dxa"/>
          </w:tcPr>
          <w:p w:rsidR="00135552" w:rsidRDefault="004C63B0">
            <w:pPr>
              <w:pStyle w:val="DGTextstand-alone"/>
              <w:spacing w:before="0"/>
            </w:pPr>
            <w:r>
              <w:rPr>
                <w:color w:val="016794"/>
              </w:rPr>
              <w:t>AMIF</w:t>
            </w:r>
            <w:r>
              <w:t xml:space="preserve"> </w:t>
            </w:r>
          </w:p>
        </w:tc>
        <w:tc>
          <w:tcPr>
            <w:tcW w:w="8328" w:type="dxa"/>
          </w:tcPr>
          <w:p w:rsidR="00135552" w:rsidRDefault="004C63B0">
            <w:pPr>
              <w:pStyle w:val="DGTextstand-alone"/>
              <w:spacing w:before="0"/>
            </w:pPr>
            <w:r>
              <w:t>Asylum, Migration and Integration Fund</w:t>
            </w:r>
          </w:p>
        </w:tc>
      </w:tr>
      <w:tr w:rsidR="00135552">
        <w:tc>
          <w:tcPr>
            <w:tcW w:w="1526" w:type="dxa"/>
          </w:tcPr>
          <w:p w:rsidR="00135552" w:rsidRDefault="004C63B0">
            <w:pPr>
              <w:pStyle w:val="DGTextstand-alone"/>
              <w:spacing w:before="0"/>
            </w:pPr>
            <w:r>
              <w:rPr>
                <w:color w:val="016794"/>
              </w:rPr>
              <w:t>AOD</w:t>
            </w:r>
            <w:r>
              <w:t xml:space="preserve"> </w:t>
            </w:r>
          </w:p>
        </w:tc>
        <w:tc>
          <w:tcPr>
            <w:tcW w:w="8328" w:type="dxa"/>
          </w:tcPr>
          <w:p w:rsidR="00135552" w:rsidRDefault="004C63B0">
            <w:pPr>
              <w:pStyle w:val="DGTextstand-alone"/>
              <w:spacing w:before="0"/>
            </w:pPr>
            <w:r>
              <w:t>Authorising Officers by Delegation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Air Traffic Management</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BOP</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Balance of Payments</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BUFI</w:t>
            </w:r>
            <w:r>
              <w:t xml:space="preserve"> </w:t>
            </w:r>
            <w:r>
              <w:rPr>
                <w:color w:val="016794"/>
              </w:rPr>
              <w:t>Fund</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Budget Fines Fund</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CAP</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Common Agricultural Policy</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Cultural and Creative Sector Guarantee Facility</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 Debt Instrument</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CF</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Cohesion Fund</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Competitiveness and Innovation Framework Programme</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European Commission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Competitiveness of Enterprises and Small and Medium-sized Enterprises</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Committee of Sponsoring Organizations of the Treadway Commission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CPR</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Common Provisions </w:t>
            </w:r>
            <w:r>
              <w:t>Regulation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Decommissioning and Waste Management</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EAFRD</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Agricultural Fund for Rural Development</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EAGF</w:t>
            </w:r>
            <w:r>
              <w:rPr>
                <w:iCs/>
              </w:rPr>
              <w:t xml:space="preserve"> </w:t>
            </w:r>
            <w:r>
              <w:rPr>
                <w:iCs/>
              </w:rPr>
              <w:tab/>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Agricultural Guarantee Fund</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EAR</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Union Accounting Rule</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Employment and Social Innovation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EBRD</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Bank for </w:t>
            </w:r>
            <w:r>
              <w:t>Reconstruction and Development</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ECA</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Court of Auditors</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ECB </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Central Bank</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Economic and Financial Affairs Council</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ECSC i.L.</w:t>
            </w:r>
            <w:r>
              <w:t xml:space="preserve"> </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Coal and Steel Community in Liquidation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EDF</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Development Fund</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Guarantee Facility </w:t>
            </w:r>
            <w:r>
              <w:t>under the Western Balkan</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Economic Area</w:t>
            </w:r>
          </w:p>
        </w:tc>
      </w:tr>
      <w:tr w:rsidR="00135552">
        <w:tc>
          <w:tcPr>
            <w:tcW w:w="1526"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EEAS</w:t>
            </w:r>
          </w:p>
        </w:tc>
        <w:tc>
          <w:tcPr>
            <w:tcW w:w="8328" w:type="dxa"/>
          </w:tcPr>
          <w:p w:rsidR="00135552" w:rsidRDefault="004C63B0">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External Action Service</w:t>
            </w:r>
          </w:p>
        </w:tc>
      </w:tr>
      <w:tr w:rsidR="00135552">
        <w:tc>
          <w:tcPr>
            <w:tcW w:w="1526" w:type="dxa"/>
          </w:tcPr>
          <w:p w:rsidR="00135552" w:rsidRDefault="004C63B0">
            <w:pPr>
              <w:pStyle w:val="DGTextstand-alone"/>
              <w:spacing w:before="0"/>
            </w:pPr>
            <w:r>
              <w:rPr>
                <w:color w:val="016794"/>
              </w:rPr>
              <w:t>EFSD</w:t>
            </w:r>
          </w:p>
        </w:tc>
        <w:tc>
          <w:tcPr>
            <w:tcW w:w="8328" w:type="dxa"/>
          </w:tcPr>
          <w:p w:rsidR="00135552" w:rsidRDefault="004C63B0">
            <w:pPr>
              <w:pStyle w:val="DGTextstand-alone"/>
              <w:spacing w:before="0"/>
            </w:pPr>
            <w:r>
              <w:t>European Fund for Sustainable Development</w:t>
            </w:r>
          </w:p>
        </w:tc>
      </w:tr>
      <w:tr w:rsidR="00135552">
        <w:tc>
          <w:tcPr>
            <w:tcW w:w="1526" w:type="dxa"/>
          </w:tcPr>
          <w:p w:rsidR="00135552" w:rsidRDefault="004C63B0">
            <w:pPr>
              <w:pStyle w:val="DGTextstand-alone"/>
              <w:spacing w:before="0"/>
            </w:pPr>
            <w:r>
              <w:rPr>
                <w:color w:val="016794"/>
              </w:rPr>
              <w:t>EFSE</w:t>
            </w:r>
            <w:r>
              <w:t xml:space="preserve"> </w:t>
            </w:r>
          </w:p>
        </w:tc>
        <w:tc>
          <w:tcPr>
            <w:tcW w:w="8328" w:type="dxa"/>
          </w:tcPr>
          <w:p w:rsidR="00135552" w:rsidRDefault="004C63B0">
            <w:pPr>
              <w:pStyle w:val="DGTextstand-alone"/>
              <w:spacing w:before="0"/>
            </w:pPr>
            <w:r>
              <w:t>European Fund for Southeast Europe</w:t>
            </w:r>
          </w:p>
        </w:tc>
      </w:tr>
      <w:tr w:rsidR="00135552">
        <w:tc>
          <w:tcPr>
            <w:tcW w:w="1526" w:type="dxa"/>
          </w:tcPr>
          <w:p w:rsidR="00135552" w:rsidRDefault="004C63B0">
            <w:pPr>
              <w:pStyle w:val="DGTextstand-alone"/>
              <w:spacing w:before="0"/>
            </w:pPr>
            <w:r>
              <w:rPr>
                <w:color w:val="016794"/>
              </w:rPr>
              <w:t>EFSF</w:t>
            </w:r>
            <w:r>
              <w:t xml:space="preserve"> </w:t>
            </w:r>
          </w:p>
        </w:tc>
        <w:tc>
          <w:tcPr>
            <w:tcW w:w="8328" w:type="dxa"/>
          </w:tcPr>
          <w:p w:rsidR="00135552" w:rsidRDefault="004C63B0">
            <w:pPr>
              <w:pStyle w:val="DGTextstand-alone"/>
              <w:spacing w:before="0"/>
            </w:pPr>
            <w:r>
              <w:t>European Financial Stability Facility</w:t>
            </w:r>
          </w:p>
        </w:tc>
      </w:tr>
      <w:tr w:rsidR="00135552">
        <w:tc>
          <w:tcPr>
            <w:tcW w:w="1526" w:type="dxa"/>
          </w:tcPr>
          <w:p w:rsidR="00135552" w:rsidRDefault="004C63B0">
            <w:pPr>
              <w:pStyle w:val="DGTextstand-alone"/>
              <w:spacing w:before="0"/>
            </w:pPr>
            <w:r>
              <w:rPr>
                <w:color w:val="016794"/>
              </w:rPr>
              <w:t>EFSI</w:t>
            </w:r>
          </w:p>
        </w:tc>
        <w:tc>
          <w:tcPr>
            <w:tcW w:w="8328" w:type="dxa"/>
          </w:tcPr>
          <w:p w:rsidR="00135552" w:rsidRDefault="004C63B0">
            <w:pPr>
              <w:pStyle w:val="DGTextstand-alone"/>
              <w:spacing w:before="0"/>
            </w:pPr>
            <w:r>
              <w:t xml:space="preserve">European Fund for </w:t>
            </w:r>
            <w:r>
              <w:t>Strategic Investments</w:t>
            </w:r>
          </w:p>
        </w:tc>
      </w:tr>
      <w:tr w:rsidR="00135552">
        <w:tc>
          <w:tcPr>
            <w:tcW w:w="1526" w:type="dxa"/>
          </w:tcPr>
          <w:p w:rsidR="00135552" w:rsidRDefault="004C63B0">
            <w:pPr>
              <w:pStyle w:val="DGTextstand-alone"/>
              <w:spacing w:before="0"/>
            </w:pPr>
            <w:r>
              <w:rPr>
                <w:color w:val="016794"/>
              </w:rPr>
              <w:t>EFSM</w:t>
            </w:r>
          </w:p>
        </w:tc>
        <w:tc>
          <w:tcPr>
            <w:tcW w:w="8328" w:type="dxa"/>
          </w:tcPr>
          <w:p w:rsidR="00135552" w:rsidRDefault="004C63B0">
            <w:pPr>
              <w:pStyle w:val="DGTextstand-alone"/>
              <w:spacing w:before="0"/>
            </w:pPr>
            <w:r>
              <w:t>European Financial Stabilisation Mechanism</w:t>
            </w:r>
          </w:p>
        </w:tc>
      </w:tr>
      <w:tr w:rsidR="00135552">
        <w:tc>
          <w:tcPr>
            <w:tcW w:w="1526" w:type="dxa"/>
          </w:tcPr>
          <w:p w:rsidR="00135552" w:rsidRDefault="004C63B0">
            <w:pPr>
              <w:pStyle w:val="DGTextstand-alone"/>
              <w:spacing w:before="0"/>
            </w:pPr>
            <w:r>
              <w:rPr>
                <w:color w:val="016794"/>
              </w:rPr>
              <w:t>EFTA</w:t>
            </w:r>
            <w:r>
              <w:t xml:space="preserve"> </w:t>
            </w:r>
          </w:p>
        </w:tc>
        <w:tc>
          <w:tcPr>
            <w:tcW w:w="8328" w:type="dxa"/>
          </w:tcPr>
          <w:p w:rsidR="00135552" w:rsidRDefault="004C63B0">
            <w:pPr>
              <w:pStyle w:val="DGTextstand-alone"/>
              <w:spacing w:before="0"/>
            </w:pPr>
            <w:r>
              <w:rPr>
                <w:lang w:val="en"/>
              </w:rPr>
              <w:t>European Free Trade Association</w:t>
            </w:r>
          </w:p>
        </w:tc>
      </w:tr>
      <w:tr w:rsidR="00135552">
        <w:tc>
          <w:tcPr>
            <w:tcW w:w="1526" w:type="dxa"/>
          </w:tcPr>
          <w:p w:rsidR="00135552" w:rsidRDefault="004C63B0">
            <w:pPr>
              <w:pStyle w:val="DGTextstand-alone"/>
              <w:spacing w:before="0"/>
            </w:pPr>
            <w:r>
              <w:rPr>
                <w:color w:val="016794"/>
              </w:rPr>
              <w:t>EGNOS</w:t>
            </w:r>
            <w:r>
              <w:t xml:space="preserve"> </w:t>
            </w:r>
          </w:p>
        </w:tc>
        <w:tc>
          <w:tcPr>
            <w:tcW w:w="8328" w:type="dxa"/>
          </w:tcPr>
          <w:p w:rsidR="00135552" w:rsidRDefault="004C63B0">
            <w:pPr>
              <w:pStyle w:val="DGTextstand-alone"/>
              <w:spacing w:before="0"/>
            </w:pPr>
            <w:r>
              <w:t>European Geostationary Navigation Overlay System</w:t>
            </w:r>
          </w:p>
        </w:tc>
      </w:tr>
      <w:tr w:rsidR="00135552">
        <w:tc>
          <w:tcPr>
            <w:tcW w:w="1526" w:type="dxa"/>
          </w:tcPr>
          <w:p w:rsidR="00135552" w:rsidRDefault="004C63B0">
            <w:pPr>
              <w:pStyle w:val="DGTextstand-alone"/>
              <w:spacing w:before="0"/>
            </w:pPr>
            <w:r>
              <w:rPr>
                <w:color w:val="016794"/>
              </w:rPr>
              <w:t>EIB</w:t>
            </w:r>
            <w:r>
              <w:t xml:space="preserve"> </w:t>
            </w:r>
          </w:p>
        </w:tc>
        <w:tc>
          <w:tcPr>
            <w:tcW w:w="8328" w:type="dxa"/>
          </w:tcPr>
          <w:p w:rsidR="00135552" w:rsidRDefault="004C63B0">
            <w:pPr>
              <w:pStyle w:val="DGTextstand-alone"/>
              <w:spacing w:before="0"/>
            </w:pPr>
            <w:r>
              <w:t>European Investment Bank</w:t>
            </w:r>
          </w:p>
        </w:tc>
      </w:tr>
      <w:tr w:rsidR="00135552">
        <w:tc>
          <w:tcPr>
            <w:tcW w:w="1526" w:type="dxa"/>
          </w:tcPr>
          <w:p w:rsidR="00135552" w:rsidRDefault="004C63B0">
            <w:pPr>
              <w:pStyle w:val="DGTextstand-alone"/>
              <w:spacing w:before="0"/>
            </w:pPr>
            <w:r>
              <w:rPr>
                <w:color w:val="016794"/>
              </w:rPr>
              <w:t>EIF</w:t>
            </w:r>
            <w:r>
              <w:t xml:space="preserve"> </w:t>
            </w:r>
          </w:p>
        </w:tc>
        <w:tc>
          <w:tcPr>
            <w:tcW w:w="8328" w:type="dxa"/>
          </w:tcPr>
          <w:p w:rsidR="00135552" w:rsidRDefault="004C63B0">
            <w:pPr>
              <w:pStyle w:val="DGTextstand-alone"/>
              <w:spacing w:before="0"/>
            </w:pPr>
            <w:r>
              <w:t>European Investment Fund</w:t>
            </w:r>
          </w:p>
        </w:tc>
      </w:tr>
      <w:tr w:rsidR="00135552">
        <w:tc>
          <w:tcPr>
            <w:tcW w:w="1526" w:type="dxa"/>
          </w:tcPr>
          <w:p w:rsidR="00135552" w:rsidRDefault="004C63B0">
            <w:pPr>
              <w:pStyle w:val="DGTextstand-alone"/>
              <w:spacing w:before="0"/>
            </w:pPr>
            <w:r>
              <w:rPr>
                <w:color w:val="016794"/>
              </w:rPr>
              <w:t>ElectriFI</w:t>
            </w:r>
          </w:p>
        </w:tc>
        <w:tc>
          <w:tcPr>
            <w:tcW w:w="8328" w:type="dxa"/>
          </w:tcPr>
          <w:p w:rsidR="00135552" w:rsidRDefault="004C63B0">
            <w:pPr>
              <w:pStyle w:val="DGTextstand-alone"/>
              <w:spacing w:before="0"/>
              <w:rPr>
                <w:b/>
              </w:rPr>
            </w:pPr>
            <w:r>
              <w:t>Electrification</w:t>
            </w:r>
            <w:r>
              <w:rPr>
                <w:rStyle w:val="st1"/>
                <w:rFonts w:cs="Arial"/>
                <w:b/>
              </w:rPr>
              <w:t xml:space="preserve"> </w:t>
            </w:r>
            <w:r>
              <w:rPr>
                <w:rStyle w:val="st1"/>
                <w:rFonts w:cs="Arial"/>
              </w:rPr>
              <w:t xml:space="preserve">Financing Initiative </w:t>
            </w:r>
          </w:p>
        </w:tc>
      </w:tr>
      <w:tr w:rsidR="00135552">
        <w:tc>
          <w:tcPr>
            <w:tcW w:w="1526" w:type="dxa"/>
          </w:tcPr>
          <w:p w:rsidR="00135552" w:rsidRDefault="004C63B0">
            <w:pPr>
              <w:pStyle w:val="DGTextstand-alone"/>
              <w:spacing w:before="0"/>
              <w:rPr>
                <w:color w:val="016794"/>
              </w:rPr>
            </w:pPr>
            <w:r>
              <w:rPr>
                <w:color w:val="016794"/>
              </w:rPr>
              <w:t>ELM</w:t>
            </w:r>
          </w:p>
          <w:p w:rsidR="00135552" w:rsidRDefault="004C63B0">
            <w:pPr>
              <w:pStyle w:val="DGTextstand-alone"/>
              <w:spacing w:before="0"/>
            </w:pPr>
            <w:r>
              <w:rPr>
                <w:color w:val="016794"/>
              </w:rPr>
              <w:t>EMFF</w:t>
            </w:r>
            <w:r>
              <w:t xml:space="preserve"> </w:t>
            </w:r>
          </w:p>
        </w:tc>
        <w:tc>
          <w:tcPr>
            <w:tcW w:w="8328" w:type="dxa"/>
          </w:tcPr>
          <w:p w:rsidR="00135552" w:rsidRDefault="004C63B0">
            <w:pPr>
              <w:pStyle w:val="DGTextstand-alone"/>
              <w:spacing w:before="0"/>
            </w:pPr>
            <w:r>
              <w:t>External Lending Mandate</w:t>
            </w:r>
          </w:p>
          <w:p w:rsidR="00135552" w:rsidRDefault="004C63B0">
            <w:pPr>
              <w:pStyle w:val="DGTextstand-alone"/>
              <w:spacing w:before="0"/>
            </w:pPr>
            <w:r>
              <w:t>European Maritime and Fisheries Fund</w:t>
            </w:r>
          </w:p>
        </w:tc>
      </w:tr>
      <w:tr w:rsidR="00135552">
        <w:tc>
          <w:tcPr>
            <w:tcW w:w="1526" w:type="dxa"/>
          </w:tcPr>
          <w:p w:rsidR="00135552" w:rsidRDefault="004C63B0">
            <w:pPr>
              <w:pStyle w:val="DGTextstand-alone"/>
              <w:spacing w:before="0"/>
            </w:pPr>
            <w:r>
              <w:rPr>
                <w:color w:val="016794"/>
              </w:rPr>
              <w:t>EMU</w:t>
            </w:r>
            <w:r>
              <w:t xml:space="preserve"> </w:t>
            </w:r>
          </w:p>
        </w:tc>
        <w:tc>
          <w:tcPr>
            <w:tcW w:w="8328" w:type="dxa"/>
          </w:tcPr>
          <w:p w:rsidR="00135552" w:rsidRDefault="004C63B0">
            <w:pPr>
              <w:pStyle w:val="DGTextstand-alone"/>
              <w:spacing w:before="0"/>
            </w:pPr>
            <w:r>
              <w:t>Economic and Monetary Union</w:t>
            </w:r>
          </w:p>
        </w:tc>
      </w:tr>
      <w:tr w:rsidR="00135552">
        <w:tc>
          <w:tcPr>
            <w:tcW w:w="1526" w:type="dxa"/>
          </w:tcPr>
          <w:p w:rsidR="00135552" w:rsidRDefault="004C63B0">
            <w:pPr>
              <w:pStyle w:val="DGTextstand-alone"/>
              <w:spacing w:before="0"/>
            </w:pPr>
            <w:r>
              <w:rPr>
                <w:color w:val="016794"/>
              </w:rPr>
              <w:t>ENEF</w:t>
            </w:r>
            <w:r>
              <w:t xml:space="preserve"> </w:t>
            </w:r>
          </w:p>
        </w:tc>
        <w:tc>
          <w:tcPr>
            <w:tcW w:w="8328" w:type="dxa"/>
          </w:tcPr>
          <w:p w:rsidR="00135552" w:rsidRDefault="004C63B0">
            <w:pPr>
              <w:pStyle w:val="DGTextstand-alone"/>
              <w:spacing w:before="0"/>
            </w:pPr>
            <w:r>
              <w:t>Enterprise Expansion Fund</w:t>
            </w:r>
          </w:p>
        </w:tc>
      </w:tr>
      <w:tr w:rsidR="00135552">
        <w:tc>
          <w:tcPr>
            <w:tcW w:w="1526" w:type="dxa"/>
          </w:tcPr>
          <w:p w:rsidR="00135552" w:rsidRDefault="004C63B0">
            <w:pPr>
              <w:pStyle w:val="DGTextstand-alone"/>
              <w:spacing w:before="0"/>
            </w:pPr>
            <w:r>
              <w:rPr>
                <w:color w:val="016794"/>
              </w:rPr>
              <w:t>ENIF</w:t>
            </w:r>
            <w:r>
              <w:t xml:space="preserve"> </w:t>
            </w:r>
          </w:p>
        </w:tc>
        <w:tc>
          <w:tcPr>
            <w:tcW w:w="8328" w:type="dxa"/>
          </w:tcPr>
          <w:p w:rsidR="00135552" w:rsidRDefault="004C63B0">
            <w:pPr>
              <w:pStyle w:val="DGTextstand-alone"/>
              <w:spacing w:before="0"/>
            </w:pPr>
            <w:r>
              <w:t>Enterprise Innovation Fund</w:t>
            </w:r>
          </w:p>
        </w:tc>
      </w:tr>
      <w:tr w:rsidR="00135552">
        <w:tc>
          <w:tcPr>
            <w:tcW w:w="1526" w:type="dxa"/>
          </w:tcPr>
          <w:p w:rsidR="00135552" w:rsidRDefault="004C63B0">
            <w:pPr>
              <w:pStyle w:val="DGTextstand-alone"/>
              <w:spacing w:before="0"/>
            </w:pPr>
            <w:r>
              <w:rPr>
                <w:color w:val="016794"/>
              </w:rPr>
              <w:t>ENPI</w:t>
            </w:r>
            <w:r>
              <w:t xml:space="preserve"> </w:t>
            </w:r>
          </w:p>
        </w:tc>
        <w:tc>
          <w:tcPr>
            <w:tcW w:w="8328" w:type="dxa"/>
          </w:tcPr>
          <w:p w:rsidR="00135552" w:rsidRDefault="004C63B0">
            <w:pPr>
              <w:pStyle w:val="DGTextstand-alone"/>
              <w:spacing w:before="0"/>
            </w:pPr>
            <w:r>
              <w:t>European Neighbourhood and Partnership Instrument</w:t>
            </w:r>
          </w:p>
        </w:tc>
      </w:tr>
      <w:tr w:rsidR="00135552">
        <w:tc>
          <w:tcPr>
            <w:tcW w:w="1526" w:type="dxa"/>
          </w:tcPr>
          <w:p w:rsidR="00135552" w:rsidRDefault="004C63B0">
            <w:pPr>
              <w:pStyle w:val="DGTextstand-alone"/>
              <w:spacing w:before="0"/>
            </w:pPr>
            <w:r>
              <w:rPr>
                <w:color w:val="016794"/>
              </w:rPr>
              <w:t>EP</w:t>
            </w:r>
            <w:r>
              <w:t xml:space="preserve"> </w:t>
            </w:r>
          </w:p>
        </w:tc>
        <w:tc>
          <w:tcPr>
            <w:tcW w:w="8328" w:type="dxa"/>
          </w:tcPr>
          <w:p w:rsidR="00135552" w:rsidRDefault="004C63B0">
            <w:pPr>
              <w:pStyle w:val="DGTextstand-alone"/>
              <w:spacing w:before="0"/>
            </w:pPr>
            <w:r>
              <w:t>European Parliament</w:t>
            </w:r>
          </w:p>
        </w:tc>
      </w:tr>
      <w:tr w:rsidR="00135552">
        <w:tc>
          <w:tcPr>
            <w:tcW w:w="1526" w:type="dxa"/>
          </w:tcPr>
          <w:p w:rsidR="00135552" w:rsidRDefault="004C63B0">
            <w:pPr>
              <w:pStyle w:val="DGTextstand-alone"/>
              <w:spacing w:before="0"/>
            </w:pPr>
            <w:r>
              <w:rPr>
                <w:color w:val="016794"/>
              </w:rPr>
              <w:t>ERDF</w:t>
            </w:r>
            <w:r>
              <w:t xml:space="preserve"> </w:t>
            </w:r>
          </w:p>
        </w:tc>
        <w:tc>
          <w:tcPr>
            <w:tcW w:w="8328" w:type="dxa"/>
          </w:tcPr>
          <w:p w:rsidR="00135552" w:rsidRDefault="004C63B0">
            <w:pPr>
              <w:pStyle w:val="DGTextstand-alone"/>
              <w:spacing w:before="0"/>
            </w:pPr>
            <w:r>
              <w:t>European Regional Development Fund</w:t>
            </w:r>
          </w:p>
        </w:tc>
      </w:tr>
      <w:tr w:rsidR="00135552">
        <w:tc>
          <w:tcPr>
            <w:tcW w:w="1526" w:type="dxa"/>
          </w:tcPr>
          <w:p w:rsidR="00135552" w:rsidRDefault="004C63B0">
            <w:pPr>
              <w:pStyle w:val="DGTextstand-alone"/>
              <w:spacing w:before="0"/>
              <w:rPr>
                <w:color w:val="016794"/>
              </w:rPr>
            </w:pPr>
            <w:r>
              <w:rPr>
                <w:color w:val="016794"/>
              </w:rPr>
              <w:t>ERI</w:t>
            </w:r>
          </w:p>
          <w:p w:rsidR="00135552" w:rsidRDefault="004C63B0">
            <w:pPr>
              <w:pStyle w:val="DGTextstand-alone"/>
              <w:spacing w:before="0"/>
            </w:pPr>
            <w:r>
              <w:rPr>
                <w:color w:val="016794"/>
              </w:rPr>
              <w:t>ESA</w:t>
            </w:r>
            <w:r>
              <w:t xml:space="preserve"> </w:t>
            </w:r>
          </w:p>
        </w:tc>
        <w:tc>
          <w:tcPr>
            <w:tcW w:w="8328" w:type="dxa"/>
          </w:tcPr>
          <w:p w:rsidR="00135552" w:rsidRDefault="004C63B0">
            <w:pPr>
              <w:pStyle w:val="DGTextstand-alone"/>
              <w:spacing w:before="0"/>
            </w:pPr>
            <w:r>
              <w:t>EIB Resilience Initiative</w:t>
            </w:r>
          </w:p>
          <w:p w:rsidR="00135552" w:rsidRDefault="004C63B0">
            <w:pPr>
              <w:pStyle w:val="DGTextstand-alone"/>
              <w:spacing w:before="0"/>
            </w:pPr>
            <w:r>
              <w:t>European Space Agency</w:t>
            </w:r>
          </w:p>
        </w:tc>
      </w:tr>
      <w:tr w:rsidR="00135552">
        <w:tc>
          <w:tcPr>
            <w:tcW w:w="1526" w:type="dxa"/>
          </w:tcPr>
          <w:p w:rsidR="00135552" w:rsidRDefault="004C63B0">
            <w:pPr>
              <w:pStyle w:val="DGTextstand-alone"/>
              <w:spacing w:before="0"/>
            </w:pPr>
            <w:r>
              <w:rPr>
                <w:color w:val="016794"/>
              </w:rPr>
              <w:t>ESF</w:t>
            </w:r>
            <w:r>
              <w:t xml:space="preserve"> </w:t>
            </w:r>
          </w:p>
        </w:tc>
        <w:tc>
          <w:tcPr>
            <w:tcW w:w="8328" w:type="dxa"/>
          </w:tcPr>
          <w:p w:rsidR="00135552" w:rsidRDefault="004C63B0">
            <w:pPr>
              <w:pStyle w:val="DGTextstand-alone"/>
              <w:spacing w:before="0"/>
            </w:pPr>
            <w:r>
              <w:t>European Social Fund</w:t>
            </w:r>
          </w:p>
        </w:tc>
      </w:tr>
      <w:tr w:rsidR="00135552">
        <w:tc>
          <w:tcPr>
            <w:tcW w:w="1526" w:type="dxa"/>
          </w:tcPr>
          <w:p w:rsidR="00135552" w:rsidRDefault="004C63B0">
            <w:pPr>
              <w:pStyle w:val="DGTextstand-alone"/>
              <w:spacing w:before="0"/>
            </w:pPr>
            <w:r>
              <w:rPr>
                <w:color w:val="016794"/>
              </w:rPr>
              <w:t>ESIF</w:t>
            </w:r>
            <w:r>
              <w:t xml:space="preserve"> </w:t>
            </w:r>
          </w:p>
        </w:tc>
        <w:tc>
          <w:tcPr>
            <w:tcW w:w="8328" w:type="dxa"/>
          </w:tcPr>
          <w:p w:rsidR="00135552" w:rsidRDefault="004C63B0">
            <w:pPr>
              <w:pStyle w:val="DGTextstand-alone"/>
              <w:spacing w:before="0"/>
            </w:pPr>
            <w:r>
              <w:t>European Structural and Investment Funds</w:t>
            </w:r>
          </w:p>
        </w:tc>
      </w:tr>
      <w:tr w:rsidR="00135552">
        <w:tc>
          <w:tcPr>
            <w:tcW w:w="1526" w:type="dxa"/>
          </w:tcPr>
          <w:p w:rsidR="00135552" w:rsidRDefault="004C63B0">
            <w:pPr>
              <w:pStyle w:val="DGTextstand-alone"/>
              <w:spacing w:before="0"/>
            </w:pPr>
            <w:r>
              <w:rPr>
                <w:color w:val="016794"/>
              </w:rPr>
              <w:t>ESM</w:t>
            </w:r>
            <w:r>
              <w:t xml:space="preserve"> </w:t>
            </w:r>
          </w:p>
        </w:tc>
        <w:tc>
          <w:tcPr>
            <w:tcW w:w="8328" w:type="dxa"/>
          </w:tcPr>
          <w:p w:rsidR="00135552" w:rsidRDefault="004C63B0">
            <w:pPr>
              <w:pStyle w:val="DGTextstand-alone"/>
              <w:spacing w:before="0"/>
            </w:pPr>
            <w:r>
              <w:t>European Stability Mechanism</w:t>
            </w:r>
          </w:p>
        </w:tc>
      </w:tr>
      <w:tr w:rsidR="00135552">
        <w:tc>
          <w:tcPr>
            <w:tcW w:w="1526" w:type="dxa"/>
          </w:tcPr>
          <w:p w:rsidR="00135552" w:rsidRDefault="004C63B0">
            <w:pPr>
              <w:pStyle w:val="DGTextstand-alone"/>
              <w:spacing w:before="0"/>
            </w:pPr>
            <w:r>
              <w:rPr>
                <w:color w:val="016794"/>
              </w:rPr>
              <w:t>ETF</w:t>
            </w:r>
            <w:r>
              <w:t xml:space="preserve"> </w:t>
            </w:r>
          </w:p>
        </w:tc>
        <w:tc>
          <w:tcPr>
            <w:tcW w:w="8328" w:type="dxa"/>
          </w:tcPr>
          <w:p w:rsidR="00135552" w:rsidRDefault="004C63B0">
            <w:pPr>
              <w:pStyle w:val="DGTextstand-alone"/>
              <w:spacing w:before="0"/>
            </w:pPr>
            <w:r>
              <w:t xml:space="preserve">European </w:t>
            </w:r>
            <w:r>
              <w:t>Technology Start up Facility 1998</w:t>
            </w:r>
          </w:p>
        </w:tc>
      </w:tr>
      <w:tr w:rsidR="00135552">
        <w:tc>
          <w:tcPr>
            <w:tcW w:w="1526" w:type="dxa"/>
          </w:tcPr>
          <w:p w:rsidR="00135552" w:rsidRDefault="004C63B0">
            <w:pPr>
              <w:pStyle w:val="DGTextstand-alone"/>
              <w:spacing w:before="0"/>
            </w:pPr>
            <w:r>
              <w:rPr>
                <w:color w:val="016794"/>
              </w:rPr>
              <w:t>EU</w:t>
            </w:r>
            <w:r>
              <w:t xml:space="preserve"> </w:t>
            </w:r>
          </w:p>
        </w:tc>
        <w:tc>
          <w:tcPr>
            <w:tcW w:w="8328" w:type="dxa"/>
          </w:tcPr>
          <w:p w:rsidR="00135552" w:rsidRDefault="004C63B0">
            <w:pPr>
              <w:pStyle w:val="DGTextstand-alone"/>
              <w:spacing w:before="0"/>
            </w:pPr>
            <w:r>
              <w:t>European Union</w:t>
            </w:r>
          </w:p>
        </w:tc>
      </w:tr>
      <w:tr w:rsidR="00135552">
        <w:tc>
          <w:tcPr>
            <w:tcW w:w="1526" w:type="dxa"/>
          </w:tcPr>
          <w:p w:rsidR="00135552" w:rsidRDefault="004C63B0">
            <w:pPr>
              <w:pStyle w:val="DGTextstand-alone"/>
              <w:spacing w:before="0"/>
            </w:pPr>
            <w:r>
              <w:rPr>
                <w:color w:val="016794"/>
              </w:rPr>
              <w:t>EUMETSAT</w:t>
            </w:r>
            <w:r>
              <w:t xml:space="preserve"> </w:t>
            </w:r>
          </w:p>
        </w:tc>
        <w:tc>
          <w:tcPr>
            <w:tcW w:w="8328" w:type="dxa"/>
          </w:tcPr>
          <w:p w:rsidR="00135552" w:rsidRDefault="004C63B0">
            <w:pPr>
              <w:pStyle w:val="DGTextstand-alone"/>
              <w:spacing w:before="0"/>
              <w:rPr>
                <w:highlight w:val="yellow"/>
              </w:rPr>
            </w:pPr>
            <w:r>
              <w:rPr>
                <w:bCs/>
                <w:iCs/>
                <w:lang w:val="en"/>
              </w:rPr>
              <w:t>Eu</w:t>
            </w:r>
            <w:r>
              <w:rPr>
                <w:iCs/>
                <w:lang w:val="en"/>
              </w:rPr>
              <w:t xml:space="preserve">ropean Organisation for the Exploitation of </w:t>
            </w:r>
            <w:r>
              <w:rPr>
                <w:bCs/>
                <w:iCs/>
                <w:lang w:val="en"/>
              </w:rPr>
              <w:t>Met</w:t>
            </w:r>
            <w:r>
              <w:rPr>
                <w:iCs/>
                <w:lang w:val="en"/>
              </w:rPr>
              <w:t xml:space="preserve">eorological </w:t>
            </w:r>
            <w:r>
              <w:rPr>
                <w:bCs/>
                <w:iCs/>
                <w:lang w:val="en"/>
              </w:rPr>
              <w:t>Sat</w:t>
            </w:r>
            <w:r>
              <w:rPr>
                <w:iCs/>
                <w:lang w:val="en"/>
              </w:rPr>
              <w:t>ellites</w:t>
            </w:r>
          </w:p>
        </w:tc>
      </w:tr>
      <w:tr w:rsidR="00135552">
        <w:tc>
          <w:tcPr>
            <w:tcW w:w="1526" w:type="dxa"/>
          </w:tcPr>
          <w:p w:rsidR="00135552" w:rsidRDefault="004C63B0">
            <w:pPr>
              <w:pStyle w:val="DGTextstand-alone"/>
              <w:spacing w:before="0"/>
            </w:pPr>
            <w:r>
              <w:rPr>
                <w:color w:val="016794"/>
              </w:rPr>
              <w:t>Euratom</w:t>
            </w:r>
          </w:p>
        </w:tc>
        <w:tc>
          <w:tcPr>
            <w:tcW w:w="8328" w:type="dxa"/>
          </w:tcPr>
          <w:p w:rsidR="00135552" w:rsidRDefault="004C63B0">
            <w:pPr>
              <w:pStyle w:val="DGTextstand-alone"/>
              <w:spacing w:before="0"/>
            </w:pPr>
            <w:r>
              <w:rPr>
                <w:bCs/>
                <w:lang w:val="en"/>
              </w:rPr>
              <w:t>European Atomic Energy Community</w:t>
            </w:r>
          </w:p>
        </w:tc>
      </w:tr>
      <w:tr w:rsidR="00135552">
        <w:tc>
          <w:tcPr>
            <w:tcW w:w="1526" w:type="dxa"/>
          </w:tcPr>
          <w:p w:rsidR="00135552" w:rsidRDefault="004C63B0">
            <w:pPr>
              <w:pStyle w:val="DGTextstand-alone"/>
              <w:spacing w:before="0"/>
              <w:rPr>
                <w:rStyle w:val="st1"/>
                <w:rFonts w:cs="Arial"/>
              </w:rPr>
            </w:pPr>
            <w:r>
              <w:rPr>
                <w:color w:val="016794"/>
              </w:rPr>
              <w:t>FIFO</w:t>
            </w:r>
          </w:p>
        </w:tc>
        <w:tc>
          <w:tcPr>
            <w:tcW w:w="8328" w:type="dxa"/>
          </w:tcPr>
          <w:p w:rsidR="00135552" w:rsidRDefault="004C63B0">
            <w:pPr>
              <w:pStyle w:val="DGTextstand-alone"/>
              <w:spacing w:before="0"/>
              <w:rPr>
                <w:rStyle w:val="st1"/>
                <w:rFonts w:cs="Arial"/>
              </w:rPr>
            </w:pPr>
            <w:r>
              <w:rPr>
                <w:rStyle w:val="st1"/>
                <w:rFonts w:cs="Arial"/>
              </w:rPr>
              <w:t>First-in, First-out</w:t>
            </w:r>
          </w:p>
        </w:tc>
      </w:tr>
      <w:tr w:rsidR="00135552">
        <w:tc>
          <w:tcPr>
            <w:tcW w:w="1526" w:type="dxa"/>
          </w:tcPr>
          <w:p w:rsidR="00135552" w:rsidRDefault="004C63B0">
            <w:pPr>
              <w:pStyle w:val="DGTextstand-alone"/>
              <w:spacing w:before="0"/>
            </w:pPr>
            <w:r>
              <w:rPr>
                <w:color w:val="016794"/>
              </w:rPr>
              <w:t>FP7</w:t>
            </w:r>
            <w:r>
              <w:t xml:space="preserve"> </w:t>
            </w:r>
          </w:p>
        </w:tc>
        <w:tc>
          <w:tcPr>
            <w:tcW w:w="8328" w:type="dxa"/>
          </w:tcPr>
          <w:p w:rsidR="00135552" w:rsidRDefault="004C63B0">
            <w:pPr>
              <w:pStyle w:val="DGTextstand-alone"/>
              <w:spacing w:before="0"/>
            </w:pPr>
            <w:r>
              <w:t>7th Research Framework Programme for Research</w:t>
            </w:r>
            <w:r>
              <w:t xml:space="preserve"> and Technological Development</w:t>
            </w:r>
          </w:p>
        </w:tc>
      </w:tr>
      <w:tr w:rsidR="00135552">
        <w:tc>
          <w:tcPr>
            <w:tcW w:w="1526" w:type="dxa"/>
          </w:tcPr>
          <w:p w:rsidR="00135552" w:rsidRDefault="004C63B0">
            <w:pPr>
              <w:pStyle w:val="DGTextstand-alone"/>
              <w:spacing w:before="0"/>
            </w:pPr>
            <w:r>
              <w:rPr>
                <w:color w:val="016794"/>
              </w:rPr>
              <w:t>FR</w:t>
            </w:r>
            <w:r>
              <w:t xml:space="preserve"> </w:t>
            </w:r>
          </w:p>
        </w:tc>
        <w:tc>
          <w:tcPr>
            <w:tcW w:w="8328" w:type="dxa"/>
          </w:tcPr>
          <w:p w:rsidR="00135552" w:rsidRDefault="004C63B0">
            <w:pPr>
              <w:pStyle w:val="DGTextstand-alone"/>
              <w:spacing w:before="0"/>
            </w:pPr>
            <w:r>
              <w:t>EU Financial Regulation</w:t>
            </w:r>
          </w:p>
        </w:tc>
      </w:tr>
      <w:tr w:rsidR="00135552">
        <w:tc>
          <w:tcPr>
            <w:tcW w:w="1526" w:type="dxa"/>
          </w:tcPr>
          <w:p w:rsidR="00135552" w:rsidRDefault="004C63B0">
            <w:pPr>
              <w:pStyle w:val="DGTextstand-alone"/>
              <w:spacing w:before="0"/>
            </w:pPr>
            <w:r>
              <w:rPr>
                <w:color w:val="016794"/>
              </w:rPr>
              <w:t>FSDA</w:t>
            </w:r>
            <w:r>
              <w:t xml:space="preserve"> </w:t>
            </w:r>
            <w:r>
              <w:tab/>
            </w:r>
          </w:p>
        </w:tc>
        <w:tc>
          <w:tcPr>
            <w:tcW w:w="8328" w:type="dxa"/>
          </w:tcPr>
          <w:p w:rsidR="00135552" w:rsidRDefault="004C63B0">
            <w:pPr>
              <w:pStyle w:val="DGTextstand-alone"/>
              <w:spacing w:before="0"/>
            </w:pPr>
            <w:r>
              <w:t>Financial Statement Discussion and Analysis</w:t>
            </w:r>
          </w:p>
        </w:tc>
      </w:tr>
      <w:tr w:rsidR="00135552">
        <w:tc>
          <w:tcPr>
            <w:tcW w:w="1526" w:type="dxa"/>
          </w:tcPr>
          <w:p w:rsidR="00135552" w:rsidRDefault="004C63B0">
            <w:pPr>
              <w:pStyle w:val="DGTextstand-alone"/>
              <w:spacing w:before="0"/>
              <w:rPr>
                <w:b/>
              </w:rPr>
            </w:pPr>
            <w:r>
              <w:rPr>
                <w:color w:val="016794"/>
              </w:rPr>
              <w:t>GDP</w:t>
            </w:r>
          </w:p>
        </w:tc>
        <w:tc>
          <w:tcPr>
            <w:tcW w:w="8328" w:type="dxa"/>
          </w:tcPr>
          <w:p w:rsidR="00135552" w:rsidRDefault="004C63B0">
            <w:pPr>
              <w:pStyle w:val="DGTextstand-alone"/>
              <w:spacing w:before="0"/>
            </w:pPr>
            <w:r>
              <w:t>Gross Domestic Product</w:t>
            </w:r>
          </w:p>
        </w:tc>
      </w:tr>
      <w:tr w:rsidR="00135552">
        <w:tc>
          <w:tcPr>
            <w:tcW w:w="1526" w:type="dxa"/>
          </w:tcPr>
          <w:p w:rsidR="00135552" w:rsidRDefault="004C63B0">
            <w:pPr>
              <w:pStyle w:val="DGTextstand-alone"/>
              <w:spacing w:before="0"/>
            </w:pPr>
            <w:r>
              <w:rPr>
                <w:color w:val="016794"/>
              </w:rPr>
              <w:t>GNI</w:t>
            </w:r>
            <w:r>
              <w:t xml:space="preserve"> </w:t>
            </w:r>
          </w:p>
        </w:tc>
        <w:tc>
          <w:tcPr>
            <w:tcW w:w="8328" w:type="dxa"/>
          </w:tcPr>
          <w:p w:rsidR="00135552" w:rsidRDefault="004C63B0">
            <w:pPr>
              <w:pStyle w:val="DGTextstand-alone"/>
              <w:spacing w:before="0"/>
            </w:pPr>
            <w:r>
              <w:t>Gross National Income</w:t>
            </w:r>
          </w:p>
        </w:tc>
      </w:tr>
      <w:tr w:rsidR="00135552">
        <w:tc>
          <w:tcPr>
            <w:tcW w:w="1526" w:type="dxa"/>
          </w:tcPr>
          <w:p w:rsidR="00135552" w:rsidRDefault="004C63B0">
            <w:pPr>
              <w:pStyle w:val="DGTextstand-alone"/>
              <w:spacing w:before="0"/>
            </w:pPr>
            <w:r>
              <w:rPr>
                <w:color w:val="016794"/>
              </w:rPr>
              <w:t>GNSS</w:t>
            </w:r>
            <w:r>
              <w:t xml:space="preserve"> </w:t>
            </w:r>
          </w:p>
        </w:tc>
        <w:tc>
          <w:tcPr>
            <w:tcW w:w="8328" w:type="dxa"/>
          </w:tcPr>
          <w:p w:rsidR="00135552" w:rsidRDefault="004C63B0">
            <w:pPr>
              <w:pStyle w:val="DGTextstand-alone"/>
              <w:spacing w:before="0"/>
            </w:pPr>
            <w:r>
              <w:t>Global Navigation Satellite Systems</w:t>
            </w:r>
          </w:p>
        </w:tc>
      </w:tr>
      <w:tr w:rsidR="00135552">
        <w:tc>
          <w:tcPr>
            <w:tcW w:w="1526" w:type="dxa"/>
          </w:tcPr>
          <w:p w:rsidR="00135552" w:rsidRDefault="004C63B0">
            <w:pPr>
              <w:pStyle w:val="DGTextstand-alone"/>
              <w:spacing w:before="0"/>
            </w:pPr>
            <w:r>
              <w:rPr>
                <w:color w:val="016794"/>
              </w:rPr>
              <w:t>H2020</w:t>
            </w:r>
            <w:r>
              <w:t xml:space="preserve"> </w:t>
            </w:r>
          </w:p>
        </w:tc>
        <w:tc>
          <w:tcPr>
            <w:tcW w:w="8328" w:type="dxa"/>
          </w:tcPr>
          <w:p w:rsidR="00135552" w:rsidRDefault="004C63B0">
            <w:pPr>
              <w:pStyle w:val="DGTextstand-alone"/>
              <w:spacing w:before="0"/>
            </w:pPr>
            <w:r>
              <w:rPr>
                <w:iCs/>
              </w:rPr>
              <w:t>Horizon 2020</w:t>
            </w:r>
          </w:p>
        </w:tc>
      </w:tr>
      <w:tr w:rsidR="00135552">
        <w:tc>
          <w:tcPr>
            <w:tcW w:w="1526" w:type="dxa"/>
          </w:tcPr>
          <w:p w:rsidR="00135552" w:rsidRDefault="004C63B0">
            <w:pPr>
              <w:pStyle w:val="DGTextstand-alone"/>
              <w:spacing w:before="0"/>
            </w:pPr>
            <w:r>
              <w:rPr>
                <w:color w:val="016794"/>
              </w:rPr>
              <w:t>IIW</w:t>
            </w:r>
            <w:r>
              <w:t xml:space="preserve"> </w:t>
            </w:r>
          </w:p>
        </w:tc>
        <w:tc>
          <w:tcPr>
            <w:tcW w:w="8328" w:type="dxa"/>
          </w:tcPr>
          <w:p w:rsidR="00135552" w:rsidRDefault="004C63B0">
            <w:pPr>
              <w:pStyle w:val="DGTextstand-alone"/>
              <w:spacing w:before="0"/>
            </w:pPr>
            <w:r>
              <w:t>Infrastructure and</w:t>
            </w:r>
            <w:r>
              <w:t xml:space="preserve"> Innovation Window</w:t>
            </w:r>
          </w:p>
        </w:tc>
      </w:tr>
      <w:tr w:rsidR="00135552">
        <w:tc>
          <w:tcPr>
            <w:tcW w:w="1526" w:type="dxa"/>
          </w:tcPr>
          <w:p w:rsidR="00135552" w:rsidRDefault="004C63B0">
            <w:pPr>
              <w:pStyle w:val="DGTextstand-alone"/>
              <w:spacing w:before="0"/>
            </w:pPr>
            <w:r>
              <w:rPr>
                <w:color w:val="016794"/>
              </w:rPr>
              <w:t>IMF</w:t>
            </w:r>
            <w:r>
              <w:t xml:space="preserve"> </w:t>
            </w:r>
          </w:p>
        </w:tc>
        <w:tc>
          <w:tcPr>
            <w:tcW w:w="8328" w:type="dxa"/>
          </w:tcPr>
          <w:p w:rsidR="00135552" w:rsidRDefault="004C63B0">
            <w:pPr>
              <w:pStyle w:val="DGTextstand-alone"/>
              <w:spacing w:before="0"/>
            </w:pPr>
            <w:r>
              <w:t>International Monetary Fund</w:t>
            </w:r>
          </w:p>
        </w:tc>
      </w:tr>
      <w:tr w:rsidR="00135552">
        <w:tc>
          <w:tcPr>
            <w:tcW w:w="1526" w:type="dxa"/>
          </w:tcPr>
          <w:p w:rsidR="00135552" w:rsidRDefault="004C63B0">
            <w:pPr>
              <w:pStyle w:val="DGTextstand-alone"/>
              <w:spacing w:before="0"/>
              <w:rPr>
                <w:color w:val="016794"/>
              </w:rPr>
            </w:pPr>
            <w:r>
              <w:rPr>
                <w:color w:val="016794"/>
              </w:rPr>
              <w:t>IPSAS</w:t>
            </w:r>
          </w:p>
        </w:tc>
        <w:tc>
          <w:tcPr>
            <w:tcW w:w="8328" w:type="dxa"/>
          </w:tcPr>
          <w:p w:rsidR="00135552" w:rsidRDefault="004C63B0">
            <w:pPr>
              <w:pStyle w:val="DGTextstand-alone"/>
              <w:spacing w:before="0"/>
            </w:pPr>
            <w:r>
              <w:t>International Public Sector Accounting Standards</w:t>
            </w:r>
          </w:p>
        </w:tc>
      </w:tr>
      <w:tr w:rsidR="00135552">
        <w:tc>
          <w:tcPr>
            <w:tcW w:w="1526" w:type="dxa"/>
          </w:tcPr>
          <w:p w:rsidR="00135552" w:rsidRDefault="004C63B0">
            <w:pPr>
              <w:pStyle w:val="DGTextstand-alone"/>
              <w:spacing w:before="0"/>
              <w:rPr>
                <w:rFonts w:cs="Calibri"/>
              </w:rPr>
            </w:pPr>
            <w:r>
              <w:rPr>
                <w:color w:val="016794"/>
              </w:rPr>
              <w:t>IT</w:t>
            </w:r>
            <w:r>
              <w:rPr>
                <w:rFonts w:cs="Calibri"/>
              </w:rPr>
              <w:t xml:space="preserve"> </w:t>
            </w:r>
          </w:p>
        </w:tc>
        <w:tc>
          <w:tcPr>
            <w:tcW w:w="8328" w:type="dxa"/>
          </w:tcPr>
          <w:p w:rsidR="00135552" w:rsidRDefault="004C63B0">
            <w:pPr>
              <w:pStyle w:val="DGTextstand-alone"/>
              <w:spacing w:before="0"/>
              <w:rPr>
                <w:rFonts w:cs="Calibri"/>
              </w:rPr>
            </w:pPr>
            <w:r>
              <w:rPr>
                <w:rFonts w:cs="Calibri"/>
              </w:rPr>
              <w:t>Information Technology</w:t>
            </w:r>
          </w:p>
        </w:tc>
      </w:tr>
      <w:tr w:rsidR="00135552">
        <w:tc>
          <w:tcPr>
            <w:tcW w:w="1526" w:type="dxa"/>
          </w:tcPr>
          <w:p w:rsidR="00135552" w:rsidRDefault="004C63B0">
            <w:pPr>
              <w:pStyle w:val="DGTextstand-alone"/>
              <w:spacing w:before="0"/>
            </w:pPr>
            <w:r>
              <w:rPr>
                <w:color w:val="016794"/>
              </w:rPr>
              <w:t>ITER</w:t>
            </w:r>
            <w:r>
              <w:t xml:space="preserve"> </w:t>
            </w:r>
          </w:p>
        </w:tc>
        <w:tc>
          <w:tcPr>
            <w:tcW w:w="8328" w:type="dxa"/>
          </w:tcPr>
          <w:p w:rsidR="00135552" w:rsidRDefault="004C63B0">
            <w:pPr>
              <w:pStyle w:val="DGTextstand-alone"/>
              <w:spacing w:before="0"/>
            </w:pPr>
            <w:r>
              <w:t>International Thermonuclear Experimental Reactor</w:t>
            </w:r>
          </w:p>
        </w:tc>
      </w:tr>
      <w:tr w:rsidR="00135552">
        <w:tc>
          <w:tcPr>
            <w:tcW w:w="1526" w:type="dxa"/>
          </w:tcPr>
          <w:p w:rsidR="00135552" w:rsidRDefault="004C63B0">
            <w:pPr>
              <w:pStyle w:val="DGTextstand-alone"/>
              <w:spacing w:before="0"/>
            </w:pPr>
            <w:r>
              <w:rPr>
                <w:color w:val="016794"/>
              </w:rPr>
              <w:t>JRC</w:t>
            </w:r>
            <w:r>
              <w:t xml:space="preserve"> </w:t>
            </w:r>
          </w:p>
        </w:tc>
        <w:tc>
          <w:tcPr>
            <w:tcW w:w="8328" w:type="dxa"/>
          </w:tcPr>
          <w:p w:rsidR="00135552" w:rsidRDefault="004C63B0">
            <w:pPr>
              <w:pStyle w:val="DGTextstand-alone"/>
              <w:spacing w:before="0"/>
            </w:pPr>
            <w:r>
              <w:t>Joint Research Centre</w:t>
            </w:r>
          </w:p>
        </w:tc>
      </w:tr>
      <w:tr w:rsidR="00135552">
        <w:tc>
          <w:tcPr>
            <w:tcW w:w="1526" w:type="dxa"/>
          </w:tcPr>
          <w:p w:rsidR="00135552" w:rsidRDefault="004C63B0">
            <w:pPr>
              <w:pStyle w:val="DGTextstand-alone"/>
              <w:spacing w:before="0"/>
              <w:rPr>
                <w:rFonts w:cs="Calibri"/>
              </w:rPr>
            </w:pPr>
            <w:r>
              <w:rPr>
                <w:color w:val="016794"/>
              </w:rPr>
              <w:t>JU</w:t>
            </w:r>
            <w:r>
              <w:rPr>
                <w:rFonts w:cs="Calibri"/>
              </w:rPr>
              <w:t xml:space="preserve"> </w:t>
            </w:r>
          </w:p>
        </w:tc>
        <w:tc>
          <w:tcPr>
            <w:tcW w:w="8328" w:type="dxa"/>
          </w:tcPr>
          <w:p w:rsidR="00135552" w:rsidRDefault="004C63B0">
            <w:pPr>
              <w:pStyle w:val="DGTextstand-alone"/>
              <w:spacing w:before="0"/>
              <w:rPr>
                <w:rFonts w:cs="Calibri"/>
              </w:rPr>
            </w:pPr>
            <w:r>
              <w:rPr>
                <w:rFonts w:cs="Calibri"/>
              </w:rPr>
              <w:t>Joint Undertaking</w:t>
            </w:r>
          </w:p>
        </w:tc>
      </w:tr>
      <w:tr w:rsidR="00135552">
        <w:tc>
          <w:tcPr>
            <w:tcW w:w="1526" w:type="dxa"/>
          </w:tcPr>
          <w:p w:rsidR="00135552" w:rsidRDefault="004C63B0">
            <w:pPr>
              <w:pStyle w:val="DGTextstand-alone"/>
              <w:spacing w:before="0"/>
            </w:pPr>
            <w:r>
              <w:rPr>
                <w:color w:val="016794"/>
              </w:rPr>
              <w:t>LGTT</w:t>
            </w:r>
            <w:r>
              <w:t xml:space="preserve"> </w:t>
            </w:r>
          </w:p>
        </w:tc>
        <w:tc>
          <w:tcPr>
            <w:tcW w:w="8328" w:type="dxa"/>
          </w:tcPr>
          <w:p w:rsidR="00135552" w:rsidRDefault="004C63B0">
            <w:pPr>
              <w:pStyle w:val="DGTextstand-alone"/>
              <w:spacing w:before="0"/>
            </w:pPr>
            <w:r>
              <w:t xml:space="preserve">Loan </w:t>
            </w:r>
            <w:r>
              <w:t>Guarantee Instrument for TEN-T projects</w:t>
            </w:r>
          </w:p>
        </w:tc>
      </w:tr>
      <w:tr w:rsidR="00135552">
        <w:tc>
          <w:tcPr>
            <w:tcW w:w="1526" w:type="dxa"/>
          </w:tcPr>
          <w:p w:rsidR="00135552" w:rsidRDefault="004C63B0">
            <w:pPr>
              <w:pStyle w:val="DGTextstand-alone"/>
              <w:spacing w:before="0"/>
            </w:pPr>
            <w:r>
              <w:rPr>
                <w:color w:val="016794"/>
              </w:rPr>
              <w:t>MAP</w:t>
            </w:r>
            <w:r>
              <w:t xml:space="preserve"> </w:t>
            </w:r>
          </w:p>
        </w:tc>
        <w:tc>
          <w:tcPr>
            <w:tcW w:w="8328" w:type="dxa"/>
          </w:tcPr>
          <w:p w:rsidR="00135552" w:rsidRDefault="004C63B0">
            <w:pPr>
              <w:pStyle w:val="DGTextstand-alone"/>
              <w:spacing w:before="0"/>
            </w:pPr>
            <w:r>
              <w:t xml:space="preserve">Multi Annual Program - </w:t>
            </w:r>
            <w:r>
              <w:rPr>
                <w:rFonts w:cs="DejaVuSansCondensed-Bold"/>
                <w:bCs/>
              </w:rPr>
              <w:t>Medium Enterprise Financial Inclusion Programme</w:t>
            </w:r>
          </w:p>
        </w:tc>
      </w:tr>
      <w:tr w:rsidR="00135552">
        <w:tc>
          <w:tcPr>
            <w:tcW w:w="1526" w:type="dxa"/>
          </w:tcPr>
          <w:p w:rsidR="00135552" w:rsidRDefault="004C63B0">
            <w:pPr>
              <w:pStyle w:val="DGTextstand-alone"/>
              <w:spacing w:before="0"/>
            </w:pPr>
            <w:r>
              <w:rPr>
                <w:color w:val="016794"/>
              </w:rPr>
              <w:t>MEP</w:t>
            </w:r>
            <w:r>
              <w:t xml:space="preserve"> </w:t>
            </w:r>
          </w:p>
        </w:tc>
        <w:tc>
          <w:tcPr>
            <w:tcW w:w="8328" w:type="dxa"/>
          </w:tcPr>
          <w:p w:rsidR="00135552" w:rsidRDefault="004C63B0">
            <w:pPr>
              <w:pStyle w:val="DGTextstand-alone"/>
              <w:spacing w:before="0"/>
            </w:pPr>
            <w:r>
              <w:rPr>
                <w:bCs/>
                <w:lang w:val="en"/>
              </w:rPr>
              <w:t>Member of the European Parliament</w:t>
            </w:r>
          </w:p>
        </w:tc>
      </w:tr>
      <w:tr w:rsidR="00135552">
        <w:tc>
          <w:tcPr>
            <w:tcW w:w="1526" w:type="dxa"/>
          </w:tcPr>
          <w:p w:rsidR="00135552" w:rsidRDefault="004C63B0">
            <w:pPr>
              <w:pStyle w:val="DGTextstand-alone"/>
              <w:spacing w:before="0"/>
              <w:rPr>
                <w:iCs/>
                <w:lang w:val="bg-BG"/>
              </w:rPr>
            </w:pPr>
            <w:r>
              <w:rPr>
                <w:color w:val="016794"/>
              </w:rPr>
              <w:t>MFA</w:t>
            </w:r>
            <w:r>
              <w:rPr>
                <w:iCs/>
                <w:lang w:val="bg-BG"/>
              </w:rPr>
              <w:t xml:space="preserve"> </w:t>
            </w:r>
          </w:p>
        </w:tc>
        <w:tc>
          <w:tcPr>
            <w:tcW w:w="8328" w:type="dxa"/>
          </w:tcPr>
          <w:p w:rsidR="00135552" w:rsidRDefault="004C63B0">
            <w:pPr>
              <w:pStyle w:val="DGTextstand-alone"/>
              <w:spacing w:before="0"/>
              <w:rPr>
                <w:iCs/>
              </w:rPr>
            </w:pPr>
            <w:r>
              <w:rPr>
                <w:iCs/>
              </w:rPr>
              <w:t>Macro</w:t>
            </w:r>
            <w:r>
              <w:rPr>
                <w:iCs/>
                <w:lang w:val="bg-BG"/>
              </w:rPr>
              <w:t xml:space="preserve"> </w:t>
            </w:r>
            <w:r>
              <w:rPr>
                <w:iCs/>
              </w:rPr>
              <w:t>Financial</w:t>
            </w:r>
            <w:r>
              <w:rPr>
                <w:iCs/>
                <w:lang w:val="bg-BG"/>
              </w:rPr>
              <w:t xml:space="preserve"> </w:t>
            </w:r>
            <w:r>
              <w:rPr>
                <w:iCs/>
              </w:rPr>
              <w:t>Assistance</w:t>
            </w:r>
          </w:p>
        </w:tc>
      </w:tr>
      <w:tr w:rsidR="00135552">
        <w:tc>
          <w:tcPr>
            <w:tcW w:w="1526" w:type="dxa"/>
          </w:tcPr>
          <w:p w:rsidR="00135552" w:rsidRDefault="004C63B0">
            <w:pPr>
              <w:pStyle w:val="DGTextstand-alone"/>
              <w:spacing w:before="0"/>
              <w:rPr>
                <w:lang w:val="bg-BG"/>
              </w:rPr>
            </w:pPr>
            <w:r>
              <w:rPr>
                <w:color w:val="016794"/>
              </w:rPr>
              <w:t>MFF</w:t>
            </w:r>
            <w:r>
              <w:rPr>
                <w:lang w:val="bg-BG"/>
              </w:rPr>
              <w:t xml:space="preserve"> </w:t>
            </w:r>
          </w:p>
        </w:tc>
        <w:tc>
          <w:tcPr>
            <w:tcW w:w="8328" w:type="dxa"/>
          </w:tcPr>
          <w:p w:rsidR="00135552" w:rsidRDefault="004C63B0">
            <w:pPr>
              <w:pStyle w:val="DGTextstand-alone"/>
              <w:spacing w:before="0"/>
            </w:pPr>
            <w:r>
              <w:t>Multiannual</w:t>
            </w:r>
            <w:r>
              <w:rPr>
                <w:lang w:val="bg-BG"/>
              </w:rPr>
              <w:t xml:space="preserve"> </w:t>
            </w:r>
            <w:r>
              <w:t>Financial</w:t>
            </w:r>
            <w:r>
              <w:rPr>
                <w:lang w:val="bg-BG"/>
              </w:rPr>
              <w:t xml:space="preserve"> </w:t>
            </w:r>
            <w:r>
              <w:t>Framework</w:t>
            </w:r>
          </w:p>
        </w:tc>
      </w:tr>
      <w:tr w:rsidR="00135552">
        <w:tc>
          <w:tcPr>
            <w:tcW w:w="1526" w:type="dxa"/>
          </w:tcPr>
          <w:p w:rsidR="00135552" w:rsidRDefault="004C63B0">
            <w:pPr>
              <w:pStyle w:val="DGTextstand-alone"/>
              <w:spacing w:before="0"/>
              <w:rPr>
                <w:rFonts w:cs="DejaVuSansCondensed-Bold"/>
                <w:bCs/>
              </w:rPr>
            </w:pPr>
            <w:r>
              <w:rPr>
                <w:color w:val="016794"/>
              </w:rPr>
              <w:t>MSME</w:t>
            </w:r>
          </w:p>
        </w:tc>
        <w:tc>
          <w:tcPr>
            <w:tcW w:w="8328" w:type="dxa"/>
          </w:tcPr>
          <w:p w:rsidR="00135552" w:rsidRDefault="004C63B0">
            <w:pPr>
              <w:pStyle w:val="DGTextstand-alone"/>
              <w:spacing w:before="0"/>
              <w:rPr>
                <w:rFonts w:cs="DejaVuSansCondensed-Bold"/>
                <w:bCs/>
              </w:rPr>
            </w:pPr>
            <w:r>
              <w:rPr>
                <w:rFonts w:cs="DejaVuSansCondensed-Bold"/>
                <w:bCs/>
              </w:rPr>
              <w:t xml:space="preserve">Micro, Small and </w:t>
            </w:r>
            <w:r>
              <w:rPr>
                <w:rFonts w:cs="DejaVuSansCondensed-Bold"/>
                <w:bCs/>
              </w:rPr>
              <w:t>Medium Enterprise</w:t>
            </w:r>
          </w:p>
        </w:tc>
      </w:tr>
      <w:tr w:rsidR="00135552">
        <w:tc>
          <w:tcPr>
            <w:tcW w:w="1526" w:type="dxa"/>
          </w:tcPr>
          <w:p w:rsidR="00135552" w:rsidRDefault="004C63B0">
            <w:pPr>
              <w:pStyle w:val="DGTextstand-alone"/>
              <w:spacing w:before="0"/>
              <w:rPr>
                <w:lang w:val="bg-BG"/>
              </w:rPr>
            </w:pPr>
            <w:r>
              <w:rPr>
                <w:color w:val="016794"/>
              </w:rPr>
              <w:t>ORD</w:t>
            </w:r>
            <w:r>
              <w:rPr>
                <w:lang w:val="bg-BG"/>
              </w:rPr>
              <w:t xml:space="preserve"> </w:t>
            </w:r>
          </w:p>
        </w:tc>
        <w:tc>
          <w:tcPr>
            <w:tcW w:w="8328" w:type="dxa"/>
          </w:tcPr>
          <w:p w:rsidR="00135552" w:rsidRDefault="004C63B0">
            <w:pPr>
              <w:pStyle w:val="DGTextstand-alone"/>
              <w:spacing w:before="0"/>
              <w:rPr>
                <w:lang w:val="bg-BG"/>
              </w:rPr>
            </w:pPr>
            <w:r>
              <w:t>Own</w:t>
            </w:r>
            <w:r>
              <w:rPr>
                <w:lang w:val="bg-BG"/>
              </w:rPr>
              <w:t xml:space="preserve"> </w:t>
            </w:r>
            <w:r>
              <w:t>Resources</w:t>
            </w:r>
            <w:r>
              <w:rPr>
                <w:lang w:val="bg-BG"/>
              </w:rPr>
              <w:t xml:space="preserve"> </w:t>
            </w:r>
            <w:r>
              <w:t>Decision</w:t>
            </w:r>
          </w:p>
        </w:tc>
      </w:tr>
      <w:tr w:rsidR="00135552">
        <w:tc>
          <w:tcPr>
            <w:tcW w:w="1526" w:type="dxa"/>
          </w:tcPr>
          <w:p w:rsidR="00135552" w:rsidRDefault="004C63B0">
            <w:pPr>
              <w:pStyle w:val="DGTextstand-alone"/>
              <w:spacing w:before="0"/>
              <w:rPr>
                <w:lang w:val="bg-BG"/>
              </w:rPr>
            </w:pPr>
            <w:r>
              <w:rPr>
                <w:color w:val="016794"/>
              </w:rPr>
              <w:t>PBI</w:t>
            </w:r>
            <w:r>
              <w:rPr>
                <w:lang w:val="bg-BG"/>
              </w:rPr>
              <w:t xml:space="preserve"> </w:t>
            </w:r>
          </w:p>
        </w:tc>
        <w:tc>
          <w:tcPr>
            <w:tcW w:w="8328" w:type="dxa"/>
          </w:tcPr>
          <w:p w:rsidR="00135552" w:rsidRDefault="004C63B0">
            <w:pPr>
              <w:pStyle w:val="DGTextstand-alone"/>
              <w:spacing w:before="0"/>
              <w:rPr>
                <w:lang w:val="bg-BG"/>
              </w:rPr>
            </w:pPr>
            <w:r>
              <w:t>Project</w:t>
            </w:r>
            <w:r>
              <w:rPr>
                <w:lang w:val="bg-BG"/>
              </w:rPr>
              <w:t xml:space="preserve"> </w:t>
            </w:r>
            <w:r>
              <w:t>Bond</w:t>
            </w:r>
            <w:r>
              <w:rPr>
                <w:lang w:val="bg-BG"/>
              </w:rPr>
              <w:t xml:space="preserve"> </w:t>
            </w:r>
            <w:r>
              <w:t>Initiative</w:t>
            </w:r>
          </w:p>
        </w:tc>
      </w:tr>
      <w:tr w:rsidR="00135552">
        <w:tc>
          <w:tcPr>
            <w:tcW w:w="1526" w:type="dxa"/>
          </w:tcPr>
          <w:p w:rsidR="00135552" w:rsidRDefault="004C63B0">
            <w:pPr>
              <w:pStyle w:val="DGTextstand-alone"/>
              <w:spacing w:before="0"/>
              <w:rPr>
                <w:lang w:val="bg-BG"/>
              </w:rPr>
            </w:pPr>
            <w:r>
              <w:rPr>
                <w:color w:val="016794"/>
              </w:rPr>
              <w:t>PF</w:t>
            </w:r>
            <w:r>
              <w:rPr>
                <w:color w:val="016794"/>
                <w:lang w:val="bg-BG"/>
              </w:rPr>
              <w:t>4</w:t>
            </w:r>
            <w:r>
              <w:rPr>
                <w:color w:val="016794"/>
              </w:rPr>
              <w:t>EE</w:t>
            </w:r>
            <w:r>
              <w:rPr>
                <w:lang w:val="bg-BG"/>
              </w:rPr>
              <w:t xml:space="preserve"> </w:t>
            </w:r>
          </w:p>
        </w:tc>
        <w:tc>
          <w:tcPr>
            <w:tcW w:w="8328" w:type="dxa"/>
          </w:tcPr>
          <w:p w:rsidR="00135552" w:rsidRDefault="004C63B0">
            <w:pPr>
              <w:pStyle w:val="DGTextstand-alone"/>
              <w:spacing w:before="0"/>
            </w:pPr>
            <w:r>
              <w:t>Private</w:t>
            </w:r>
            <w:r>
              <w:rPr>
                <w:lang w:val="bg-BG"/>
              </w:rPr>
              <w:t xml:space="preserve"> </w:t>
            </w:r>
            <w:r>
              <w:t>Finance</w:t>
            </w:r>
            <w:r>
              <w:rPr>
                <w:lang w:val="bg-BG"/>
              </w:rPr>
              <w:t xml:space="preserve"> </w:t>
            </w:r>
            <w:r>
              <w:t>for</w:t>
            </w:r>
            <w:r>
              <w:rPr>
                <w:lang w:val="bg-BG"/>
              </w:rPr>
              <w:t xml:space="preserve"> </w:t>
            </w:r>
            <w:r>
              <w:t>Energy</w:t>
            </w:r>
            <w:r>
              <w:rPr>
                <w:lang w:val="bg-BG"/>
              </w:rPr>
              <w:t xml:space="preserve"> </w:t>
            </w:r>
            <w:r>
              <w:t>Efficiency</w:t>
            </w:r>
            <w:r>
              <w:rPr>
                <w:lang w:val="bg-BG"/>
              </w:rPr>
              <w:t xml:space="preserve"> </w:t>
            </w:r>
            <w:r>
              <w:t>Instrument</w:t>
            </w:r>
          </w:p>
        </w:tc>
      </w:tr>
      <w:tr w:rsidR="00135552">
        <w:tc>
          <w:tcPr>
            <w:tcW w:w="1526" w:type="dxa"/>
          </w:tcPr>
          <w:p w:rsidR="00135552" w:rsidRDefault="004C63B0">
            <w:pPr>
              <w:pStyle w:val="DGTextstand-alone"/>
              <w:spacing w:before="0"/>
              <w:rPr>
                <w:lang w:val="bg-BG"/>
              </w:rPr>
            </w:pPr>
            <w:r>
              <w:rPr>
                <w:color w:val="016794"/>
              </w:rPr>
              <w:t>PGF</w:t>
            </w:r>
            <w:r>
              <w:rPr>
                <w:lang w:val="bg-BG"/>
              </w:rPr>
              <w:t xml:space="preserve"> </w:t>
            </w:r>
          </w:p>
        </w:tc>
        <w:tc>
          <w:tcPr>
            <w:tcW w:w="8328" w:type="dxa"/>
          </w:tcPr>
          <w:p w:rsidR="00135552" w:rsidRDefault="004C63B0">
            <w:pPr>
              <w:pStyle w:val="DGTextstand-alone"/>
              <w:spacing w:before="0"/>
              <w:rPr>
                <w:lang w:val="bg-BG"/>
              </w:rPr>
            </w:pPr>
            <w:r>
              <w:t>Participants</w:t>
            </w:r>
            <w:r>
              <w:rPr>
                <w:lang w:val="bg-BG"/>
              </w:rPr>
              <w:t xml:space="preserve"> </w:t>
            </w:r>
            <w:r>
              <w:t>Guarantee</w:t>
            </w:r>
            <w:r>
              <w:rPr>
                <w:lang w:val="bg-BG"/>
              </w:rPr>
              <w:t xml:space="preserve"> </w:t>
            </w:r>
            <w:r>
              <w:t>Fund</w:t>
            </w:r>
          </w:p>
        </w:tc>
      </w:tr>
      <w:tr w:rsidR="00135552">
        <w:tc>
          <w:tcPr>
            <w:tcW w:w="1526" w:type="dxa"/>
          </w:tcPr>
          <w:p w:rsidR="00135552" w:rsidRDefault="004C63B0">
            <w:pPr>
              <w:pStyle w:val="DGTextstand-alone"/>
              <w:spacing w:before="0"/>
              <w:rPr>
                <w:lang w:val="bg-BG"/>
              </w:rPr>
            </w:pPr>
            <w:r>
              <w:rPr>
                <w:color w:val="016794"/>
              </w:rPr>
              <w:t>PPP</w:t>
            </w:r>
            <w:r>
              <w:rPr>
                <w:lang w:val="bg-BG"/>
              </w:rPr>
              <w:t xml:space="preserve"> </w:t>
            </w:r>
          </w:p>
        </w:tc>
        <w:tc>
          <w:tcPr>
            <w:tcW w:w="8328" w:type="dxa"/>
          </w:tcPr>
          <w:p w:rsidR="00135552" w:rsidRDefault="004C63B0">
            <w:pPr>
              <w:pStyle w:val="DGTextstand-alone"/>
              <w:spacing w:before="0"/>
            </w:pPr>
            <w:r>
              <w:t>Public</w:t>
            </w:r>
            <w:r>
              <w:rPr>
                <w:lang w:val="bg-BG"/>
              </w:rPr>
              <w:t>-</w:t>
            </w:r>
            <w:r>
              <w:t>Private</w:t>
            </w:r>
            <w:r>
              <w:rPr>
                <w:lang w:val="bg-BG"/>
              </w:rPr>
              <w:t xml:space="preserve"> </w:t>
            </w:r>
            <w:r>
              <w:t>Partnership</w:t>
            </w:r>
          </w:p>
        </w:tc>
      </w:tr>
      <w:tr w:rsidR="00135552">
        <w:tc>
          <w:tcPr>
            <w:tcW w:w="1526" w:type="dxa"/>
          </w:tcPr>
          <w:p w:rsidR="00135552" w:rsidRDefault="004C63B0">
            <w:pPr>
              <w:pStyle w:val="DGTextstand-alone"/>
              <w:spacing w:before="0"/>
              <w:rPr>
                <w:lang w:val="bg-BG"/>
              </w:rPr>
            </w:pPr>
            <w:r>
              <w:rPr>
                <w:color w:val="016794"/>
              </w:rPr>
              <w:t>PSEO</w:t>
            </w:r>
            <w:r>
              <w:rPr>
                <w:lang w:val="bg-BG"/>
              </w:rPr>
              <w:t xml:space="preserve"> </w:t>
            </w:r>
          </w:p>
        </w:tc>
        <w:tc>
          <w:tcPr>
            <w:tcW w:w="8328" w:type="dxa"/>
          </w:tcPr>
          <w:p w:rsidR="00135552" w:rsidRDefault="004C63B0">
            <w:pPr>
              <w:pStyle w:val="DGTextstand-alone"/>
              <w:spacing w:before="0"/>
            </w:pPr>
            <w:r>
              <w:t>Pension</w:t>
            </w:r>
            <w:r>
              <w:rPr>
                <w:lang w:val="bg-BG"/>
              </w:rPr>
              <w:t xml:space="preserve"> </w:t>
            </w:r>
            <w:r>
              <w:t>Scheme</w:t>
            </w:r>
            <w:r>
              <w:rPr>
                <w:lang w:val="bg-BG"/>
              </w:rPr>
              <w:t xml:space="preserve"> </w:t>
            </w:r>
            <w:r>
              <w:t>of</w:t>
            </w:r>
            <w:r>
              <w:rPr>
                <w:lang w:val="bg-BG"/>
              </w:rPr>
              <w:t xml:space="preserve"> </w:t>
            </w:r>
            <w:r>
              <w:t>European</w:t>
            </w:r>
            <w:r>
              <w:rPr>
                <w:lang w:val="bg-BG"/>
              </w:rPr>
              <w:t xml:space="preserve"> </w:t>
            </w:r>
            <w:r>
              <w:t xml:space="preserve">Officials </w:t>
            </w:r>
          </w:p>
        </w:tc>
      </w:tr>
      <w:tr w:rsidR="00135552">
        <w:tc>
          <w:tcPr>
            <w:tcW w:w="1526" w:type="dxa"/>
          </w:tcPr>
          <w:p w:rsidR="00135552" w:rsidRDefault="004C63B0">
            <w:pPr>
              <w:pStyle w:val="DGTextstand-alone"/>
              <w:spacing w:before="0"/>
              <w:rPr>
                <w:lang w:val="bg-BG"/>
              </w:rPr>
            </w:pPr>
            <w:r>
              <w:rPr>
                <w:color w:val="016794"/>
              </w:rPr>
              <w:t>RAL</w:t>
            </w:r>
          </w:p>
        </w:tc>
        <w:tc>
          <w:tcPr>
            <w:tcW w:w="8328" w:type="dxa"/>
          </w:tcPr>
          <w:p w:rsidR="00135552" w:rsidRDefault="004C63B0">
            <w:pPr>
              <w:pStyle w:val="DGTextstand-alone"/>
              <w:spacing w:before="0"/>
            </w:pPr>
            <w:r>
              <w:rPr>
                <w:lang w:val="bg-BG"/>
              </w:rPr>
              <w:t>"</w:t>
            </w:r>
            <w:r>
              <w:t>Reste</w:t>
            </w:r>
            <w:r>
              <w:rPr>
                <w:lang w:val="bg-BG"/>
              </w:rPr>
              <w:t xml:space="preserve"> à </w:t>
            </w:r>
            <w:r>
              <w:t>Liquider" (Outstanding Commitments)</w:t>
            </w:r>
          </w:p>
        </w:tc>
      </w:tr>
      <w:tr w:rsidR="00135552">
        <w:tc>
          <w:tcPr>
            <w:tcW w:w="1526" w:type="dxa"/>
          </w:tcPr>
          <w:p w:rsidR="00135552" w:rsidRDefault="004C63B0">
            <w:pPr>
              <w:pStyle w:val="DGTextstand-alone"/>
              <w:spacing w:before="0"/>
            </w:pPr>
            <w:r>
              <w:rPr>
                <w:color w:val="016794"/>
              </w:rPr>
              <w:t>RSFF</w:t>
            </w:r>
            <w:r>
              <w:t xml:space="preserve"> </w:t>
            </w:r>
          </w:p>
        </w:tc>
        <w:tc>
          <w:tcPr>
            <w:tcW w:w="8328" w:type="dxa"/>
          </w:tcPr>
          <w:p w:rsidR="00135552" w:rsidRDefault="004C63B0">
            <w:pPr>
              <w:pStyle w:val="DGTextstand-alone"/>
              <w:spacing w:before="0"/>
            </w:pPr>
            <w:r>
              <w:t>Risk Sharing Finance Facility</w:t>
            </w:r>
          </w:p>
        </w:tc>
      </w:tr>
      <w:tr w:rsidR="00135552">
        <w:tc>
          <w:tcPr>
            <w:tcW w:w="1526" w:type="dxa"/>
          </w:tcPr>
          <w:p w:rsidR="00135552" w:rsidRDefault="004C63B0">
            <w:pPr>
              <w:pStyle w:val="DGTextstand-alone"/>
              <w:spacing w:before="0"/>
            </w:pPr>
            <w:r>
              <w:rPr>
                <w:color w:val="016794"/>
              </w:rPr>
              <w:t>RTD</w:t>
            </w:r>
            <w:r>
              <w:t xml:space="preserve"> </w:t>
            </w:r>
          </w:p>
        </w:tc>
        <w:tc>
          <w:tcPr>
            <w:tcW w:w="8328" w:type="dxa"/>
          </w:tcPr>
          <w:p w:rsidR="00135552" w:rsidRDefault="004C63B0">
            <w:pPr>
              <w:pStyle w:val="DGTextstand-alone"/>
              <w:spacing w:before="0"/>
            </w:pPr>
            <w:r>
              <w:t>Research, Technological Development and Demonstration</w:t>
            </w:r>
          </w:p>
        </w:tc>
      </w:tr>
      <w:tr w:rsidR="00135552">
        <w:tc>
          <w:tcPr>
            <w:tcW w:w="1526" w:type="dxa"/>
          </w:tcPr>
          <w:p w:rsidR="00135552" w:rsidRDefault="004C63B0">
            <w:pPr>
              <w:pStyle w:val="DGTextstand-alone"/>
              <w:spacing w:before="0"/>
            </w:pPr>
            <w:r>
              <w:rPr>
                <w:color w:val="016794"/>
              </w:rPr>
              <w:t>S&amp;P</w:t>
            </w:r>
            <w:r>
              <w:t xml:space="preserve"> </w:t>
            </w:r>
          </w:p>
        </w:tc>
        <w:tc>
          <w:tcPr>
            <w:tcW w:w="8328" w:type="dxa"/>
          </w:tcPr>
          <w:p w:rsidR="00135552" w:rsidRDefault="004C63B0">
            <w:pPr>
              <w:pStyle w:val="DGTextstand-alone"/>
              <w:spacing w:before="0"/>
            </w:pPr>
            <w:r>
              <w:rPr>
                <w:bCs/>
                <w:lang w:val="en"/>
              </w:rPr>
              <w:t>Standard &amp; Poor's Financial Services LLC</w:t>
            </w:r>
          </w:p>
        </w:tc>
      </w:tr>
      <w:tr w:rsidR="00135552">
        <w:tc>
          <w:tcPr>
            <w:tcW w:w="1526" w:type="dxa"/>
          </w:tcPr>
          <w:p w:rsidR="00135552" w:rsidRDefault="004C63B0">
            <w:pPr>
              <w:pStyle w:val="DGTextstand-alone"/>
              <w:spacing w:before="0"/>
            </w:pPr>
            <w:r>
              <w:rPr>
                <w:color w:val="016794"/>
              </w:rPr>
              <w:t>SANAD</w:t>
            </w:r>
            <w:r>
              <w:t xml:space="preserve"> </w:t>
            </w:r>
          </w:p>
        </w:tc>
        <w:tc>
          <w:tcPr>
            <w:tcW w:w="8328" w:type="dxa"/>
          </w:tcPr>
          <w:p w:rsidR="00135552" w:rsidRDefault="004C63B0">
            <w:pPr>
              <w:pStyle w:val="DGTextstand-alone"/>
              <w:spacing w:before="0"/>
            </w:pPr>
            <w:r>
              <w:t>MENA Fund for Micro-, Small and Medium Enterprises</w:t>
            </w:r>
          </w:p>
        </w:tc>
      </w:tr>
      <w:tr w:rsidR="00135552">
        <w:tc>
          <w:tcPr>
            <w:tcW w:w="1526" w:type="dxa"/>
          </w:tcPr>
          <w:p w:rsidR="00135552" w:rsidRDefault="004C63B0">
            <w:pPr>
              <w:pStyle w:val="DGTextstand-alone"/>
              <w:spacing w:before="0"/>
              <w:rPr>
                <w:iCs/>
              </w:rPr>
            </w:pPr>
            <w:r>
              <w:rPr>
                <w:color w:val="016794"/>
              </w:rPr>
              <w:t>SAPARD</w:t>
            </w:r>
            <w:r>
              <w:rPr>
                <w:iCs/>
              </w:rPr>
              <w:t xml:space="preserve"> </w:t>
            </w:r>
          </w:p>
        </w:tc>
        <w:tc>
          <w:tcPr>
            <w:tcW w:w="8328" w:type="dxa"/>
          </w:tcPr>
          <w:p w:rsidR="00135552" w:rsidRDefault="004C63B0">
            <w:pPr>
              <w:pStyle w:val="DGTextstand-alone"/>
              <w:spacing w:before="0"/>
            </w:pPr>
            <w:r>
              <w:rPr>
                <w:iCs/>
              </w:rPr>
              <w:t xml:space="preserve">Special Accession Programme for Agriculture and Rural Development </w:t>
            </w:r>
          </w:p>
        </w:tc>
      </w:tr>
      <w:tr w:rsidR="00135552">
        <w:tc>
          <w:tcPr>
            <w:tcW w:w="1526" w:type="dxa"/>
          </w:tcPr>
          <w:p w:rsidR="00135552" w:rsidRDefault="004C63B0">
            <w:pPr>
              <w:pStyle w:val="DGTextstand-alone"/>
              <w:spacing w:before="0"/>
            </w:pPr>
            <w:r>
              <w:rPr>
                <w:color w:val="016794"/>
              </w:rPr>
              <w:t>SEMED</w:t>
            </w:r>
            <w:r>
              <w:t xml:space="preserve"> </w:t>
            </w:r>
          </w:p>
        </w:tc>
        <w:tc>
          <w:tcPr>
            <w:tcW w:w="8328" w:type="dxa"/>
          </w:tcPr>
          <w:p w:rsidR="00135552" w:rsidRDefault="004C63B0">
            <w:pPr>
              <w:pStyle w:val="DGTextstand-alone"/>
              <w:spacing w:before="0"/>
            </w:pPr>
            <w:r>
              <w:rPr>
                <w:rFonts w:cs="DejaVuSansCondensed-Bold"/>
                <w:bCs/>
              </w:rPr>
              <w:t>Southern and Eastern Mediterranean Micro, Small and Middle sized Entreprises Financial Inclusion Programme</w:t>
            </w:r>
          </w:p>
        </w:tc>
      </w:tr>
      <w:tr w:rsidR="00135552">
        <w:tc>
          <w:tcPr>
            <w:tcW w:w="1526" w:type="dxa"/>
          </w:tcPr>
          <w:p w:rsidR="00135552" w:rsidRDefault="004C63B0">
            <w:pPr>
              <w:pStyle w:val="DGTextstand-alone"/>
              <w:spacing w:before="0"/>
              <w:rPr>
                <w:iCs/>
              </w:rPr>
            </w:pPr>
            <w:r>
              <w:rPr>
                <w:color w:val="016794"/>
              </w:rPr>
              <w:t>SIUGI</w:t>
            </w:r>
            <w:r>
              <w:rPr>
                <w:iCs/>
              </w:rPr>
              <w:t xml:space="preserve"> </w:t>
            </w:r>
          </w:p>
        </w:tc>
        <w:tc>
          <w:tcPr>
            <w:tcW w:w="8328" w:type="dxa"/>
          </w:tcPr>
          <w:p w:rsidR="00135552" w:rsidRDefault="004C63B0">
            <w:pPr>
              <w:pStyle w:val="DGTextstand-alone"/>
              <w:spacing w:before="0"/>
              <w:rPr>
                <w:iCs/>
              </w:rPr>
            </w:pPr>
            <w:r>
              <w:rPr>
                <w:iCs/>
              </w:rPr>
              <w:t>SME Initiative Uncapped Guarantee Instrument</w:t>
            </w:r>
          </w:p>
        </w:tc>
      </w:tr>
      <w:tr w:rsidR="00135552">
        <w:tc>
          <w:tcPr>
            <w:tcW w:w="1526" w:type="dxa"/>
          </w:tcPr>
          <w:p w:rsidR="00135552" w:rsidRDefault="004C63B0">
            <w:pPr>
              <w:pStyle w:val="DGTextstand-alone"/>
              <w:spacing w:before="0"/>
            </w:pPr>
            <w:r>
              <w:rPr>
                <w:color w:val="016794"/>
              </w:rPr>
              <w:t>SME</w:t>
            </w:r>
          </w:p>
        </w:tc>
        <w:tc>
          <w:tcPr>
            <w:tcW w:w="8328" w:type="dxa"/>
          </w:tcPr>
          <w:p w:rsidR="00135552" w:rsidRDefault="004C63B0">
            <w:pPr>
              <w:pStyle w:val="DGTextstand-alone"/>
              <w:spacing w:before="0"/>
            </w:pPr>
            <w:r>
              <w:rPr>
                <w:rStyle w:val="st1"/>
                <w:rFonts w:cs="Arial"/>
              </w:rPr>
              <w:t xml:space="preserve">Small and </w:t>
            </w:r>
            <w:r>
              <w:rPr>
                <w:rStyle w:val="st1"/>
                <w:rFonts w:cs="Arial"/>
              </w:rPr>
              <w:t>Medium-sized Enterprise(s)</w:t>
            </w:r>
          </w:p>
        </w:tc>
      </w:tr>
      <w:tr w:rsidR="00135552">
        <w:tc>
          <w:tcPr>
            <w:tcW w:w="1526" w:type="dxa"/>
          </w:tcPr>
          <w:p w:rsidR="00135552" w:rsidRDefault="004C63B0">
            <w:pPr>
              <w:pStyle w:val="DGTextstand-alone"/>
              <w:spacing w:before="0"/>
            </w:pPr>
            <w:r>
              <w:rPr>
                <w:color w:val="016794"/>
              </w:rPr>
              <w:t>SMEW</w:t>
            </w:r>
            <w:r>
              <w:t xml:space="preserve"> </w:t>
            </w:r>
          </w:p>
        </w:tc>
        <w:tc>
          <w:tcPr>
            <w:tcW w:w="8328" w:type="dxa"/>
          </w:tcPr>
          <w:p w:rsidR="00135552" w:rsidRDefault="004C63B0">
            <w:pPr>
              <w:pStyle w:val="DGTextstand-alone"/>
              <w:spacing w:before="0"/>
            </w:pPr>
            <w:r>
              <w:t>SME Window (Small and Medium-sized Enterprises Window)</w:t>
            </w:r>
          </w:p>
        </w:tc>
      </w:tr>
      <w:tr w:rsidR="00135552">
        <w:tc>
          <w:tcPr>
            <w:tcW w:w="1526" w:type="dxa"/>
          </w:tcPr>
          <w:p w:rsidR="00135552" w:rsidRDefault="004C63B0">
            <w:pPr>
              <w:pStyle w:val="DGTextstand-alone"/>
              <w:spacing w:before="0"/>
            </w:pPr>
            <w:r>
              <w:rPr>
                <w:color w:val="016794"/>
              </w:rPr>
              <w:t>TFEU</w:t>
            </w:r>
            <w:r>
              <w:t xml:space="preserve"> </w:t>
            </w:r>
          </w:p>
        </w:tc>
        <w:tc>
          <w:tcPr>
            <w:tcW w:w="8328" w:type="dxa"/>
          </w:tcPr>
          <w:p w:rsidR="00135552" w:rsidRDefault="004C63B0">
            <w:pPr>
              <w:pStyle w:val="DGTextstand-alone"/>
              <w:spacing w:before="0"/>
            </w:pPr>
            <w:r>
              <w:rPr>
                <w:bCs/>
                <w:lang w:val="en"/>
              </w:rPr>
              <w:t>Treaty on the Functioning of the European Union</w:t>
            </w:r>
          </w:p>
        </w:tc>
      </w:tr>
      <w:tr w:rsidR="00135552">
        <w:tc>
          <w:tcPr>
            <w:tcW w:w="1526" w:type="dxa"/>
          </w:tcPr>
          <w:p w:rsidR="00135552" w:rsidRDefault="004C63B0">
            <w:pPr>
              <w:pStyle w:val="DGTextstand-alone"/>
              <w:spacing w:before="0"/>
            </w:pPr>
            <w:r>
              <w:rPr>
                <w:color w:val="016794"/>
              </w:rPr>
              <w:t>TOR</w:t>
            </w:r>
            <w:r>
              <w:t xml:space="preserve"> </w:t>
            </w:r>
          </w:p>
        </w:tc>
        <w:tc>
          <w:tcPr>
            <w:tcW w:w="8328" w:type="dxa"/>
          </w:tcPr>
          <w:p w:rsidR="00135552" w:rsidRDefault="004C63B0">
            <w:pPr>
              <w:pStyle w:val="DGTextstand-alone"/>
              <w:spacing w:before="0"/>
            </w:pPr>
            <w:r>
              <w:t>Traditional Own Resources</w:t>
            </w:r>
          </w:p>
        </w:tc>
      </w:tr>
      <w:tr w:rsidR="00135552">
        <w:tc>
          <w:tcPr>
            <w:tcW w:w="1526" w:type="dxa"/>
          </w:tcPr>
          <w:p w:rsidR="00135552" w:rsidRDefault="004C63B0">
            <w:pPr>
              <w:pStyle w:val="DGTextstand-alone"/>
              <w:spacing w:before="0"/>
              <w:rPr>
                <w:iCs/>
              </w:rPr>
            </w:pPr>
            <w:r>
              <w:rPr>
                <w:color w:val="016794"/>
              </w:rPr>
              <w:t>TRDI</w:t>
            </w:r>
            <w:r>
              <w:rPr>
                <w:iCs/>
              </w:rPr>
              <w:t xml:space="preserve"> </w:t>
            </w:r>
          </w:p>
        </w:tc>
        <w:tc>
          <w:tcPr>
            <w:tcW w:w="8328" w:type="dxa"/>
          </w:tcPr>
          <w:p w:rsidR="00135552" w:rsidRDefault="004C63B0">
            <w:pPr>
              <w:pStyle w:val="DGTextstand-alone"/>
              <w:spacing w:before="0"/>
              <w:rPr>
                <w:iCs/>
              </w:rPr>
            </w:pPr>
            <w:r>
              <w:rPr>
                <w:iCs/>
              </w:rPr>
              <w:t>Temporary Rural Development Instrument</w:t>
            </w:r>
          </w:p>
        </w:tc>
      </w:tr>
      <w:tr w:rsidR="00135552">
        <w:tc>
          <w:tcPr>
            <w:tcW w:w="1526" w:type="dxa"/>
          </w:tcPr>
          <w:p w:rsidR="00135552" w:rsidRDefault="004C63B0">
            <w:pPr>
              <w:pStyle w:val="DGTextstand-alone"/>
              <w:spacing w:before="0"/>
            </w:pPr>
            <w:r>
              <w:rPr>
                <w:color w:val="016794"/>
              </w:rPr>
              <w:t>VAT</w:t>
            </w:r>
            <w:r>
              <w:t xml:space="preserve"> </w:t>
            </w:r>
          </w:p>
        </w:tc>
        <w:tc>
          <w:tcPr>
            <w:tcW w:w="8328" w:type="dxa"/>
          </w:tcPr>
          <w:p w:rsidR="00135552" w:rsidRDefault="004C63B0">
            <w:pPr>
              <w:pStyle w:val="DGTextstand-alone"/>
              <w:spacing w:before="0"/>
            </w:pPr>
            <w:r>
              <w:t>Value Added Tax</w:t>
            </w:r>
          </w:p>
        </w:tc>
      </w:tr>
    </w:tbl>
    <w:p w:rsidR="00135552" w:rsidRDefault="004C63B0">
      <w:pPr>
        <w:pStyle w:val="DGTextstand-alone"/>
        <w:spacing w:after="0"/>
      </w:pPr>
      <w:r>
        <w:tab/>
        <w:t xml:space="preserve"> </w:t>
      </w:r>
      <w:bookmarkEnd w:id="282"/>
      <w:bookmarkEnd w:id="0"/>
    </w:p>
    <w:sectPr w:rsidR="00135552">
      <w:headerReference w:type="even" r:id="rId426"/>
      <w:headerReference w:type="default" r:id="rId427"/>
      <w:footerReference w:type="even" r:id="rId428"/>
      <w:footerReference w:type="default" r:id="rId429"/>
      <w:headerReference w:type="first" r:id="rId430"/>
      <w:footerReference w:type="first" r:id="rId431"/>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552" w:rsidRDefault="004C63B0">
      <w:r>
        <w:separator/>
      </w:r>
    </w:p>
  </w:endnote>
  <w:endnote w:type="continuationSeparator" w:id="0">
    <w:p w:rsidR="00135552" w:rsidRDefault="004C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1388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0D3FAF"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Pf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BZx&#10;MpnP4xklinU4qnskj6m9FGTiaeqNLTD7wdzB6Fk0fc/HGjr/jd2QY6D25ZVacXSE42UWT9I0p4Rj&#10;aLbIp3nuMaO3Hxuw7pvQHfFGSQEfD4Syw7V1Q+opxb9ltWyrbStlcGC/20ggB+annExni2xEf5cm&#10;FelLmuZZHAfod0F7jpFt58nXqyGpYZUYkPMYPyfgIT20cIaDDUnlSxJBe2PpnrqBLG/tdPWCnIMe&#10;xGgN37bY8zWz7o4Bqg91ihvlbvGopcaS9WhR0mj49bd7n4+iwCglPaq5pPbnMwNBifyuUC6LJMu8&#10;/IOTTefYB4HzyG6I5LMUI+q522ikMsHdNTyYPt/Jk1mD7p5w8db+VQwxxfHtku5O5sYNO4aLy8V6&#10;HZJQ8Ia5a/VguIf2LPmJPh6fGJhx7A71cqNPumfFh+kPuUj6G4+jg+sRZjGust+/cz9kvf3hr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QFz3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6273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B11117C"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ZWQIAALg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Fnc7G&#10;6WSUjBNKFGtxVE9IHlNbKcjI09QZO8fsZ7OGwbNo+p4PFbT+G7shh0Dt8Y1acXCE42UWj9I0p4Rj&#10;aDLLx3nuMaPzjw1Y903olnijoICPB0LZ/t66PvWU4t+yWjblqpEyOLDd3Eoge+annIwns2xAf5cm&#10;FekKmuZZHAfod0F7iZGtpsnXuz6pZqXokfMYPyfgPj20cIGDDUnlSxJBe0PpnrqeLG9tdHlEzkH3&#10;YrSGrxrs+Z5Zt2aA6kOd4ka5RzwqqbFkPViU1Bp+/e3e56MoMEpJh2ouqP25YyAokd8VymWWZJmX&#10;f3Cy8RT7IHAZ2fSRfJJiRO3aW41UohSwumD6fCdPZgW6fcXFu/GvYogpjm8XdHMyb12/Y7i4XNzc&#10;hCQUvGHuXj0b7qE9S36iL4dXBmYYu0O9POiT7tn8w/T7XCT9zOPg4HqEWQyr7Pfv0g9Z5z+c5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PH9D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962633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A9F2570"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V1WgIAALkEAAAOAAAAZHJzL2Uyb0RvYy54bWysVFFv2jAQfp+0/2D5fU0ISQqIULFWTJNQ&#10;i9pOfTaOQyI5tnd2CezX7+yEQrs9TePB3PmOz3fffcf85tBKshdgG60KOrqKKRGK67JRu4L+eF59&#10;mVBiHVMlk1qJgh6FpTeLz5/mnZmJRNdalgIIgig760xBa+fMLIosr0XL7JU2QmGw0tAyhy7sohJY&#10;h+itjJI4zqNOQ2lAc2Et3t71QboI+FUluHuoKisckQXF2lw4IZxbf0aLOZvtgJm64UMZ7B+qaFmj&#10;8NE3qDvmGHmF5g+otuGgra7cFddtpKuq4SL0gN2M4g/dPNXMiNALkmPNG032/8Hy+/0GSFPi7NJp&#10;nuTjcT6mRLEWZ/WI7DG1k4KMPU+dsTNMfzIbGDyLpm/6UEHrv7EdcgjcHt+4FQdHOF6m8ThJMko4&#10;hq6nWZ5lHjM6/9iAdd+Ebok3Cgr4eGCU7dfW9amnFP+W1bIpV42UwYHd9lYC2TM/5lF+PU0H9Hdp&#10;UpGuoEmWxnGAfhe0lxjpajL6etcn1awUPXIW4+cE3KeHFi5wsCGpfEkiiG8o3VPXk+WtrS6PSDro&#10;Xo3W8FWDPa+ZdRsGKD8UKq6Ue8CjkhpL1oNFSa3h19/ufT6qAqOUdCjngtqfrwwEJfK7Qr1MR2nq&#10;9R+cNJ9gHwQuI9s+kl0nGFGv7a1GKke4vIYH0+c7eTIr0O0Lbt7Sv4ohpji+XdDtybx1/ZLh5nKx&#10;XIYkVLxhbq2eDPfQniU/0efDCwMzjN2hXu71Sfhs9mH6fS6SfuZxcHA/wiyGXfYLeOmHrPM/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MFX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21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4673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DDA8FF" id="Rectangle 3" o:spid="_x0000_s1026" style="position:absolute;margin-left:225.1pt;margin-top:.35pt;width:31.75pt;height:62.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tJWgIAALkEAAAOAAAAZHJzL2Uyb0RvYy54bWysVE1v2zAMvQ/YfxB0X/xRO0mNOkXXIMOA&#10;og2aDj0rshwbkCWNUuN0v36U7KRpt9OwHBRSZJ7Ix8dcXR86SfYCbKtVSZNJTIlQXFet2pX0x9Pq&#10;y5wS65iqmNRKlPRVWHq9+PzpqjeFSHWjZSWAIIiyRW9K2jhniiiyvBEdsxNthMJgraFjDl3YRRWw&#10;HtE7GaVxPI16DZUBzYW1eLscgnQR8OtacPdQ11Y4IkuKtblwQji3/owWV6zYATNNy8cy2D9U0bFW&#10;4aMnqCVzjLxA+wdU13LQVtduwnUX6bpuuQg9YDdJ/KGbTcOMCL0gOdacaLL/D5bf79dA2gpnN4+z&#10;6exiGieUKNbhrB6RPaZ2UpALz1NvbIHpG7OG0bNo+qYPNXT+G9shh8Dt64lbcXCE42UWX6RpTgnH&#10;0Owyn+a5x4zefmzAum9Cd8QbJQV8PDDK9nfWDanHFP+W1bKtVq2UwYHd9lYC2TM/5mQ6u8xG9Hdp&#10;UpG+pGmexXGAfhe05xjZap58XQ5JDavEgJzH+DkCD+mhhTMcbEgqX5II4htL99QNZHlrq6tXJB30&#10;oEZr+KrFnu+YdWsGKD8UKq6Ue8CjlhpL1qNFSaPh19/ufT6qAqOU9CjnktqfLwwEJfK7Qr1cJlnm&#10;9R+cbDrHPgicR7ZDJJ+lGFEv3a1GKlEKWF0wfb6TR7MG3T3j5t34VzHEFMe3S7o9mrduWDLcXC5u&#10;bkISKt4wd6c2hntoz5Kf6NPhmYEZx+5QL/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dD20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674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24205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DB19B9" id="Rectangle 3" o:spid="_x0000_s1026" style="position:absolute;margin-left:225.1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DaWQIAALg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qqk83ma&#10;pXGeJ5Qo1uGoHpA8pnZSkAtPU29sgdmP5h5Gz6Lpez7U0Plv7IYcArWvJ2rFwRGOl1l8kaY5JRxD&#10;s3k+zXOPGb392IB134TuiDdKCvh4IJTtN9YNqccU/5bVsq3WrZTBgd32RgLZMz/lZDqbZyP6uzSp&#10;SF/SNM/iOEC/C9pzjGx9mXxdDUkNq8SAnMf4OQIP6aGFMxxsSCpfkgjaG0v31A1keWurq1fkHPQg&#10;Rmv4usWeN8y6ewaoPtQpbpS7w6OWGkvWo0VJo+HX3+59PooCo5T0qOaS2p8vDAQl8rtCucyTLPPy&#10;D042vcQ+CJxHtkMkn6UYUS/djUYqUQpYXTB9vpNHswbdPePiXftXMcQUx7dLuj2aN27YMVxcLq6v&#10;QxIK3jC3UY+Ge2jPkp/o0+GZgRnH7lAvt/qoe1Z8mP6Qi6S/8Tg6uB5hFuMq+/0790PW2x/O8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QJg2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36473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ED9AC33"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57WQIAALk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CXOLo5H&#10;42wySlJKFGtxVk/IHlNbKcjI89QZO8f0Z7OGwbNo+qYPFbT+G9shh8Dt8cytODjC8TKLR2maU8Ix&#10;NJnl4zz3mNHbjw1Y903olnijoICPB0bZ/t66PvWU4t+yWjblqpEyOLDd3Eoge+bHnIwns2xAf5cm&#10;FekKmuZZHAfod0F7iZGtpsnXuz6pZqXokfMYPyfgPj20cIGDDUnlSxJBfEPpnrqeLG9tdHlE0kH3&#10;arSGrxrs+Z5Zt2aA8kOh4kq5RzwqqbFkPViU1Bp+/e3e56MqMEpJh3IuqP25YyAokd8V6mWWZJnX&#10;f3Cy8RT7IHAZ2fSRfJJiRO3aW41UJri8hgfT5zt5MivQ7Stu3o1/FUNMcXy7oJuTeev6JcPN5eLm&#10;JiSh4g1z9+rZcA/tWfITfTm8MjDD2B3q5UGfhM/mH6bf5yLpbzwODu5HmMWwy34BL/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Q5e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12450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266F607"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jWgIAALkEAAAOAAAAZHJzL2Uyb0RvYy54bWysVE1v2zAMvQ/YfxB0X/wRO2mNOEXXIMOA&#10;oi2aDj0rshwbkCWNUuN0v36U7KRpt9Owi0KK9BP5+JjF1aGTZC/AtlqVNJnElAjFddWqXUl/PK2/&#10;XFBiHVMVk1qJkr4KS6+Wnz8telOIVDdaVgIIgihb9KakjXOmiCLLG9ExO9FGKAzWGjrm0IVdVAHr&#10;Eb2TURrHs6jXUBnQXFiLt6shSJcBv64Fd/d1bYUjsqRYmwsnhHPrz2i5YMUOmGlaPpbB/qGKjrUK&#10;Hz1BrZhj5AXaP6C6loO2unYTrrtI13XLRegBu0niD91sGmZE6AXJseZEk/1/sPxu/wCkrXB20yTN&#10;8jie48QU63BWj8geUzspyNTz1BtbYPrGPMDoWTR904caOv+L7ZBD4Pb1xK04OMLxMounaZpTwjE0&#10;v8xnee4xo7ePDVj3TeiOeKOkgI8HRtn+1roh9Zji37JattW6lTI4sNveSCB75seczOaX2Yj+Lk0q&#10;0pc0zbM4DtDvgvYcI1tfJF9XQ1LDKjEgIzv45VDLmB5aOMPBhqTyJYkgvrF0T91Alre2unpF0kEP&#10;arSGr1vs+ZZZ98AA5YdCxZVy93jUUmPJerQoaTT8+tu9z0dVYJSSHuVcUvvzhYGgRH5XqJfLJMu8&#10;/oOTzS6wDwLnke0QyecpRtRLd6ORygSX1/Bg+nwnj2YNunvGzbv2r2KIKY5vl3R7NG/csGS4uVxc&#10;X4ckVLxh7lZtDPfQniU/0afDM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8ZFC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501677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C379D5"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kuWQIAALkEAAAOAAAAZHJzL2Uyb0RvYy54bWysVE1v2zAMvQ/YfxB0X/1RO0mNOEXWIsOA&#10;og2aDj0rshwbkCWNUuN0v36U7KRpt9OwHBRSZJ74HsnMrw+dJHsBttWqpMlFTIlQXFet2pX0x9Pq&#10;y4wS65iqmNRKlPRVWHq9+Pxp3ptCpLrRshJAEETZojclbZwzRRRZ3oiO2QtthMJgraFjDl3YRRWw&#10;HtE7GaVxPIl6DZUBzYW1eHs7BOki4Ne14O6hrq1wRJYUa3PhhHBu/Rkt5qzYATNNy8cy2D9U0bFW&#10;4aMnqFvmGHmB9g+oruWgra7dBdddpOu65SJwQDZJ/IHNpmFGBC4ojjUnmez/g+X3+zWQtsLepXmc&#10;TKbTGcqkWIe9ekT1mNpJQS69Tr2xBaZvzBpGz6LpSR9q6Pw30iGHoO3rSVtxcITjZRZfpmlOCcfQ&#10;9Cqf5LnHjN5+bMC6b0J3xBslBXw8KMr2d9YNqccU/5bVsq1WrZTBgd32RgLZM99mZHGVjejv0qQi&#10;fUnTPIvjAP0uaM8xstUs+Xo7JDWsEgNyHuPnCDykBwpnOEhIKl+SCMM3lu6lG8Ty1lZXryg66GEa&#10;reGrFjnfMevWDHD8sAO4Uu4Bj1pqLFmPFiWNhl9/u/f5OBUYpaTHcS6p/fnCQFAivyucl6sky/z8&#10;ByebzJAHgfPIdojk09T3/6W70ShlgstreDB9vpNHswbdPePmLf2rGGKK49sl3R7NGzcsGW4uF8tl&#10;SMKJN8zdqY3hHtqr5Dv6dHhmYMa2O5yXe30cfFZ86P6Qi6K/6Tg6uB+hF+Mu+wU890PW2z/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EJp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022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51813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28025F" id="Rectangle 3" o:spid="_x0000_s1026" style="position:absolute;margin-left:350.05pt;margin-top:6.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r0WAIAALkEAAAOAAAAZHJzL2Uyb0RvYy54bWysVFFv2jAQfp+0/2D5fSShCQVEqDoQ0yTU&#10;orZTn43jkEiO7Z0Ngf36nZ1AabenaTyYO9/x+e6775jdHRtJDgJsrVVOk0FMiVBcF7Xa5fTHy+rL&#10;mBLrmCqY1Erk9CQsvZt//jRrzVQMdaVlIYAgiLLT1uS0cs5Mo8jySjTMDrQRCoOlhoY5dGEXFcBa&#10;RG9kNIzjUdRqKAxoLqzF22UXpPOAX5aCu8eytMIRmVOszYUTwrn1ZzSfsekOmKlq3pfB/qGKhtUK&#10;H71ALZljZA/1H1BNzUFbXboB102ky7LmIvSA3STxh26eK2ZE6AXJseZCk/1/sPzhsAFSFzi7JEvG&#10;yU06TihRrMFZPSF7TO2kIDeep9bYKaY/mw30nkXTN30sofHf2A45Bm5PF27F0RGOl2l8MxxmlHAM&#10;3U6yUZZ5zOjtxwas+yZ0Q7yRU8DHA6PssLauSz2n+LeslnWxqqUMDuy2CwnkwPyYk9HtJO3R36VJ&#10;RdqcDrM0jgP0u6C9xkhX4+TrskuqWCE65CzGzxm4Sw8tXOFgQ1L5kkQQX1+6p64jy1tbXZyQdNCd&#10;Gq3hqxp7XjPrNgxQfihUXCn3iEcpNZase4uSSsOvv937fFQFRilpUc45tT/3DAQl8rtCvUySNPX6&#10;D046GmMfBK4j2y6S3Q4xovbNQiOVKAWsLpg+38mzWYJuXnHz7v2rGGKK49s53Z7NheuWDDeXi/v7&#10;kISKN8yt1bPhHtqz5Cf6cnxlYPqxO9TLgz4Ln00/TL/LRdLfeOwd3I8wi36X/QJe+yHr7R9n/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1D2r0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866808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D871C74"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WAIAALgEAAAOAAAAZHJzL2Uyb0RvYy54bWysVMFu2zAMvQ/YPwi6L3ZcO3WMOkWWIMOA&#10;og3aDj0rshwbkCWNUuN0Xz9Kdtq022lYDgopMk/k42Ouro+dJAcBttWqpNNJTIlQXFet2pf0x+Pm&#10;S06JdUxVTGolSvoiLL1efP501ZtCJLrRshJAEETZojclbZwzRRRZ3oiO2Yk2QmGw1tAxhy7sowpY&#10;j+idjJI4nkW9hsqA5sJavF0PQboI+HUtuLuraysckSXF2lw4IZw7f0aLK1bsgZmm5WMZ7B+q6Fir&#10;8NFXqDVzjDxD+wdU13LQVtduwnUX6bpuuQg9YDfT+EM3Dw0zIvSC5FjzSpP9f7D89rAF0lYlTfN8&#10;NsvjfE6JYh2O6h7JY2ovBbnwNPXGFpj9YLYwehZN3/Oxhs5/YzfkGKh9eaVWHB3heJnGF0mSUcIx&#10;dDnPZlnmMaO3Hxuw7pvQHfFGSQEfD4Syw411Q+opxb9ltWyrTStlcGC/W0kgB+anPJ1dztMR/V2a&#10;VKQvaZKlcRyg3wXtOUa6yadf10NSwyoxIGcxfk7AQ3po4QwHG5LKlySC9sbSPXUDWd7a6eoFOQc9&#10;iNEavmmx5xtm3ZYBqg91ihvl7vCopcaS9WhR0mj49bd7n4+iwCglPaq5pPbnMwNBifyuUC7zaZp6&#10;+QcnxTGjA+eR3RDJLhOMqOdupZHKKe6u4cH0+U6ezBp094SLt/SvYogpjm+XdHcyV27YMVxcLpbL&#10;kISCN8zdqAfDPbRnyU/08fjEwIxjd6iXW33S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snc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321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B1C2AAF"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OLWAIAALgEAAAOAAAAZHJzL2Uyb0RvYy54bWysVE1v2zAMvQ/YfxB0X/0RO2mCOEWWIsOA&#10;oi2aDj0rshwbkCWNUuN0v36U7Hy022lYDgopMk/k42PmN4dWkr0A22hV0OQqpkQorstG7Qr643n9&#10;5ZoS65gqmdRKFPRNWHqz+Pxp3pmZSHWtZSmAIIiys84UtHbOzKLI8lq0zF5pIxQGKw0tc+jCLiqB&#10;dYjeyiiN43HUaSgNaC6sxdvbPkgXAb+qBHcPVWWFI7KgWJsLJ4Rz689oMWezHTBTN3wog/1DFS1r&#10;FD56grpljpFXaP6AahsO2urKXXHdRrqqGi5CD9hNEn/oZlMzI0IvSI41J5rs/4Pl9/tHIE1Z0DSe&#10;TEdpMkooUazFUT0heUztpCAjT1Nn7AyzN+YRBs+i6Xs+VND6b+yGHAK1bydqxcERjpdZPErTnBKO&#10;ock0H+e5x4zOPzZg3TehW+KNggI+Hghl+zvr+tRjin/LatmU60bK4MBuu5JA9sxPORlPptmA/i5N&#10;KtJhn3kWxwH6XdBeYmTr6+TrbZ9Us1L0yHmMnyNwnx5auMDBhqTyJYmgvaF0T11Plre2unxDzkH3&#10;YrSGrxvs+Y5Z98gA1Yc6xY1yD3hUUmPJerAoqTX8+tu9z0dRYJSSDtVcUPvzlYGgRH5XKJdpkmVe&#10;/sHJxtfYB4HLyLaP5JMUI+q1XWmkEqWA1QXT5zt5NCvQ7Qsu3tK/iiGmOL5d0O3RXLl+x3BxuVgu&#10;QxIK3jB3pzaGe2jPkp/o8+GFgRnG7lAv9/qoezb7MP0+F0k/8zg4uB5hFsMq+/279EPW+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AFmOL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248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203612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52437BE" id="Rectangle 3" o:spid="_x0000_s1026" style="position:absolute;margin-left:225.1pt;margin-top:.3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mPWgIAALkEAAAOAAAAZHJzL2Uyb0RvYy54bWysVE1v2zAMvQ/YfxB0X/1R202COEWXIMOA&#10;og3aDj0rshwbkCWNUuN0v36U7KRpt9OwHBRSZJ7Ix8fMrw+dJHsBttWqpMlFTIlQXFet2pX0x9P6&#10;y4QS65iqmNRKlPRVWHq9+Pxp3puZSHWjZSWAIIiys96UtHHOzKLI8kZ0zF5oIxQGaw0dc+jCLqqA&#10;9YjeySiN4yLqNVQGNBfW4u1qCNJFwK9rwd19XVvhiCwp1ubCCeHc+jNazNlsB8w0LR/LYP9QRcda&#10;hY+eoFbMMfIC7R9QXctBW127C667SNd1y0XoAbtJ4g/dPDbMiNALkmPNiSb7/2D53X4DpK1wdkUa&#10;XxZJmhSUKNbhrB6QPaZ2UpBLz1Nv7AzTH80GRs+i6Zs+1ND5b2yHHAK3ryduxcERjpdZfJmmOSUc&#10;Q1fTvMhzjxm9/diAdd+E7og3Sgr4eGCU7W+tG1KPKf4tq2VbrVspgwO77VIC2TM/5qS4mmYj+rs0&#10;qUhf0jTP4jhAvwvac4xsPUm+roakhlViQM5j/ByBh/TQwhkONiSVL0kE8Y2le+oGsry11dUrkg56&#10;UKM1fN1iz7fMug0DlB8KFVfK3eNRS40l69GipNHw62/3Ph9VgVFKepRzSe3PFwaCEvldoV6mSZZ5&#10;/QcnKybYB4HzyHaI5FcpRtRLt9RIZYLLa3gwfb6TR7MG3T3j5t34VzHEFMe3S7o9mks3LBluLhc3&#10;NyEJFW+Yu1WPhntoz5Kf6NPhmYEZx+5QL3f6KHw2+z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LCWY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w:instrText>
    </w:r>
    <w:r>
      <w:rPr>
        <w:rFonts w:ascii="Verdana" w:hAnsi="Verdana"/>
        <w:b/>
        <w:color w:val="FFFFFF"/>
        <w:sz w:val="18"/>
        <w:szCs w:val="18"/>
      </w:rPr>
      <w:instrText xml:space="preserve">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329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69783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B0357B" id="Rectangle 3" o:spid="_x0000_s1026" style="position:absolute;margin-left:225.1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Cz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49n&#10;y/limiwpUazDWd0je0ztpSBTz1NvbIHpD+YORs+i6Zs+1tD5b2yHHAO3L6/ciqMjHC+zeJqmOSUc&#10;Q/NlPstzjxm9/diAdd+E7og3Sgr4eGCUHa6tG1JPKf4tq2VbbVspgwP73ZUEcmB+zMlsvsxG9Hdp&#10;UpG+pGmexXGAfhe05xjZdpF83QxJDavEgJzH+DkBD+mhhTMcbEgqX5II4htL99QNZHlrp6sXJB30&#10;oEZr+LbFnq+ZdXcMUH4oVFwpd4tHLTWWrEeLkkbDr7/d+3xUBUYp6VHOJbU/nxkISuR3hXpZJlnm&#10;9R+cbLbAPgicR3ZDJJ+nGFHP3ZVGKhNcXsOD6fOdPJk16O4JN+/Sv4ohpji+XdLdybxyw5Lh5nJx&#10;eRmSUPGGuWv1YLiH9iz5iT4enxiYcewO9XKjT8Jn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DOsL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noProof/>
        <w:color w:val="FFFFFF"/>
        <w:sz w:val="18"/>
        <w:szCs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411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2849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23F745F" id="Rectangle 3" o:spid="_x0000_s1026" style="position:absolute;margin-left:225.1pt;margin-top:.35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mk6yaYoTU6zFWT0ie0ztpCDXnqfO2BmmP5kNDJ5F0zd9rKD139gOOQZuT6/ciqMjHC+z+DpNc0o4&#10;hsbTfJTnHjN6+7EB674J3RJvFBTw8cAoO6yt61PPKf4tq2VTrhopgwO77VICOTA/5mQ0nmYD+rs0&#10;qUhX0DTP4jhAvwvaS4xsNUm+3vVJNStFj5zH+DkD9+mhhQscbEgqX5II4htK99T1ZHlrq8sTkg66&#10;V6M1fNVgz2tm3YYByg+FiivlHvCopMaS9WBRUmv49bd7n4+qwCglHcq5oPbnnoGgRH5XqJdpkmVe&#10;/8HJRhPsg8BlZNtH8nGKEbVvlxqpTHB5DQ+mz3fybFag2xfcvIV/FUNMcXy7oNuzuXT9kuHmcrFY&#10;hCRUvGFurZ4M99CeJT/R5+MLAzOM3aFe7vVZ+Gz2Yfp9LpL+xuPg4H6EWQy77Bfw0g9Zb/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Gvt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noProof/>
        <w:color w:val="FFFFFF"/>
        <w:sz w:val="18"/>
        <w:szCs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671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340F30D" id="Rectangle 3" o:spid="_x0000_s1026" style="position:absolute;margin-left:225.1pt;margin-top:.35pt;width:31.75pt;height:62.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6k74g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w:t>
    </w:r>
    <w:r>
      <w:rPr>
        <w:rFonts w:ascii="Verdana" w:hAnsi="Verdana"/>
        <w:b/>
        <w:noProof/>
        <w:color w:val="FFFFFF"/>
        <w:sz w:val="18"/>
        <w:szCs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493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5861377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43D4D3F" id="Rectangle 3" o:spid="_x0000_s1026" style="position:absolute;margin-left:225.1pt;margin-top:.35pt;width:31.75pt;height:62.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OWQIAALkEAAAOAAAAZHJzL2Uyb0RvYy54bWysVNtu2zAMfR+wfxD0vvpSOzfUKbIUGQYU&#10;bdB06LMiy7EBWdIoNU739aNk59JuT8PyoJAic0QeHubm9tBKshdgG60KmlzFlAjFddmoXUF/PK++&#10;TCixjqmSSa1EQd+Epbfzz59uOjMTqa61LAUQBFF21pmC1s6ZWRRZXouW2StthMJgpaFlDl3YRSWw&#10;DtFbGaVxPIo6DaUBzYW1eHvXB+k84FeV4O6xqqxwRBYUa3PhhHBu/RnNb9hsB8zUDR/KYP9QRcsa&#10;hY+eoO6YY+QVmj+g2oaDtrpyV1y3ka6qhovQA3aTxB+62dTMiNALkmPNiSb7/2D5w34NpClxdnE+&#10;GSXX43FKiWItzuoJ2WNqJwW59jx1xs4wfWPWMHgWTd/0oYLWf2M75BC4fTtxKw6OcLzM4us0zSnh&#10;GBpP81Gee8zo/GMD1n0TuiXeKCjg44FRtr+3rk89pvi3rJZNuWqkDA7stksJZM/8mJPReJoN6O/S&#10;pCJdQdM8i+MA/S5oLzGy1ST5etcn1awUPXIe4+cI3KeHFi5wsCGpfEkiiG8o3VPXk+WtrS7fkHTQ&#10;vRqt4asGe75n1q0ZoPxQqLhS7hGPSmosWQ8WJbWGX3+79/moCoxS0qGcC2p/vjIQlMjvCvUyTbLM&#10;6z842WiCfRC4jGz7SD5OMaJe26VGKhNcXsOD6fOdPJoV6PYFN2/hX8UQUxzfLuj2aC5dv2S4uVws&#10;FiEJFW+Yu1cbwz20Z8lP9PnwwsAMY3eolwd9FD6bfZh+n4ukn3kcHNyPMIthl/0CXvoh6/y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M2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noProof/>
        <w:color w:val="FFFFFF"/>
        <w:sz w:val="18"/>
        <w:szCs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534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51726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CE0BE9" id="Rectangle 3" o:spid="_x0000_s1026" style="position:absolute;margin-left:225.1pt;margin-top:.35pt;width:31.75pt;height:6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G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pbn&#10;ySQdZ2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cGvh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109</w:t>
    </w:r>
    <w:r>
      <w:rPr>
        <w:rFonts w:ascii="Verdana" w:hAnsi="Verdana"/>
        <w:b/>
        <w:noProof/>
        <w:color w:val="FFFFFF"/>
        <w:sz w:val="18"/>
        <w:szCs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616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954727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FA6B857" id="Rectangle 3" o:spid="_x0000_s1026" style="position:absolute;margin-left:225.1pt;margin-top:.35pt;width:31.75pt;height:62.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5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rP&#10;s2k6neP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APg+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110</w:t>
    </w:r>
    <w:r>
      <w:rPr>
        <w:rFonts w:ascii="Verdana" w:hAnsi="Verdana"/>
        <w:b/>
        <w:noProof/>
        <w:color w:val="FFFFFF"/>
        <w:sz w:val="18"/>
        <w:szCs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698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77109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6179721" id="Rectangle 3" o:spid="_x0000_s1026" style="position:absolute;margin-left:225.1pt;margin-top:.35pt;width:31.75pt;height:62.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lo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RZP&#10;p0k8n+L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SNpa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111</w:t>
    </w:r>
    <w:r>
      <w:rPr>
        <w:rFonts w:ascii="Verdana" w:hAnsi="Verdana"/>
        <w:b/>
        <w:noProof/>
        <w:color w:val="FFFFF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780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87429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3E04410" id="Rectangle 3" o:spid="_x0000_s1026" style="position:absolute;margin-left:225.1pt;margin-top:.35pt;width:31.75pt;height:62.6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T5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9Fk&#10;Mk6TaTakRLEGZ/WE7DG1k4LceJ5aY2eY/mw20HsWTd/0sYTGf2M75Bi4Pb1xK46OcLxM45skySjh&#10;GBpPs1GWeczo8mMD1n0TuiHeyCng44FRdlhb16WeU/xbVsu6WNVSBgd224UEcmB+zMPReJr26O/S&#10;pCJtTpMsjeMA/S5orzHS1WT4ddklVawQHXIW4+cM3KWHFq5wsCGpfEkiiK8v3VPXkeWtrS5OSDro&#10;To3W8FWNPa+ZdRsGKD8UKq6Ue8SjlBpL1r1FSaXh19/ufT6qAqOUtCjnnNqfewaCEvldoV6mwzT1&#10;+g9OOppgHwSuI9suko0TjKh9s9BIJUoBqwumz3fybJagm1fcvHv/KoaY4vh2Trdnc+G6JcPN5eL+&#10;PiSh4g1za/VsuIf2LPmJvhxfGZh+7A718qDPwmezD9PvcpH0C4+9g/sRZtHvsl/Aaz9kXf5x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iU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114</w:t>
    </w:r>
    <w:r>
      <w:rPr>
        <w:rFonts w:ascii="Verdana" w:hAnsi="Verdana"/>
        <w:b/>
        <w:noProof/>
        <w:color w:val="FFFFFF"/>
        <w:sz w:val="18"/>
        <w:szCs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862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86965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0C19E3C" id="Rectangle 3" o:spid="_x0000_s1026" style="position:absolute;margin-left:225.1pt;margin-top:.35pt;width:31.75pt;height:62.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zUWgIAALkEAAAOAAAAZHJzL2Uyb0RvYy54bWysVE1v2zAMvQ/YfxB0X+y4tvOBOEXWIsOA&#10;og3aDj0rshwbkCWNUuJ0v36U7DRpt9OwHBRSZJ7Ix8csro+tJAcBttGqoONRTIlQXJeN2hX0x/P6&#10;y5QS65gqmdRKFPRVWHq9/Pxp0Zm5SHStZSmAIIiy884UtHbOzKPI8lq0zI60EQqDlYaWOXRhF5XA&#10;OkRvZZTEcR51GkoDmgtr8fa2D9JlwK8qwd1DVVnhiCwo1ubCCeHc+jNaLth8B8zUDR/KYP9QRcsa&#10;hY++Qd0yx8gemj+g2oaDtrpyI67bSFdVw0XoAbsZxx+6eaqZEaEXJMeaN5rs/4Pl94cNkKbE2SWT&#10;aT7Ls0lOiWItzuoR2WNqJwW58jx1xs4x/clsYPAsmr7pYwWt/8Z2yDFw+/rGrTg6wvEyja+SJKOE&#10;Y2gyy/Is85jR+ccGrPsmdEu8UVDAxwOj7HBnXZ96SvFvWS2bct1IGRzYbW8kkAPzYx7nk1k6oL9L&#10;k4p0BU2yNI4D9LugvcRI19Px19s+qWal6JGzGD8n4D49tHCBgw1J5UsSQXxD6Z66nixvbXX5iqSD&#10;7tVoDV832PMds27DAOWHQsWVcg94VFJjyXqwKKk1/Prbvc9HVWCUkg7lXFD7c89AUCK/K9TLbJym&#10;Xv/BSfMp9kHgMrLtI9kkwYjatzcaqRzj8hoeTJ/v5MmsQLcvuHkr/yqGmOL4dkG3J/PG9UuGm8vF&#10;ahWSUPGGuTv1ZLiH9iz5iT4fXxiYYewO9XKvT8Jn8w/T73OR9DOPg4P7EWYx7LJfwEs/ZJ3/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wRPN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117</w:t>
    </w:r>
    <w:r>
      <w:rPr>
        <w:rFonts w:ascii="Verdana" w:hAnsi="Verdana"/>
        <w:b/>
        <w:noProof/>
        <w:color w:val="FFFFFF"/>
        <w:sz w:val="18"/>
        <w:szCs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7944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958378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852C002" id="Rectangle 3" o:spid="_x0000_s1026" style="position:absolute;margin-left:225.1pt;margin-top:.35pt;width:31.75pt;height:62.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OyWQIAALg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qqk6TJf&#10;TOeLGAemWIejukfymNpLQaaept7YArMfzB2MnkXT93ysofPf2A05BmpfXqkVR0c4XmbxNE1zSjiG&#10;5st8luceM3r7sQHrvgndEW+UFPDxQCg7XFs3pJ5S/FtWy7batlIGB/a7KwnkwPyUk9l8mY3o79Kk&#10;Ij32mWdxHKDfBe05RrZdJF83Q1LDKjEg5zF+TsBDemjhDAcbksqXJIL2xtI9dQNZ3trp6gU5Bz2I&#10;0Rq+bbHna2bdHQNUH+oUN8rd4lFLjSXr0aKk0fDrb/c+H0WBUUp6VHNJ7c9nBoIS+V2hXJZJlnn5&#10;ByebLbAPAueR3RDJ5ylG1HN3pZHKBHfX8GD6fCdPZg26e8LFu/SvYogpjm+XdHcyr9ywY7i4XFxe&#10;hiQUvGHuWj0Y7qE9S36ij8cnBmYcu0O93OiT7lnxYfpDLpL+xuPo4HqEWYyr7Pfv3A9Zb3846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ogTs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121</w:t>
    </w:r>
    <w:r>
      <w:rPr>
        <w:rFonts w:ascii="Verdana" w:hAnsi="Verdana"/>
        <w:b/>
        <w:noProof/>
        <w:color w:val="FFFFFF"/>
        <w:sz w:val="18"/>
        <w:szCs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026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92324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98F73B" id="Rectangle 3" o:spid="_x0000_s1026" style="position:absolute;margin-left:225.1pt;margin-top:.35pt;width:31.75pt;height:62.6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p6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1k6&#10;SrNkNKF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tqe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noProof/>
        <w:color w:val="FFFFFF"/>
        <w:sz w:val="18"/>
        <w:szCs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108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935187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DC6A562" id="Rectangle 3" o:spid="_x0000_s1026" style="position:absolute;margin-left:350.05pt;margin-top:6.5pt;width:31.75pt;height:62.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9V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lN&#10;lkzGyZQSxRoc1QuSx9RWCnLjaWqNnWH22qyg9yyavudDCY3/xm7IIVB7PFMrDo5wvEzjm+Ewo4Rj&#10;aDzNRlnmMaPLjw1Y903ohngjp4CPB0LZ/tG6LvWU4t+yWtbFspYyOLDdPEgge+annIzG07RHf5cm&#10;FWmxzyyN4wD9LmivMdLlJPm66JIqVogOOYvxcwLu0kMLVzjYkFS+JBG015fuqevI8tZGF0fkHHQn&#10;Rmv4ssaeH5l1KwaoPtQpbpR7xqOUGkvWvUVJpeHX3+59PooCo5S0qOac2p87BoIS+V2hXKZJmnr5&#10;BycdTbAPAteRTRfJxkOMqF3zoJHKBHfX8GD6fCdPZgm6ecPFu/evYogpjm/ndHMyH1y3Y7i4XNzf&#10;hyQUvGHuUa0N99CeJT/R18MbA9OP3aFenvRJ92z2YfpdLpJ+4bF3cD3CLPpV9vt37Yesyx/O/D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7M4/VV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124</w:t>
    </w:r>
    <w:r>
      <w:rPr>
        <w:rFonts w:ascii="Verdana" w:hAnsi="Verdana"/>
        <w:b/>
        <w:noProof/>
        <w:color w:val="FFFFFF"/>
        <w:sz w:val="18"/>
        <w:szCs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231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61817520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3C5331" id="Rectangle 3" o:spid="_x0000_s1026" style="position:absolute;margin-left:350.05pt;margin-top:6.5pt;width:31.75pt;height:62.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D/WQIAALg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cqCjpJJ&#10;Ms7T+JoSxVoc1QuSx9RGCnLtaeqMnWH2yixh8Cyavud9Ba3/xm7IPlB7OFEr9o5wvMzi6zTNKeEY&#10;Gk/zUZ57zOj8YwPWfRO6Jd4oKODjgVC2e7SuTz2m+Leslk25aKQMDmzW9xLIjvkpJ6PxNBvQ36VJ&#10;RbqCpnkWxwH6XdBeYmSLSfL1oU+qWSl65DzGzxG4Tw8tXOBgQ1L5kkTQ3lC6p64ny1trXR6Qc9C9&#10;GK3hiwZ7fmTWLRmg+lCnuFHuGY9KaixZDxYltYZff7v3+SgKjFLSoZoLan9uGQhK5HeFcpkmWebl&#10;H5xsNME+CFxG1n0kH6cYUdv2XiOVCe6u4cH0+U4ezQp0+4aLd+dfxRBTHN8u6Ppo3rt+x3Bxubi7&#10;C0koeMPco1oZ7qE9S36ir/s3BmYYu0O9POmj7tnsw/T7XCT9zOPg4HqEWQyr7Pfv0g9Z5z+c+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OjIw/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72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 name="Rectangle 10"/>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F98B10C" id="Rectangle 10" o:spid="_x0000_s1026" style="position:absolute;margin-left:225.1pt;margin-top:.35pt;width:31.75pt;height:62.6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CHUgIAALI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cpwd0qNY&#10;jTP6jqwxtZeC4B0S1Bg7wbyt2UDnWTR9t6cCav+NfZBTIPV8JVWcHOF4mcSfB4OUEo6hh3E6TFOP&#10;Gd1+bMC6r0LXxBsZBXw9UMmOa+va1EuKf8tqWeWrSsrgwH63kECOzM+3P3wYJx36mzSpSJPRQZrE&#10;cYB+E7T3GMlq1P+ybJNKlosWOY3xcwFu00MLdzjYkFS+JBFU15XuqWvJ8tZO52dkG3QrQ2v4qsKe&#10;18y6DQPUHY4Ad8k941FIjSXrzqKk1PDrb/c+H+WAUUoa1HFG7c8DA0GJ/KZQKON+knjhBycZjrAP&#10;AveRXRtJHwZeAId6oZHKPm6t4cH0+U5ezAJ0/YorN/evYogpjm9ndHcxF67dLlxZLubzkIRSN8yt&#10;1dZwD+1Z8hN9Ob0yMN3YHerlSV8Uzybvpt/mIuk3HjsHFyPMoltiv3n3fsi6/dX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iJyCHUgIAALI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w:t>
    </w:r>
    <w:r>
      <w:rPr>
        <w:rFonts w:ascii="Verdana" w:hAnsi="Verdana"/>
        <w:b/>
        <w:noProof/>
        <w:color w:val="FFFFFF"/>
        <w:sz w:val="18"/>
        <w:szCs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773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8810163" id="Rectangle 3" o:spid="_x0000_s1026" style="position:absolute;margin-left:350.05pt;margin-top:6.5pt;width:31.75pt;height:62.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Q8N+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126</w:t>
    </w:r>
    <w:r>
      <w:rPr>
        <w:rFonts w:ascii="Verdana" w:hAnsi="Verdana"/>
        <w:b/>
        <w:noProof/>
        <w:color w:val="FFFFFF"/>
        <w:sz w:val="18"/>
        <w:szCs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824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7653B3" id="Rectangle 3" o:spid="_x0000_s1026" style="position:absolute;margin-left:350.05pt;margin-top:6.5pt;width:31.75pt;height:62.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FBPI/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noProof/>
        <w:color w:val="FFFFFF"/>
        <w:sz w:val="18"/>
        <w:szCs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876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1B77CCB" id="Rectangle 3" o:spid="_x0000_s1026" style="position:absolute;margin-left:350.05pt;margin-top:6.5pt;width:31.75pt;height:62.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OVbS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128</w:t>
    </w:r>
    <w:r>
      <w:rPr>
        <w:rFonts w:ascii="Verdana" w:hAnsi="Verdana"/>
        <w:b/>
        <w:noProof/>
        <w:color w:val="FFFFFF"/>
        <w:sz w:val="18"/>
        <w:szCs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9273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EAE8159" id="Rectangle 3" o:spid="_x0000_s1026" style="position:absolute;margin-left:350.05pt;margin-top:6.5pt;width:31.75pt;height:62.6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itC8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noProof/>
        <w:color w:val="FFFFF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978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865F464" id="Rectangle 3" o:spid="_x0000_s1026" style="position:absolute;margin-left:350.05pt;margin-top:6.5pt;width:31.75pt;height:62.6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wt3RR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9029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97004CC" id="Rectangle 3" o:spid="_x0000_s1026" style="position:absolute;margin-left:350.05pt;margin-top:6.5pt;width:31.75pt;height:62.6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noProof/>
        <w:color w:val="FFFFFF"/>
        <w:sz w:val="18"/>
        <w:szCs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4153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17116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BBCCD4" id="Rectangle 3" o:spid="_x0000_s1026" style="position:absolute;margin-left:350.05pt;margin-top:6.5pt;width:31.75pt;height:62.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BWQ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SZJ&#10;Mk6S0SSlRLEGZ/WE7DG1k4LceJ5aY2eY/mw20HsWTd/0sYTGf2M75Bi4Pb1xK46OcLxM45vhMKOE&#10;Y2g8zUZZ5jGjy48NWPdN6IZ4I6eAjwdG2WFtXZd6TvFvWS3rYlVLGRzYbRcSyIH5MSej8TTt0d+l&#10;SUVabDRL4zhAvwvaa4x0NUm+LrukihWiQ85i/JyBu/TQwhUONiSVL0kE8fWle+o6sry11cUJSQfd&#10;qdEavqqx5zWzbsMA5YdCxZVyj3iUUmPJurcoqTT8+tu9z0dVYJSSFuWcU/tzz0BQIr8r1Ms0SVOv&#10;/+Ckown2QeA6su0i2XiIEbVvFhqpTHB5DQ+mz3fybJagm1fcvHv/KoaY4vh2Trdnc+G6JcPN5eL+&#10;PiSh4g1za/VsuIf2LPmJvhxfGZh+7A718qDPwmezD9PvcpH0C4+9g/sRZtHvsl/Aaz9kXf5x5r8B&#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B5iwVkCAAC5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noProof/>
        <w:color w:val="FFFFFF"/>
        <w:sz w:val="18"/>
        <w:szCs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9080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F11C124" id="Rectangle 3" o:spid="_x0000_s1026" style="position:absolute;margin-left:350.05pt;margin-top:6.5pt;width:31.75pt;height:62.6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156</w:t>
    </w:r>
    <w:r>
      <w:rPr>
        <w:rFonts w:ascii="Verdana" w:hAnsi="Verdana"/>
        <w:b/>
        <w:noProof/>
        <w:color w:val="FFFFFF"/>
        <w:sz w:val="18"/>
        <w:szCs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91321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1412AF" id="Rectangle 3" o:spid="_x0000_s1026" style="position:absolute;margin-left:350.05pt;margin-top:6.5pt;width:31.75pt;height:62.6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157</w:t>
    </w:r>
    <w:r>
      <w:rPr>
        <w:rFonts w:ascii="Verdana" w:hAnsi="Verdana"/>
        <w:b/>
        <w:noProof/>
        <w:color w:val="FFFFFF"/>
        <w:sz w:val="18"/>
        <w:szCs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49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748119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8240E50" id="Rectangle 3" o:spid="_x0000_s1026" style="position:absolute;margin-left:225.1pt;margin-top:.35pt;width:31.75pt;height:62.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GA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5k&#10;0ySZTV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Hmxg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161</w:t>
    </w:r>
    <w:r>
      <w:rPr>
        <w:rFonts w:ascii="Verdana" w:hAnsi="Verdana"/>
        <w:b/>
        <w:noProof/>
        <w:color w:val="FFFFFF"/>
        <w:sz w:val="18"/>
        <w:szCs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25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66487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124FD46" id="Rectangle 3" o:spid="_x0000_s1026" style="position:absolute;margin-left:225.1pt;margin-top:.35pt;width:31.75pt;height:62.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lWQIAALkEAAAOAAAAZHJzL2Uyb0RvYy54bWysVN9v2jAQfp+0/8Hy+0igSfihhoqBmCZV&#10;LWo79dk4Donk2N7ZENhfv7MTCu32NI0Hc+c7Pt999x23d8dGkoMAW2uV0+EgpkQorota7XL642X9&#10;ZUKJdUwVTGolcnoSlt7NP3+6bc1MjHSlZSGAIIiys9bktHLOzKLI8ko0zA60EQqDpYaGOXRhFxXA&#10;WkRvZDSK4yxqNRQGNBfW4u2qC9J5wC9Lwd1jWVrhiMwp1ubCCeHc+jOa37LZDpipat6Xwf6hiobV&#10;Ch99g1oxx8ge6j+gmpqDtrp0A66bSJdlzUXoAbsZxh+6ea6YEaEXJMeaN5rs/4PlD4cNkLrA2d1k&#10;WZZMxsmQEsUanNUTssfUTgpy43lqjZ1h+rPZQO9ZNH3TxxIa/43tkGPg9vTGrTg6wvEyiW9Go5QS&#10;jqHxNM3S1GNGlx8bsO6b0A3xRk4BHw+MssO9dV3qOcW/ZbWsi3UtZXBgt11KIAfmxzzMxtOkR3+X&#10;JhVpczpKkzgO0O+C9hojWU+GX1ddUsUK0SGnMX7OwF16aOEKBxuSypckgvj60j11HVne2urihKSD&#10;7tRoDV/X2PM9s27DAOWHQsWVco94lFJjybq3KKk0/Prbvc9HVWCUkhblnFP7c89AUCK/K9TLdJgk&#10;Xv/BSbIJ9kHgOrLtIul4hBG1b5YaqUQpYHX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GYMZ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53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475915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AE24402" id="Rectangle 3" o:spid="_x0000_s1026" style="position:absolute;margin-left:225.1pt;margin-top:.35pt;width:31.75pt;height:62.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rl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N+k4&#10;mybZZEyJYg2O6gXJY2orBbnxNLXGzjB7bVbQexZN3/OhhMZ/YzfkEKg9nqkVB0c4XqbxzXCYUcIx&#10;NJ5moyzzmNHlxwas+yZ0Q7yRU8DHA6Fs/2hdl3pK8W9ZLetiWUsZHNhuHiSQPfNTTkbjadqjv0uT&#10;irQ5HWZpHAfod0F7jZEuJ8nXRZdUsUJ0yFmMnxNwlx5auMLBhqTyJYmgvb50T11Hlrc2ujgi56A7&#10;MVrDlzX2/MisWzFA9aFOcaPcMx6l1Fiy7i1KKg2//nbv81EUGKWkRTXn1P7cMRCUyO8K5TJN0tTL&#10;PzjpaIJ9ELiObLpINh5iRO2aB41UJri7hgfT5zt5MkvQzRsu3r1/FUNMcXw7p5uT+eC6HcPF5eL+&#10;PiSh4A1zj2ptuIf2LPmJvh7eGJh+7A718qRPumezD9PvcpH0C4+9g+sRZtGvst+/az9kXf5w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g8q5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noProof/>
        <w:color w:val="FFFFFF"/>
        <w:sz w:val="18"/>
        <w:szCs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27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3899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E88FA5A" id="Rectangle 3" o:spid="_x0000_s1026" style="position:absolute;margin-left:225.1pt;margin-top:.35pt;width:31.75pt;height:6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VsWQIAALgEAAAOAAAAZHJzL2Uyb0RvYy54bWysVMFu2zAMvQ/YPwi6L3YcO4mNOEXXIMOA&#10;oi3aDj0rshwbkCWNUuN0Xz9Kdtq022lYDgopMk/k42NWF8dOkoMA22pV0ukkpkQorqtW7Uv643H7&#10;ZUmJdUxVTGolSvoiLL1Yf/606k0hEt1oWQkgCKJs0ZuSNs6ZIoosb0TH7EQboTBYa+iYQxf2UQWs&#10;R/RORkkcz6NeQ2VAc2Et3m6GIF0H/LoW3N3WtRWOyJJibS6cEM6dP6P1ihV7YKZp+VgG+4cqOtYq&#10;fPQVasMcI8/Q/gHVtRy01bWbcN1Fuq5bLkIP2M00/tDNQ8OMCL0gOda80mT/Hyy/OdwBaauS5vPZ&#10;Ms/jBQ5MsQ5HdY/kMbWXgsw8Tb2xBWY/mDsYPYum7/lYQ+e/sRtyDNS+vFIrjo5wvEzjWZJklHAM&#10;LfJsnmUeM3r7sQHrvgndEW+UFPDxQCg7XFs3pJ5S/FtWy7batlIGB/a7KwnkwPyUp/NFno7o79Kk&#10;In1JkyyN4wD9LmjPMdLtcvp1MyQ1rBIDchbj5wQ8pIcWznCwIal8SSJobyzdUzeQ5a2drl6Qc9CD&#10;GK3h2xZ7vmbW3TFA9aFOcaPcLR611FiyHi1KGg2//nbv81EUGKWkRzWX1P58ZiAokd8VyiWfpqmX&#10;f3DS+RL7IHAe2Q2RbJFgRD13VxqpnOLuGh5Mn+/kyaxBd0+4eJf+VQwxxfHtku5O5pUbdgwXl4vL&#10;y5CEgjfMXasHwz20Z8lP9PH4xMCMY3eolxt90j0rPkx/yEXS33gcHVyPMItxlf3+nfsh6+0PZ/0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DS1b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33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AD2860B" id="Rectangle 3" o:spid="_x0000_s1026" style="position:absolute;margin-left:225.1pt;margin-top:.35pt;width:31.75pt;height:62.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JFWAIAALkEAAAOAAAAZHJzL2Uyb0RvYy54bWysVE2P2jAQvVfqf7B87yZAwpcIK8qKqtJq&#10;Fy1b7dk4Donk2O7YEOiv79gJH7vtqSoHM+N5PM+8mWF2f6wlOQiwlVYZ7d3FlAjFdV6pXUZ/vK6+&#10;jCmxjqmcSa1ERk/C0vv550+zxkxFX5da5gIIkig7bUxGS+fMNIosL0XN7J02QmGw0FAzhy7sohxY&#10;g+y1jPpxPIwaDbkBzYW1ePvQBuk88BeF4O65KKxwRGYUc3PhhHBu/RnNZ2y6A2bKindpsH/IomaV&#10;wkcvVA/MMbKH6g+quuKgrS7cHdd1pIui4iLUgNX04g/VbEpmRKgFxbHmIpP9f7T86bAGUuXYu1E6&#10;jAfjuI8yKVZjr15QPaZ2UpCB16kxdorwjVlD51k0fdHHAmr/jeWQY9D2dNFWHB3heJnEg34/pYRj&#10;aDRJh2nqOaPrjw1Y903omngjo4CPB0XZ4dG6FnqG+LesllW+qqQMDuy2SwnkwHybe8PRJOnY38Gk&#10;Ik1G+2kSx4H6XdDeciSrce/rQwsqWS5a5jTGz5m4hYcSbniwIKl8SiIMX5e6l64Vy1tbnZ9QdNDt&#10;NFrDVxXW/MisWzPA8cMO4Eq5ZzwKqTFl3VmUlBp+/e3e43EqMEpJg+OcUftzz0BQIr8rnJdJL0n8&#10;/AcnGY6xDgK3kW0bSUeh//t6qVHKHi6v4cH0eCfPZgG6fsPNW/hXMcQUx7czuj2bS9cuGW4uF4tF&#10;AOHEG+Ye1cZwT+1V8h19Pb4xMF3bHc7Lk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1I1J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w:instrText>
    </w:r>
    <w:r>
      <w:rPr>
        <w:rFonts w:ascii="Verdana" w:hAnsi="Verdana"/>
        <w:b/>
        <w:color w:val="FFFFFF"/>
        <w:sz w:val="18"/>
        <w:szCs w:val="18"/>
      </w:rPr>
      <w:instrText xml:space="preserve">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42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18101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BA500F4" id="Rectangle 3" o:spid="_x0000_s1026" style="position:absolute;margin-left:225.1pt;margin-top:.35pt;width:31.75pt;height:6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mZ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nU6T&#10;SRInyZgSxRoc1ROSx9ROCnLjaWqNnWH2s9lA71k0fc/HEhr/jd2QY6D29EatODrC8TKNb4bDjBKO&#10;ofE0G2WZx4wuPzZg3TehG+KNnAI+Hghlh7V1Xeo5xb9ltayLVS1lcGC3XUggB+annIzG07RHf5cm&#10;FWlzOszSOA7Q74L2GiNdTZKvyy6pYoXokLMYP2fgLj20cIWDDUnlSxJBe33pnrqOLG9tdXFCzkF3&#10;YrSGr2rsec2s2zBA9aFOcaPcIx6l1Fiy7i1KKg2//nbv81EUGKWkRTXn1P7cMxCUyO8K5TJN0tTL&#10;PzjpaIJ9ELiObLtINh5iRO2bhUYqE9xdw4Pp8508myXo5hUX796/iiGmOL6d0+3ZXLhux3Bxubi/&#10;D0koeMPcWj0b7qE9S36iL8dXBqYfu0O9POiz7tnsw/S7XCT9wmPv4HqEWfSr7Pfv2g9Zl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C4J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50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65296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8099F3" id="Rectangle 3" o:spid="_x0000_s1026" style="position:absolute;margin-left:225.1pt;margin-top:.35pt;width:31.75pt;height:6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1WQIAALgEAAAOAAAAZHJzL2Uyb0RvYy54bWysVMFu2zAMvQ/YPwi6L3Zc222MOEWWIMOA&#10;oi3aDj0rshwbkCWNUuN0Xz9KdtK022lYDgopMk/k42Pm14dOkr0A22pV0ukkpkQorqtW7Ur642nz&#10;5YoS65iqmNRKlPRVWHq9+Pxp3ptCJLrRshJAEETZojclbZwzRRRZ3oiO2Yk2QmGw1tAxhy7sogpY&#10;j+idjJI4zqNeQ2VAc2Et3q6HIF0E/LoW3N3VtRWOyJJibS6cEM6tP6PFnBU7YKZp+VgG+4cqOtYq&#10;fPQEtWaOkRdo/4DqWg7a6tpNuO4iXdctF6EH7GYaf+jmsWFGhF6QHGtONNn/B8tv9/dA2qqkszzP&#10;klmepJQo1uGoHpA8pnZSkAtPU29sgdmP5h5Gz6Lpez7U0Plv7IYcArWvJ2rFwRGOl2l8kSQZJRxD&#10;l7MszzKPGb392IB134TuiDdKCvh4IJTtb6wbUo8p/i2rZVttWimDA7vtSgLZMz/laX45S0f0d2lS&#10;kb6kSZbGcYB+F7TnGOnmavp1PSQ1rBIDchbj5wg8pIcWznCwIal8SSJobyzdUzeQ5a2trl6Rc9CD&#10;GK3hmxZ7vmHW3TNA9aFOcaPcHR611FiyHi1KGg2//nbv81EUGKWkRzWX1P58YSAokd8VymU2TVMv&#10;/+Ck+RX2QeA8sh0i2WWCEfXSrTRSOcXdNTyYPt/Jo1mD7p5x8Zb+VQwxxfHtkm6P5soNO4aLy8Vy&#10;GZJQ8Ia5G/VouIf2LPmJPh2eGZhx7A71cquPumfFh+kPuUj6G4+jg+sRZjGust+/cz9kvf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P5p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585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781079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0A5D7C3" id="Rectangle 3" o:spid="_x0000_s1026" style="position:absolute;margin-left:225.1pt;margin-top:.35pt;width:31.75pt;height:62.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t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uVNJ/M&#10;5kk8WySUKNbhqO6RPKb2UpCJp6k3tsDsB3MHo2fR9D0fa+j8N3ZDjoHal1dqxdERjpdZPEnTnBKO&#10;odkin+a5x4zefmzAum9Cd8QbJQV8PBDKDtfWDamnFP+W1bKttq2UwYH9biOBHJifcjKdLbIR/V2a&#10;VKQvaZpncRyg3wXtOUa2nSdfr4akhlViQM5j/JyAh/TQwhkONiSVL0kE7Y2le+oGsry109ULcg56&#10;EKM1fNtiz9fMujsGqD7UKW6Uu8WjlhpL1qNFSaPh19/ufT6KAqOU9KjmktqfzwwEJfK7Qrkskizz&#10;8g9ONp1jHwTOI7shks9SjKjnbqORSpQCVhdMn+/kyaxBd0+4eGv/KoaY4vh2SXcnc+OGHcPF5WK9&#10;DkkoeMPctXow3EN7lvxEH49PDMw4dod6udEn3bPiw/SHXCT9jcfRwfUIsxhX2e/fuR+y3v5wV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TV/r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66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89626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32AF36" id="Rectangle 3" o:spid="_x0000_s1026" style="position:absolute;margin-left:225.1pt;margin-top:.35pt;width:31.75pt;height:62.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yjWQIAALkEAAAOAAAAZHJzL2Uyb0RvYy54bWysVFFv2jAQfp+0/2D5fU0ISQqooWIgpkmo&#10;RW2nPhvHIZEc2zu7BPbrd3ZCS7s9TePB3PmOz3fffcfN7bGV5CDANloVdHQVUyIU12Wj9gX98bT+&#10;MqHEOqZKJrUSBT0JS2/nnz/ddGYmEl1rWQogCKLsrDMFrZ0zsyiyvBYts1faCIXBSkPLHLqwj0pg&#10;HaK3MkriOI86DaUBzYW1eLvqg3Qe8KtKcHdfVVY4IguKtblwQjh3/ozmN2y2B2bqhg9lsH+oomWN&#10;wkdfoVbMMfICzR9QbcNBW125K67bSFdVw0XoAbsZxR+6eayZEaEXJMeaV5rs/4Pld4ctkKbE2Y3z&#10;yTRP8mREiWItzuoB2WNqLwUZe546Y2eY/mi2MHgWTd/0sYLWf2M75Bi4Pb1yK46OcLxM43GSZJRw&#10;DF1PszzLPGb09mMD1n0TuiXeKCjg44FRdthY16eeU/xbVsumXDdSBgf2u6UEcmB+zKP8epoO6O/S&#10;pCJdQZMsjeMA/S5oLzHS9WT0ddUn1awUPXIW4+cM3KeHFi5wsCGpfEkiiG8o3VPXk+WtnS5PSDro&#10;Xo3W8HWDPW+YdVsGKD8UKq6Uu8ejkhpL1oNFSa3h19/ufT6qAqOUdCjngtqfLwwEJfK7Qr1MR2nq&#10;9R+cNJ9gHwQuI7s+kl0nGFEv7VIjlSgFrC6YPt/Js1mBbp9x8xb+VQwxxfHtgu7O5tL1S4aby8Vi&#10;EZJQ8Ya5jXo03EN7lvxEn47PDMwwdod6udNn4bPZh+n3uUj6G4+Dg/sRZjHssl/AS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C98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749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673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8621D00" id="Rectangle 3" o:spid="_x0000_s1026" style="position:absolute;margin-left:225.1pt;margin-top:.35pt;width:31.75pt;height:62.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vrWgIAALk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3Wg2&#10;noxG02RCiWINzuoZ2WNqJwUZeZ5aY+eYvjFr6D2Lpm/6WELjv7Edcgzcnt64FUdHOF6m8ShJMko4&#10;hiazbJxlHjO6/NiAdd+Ebog3cgr4eGCUHR6s61LPKf4tq2VdrGopgwO77b0EcmB+zMPxZJb26O/S&#10;pCJtTpMsjeMA/S5orzHS1XT4ddklVawQHXIW4+cM3KWHFq5wsCGpfEkiiK8v3VPXkeWtrS5OSDro&#10;To3W8FWNPT8w69YMUH4oVFwp94RHKTWWrHuLkkrDr7/d+3xUBUYpaVHOObU/9wwEJfK7Qr3Mhmnq&#10;9R+cdDzFPghcR7ZdJJskGFH75l4jlUNcXsOD6fOdPJsl6OYVN+/Ov4ohpji+ndPt2bx33ZLh5nJx&#10;dxeSUPGGuQe1MdxDe5b8RF+OrwxMP3aHennUZ+Gz+Yfpd7lI+oXH3sH9CLPod9kv4LUfsi7/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btu+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831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41536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AD17D7" id="Rectangle 3" o:spid="_x0000_s1026" style="position:absolute;margin-left:225.1pt;margin-top:.35pt;width:31.75pt;height:62.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XWQIAALkEAAAOAAAAZHJzL2Uyb0RvYy54bWysVE1v2zAMvQ/YfxB0X/0RO0mNOEWWIsOA&#10;oi3aDj0rshwbkCWNUuN0v36U7KRpt9OwHBRSfHkiH8ksrg6dJHsBttWqpMlFTIlQXFet2pX0x9Pm&#10;y5wS65iqmNRKlPRVWHq1/Pxp0ZtCpLrRshJAkETZojclbZwzRRRZ3oiO2QtthMJgraFjDl3YRRWw&#10;Htk7GaVxPI16DZUBzYW1eHs9BOky8Ne14O6urq1wRJYUc3PhhHBu/RktF6zYATNNy8c02D9k0bFW&#10;4aMnqmvmGHmB9g+qruWgra7dBdddpOu65SLUgNUk8YdqHhtmRKgFxbHmJJP9f7T8dn8PpK2wd3mW&#10;5JPpZIYyKdZhrx5QPaZ2UpCJ16k3tkD4o7mH0bNo+qIPNXT+G8shh6Dt60lbcXCE42UWT9I0p4Rj&#10;aHaZT/Pcc0ZvPzZg3TehO+KNkgI+HhRl+xvrBugR4t+yWrbVppUyOLDbriWQPfNtTqazy2xkfweT&#10;ivQlTfMsjgP1u6A958g28+Tr9QBqWCUG5jzGz5F4gIcSzniwIKl8SiIM35i6l24Qy1tbXb2i6KCH&#10;abSGb1qs+YZZd88Axw87gCvl7vCopcaU9WhR0mj49bd7j8epwCglPY5zSe3PFwaCEvld4bxcJlnm&#10;5z842XSOdRA4j2yHSD5Lff9furVGKRNcXsOD6fFOHs0adPeMm7fyr2KIKY5vl3R7NNduWDLcXC5W&#10;qwDCiTfM3ahHwz21V8l39OnwzMCMbXc4L7f6OPis+ND9AYuiv+k4OrgfoRfjLvsFPPcD6u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jsz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913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05647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4708CFF" id="Rectangle 3" o:spid="_x0000_s1026" style="position:absolute;margin-left:350.05pt;margin-top:6.5pt;width:31.75pt;height:62.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8VWAIAALk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DsRnE2&#10;SsdJOqREsQZn9YzsMbWTgtx4nlpjp5i+MWvoPYumb/pYQuO/sR1yDNyeLtyKoyMcL9P4JkkySjiG&#10;xrfZKMs8ZvT2YwPWfRO6Id7IKeDjgVF2WFnXpZ5T/FtWy7pY1lIGB3bbuQRyYH7Mw9H4Nu3R36VJ&#10;RdqcJlkaxwH6XdBeY6TLyfDrokuqWCE65CzGzxm4Sw8tXOFgQ1L5kkQQX1+6p64jy1tbXZyQdNCd&#10;Gq3hyxp7XjHr1gxQfihUXCn3hEcpNZase4uSSsOvv937fFQFRilpUc45tT/3DAQl8rtCvdwO09Tr&#10;PzjpaIJ9ELiObLtINk4wovbNXCOVKAWsLpg+38mzWYJuXnHzHvyrGGKK49s53Z7NueuWDDeXi4eH&#10;kISKN8yt1MZwD+1Z8hN9Ob4yMP3YHerlUZ+Fz6Yfpt/lIulvPPYO7keYRb/LfgGv/ZD19o8z+w0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eFR8V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995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9365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927C3E7" id="Rectangle 3" o:spid="_x0000_s1026" style="position:absolute;margin-left:225.1pt;margin-top:.35pt;width:31.75pt;height:62.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UT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3Qy&#10;G43zJBtT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j+V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077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12820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94E7546" id="Rectangle 3" o:spid="_x0000_s1026" style="position:absolute;margin-left:225.1pt;margin-top:.35pt;width:31.75pt;height:62.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g8WA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DRP&#10;0kkapzgwxVoc1SOSx9ROCnLtaeqMnWH2k9nA4Fk0fc/HClr/jd2QY6D29EqtODrC8TKLr9M0p4Rj&#10;aDzNR3nuMaO3Hxuw7pvQLfFGQQEfD4Syw9q6PvWc4t+yWjblqpEyOLDbLiWQA/NTTkbjaTagv0uT&#10;inQFTfMsjgP0u6C9xMhWk+TrXZ9Us1L0yHmMnzNwnx5auMDBhqTyJYmgvaF0T11Plre2ujwh56B7&#10;MVrDVw32vGbWbRig+lCnuFHuAY9KaixZDxYltYZff7v3+SgKjFLSoZoLan/uGQhK5HeFcpkmWebl&#10;H5xsNME+CFxGtn0kH6cYUft2qZHKBHfX8GD6fCfPZgW6fcHFW/hXMcQUx7cLuj2bS9fvGC4uF4tF&#10;SELBG+bW6slwD+1Z8hN9Pr4wMMPYHerlXp91z2Yfpt/nIulvPA4OrkeYxbDKfv8u/ZD19oc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8PRg8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159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26772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BF8CFB4" id="Rectangle 3" o:spid="_x0000_s1026" style="position:absolute;margin-left:225.1pt;margin-top:.35pt;width:31.75pt;height:62.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gGWQIAALg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6az&#10;+TyN55Qo1uGoHpE8pnZSkKmnqTe2wOyNeYDRs2j6ng81dP4buyGHQO3riVpxcITjZRZP0zSnhGNo&#10;fpnP8txjRm8/NmDdN6E74o2SAj4eCGX7W+uG1GOKf8tq2VbrVsrgwG57I4HsmZ9yMptfZiP6uzSp&#10;SF/SNM/iOEC/C9pzjGx9kXxdDUkNq8SAnMf4OQIP6aGFMxxsSCpfkgjaG0v31A1keWurq1fkHPQg&#10;Rmv4usWeb5l1DwxQfahT3Ch3j0ctNZasR4uSRsOvv937fBQFRinpUc0ltT9fGAhK5HeFcrlMsszL&#10;PzjZ7AL7IHAe2Q6RHAWA83/pbjRSmeDuGh5Mn+/k0axBd8+4eNf+VQwxxfHtkm6P5o0bdgwXl4vr&#10;65CEgjfM3aqN4R7as+Qn+nR4ZmDGsTvUy5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muIB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240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1144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DFAEE28" id="Rectangle 3" o:spid="_x0000_s1026" style="position:absolute;margin-left:225.1pt;margin-top:.35pt;width:31.75pt;height:6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w4WA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3GS&#10;pOkkSTNKFGtwVk/IHlM7KciN56k1dobpz2YDvWfR9E0fS2j8N7ZDjoHb0xu34ugIx8s0vhkOEZpj&#10;aDzNRlnmMaPLjw1Y903ohngjp4CPB0bZYW1dl3pO8W9ZLetiVUsZHNhtFxLIgfkxJ6PxNO3R36VJ&#10;RdqcDrM0jgP0u6C9xkhXk+TrskuqWCE65CzGzxm4Sw8tXOFgQ1L5kkQQX1+6p64jy1tbXZyQdNCd&#10;Gq3hqxp7XjPrNgxQfihUXCn3iEcpNZase4uSSsOvv937fFQFRilpUc45tT/3DAQl8rtCvUxxtl7/&#10;wUlHE+yDwHVk20Wy8RAjat8sNFKZ4PIaHkyf7+TZLEE3r7h59/5VDDHF8e2cbs/mwnVLhpvLxf19&#10;SELFG+bW6tlwD+1Z8hN9Ob4yMP3YHerlQZ+Fz2Yfpt/lIukXHnsH9yPMot9lv4DXfsi6/O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uyuw4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363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24912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66D63EF" id="Rectangle 3" o:spid="_x0000_s1026" style="position:absolute;margin-left:225.1pt;margin-top:.35pt;width:31.75pt;height:6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RWQIAALg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01ma&#10;zZI0R5UU67BVDygeUzspyIWXqTe2QPSjuYfRs2j6mg81dP4bqyGHIO3rSVpxcITjZRZfpGlOCcfQ&#10;5Syf5rnnjN5+bMC6b0J3xBslBXw8CMr2N9YN0CPEv2W1bKtNK2VwYLddSSB75rucTC9n2cj+DiYV&#10;6Uua5lkcB+p3QXvOkW2ukq/rAdSwSgzMeYyfI/EADyWc8WBBUvmURJi9MXUv3SCWt7a6ekXNQQ/D&#10;aA3ftFjzDbPungFOH3YAN8rd4VFLjSnr0aKk0fDrb/cej0OBUUp6nOaS2p8vDAQl8rvCcZklWebH&#10;PzjZ9ArrIHAe2Q6R/DL1/X/pVhqlTHB3DQ+mxzt5NGvQ3TMu3tK/iiGmOL5d0u3RXLlhx3BxuVgu&#10;AwgH3jB3ox4N99ReJd/Rp8MzAzO23eG83Orj3LPiQ/cHLIr+puPo4HqEXoyr7Pfv3A+o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S5K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862016" behindDoc="1" locked="0" layoutInCell="1" allowOverlap="1">
              <wp:simplePos x="0" y="0"/>
              <wp:positionH relativeFrom="page">
                <wp:align>center</wp:align>
              </wp:positionH>
              <wp:positionV relativeFrom="paragraph">
                <wp:posOffset>4445</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F94CA1D" id="Rectangle 3" o:spid="_x0000_s1026" style="position:absolute;margin-left:0;margin-top:.35pt;width:31.75pt;height:62.65pt;z-index:-251454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nphmf2wAAAAQBAAAPAAAAZHJzL2Rvd25yZXYueG1sTI/BTsMwEETvSPyDtUhcEHUo&#10;IrRpnKpU4ohEAwiObrzEEfY6it02/ftuT+U4mtHMm3I5eif2OMQukIKHSQYCqQmmo1bB58fr/QxE&#10;TJqMdoFQwREjLKvrq1IXJhxog/s6tYJLKBZagU2pL6SMjUWv4yT0SOz9hsHrxHJopRn0gcu9k9Ms&#10;y6XXHfGC1T2uLTZ/9c4rmLuRvr5XL+939o2O6Wczq+26Uer2ZlwtQCQc0yUMZ3xGh4qZtmFHJgqn&#10;gI8kBc8g2Msfn0BsOTPNM5BVKf/DVycAAAD//wMAUEsBAi0AFAAGAAgAAAAhALaDOJL+AAAA4QEA&#10;ABMAAAAAAAAAAAAAAAAAAAAAAFtDb250ZW50X1R5cGVzXS54bWxQSwECLQAUAAYACAAAACEAOP0h&#10;/9YAAACUAQAACwAAAAAAAAAAAAAAAAAvAQAAX3JlbHMvLnJlbHNQSwECLQAUAAYACAAAACEAXMop&#10;900CAACwBAAADgAAAAAAAAAAAAAAAAAuAgAAZHJzL2Uyb0RvYy54bWxQSwECLQAUAAYACAAAACEA&#10;56YZn9sAAAAEAQAADwAAAAAAAAAAAAAAAACnBAAAZHJzL2Rvd25yZXYueG1sUEsFBgAAAAAEAAQA&#10;8wAAAK8FAAAAAA==&#10;" fillcolor="#016794" strokecolor="#385d8a" strokeweight="2pt">
              <v:textbox inset=",1.3mm"/>
              <w10:wrap anchorx="page"/>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noProof/>
        <w:color w:val="FFFFFF"/>
        <w:sz w:val="18"/>
        <w:szCs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445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49698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F22FEA" id="Rectangle 3" o:spid="_x0000_s1026" style="position:absolute;margin-left:225.1pt;margin-top:.35pt;width:31.75pt;height:6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mWQIAALkEAAAOAAAAZHJzL2Uyb0RvYy54bWysVE1v2zAMvQ/YfxB0X/xROx9GnaJrkGFA&#10;0AZth54VWY4NyJJGqXG6Xz9Kdtq022lYDgopvjyRj2Qur46dJAcBttWqpMkkpkQorqtW7Uv643H9&#10;ZU6JdUxVTGolSvoiLL1afv502ZtCpLrRshJAkETZojclbZwzRRRZ3oiO2Yk2QmGw1tAxhy7sowpY&#10;j+ydjNI4nka9hsqA5sJavF0NQboM/HUtuLuraysckSXF3Fw4IZw7f0bLS1bsgZmm5WMa7B+y6Fir&#10;8NFXqhVzjDxD+wdV13LQVtduwnUX6bpuuQg1YDVJ/KGah4YZEWpBcax5lcn+P1p+e9gCaSvs3TzJ&#10;FtPFPEOZFOuwV/eoHlN7KciF16k3tkD4g9nC6Fk0fdHHGjr/jeWQY9D25VVbcXSE42UWX6RpTgnH&#10;0GyRT/Pcc0ZvPzZg3TehO+KNkgI+HhRlh411A/QE8W9ZLdtq3UoZHNjvbiSQA/NtTqazRTayv4NJ&#10;RfqSpnkWx4H6XdCec2TrefJ1NYAaVomBOY/xcyIe4KGEMx4sSCqfkgjDN6bupRvE8tZOVy8oOuhh&#10;Gq3h6xZr3jDrtgxw/LADuFLuDo9aakxZjxYljYZff7v3eJwKjFLS4ziX1P58ZiAokd8VzssiyXxj&#10;XXCy6RzrIHAe2Q2RfJb6/j93NxqlTHB5DQ+mxzt5MmvQ3RNu3rV/FUNMcXy7pLuTeeOGJcPN5eL6&#10;OoBw4g1zG/VguKf2KvmOPh6fGJix7Q7n5VafBp8VH7o/YFH0Nx1HB/cj9GLcZb+A535A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hm5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527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8C1C7DC" id="Rectangle 3" o:spid="_x0000_s1026" style="position:absolute;margin-left:225.1pt;margin-top:.35pt;width:31.75pt;height:6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RZ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YwTU6zDWT0ge0ztpCCXnqfe2ALTH809jJ5F0zd9qKHz39gOOQRuj6/cioMjHC+z+DJNc0o4&#10;hqbzfJLnHjN6+7EB674J3RFvlBTw8cAo22+sG1JPKf4tq2VbrVspgwO77bUEsmd+zMlkOs9G9Hdp&#10;UpG+pGmexXGAfhe05xjZepZ8vRmSGlaJATmP8XMCHtJDC2c42JBUviQRxDeW7qkbyPLWVldHJB30&#10;oEZr+LrFnjfMunsGKD8UKq6Uu8OjlhpL1qNFSaPh19/ufT6qAqOU9CjnktqfLwwEJfK7Qr3Mkyzz&#10;+g9ONplhHwTOI9shkk9TjKiX7lojlQkur+HB9PlOnswadPeMm7fyr2KIKY5vl3R7Mq/dsGS4uVys&#10;ViEJFW+Y26hHwz20Z8lP9OnwzMCMY3eol1t9Ej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QBk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609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23704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770E46C" id="Rectangle 3" o:spid="_x0000_s1026" style="position:absolute;margin-left:225.1pt;margin-top:.35pt;width:31.75pt;height:6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l8Xp&#10;xSzOso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erJMu8&#10;/oOTTS+xDwLnkfUQyWcpRtS2u9NIJUoBqwu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MviZ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691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2082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85F848" id="Rectangle 3" o:spid="_x0000_s1026" style="position:absolute;margin-left:225.1pt;margin-top:.35pt;width:31.75pt;height:6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Z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5tM0&#10;nqX5dEqJYh2O6hHJY2onBbn0NPXGFpi9MWsYPYum7/lQQ+e/sRtyCNS+nqgVB0c4XmbxZZrmlHAM&#10;Ta/ySZ57zOjtxwas+yZ0R7xRUsDHA6Fsf2fdkHpM8W9ZLdtq1UoZHNhtbySQPfNTTibTq2xEf5cm&#10;FelLmuZZHAfod0F7jpGtZsnX2yGpYZUYkPMYP0fgIT20cIaDDUnlSxJBe2PpnrqBLG9tdfWKnIMe&#10;xGgNX7XY8x2zbs0A1Yc6xY1yD3jUUmPJerQoaTT8+tu9z0dRYJSSHtVcUvvzhYGgRH5XKJerJMu8&#10;/IOTTWbYB4HzyHaIeBHg/F+6G41UJri7hgfT5zt5NGvQ3TMu3tK/iiGmOL5d0u3RvHHDjuHicrFc&#10;hiQUvGHuTm0M99CeJT/Rp8MzAzOO3aFe7vVR96z4MP0hF0l/43F0cD3CLMZV9vt37o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kNn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773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5622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AE40C8" id="Rectangle 3" o:spid="_x0000_s1026" style="position:absolute;margin-left:225.1pt;margin-top:.35pt;width:31.75pt;height:6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2VwIAALg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Q0GWWj&#10;JInHQ0oUa3BUz0geUzspyI2nqTV2itkbs4bes2j6no8lNP4buyHHQO3pQq04OsLxMo1vkiSjhGNo&#10;fJuNssxjRm8/NmDdN6Eb4o2cAj4eCGWHlXVd6jnFv2W1rItlLWVwYLedSyAH5qc8HI1v0x79XZpU&#10;pMU+szSOA/S7oL3GSJeT4ddFl1SxQnTIWYyfM3CXHlq4wsGGpPIliaC9vnRPXUeWt7a6OCHnoDsx&#10;WsOXNfa8YtatGaD6UKe4Ue4Jj1JqLFn3FiWVhl9/u/f5KAqMUtKimnNqf+4ZCErkd4VyuR2mqZd/&#10;cNLRBPsgcB3ZdpFsnGBE7Zu5RipRClhdMH2+k2ezBN284uI9+FcxxBTHt3O6PZtz1+0YLi4XDw8h&#10;CQVvmFupjeEe2rPkJ/pyfGVg+rE71MujPuueTT9Mv8tF0t947B1cjzCLfpX9/l37IevtD2f2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D52SXZ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noProof/>
        <w:color w:val="FFFFFF"/>
        <w:sz w:val="18"/>
        <w:szCs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409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F7BC70F" id="Rectangle 3" o:spid="_x0000_s1026" style="position:absolute;margin-left:225.1pt;margin-top:.35pt;width:31.75pt;height:62.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w:instrText>
    </w:r>
    <w:r>
      <w:rPr>
        <w:rFonts w:ascii="Verdana" w:hAnsi="Verdana"/>
        <w:b/>
        <w:color w:val="FFFFFF"/>
        <w:sz w:val="18"/>
        <w:szCs w:val="18"/>
      </w:rPr>
      <w:instrText xml:space="preserve">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913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C99D2A8"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wdWAIAALgEAAAOAAAAZHJzL2Uyb0RvYy54bWysVFFv2jAQfp+0/2D5fSShCQXUUHUgpkmo&#10;RaVTn43jkEiO7Z0Ngf36nZ1QaLenaTyYO9/x+e6777i7PzaSHATYWqucJoOYEqG4Lmq1y+mPl+WX&#10;MSXWMVUwqZXI6UlYej/7/OmuNVMx1JWWhQCCIMpOW5PTyjkzjSLLK9EwO9BGKAyWGhrm0IVdVABr&#10;Eb2R0TCOR1GroTCgubAWbxddkM4CflkK7p7K0gpHZE6xNhdOCOfWn9Hsjk13wExV874M9g9VNKxW&#10;+Ogb1II5RvZQ/wHV1By01aUbcN1EuixrLkIP2E0Sf+hmUzEjQi9IjjVvNNn/B8sfD2sgdYGzGyeT&#10;5GY8zihRrMFRPSN5TO2kIDeeptbYKWZvzBp6z6Lpez6W0Phv7IYcA7WnN2rF0RGOl2l8MxwiNMfQ&#10;7SQbZZnHjC4/NmDdN6Eb4o2cAj4eCGWHlXVd6jnFv2W1rItlLWVwYLedSyAH5qecjG4naY/+Lk0q&#10;0uZ0mKVxHKDfBe01RrocJ18XXVLFCtEhZzF+zsBdemjhCgcbksqXJIL2+tI9dR1Z3trq4oScg+7E&#10;aA1f1tjzilm3ZoDqQ53iRrknPEqpsWTdW5RUGn797d7noygwSkmLas6p/blnICiR3xXKZZKkqZd/&#10;cNLRGPsgcB3ZdpHsdogRtW/mGqlMcHcND6bPd/JslqCbV1y8B/8qhpji+HZOt2dz7rodw8Xl4uEh&#10;JKHgDXMrtTHcQ3uW/ERfjq8MTD92h3p51Gfds+mH6Xe5SPqFx97B9Qiz6FfZ79+1H7Iufzi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en5wd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noProof/>
        <w:color w:val="FFFFFF"/>
        <w:sz w:val="18"/>
        <w:szCs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747624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D35FC5"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tw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lk&#10;k3GazSa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yAr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7052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828A9A7"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5GVwIAALcEAAAOAAAAZHJzL2Uyb0RvYy54bWysVE1v2zAMvQ/YfxB0X+w4dr4Qp+gaZBhQ&#10;tEXboWdFlmMD+hqlxul+/SjZadNup2E5KKTIPJGPj1ldHJUkBwGuNbqk41FKidDcVK3el/TH4/bL&#10;nBLnma6YNFqU9EU4erH+/GnV2aXITGNkJYAgiHbLzpa08d4uk8TxRijmRsYKjcHagGIeXdgnFbAO&#10;0ZVMsjSdJp2ByoLhwjm83fRBuo74dS24v61rJzyRJcXafDwhnrtwJusVW+6B2ablQxnsH6pQrNX4&#10;6CvUhnlGnqH9A0q1HIwztR9xoxJT1y0XsQfsZpx+6OahYVbEXpAcZ19pcv8Plt8c7oC0VUkni1la&#10;YBGUaKZwUvfIHdN7KcgksNRZt8TkB3sHg+fQDC0fa1DhG5shx8jsyyuz4ugJx8s8nWRZQQnH0GxR&#10;TIsiYCZvP7bg/DdhFAlGSQEfj3yyw7XzfeopJbzljGyrbStldGC/u5JADiwMeTydLfIB/V2a1KQr&#10;aVbkaRqh3wXdOUa+nY+/bvqkhlWiRy5S/JyA+/TYwhkONiR1KElE6Q2lB+p6soK1M9ULUg6m16Kz&#10;fNtiz9fM+TsGKD6UKS6Uv8WjlgZLNoNFSWPg19/uQz5qAqOUdCjmkrqfzwwEJfK7RrUsxnke1B+d&#10;fDrHPgicR3Z9pJhlGNHP6soglSgFrC6aId/Lk1mDUU+4d5fhVQwxzfHtku5O5pXvVwz3lovLy5iE&#10;erfMX+sHywN0YClM9PH4xMAOY/eolxtzkj1bfph+n4ukv/E4OLgdcRbDJof1O/dj1tv/zfo3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C307kZ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291523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91E2C53"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MIWQIAALg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Ys6CSd&#10;Jnk6GqFKirXYqkcUj6mdFGTkZeqMnSH6yWxg8CyavuZDBa3/xmrIIUh7fJNWHBzheJnFozTNKeEY&#10;up7m4zz3nNH5xwas+yZ0S7xRUMDHg6Bsv7auh54g/i2rZVOuGimDA7vtrQSyZ77Lyfh6mg3s72BS&#10;ka6gaZ7FcaB+F7SXHNlqkny960E1K0XPnMf4ORH38FDCBQ8WJJVPSYTZG1L30vVieWuryyNqDrof&#10;Rmv4qsGa18y6DQOcPuwAbpR7wKOSGlPWg0VJreHX3+49HocCo5R0OM0FtT9fGQhK5HeF4zJNssyP&#10;f3Cy8QTrIHAZ2faR/Dr1/X9tbzVKmeDuGh5Mj3fyZFag2xdcvKV/FUNMcXy7oNuTeev6HcPF5WK5&#10;DCAceMPcWj0Z7qm9Sr6jz4cXBmZou8N5udenuWezD93vsSj6WcfBwfUIvRhW2e/fpR9Q5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usjC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50701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019E2AB"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y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pvEs&#10;j6dxkuDEFOtwVo/IHlM7Kcil56k3tsD0jVnD6Fk0fdOHGjr/je2QQ+D29cStODjC8TKLL9M0p4Rj&#10;aHqVT/LcY0ZvPzZg3TehO+KNkgI+Hhhl+zvrhtRjin/LatlWq1bK4MBueyOB7JkfczKZXmUj+rs0&#10;qUiPjeZZHAfod0F7jpGtZsnX2yGpYZUYkPMYP0fgIT20cIaDDUnlSxJBfGPpnrqBLG9tdfWKpIMe&#10;1GgNX7XY8x2zbs0A5YdCxZVyD3jUUmPJerQoaTT8+tu9z0dVYJSSHuVcUvvzhYGgRH5XqJerJMu8&#10;/oOTTWbYB4HzyHaI5NMUI+qlu9FIZYLLa3gwfb6TR7MG3T3j5i39qxhiiuPbJd0ezRs3LBluLhfL&#10;ZUhCxRvm7tTGcA/tWfITfTo8MzDj2B3q5V4fhc+KD9MfcpH0Nx5HB/cjzGLcZb+A537I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s2Us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noProof/>
        <w:color w:val="FFFFFF"/>
        <w:sz w:val="18"/>
        <w:szCs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17030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91ACAAE"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VQ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N0mS&#10;cXwTT8eUKN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clU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Footer"/>
      <w:jc w:val="center"/>
      <w:rPr>
        <w:rFonts w:ascii="Verdana" w:hAnsi="Verdana"/>
        <w:b/>
        <w:color w:val="FFFFFF"/>
        <w:sz w:val="18"/>
        <w:szCs w:val="18"/>
      </w:rPr>
    </w:pPr>
    <w:r>
      <w:rPr>
        <w:noProof/>
        <w:lang w:val="pl-PL" w:eastAsia="pl-PL"/>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092647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956A0D3"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sUWQIAALkEAAAOAAAAZHJzL2Uyb0RvYy54bWysVE1v2zAMvQ/YfxB0X+y4tvOBOEXWIsOA&#10;og3aDj0rshwbkCWNUuJ0v36U7DRpt9OwHBRSfHkiH8ksro+tJAcBttGqoONRTIlQXJeN2hX0x/P6&#10;y5QS65gqmdRKFPRVWHq9/Pxp0Zm5SHStZSmAIImy884UtHbOzKPI8lq0zI60EQqDlYaWOXRhF5XA&#10;OmRvZZTEcR51GkoDmgtr8fa2D9Jl4K8qwd1DVVnhiCwo5ubCCeHc+jNaLth8B8zUDR/SYP+QRcsa&#10;hY++Ud0yx8gemj+o2oaDtrpyI67bSFdVw0WoAasZxx+qeaqZEaEWFMeaN5ns/6Pl94cNkKbE3uXx&#10;LMnTSY4yKdZirx5RPaZ2UpArr1Nn7BzhT2YDg2fR9EUfK2j9N5ZDjkHb1zdtxdERjpdpfJUkGSUc&#10;Q5NZlmeZ54zOPzZg3TehW+KNggI+HhRlhzvreugJ4t+yWjblupEyOLDb3kggB+bbPM4ns3RgfweT&#10;inQFTbI0jgP1u6C95EjX0/HX2x5Us1L0zFmMnxNxDw8lXPBgQVL5lEQYviF1L10vlre2unxF0UH3&#10;02gNXzdY8x2zbsMAxw87gCvlHvCopMaU9WBRUmv49bd7j8epwCglHY5zQe3PPQNBifyucF5m4zT1&#10;8x+cNJ9iHQQuI9s+kk0S3/99e6NRyjEur+HB9HgnT2YFun3BzVv5VzHEFMe3C7o9mTeuXzLcXC5W&#10;qwDCiTfM3aknwz21V8l39Pn4wsAMbXc4L/f6NPhs/qH7PRZFP+s4OLgfoRfDLvsFvPQD6v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69rF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135552" w:rsidRDefault="004C63B0">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552" w:rsidRDefault="004C63B0">
      <w:r>
        <w:separator/>
      </w:r>
    </w:p>
  </w:footnote>
  <w:footnote w:type="continuationSeparator" w:id="0">
    <w:p w:rsidR="00135552" w:rsidRDefault="004C63B0">
      <w:r>
        <w:continuationSeparator/>
      </w:r>
    </w:p>
  </w:footnote>
  <w:footnote w:id="1">
    <w:p w:rsidR="00135552" w:rsidRDefault="004C63B0">
      <w:pPr>
        <w:pStyle w:val="FootnoteText"/>
        <w:tabs>
          <w:tab w:val="left" w:pos="284"/>
        </w:tabs>
        <w:spacing w:after="120"/>
        <w:ind w:left="284" w:hanging="284"/>
        <w:jc w:val="both"/>
      </w:pPr>
      <w:r>
        <w:rPr>
          <w:rStyle w:val="FootnoteReference"/>
        </w:rPr>
        <w:footnoteRef/>
      </w:r>
      <w:r>
        <w:rPr>
          <w:rFonts w:ascii="Verdana" w:hAnsi="Verdana"/>
          <w:sz w:val="16"/>
          <w:szCs w:val="16"/>
        </w:rPr>
        <w:tab/>
        <w:t xml:space="preserve">Under the principle of subsidiarity, the Union shall act only if and in so far as the objectives of the proposed action cannot be sufficiently achieved by the Member States but </w:t>
      </w:r>
      <w:r>
        <w:rPr>
          <w:rFonts w:ascii="Verdana" w:hAnsi="Verdana"/>
          <w:sz w:val="16"/>
          <w:szCs w:val="16"/>
        </w:rPr>
        <w:t>can rather, by reason of the scale or effects, be better achieved at Union level. Under the principle of proportionality, the content and form of Union action shall not exceed what is necessary to achieve the objectives of the Treaties (see Article 5 TEU).</w:t>
      </w:r>
    </w:p>
  </w:footnote>
  <w:footnote w:id="2">
    <w:p w:rsidR="00135552" w:rsidRDefault="004C63B0">
      <w:pPr>
        <w:pStyle w:val="Footnote"/>
      </w:pPr>
      <w:r>
        <w:rPr>
          <w:rStyle w:val="FootnoteReference"/>
          <w:sz w:val="18"/>
        </w:rPr>
        <w:footnoteRef/>
      </w:r>
      <w:r>
        <w:t xml:space="preserve"> </w:t>
      </w:r>
      <w:r>
        <w:tab/>
        <w:t>Interinstitutional Agreement of 2 December 2013 between the European Parliament, the Council and the Commission on budgetary discipline, on cooperation in budgetary matters and on sound financial management (2013/C 373/01).</w:t>
      </w:r>
    </w:p>
  </w:footnote>
  <w:footnote w:id="3">
    <w:p w:rsidR="00135552" w:rsidRDefault="004C63B0">
      <w:pPr>
        <w:pStyle w:val="Footnote"/>
      </w:pPr>
      <w:r>
        <w:rPr>
          <w:rStyle w:val="FootnoteReference"/>
          <w:sz w:val="18"/>
        </w:rPr>
        <w:footnoteRef/>
      </w:r>
      <w:r>
        <w:t xml:space="preserve"> </w:t>
      </w:r>
      <w:r>
        <w:tab/>
        <w:t xml:space="preserve">Regulation (EU, Euratom) </w:t>
      </w:r>
      <w:r>
        <w:t>No 2018/1046 of the European Parliament and of the Council of 18 July 2018 on the financial rules applicable to the general budget of the Union and repealing Council Regulation (EU, Euratom) No 2012/966 – OJ L 193 of 30 July 2018, p. 1.</w:t>
      </w:r>
    </w:p>
  </w:footnote>
  <w:footnote w:id="4">
    <w:p w:rsidR="00135552" w:rsidRDefault="004C63B0">
      <w:pPr>
        <w:pStyle w:val="Footnote"/>
      </w:pPr>
      <w:r>
        <w:rPr>
          <w:rStyle w:val="FootnoteReference"/>
          <w:sz w:val="18"/>
        </w:rPr>
        <w:footnoteRef/>
      </w:r>
      <w:r>
        <w:t xml:space="preserve"> </w:t>
      </w:r>
      <w:r>
        <w:tab/>
        <w:t xml:space="preserve">See Article 317 </w:t>
      </w:r>
      <w:r>
        <w:t>TFEU.</w:t>
      </w:r>
    </w:p>
  </w:footnote>
  <w:footnote w:id="5">
    <w:p w:rsidR="00135552" w:rsidRDefault="004C63B0">
      <w:pPr>
        <w:pStyle w:val="Footnote"/>
        <w:rPr>
          <w:sz w:val="12"/>
        </w:rPr>
      </w:pPr>
      <w:r>
        <w:rPr>
          <w:rStyle w:val="FootnoteReference"/>
          <w:sz w:val="18"/>
        </w:rPr>
        <w:footnoteRef/>
      </w:r>
      <w:r>
        <w:t xml:space="preserve"> </w:t>
      </w:r>
      <w:r>
        <w:tab/>
        <w:t xml:space="preserve">For more details see Communication to the Commission from President Juncker and First Vice-President Timmermans: Governance in the European Commission, C(2017) 6915 final of 11 October 2017, URL: </w:t>
      </w:r>
      <w:hyperlink r:id="rId1" w:history="1">
        <w:r>
          <w:t>https://ec.europa.eu/info/sites/info/files/c_2017_6915_final_en.pdf</w:t>
        </w:r>
      </w:hyperlink>
      <w:r>
        <w:t>.</w:t>
      </w:r>
    </w:p>
  </w:footnote>
  <w:footnote w:id="6">
    <w:p w:rsidR="00135552" w:rsidRDefault="004C63B0">
      <w:pPr>
        <w:pStyle w:val="Footnote"/>
      </w:pPr>
      <w:r>
        <w:rPr>
          <w:rStyle w:val="FootnoteReference"/>
          <w:sz w:val="20"/>
        </w:rPr>
        <w:footnoteRef/>
      </w:r>
      <w:r>
        <w:rPr>
          <w:rStyle w:val="FootnoteReference"/>
          <w:sz w:val="20"/>
        </w:rPr>
        <w:t xml:space="preserve"> </w:t>
      </w:r>
      <w:r>
        <w:rPr>
          <w:sz w:val="18"/>
        </w:rPr>
        <w:tab/>
      </w:r>
      <w:r>
        <w:t>As a result, the term 'European Commission' is used to denote both the institution – the College – formed by the Members of the Commission, and its adm</w:t>
      </w:r>
      <w:r>
        <w:t>inistration managed by the Directors-General of its departments (and heads of other administrative structures such as services, offices and executive agencies).</w:t>
      </w:r>
    </w:p>
  </w:footnote>
  <w:footnote w:id="7">
    <w:p w:rsidR="00135552" w:rsidRDefault="004C63B0">
      <w:pPr>
        <w:pStyle w:val="FootnoteText"/>
        <w:tabs>
          <w:tab w:val="left" w:pos="284"/>
        </w:tabs>
        <w:rPr>
          <w:rFonts w:ascii="Verdana" w:hAnsi="Verdana"/>
          <w:sz w:val="16"/>
        </w:rPr>
      </w:pPr>
      <w:r>
        <w:rPr>
          <w:rStyle w:val="FootnoteReference"/>
        </w:rPr>
        <w:footnoteRef/>
      </w:r>
      <w:r>
        <w:t xml:space="preserve"> </w:t>
      </w:r>
      <w:r>
        <w:tab/>
      </w:r>
      <w:r>
        <w:rPr>
          <w:rFonts w:ascii="Verdana" w:hAnsi="Verdana"/>
          <w:sz w:val="16"/>
        </w:rPr>
        <w:t>See Commission Decision of 21 November 2018 on the Corporate Management Board, C (2018) 7706</w:t>
      </w:r>
      <w:r>
        <w:rPr>
          <w:rFonts w:ascii="Verdana" w:hAnsi="Verdana"/>
          <w:sz w:val="16"/>
        </w:rPr>
        <w:t xml:space="preserve"> final.</w:t>
      </w:r>
    </w:p>
  </w:footnote>
  <w:footnote w:id="8">
    <w:p w:rsidR="00135552" w:rsidRDefault="004C63B0">
      <w:pPr>
        <w:pStyle w:val="Footnote"/>
      </w:pPr>
      <w:r>
        <w:rPr>
          <w:rStyle w:val="FootnoteReference"/>
          <w:sz w:val="18"/>
        </w:rPr>
        <w:footnoteRef/>
      </w:r>
      <w:r>
        <w:t xml:space="preserve"> </w:t>
      </w:r>
      <w:r>
        <w:tab/>
        <w:t>E.g. the Commission’s internal control principles are based on the COSO Internal Control principles.</w:t>
      </w:r>
    </w:p>
  </w:footnote>
  <w:footnote w:id="9">
    <w:p w:rsidR="00135552" w:rsidRDefault="004C63B0">
      <w:pPr>
        <w:pStyle w:val="Footnote"/>
      </w:pPr>
      <w:r>
        <w:rPr>
          <w:rStyle w:val="FootnoteReference"/>
          <w:sz w:val="18"/>
        </w:rPr>
        <w:footnoteRef/>
      </w:r>
      <w:r>
        <w:t xml:space="preserve"> </w:t>
      </w:r>
      <w:r>
        <w:tab/>
      </w:r>
      <w:hyperlink r:id="rId2" w:history="1">
        <w:r>
          <w:t>https://ec.europa.eu/info/publications/governance-in-t</w:t>
        </w:r>
        <w:r>
          <w:t>he-commission_en</w:t>
        </w:r>
      </w:hyperlink>
      <w:r>
        <w:t xml:space="preserve">. For more details see Communication to the Commission C(2018)7704 ‘Streamlining and strengthening corporate governance within the European Commission’, </w:t>
      </w:r>
      <w:hyperlink r:id="rId3" w:history="1">
        <w:r>
          <w:t>https://ec.europa.eu/info/sites/info/files/file_import/streamlining-strengthening-corporate-governan-ce-european-commission_en.pdf</w:t>
        </w:r>
      </w:hyperlink>
      <w:r>
        <w:t>.</w:t>
      </w:r>
    </w:p>
  </w:footnote>
  <w:footnote w:id="10">
    <w:p w:rsidR="00135552" w:rsidRDefault="004C63B0">
      <w:pPr>
        <w:pStyle w:val="FootnoteText"/>
        <w:tabs>
          <w:tab w:val="left" w:pos="284"/>
        </w:tabs>
        <w:rPr>
          <w:rFonts w:ascii="Verdana" w:hAnsi="Verdana"/>
          <w:sz w:val="16"/>
        </w:rPr>
      </w:pPr>
      <w:r>
        <w:rPr>
          <w:rStyle w:val="FootnoteReference"/>
          <w:rFonts w:ascii="Verdana" w:hAnsi="Verdana"/>
          <w:sz w:val="18"/>
        </w:rPr>
        <w:footnoteRef/>
      </w:r>
      <w:r>
        <w:rPr>
          <w:rFonts w:ascii="Verdana" w:hAnsi="Verdana"/>
          <w:sz w:val="16"/>
        </w:rPr>
        <w:tab/>
        <w:t>Special Report N° 27/2016 on ‘Governance at the European Commis</w:t>
      </w:r>
      <w:r>
        <w:rPr>
          <w:rFonts w:ascii="Verdana" w:hAnsi="Verdana"/>
          <w:sz w:val="16"/>
        </w:rPr>
        <w:t>sion – best practice?’</w:t>
      </w:r>
    </w:p>
  </w:footnote>
  <w:footnote w:id="11">
    <w:p w:rsidR="00135552" w:rsidRDefault="004C63B0">
      <w:pPr>
        <w:pStyle w:val="FootnoteText"/>
        <w:tabs>
          <w:tab w:val="left" w:pos="284"/>
        </w:tabs>
        <w:spacing w:after="60"/>
        <w:ind w:left="284" w:hanging="284"/>
        <w:jc w:val="both"/>
      </w:pPr>
      <w:r>
        <w:rPr>
          <w:rStyle w:val="FootnoteReference"/>
          <w:rFonts w:ascii="Verdana" w:hAnsi="Verdana"/>
        </w:rPr>
        <w:footnoteRef/>
      </w:r>
      <w:r>
        <w:tab/>
      </w:r>
      <w:r>
        <w:rPr>
          <w:rFonts w:ascii="Verdana" w:hAnsi="Verdana"/>
          <w:sz w:val="16"/>
        </w:rPr>
        <w:t>Since mid-2019 (further to the revised Article 12 of the Internal Rules) the management of the European Development Fund (EDF) is co-delegated among five departments (DEVCO, ECHO, EAC, EACEA, JRC).</w:t>
      </w:r>
    </w:p>
  </w:footnote>
  <w:footnote w:id="12">
    <w:p w:rsidR="00135552" w:rsidRDefault="004C63B0">
      <w:pPr>
        <w:pStyle w:val="Text6pNormalLeft"/>
        <w:tabs>
          <w:tab w:val="left" w:pos="284"/>
        </w:tabs>
        <w:ind w:left="284" w:hanging="284"/>
        <w:jc w:val="both"/>
        <w:rPr>
          <w:sz w:val="16"/>
          <w:szCs w:val="16"/>
        </w:rPr>
      </w:pPr>
      <w:r>
        <w:rPr>
          <w:rStyle w:val="FootnoteReference"/>
          <w:sz w:val="16"/>
          <w:szCs w:val="16"/>
        </w:rPr>
        <w:footnoteRef/>
      </w:r>
      <w:r>
        <w:rPr>
          <w:sz w:val="16"/>
          <w:szCs w:val="16"/>
        </w:rPr>
        <w:tab/>
        <w:t xml:space="preserve">The PSEO is a notional </w:t>
      </w:r>
      <w:r>
        <w:rPr>
          <w:sz w:val="16"/>
          <w:szCs w:val="16"/>
        </w:rPr>
        <w:t>(virtual) fund with defined benefits in which staff’s contributions serve to finance their future pensions. Although there is no actual investment fund, the amount that would have been collected by such a fund is considered to have been invested in the Mem</w:t>
      </w:r>
      <w:r>
        <w:rPr>
          <w:sz w:val="16"/>
          <w:szCs w:val="16"/>
        </w:rPr>
        <w:t>ber States’ long-term bonds and is reflected in the pension liability that is registered in the annual accounts of the European Union. Member States jointly guarantee the payment of the benefits pursuant to Article 83 of the Staff Regulations and Article 4</w:t>
      </w:r>
      <w:r>
        <w:rPr>
          <w:sz w:val="16"/>
          <w:szCs w:val="16"/>
        </w:rPr>
        <w:t>(3) of the Treaty on European Union (see COM(2018) 829 for a detailed description of the scheme).</w:t>
      </w:r>
    </w:p>
  </w:footnote>
  <w:footnote w:id="13">
    <w:p w:rsidR="00135552" w:rsidRDefault="004C63B0">
      <w:pPr>
        <w:pStyle w:val="FootnoteText"/>
        <w:rPr>
          <w:sz w:val="16"/>
        </w:rPr>
      </w:pPr>
      <w:r>
        <w:rPr>
          <w:rStyle w:val="FootnoteReference"/>
        </w:rPr>
        <w:footnoteRef/>
      </w:r>
      <w:r>
        <w:t xml:space="preserve"> </w:t>
      </w:r>
      <w:r>
        <w:rPr>
          <w:sz w:val="16"/>
        </w:rPr>
        <w:t>https://ec.europa.eu/info/strategy/eu-budget/eu-long-term-budget/2021-2027_en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w:t>
    </w:r>
    <w:r>
      <w:rPr>
        <w:rFonts w:ascii="Verdana" w:hAnsi="Verdana" w:cs="Verdana"/>
        <w:i/>
        <w:iCs/>
        <w:color w:val="016794"/>
        <w:sz w:val="16"/>
        <w:szCs w:val="16"/>
      </w:rPr>
      <w:t>ccounts of the European Union 2019</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w:t>
    </w:r>
    <w:r>
      <w:rPr>
        <w:rFonts w:ascii="Verdana" w:hAnsi="Verdana" w:cs="Verdana"/>
        <w:i/>
        <w:iCs/>
        <w:color w:val="016794"/>
        <w:sz w:val="16"/>
        <w:szCs w:val="16"/>
      </w:rPr>
      <w:t>nts of the European Union 2019</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 xml:space="preserve">Annual accounts of the European </w:t>
    </w:r>
    <w:r>
      <w:rPr>
        <w:rFonts w:ascii="Verdana" w:hAnsi="Verdana" w:cs="Verdana"/>
        <w:i/>
        <w:iCs/>
        <w:color w:val="016794"/>
        <w:sz w:val="16"/>
        <w:szCs w:val="16"/>
      </w:rPr>
      <w:t>Union 2019</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Annual accounts of the European Union </w:t>
    </w:r>
    <w:r>
      <w:rPr>
        <w:rFonts w:ascii="Verdana" w:hAnsi="Verdana"/>
        <w:i/>
        <w:color w:val="016794"/>
        <w:sz w:val="16"/>
        <w:szCs w:val="14"/>
      </w:rPr>
      <w:t>2019</w: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Annual accounts of </w:t>
    </w:r>
    <w:r>
      <w:rPr>
        <w:rFonts w:ascii="Verdana" w:hAnsi="Verdana"/>
        <w:i/>
        <w:color w:val="016794"/>
        <w:sz w:val="16"/>
        <w:szCs w:val="14"/>
      </w:rPr>
      <w:t>the European Union 2019</w: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2019</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Annual </w:t>
    </w:r>
    <w:r>
      <w:rPr>
        <w:rFonts w:ascii="Verdana" w:hAnsi="Verdana"/>
        <w:i/>
        <w:color w:val="016794"/>
        <w:sz w:val="16"/>
        <w:szCs w:val="14"/>
      </w:rPr>
      <w:t>accounts of the European Union 2019</w: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w:t>
    </w:r>
    <w:r>
      <w:rPr>
        <w:rFonts w:ascii="Verdana" w:hAnsi="Verdana" w:cs="Verdana"/>
        <w:i/>
        <w:iCs/>
        <w:color w:val="016794"/>
        <w:sz w:val="16"/>
        <w:szCs w:val="16"/>
      </w:rPr>
      <w:t>ccounts of the European Union 2019</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 xml:space="preserve">Annual </w:t>
    </w:r>
    <w:r>
      <w:rPr>
        <w:rFonts w:ascii="Verdana" w:hAnsi="Verdana" w:cs="Verdana"/>
        <w:i/>
        <w:iCs/>
        <w:color w:val="016794"/>
        <w:sz w:val="16"/>
        <w:szCs w:val="16"/>
      </w:rPr>
      <w:t>accounts of the European Union 2019</w: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 xml:space="preserve">Annual accounts </w:t>
    </w:r>
    <w:r>
      <w:rPr>
        <w:rFonts w:ascii="Verdana" w:hAnsi="Verdana" w:cs="Verdana"/>
        <w:i/>
        <w:iCs/>
        <w:color w:val="016794"/>
        <w:sz w:val="16"/>
        <w:szCs w:val="16"/>
      </w:rPr>
      <w:t>of the European Union 2019</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Annual accounts of the European </w:t>
    </w:r>
    <w:r>
      <w:rPr>
        <w:rFonts w:ascii="Verdana" w:hAnsi="Verdana"/>
        <w:i/>
        <w:color w:val="016794"/>
        <w:sz w:val="16"/>
        <w:szCs w:val="14"/>
      </w:rPr>
      <w:t>Union 2019</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 xml:space="preserve">Annual accounts of the </w:t>
    </w:r>
    <w:r>
      <w:rPr>
        <w:rFonts w:ascii="Verdana" w:hAnsi="Verdana" w:cs="Verdana"/>
        <w:i/>
        <w:iCs/>
        <w:color w:val="016794"/>
        <w:sz w:val="16"/>
        <w:szCs w:val="16"/>
      </w:rPr>
      <w:t>European Union 2019</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4C63B0">
    <w:pPr>
      <w:tabs>
        <w:tab w:val="center" w:pos="4819"/>
        <w:tab w:val="right" w:pos="9638"/>
      </w:tabs>
      <w:autoSpaceDE w:val="0"/>
      <w:autoSpaceDN w:val="0"/>
      <w:adjustRightInd w:val="0"/>
      <w:jc w:val="center"/>
    </w:pPr>
    <w:r>
      <w:rPr>
        <w:rFonts w:ascii="Verdana" w:hAnsi="Verdana" w:cs="Verdana"/>
        <w:i/>
        <w:iCs/>
        <w:color w:val="016794"/>
        <w:sz w:val="16"/>
        <w:szCs w:val="16"/>
      </w:rPr>
      <w:t>Annual accounts of the European Union 2019</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552" w:rsidRDefault="00135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8AD6A118">
      <w:start w:val="1"/>
      <w:numFmt w:val="lowerLetter"/>
      <w:pStyle w:val="Textstand-alonenumberingLetters"/>
      <w:lvlText w:val="%1)"/>
      <w:lvlJc w:val="left"/>
      <w:pPr>
        <w:ind w:left="720" w:hanging="360"/>
      </w:pPr>
      <w:rPr>
        <w:rFonts w:hint="default"/>
      </w:rPr>
    </w:lvl>
    <w:lvl w:ilvl="1" w:tplc="8182D49C" w:tentative="1">
      <w:start w:val="1"/>
      <w:numFmt w:val="lowerLetter"/>
      <w:lvlText w:val="%2."/>
      <w:lvlJc w:val="left"/>
      <w:pPr>
        <w:ind w:left="1440" w:hanging="360"/>
      </w:pPr>
    </w:lvl>
    <w:lvl w:ilvl="2" w:tplc="03A41660" w:tentative="1">
      <w:start w:val="1"/>
      <w:numFmt w:val="lowerRoman"/>
      <w:lvlText w:val="%3."/>
      <w:lvlJc w:val="right"/>
      <w:pPr>
        <w:ind w:left="2160" w:hanging="180"/>
      </w:pPr>
    </w:lvl>
    <w:lvl w:ilvl="3" w:tplc="BCEE8BF0" w:tentative="1">
      <w:start w:val="1"/>
      <w:numFmt w:val="decimal"/>
      <w:lvlText w:val="%4."/>
      <w:lvlJc w:val="left"/>
      <w:pPr>
        <w:ind w:left="2880" w:hanging="360"/>
      </w:pPr>
    </w:lvl>
    <w:lvl w:ilvl="4" w:tplc="D63E8A18" w:tentative="1">
      <w:start w:val="1"/>
      <w:numFmt w:val="lowerLetter"/>
      <w:lvlText w:val="%5."/>
      <w:lvlJc w:val="left"/>
      <w:pPr>
        <w:ind w:left="3600" w:hanging="360"/>
      </w:pPr>
    </w:lvl>
    <w:lvl w:ilvl="5" w:tplc="1C9260F8" w:tentative="1">
      <w:start w:val="1"/>
      <w:numFmt w:val="lowerRoman"/>
      <w:lvlText w:val="%6."/>
      <w:lvlJc w:val="right"/>
      <w:pPr>
        <w:ind w:left="4320" w:hanging="180"/>
      </w:pPr>
    </w:lvl>
    <w:lvl w:ilvl="6" w:tplc="A9244EF4" w:tentative="1">
      <w:start w:val="1"/>
      <w:numFmt w:val="decimal"/>
      <w:lvlText w:val="%7."/>
      <w:lvlJc w:val="left"/>
      <w:pPr>
        <w:ind w:left="5040" w:hanging="360"/>
      </w:pPr>
    </w:lvl>
    <w:lvl w:ilvl="7" w:tplc="802444B0" w:tentative="1">
      <w:start w:val="1"/>
      <w:numFmt w:val="lowerLetter"/>
      <w:lvlText w:val="%8."/>
      <w:lvlJc w:val="left"/>
      <w:pPr>
        <w:ind w:left="5760" w:hanging="360"/>
      </w:pPr>
    </w:lvl>
    <w:lvl w:ilvl="8" w:tplc="642C69F4" w:tentative="1">
      <w:start w:val="1"/>
      <w:numFmt w:val="lowerRoman"/>
      <w:lvlText w:val="%9."/>
      <w:lvlJc w:val="right"/>
      <w:pPr>
        <w:ind w:left="6480" w:hanging="180"/>
      </w:pPr>
    </w:lvl>
  </w:abstractNum>
  <w:abstractNum w:abstractNumId="2" w15:restartNumberingAfterBreak="0">
    <w:nsid w:val="00000004"/>
    <w:multiLevelType w:val="hybridMultilevel"/>
    <w:tmpl w:val="7CB6E1C4"/>
    <w:lvl w:ilvl="0" w:tplc="5AF6F32A">
      <w:start w:val="1"/>
      <w:numFmt w:val="decimal"/>
      <w:pStyle w:val="DGTextstand-alonenumbering"/>
      <w:lvlText w:val="(%1)"/>
      <w:lvlJc w:val="left"/>
      <w:pPr>
        <w:ind w:left="720" w:hanging="360"/>
      </w:pPr>
      <w:rPr>
        <w:rFonts w:hint="default"/>
      </w:rPr>
    </w:lvl>
    <w:lvl w:ilvl="1" w:tplc="38D25BA6" w:tentative="1">
      <w:start w:val="1"/>
      <w:numFmt w:val="lowerLetter"/>
      <w:lvlText w:val="%2."/>
      <w:lvlJc w:val="left"/>
      <w:pPr>
        <w:ind w:left="1440" w:hanging="360"/>
      </w:pPr>
    </w:lvl>
    <w:lvl w:ilvl="2" w:tplc="4B323E20" w:tentative="1">
      <w:start w:val="1"/>
      <w:numFmt w:val="lowerRoman"/>
      <w:lvlText w:val="%3."/>
      <w:lvlJc w:val="right"/>
      <w:pPr>
        <w:ind w:left="2160" w:hanging="180"/>
      </w:pPr>
    </w:lvl>
    <w:lvl w:ilvl="3" w:tplc="CDE0A406" w:tentative="1">
      <w:start w:val="1"/>
      <w:numFmt w:val="decimal"/>
      <w:lvlText w:val="%4."/>
      <w:lvlJc w:val="left"/>
      <w:pPr>
        <w:ind w:left="2880" w:hanging="360"/>
      </w:pPr>
    </w:lvl>
    <w:lvl w:ilvl="4" w:tplc="FFCAA046" w:tentative="1">
      <w:start w:val="1"/>
      <w:numFmt w:val="lowerLetter"/>
      <w:lvlText w:val="%5."/>
      <w:lvlJc w:val="left"/>
      <w:pPr>
        <w:ind w:left="3600" w:hanging="360"/>
      </w:pPr>
    </w:lvl>
    <w:lvl w:ilvl="5" w:tplc="3C282AC6" w:tentative="1">
      <w:start w:val="1"/>
      <w:numFmt w:val="lowerRoman"/>
      <w:lvlText w:val="%6."/>
      <w:lvlJc w:val="right"/>
      <w:pPr>
        <w:ind w:left="4320" w:hanging="180"/>
      </w:pPr>
    </w:lvl>
    <w:lvl w:ilvl="6" w:tplc="67F8ED02" w:tentative="1">
      <w:start w:val="1"/>
      <w:numFmt w:val="decimal"/>
      <w:lvlText w:val="%7."/>
      <w:lvlJc w:val="left"/>
      <w:pPr>
        <w:ind w:left="5040" w:hanging="360"/>
      </w:pPr>
    </w:lvl>
    <w:lvl w:ilvl="7" w:tplc="EFF8B878" w:tentative="1">
      <w:start w:val="1"/>
      <w:numFmt w:val="lowerLetter"/>
      <w:lvlText w:val="%8."/>
      <w:lvlJc w:val="left"/>
      <w:pPr>
        <w:ind w:left="5760" w:hanging="360"/>
      </w:pPr>
    </w:lvl>
    <w:lvl w:ilvl="8" w:tplc="4E64DA06" w:tentative="1">
      <w:start w:val="1"/>
      <w:numFmt w:val="lowerRoman"/>
      <w:lvlText w:val="%9."/>
      <w:lvlJc w:val="right"/>
      <w:pPr>
        <w:ind w:left="6480" w:hanging="180"/>
      </w:pPr>
    </w:lvl>
  </w:abstractNum>
  <w:abstractNum w:abstractNumId="3" w15:restartNumberingAfterBreak="0">
    <w:nsid w:val="00000006"/>
    <w:multiLevelType w:val="hybridMultilevel"/>
    <w:tmpl w:val="42FC2B20"/>
    <w:lvl w:ilvl="0" w:tplc="F6DE5582">
      <w:start w:val="1"/>
      <w:numFmt w:val="lowerRoman"/>
      <w:pStyle w:val="TextSubtitlenumberingRCItalic"/>
      <w:lvlText w:val="(%1)"/>
      <w:lvlJc w:val="left"/>
      <w:pPr>
        <w:ind w:left="720" w:hanging="360"/>
      </w:pPr>
      <w:rPr>
        <w:rFonts w:hint="default"/>
      </w:rPr>
    </w:lvl>
    <w:lvl w:ilvl="1" w:tplc="CA245858">
      <w:start w:val="1"/>
      <w:numFmt w:val="lowerLetter"/>
      <w:lvlText w:val="%2."/>
      <w:lvlJc w:val="left"/>
      <w:pPr>
        <w:ind w:left="1440" w:hanging="360"/>
      </w:pPr>
    </w:lvl>
    <w:lvl w:ilvl="2" w:tplc="9B8E16BE" w:tentative="1">
      <w:start w:val="1"/>
      <w:numFmt w:val="lowerRoman"/>
      <w:lvlText w:val="%3."/>
      <w:lvlJc w:val="right"/>
      <w:pPr>
        <w:ind w:left="2160" w:hanging="180"/>
      </w:pPr>
    </w:lvl>
    <w:lvl w:ilvl="3" w:tplc="EF622EAA" w:tentative="1">
      <w:start w:val="1"/>
      <w:numFmt w:val="decimal"/>
      <w:lvlText w:val="%4."/>
      <w:lvlJc w:val="left"/>
      <w:pPr>
        <w:ind w:left="2880" w:hanging="360"/>
      </w:pPr>
    </w:lvl>
    <w:lvl w:ilvl="4" w:tplc="B5DE7F9E" w:tentative="1">
      <w:start w:val="1"/>
      <w:numFmt w:val="lowerLetter"/>
      <w:lvlText w:val="%5."/>
      <w:lvlJc w:val="left"/>
      <w:pPr>
        <w:ind w:left="3600" w:hanging="360"/>
      </w:pPr>
    </w:lvl>
    <w:lvl w:ilvl="5" w:tplc="601C6EAE" w:tentative="1">
      <w:start w:val="1"/>
      <w:numFmt w:val="lowerRoman"/>
      <w:lvlText w:val="%6."/>
      <w:lvlJc w:val="right"/>
      <w:pPr>
        <w:ind w:left="4320" w:hanging="180"/>
      </w:pPr>
    </w:lvl>
    <w:lvl w:ilvl="6" w:tplc="A58A0A92" w:tentative="1">
      <w:start w:val="1"/>
      <w:numFmt w:val="decimal"/>
      <w:lvlText w:val="%7."/>
      <w:lvlJc w:val="left"/>
      <w:pPr>
        <w:ind w:left="5040" w:hanging="360"/>
      </w:pPr>
    </w:lvl>
    <w:lvl w:ilvl="7" w:tplc="CD6AD78C" w:tentative="1">
      <w:start w:val="1"/>
      <w:numFmt w:val="lowerLetter"/>
      <w:lvlText w:val="%8."/>
      <w:lvlJc w:val="left"/>
      <w:pPr>
        <w:ind w:left="5760" w:hanging="360"/>
      </w:pPr>
    </w:lvl>
    <w:lvl w:ilvl="8" w:tplc="B21EB1D2" w:tentative="1">
      <w:start w:val="1"/>
      <w:numFmt w:val="lowerRoman"/>
      <w:lvlText w:val="%9."/>
      <w:lvlJc w:val="right"/>
      <w:pPr>
        <w:ind w:left="6480" w:hanging="180"/>
      </w:pPr>
    </w:lvl>
  </w:abstractNum>
  <w:abstractNum w:abstractNumId="4" w15:restartNumberingAfterBreak="0">
    <w:nsid w:val="00000007"/>
    <w:multiLevelType w:val="hybridMultilevel"/>
    <w:tmpl w:val="5DD0517A"/>
    <w:lvl w:ilvl="0" w:tplc="89C4BFD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59D6CE06" w:tentative="1">
      <w:start w:val="1"/>
      <w:numFmt w:val="lowerLetter"/>
      <w:lvlText w:val="%2."/>
      <w:lvlJc w:val="left"/>
      <w:pPr>
        <w:ind w:left="1797" w:hanging="360"/>
      </w:pPr>
    </w:lvl>
    <w:lvl w:ilvl="2" w:tplc="6A244588" w:tentative="1">
      <w:start w:val="1"/>
      <w:numFmt w:val="lowerRoman"/>
      <w:lvlText w:val="%3."/>
      <w:lvlJc w:val="right"/>
      <w:pPr>
        <w:ind w:left="2517" w:hanging="180"/>
      </w:pPr>
    </w:lvl>
    <w:lvl w:ilvl="3" w:tplc="EA78C2A0" w:tentative="1">
      <w:start w:val="1"/>
      <w:numFmt w:val="decimal"/>
      <w:lvlText w:val="%4."/>
      <w:lvlJc w:val="left"/>
      <w:pPr>
        <w:ind w:left="3237" w:hanging="360"/>
      </w:pPr>
    </w:lvl>
    <w:lvl w:ilvl="4" w:tplc="F2A6589A" w:tentative="1">
      <w:start w:val="1"/>
      <w:numFmt w:val="lowerLetter"/>
      <w:lvlText w:val="%5."/>
      <w:lvlJc w:val="left"/>
      <w:pPr>
        <w:ind w:left="3957" w:hanging="360"/>
      </w:pPr>
    </w:lvl>
    <w:lvl w:ilvl="5" w:tplc="60E8033C" w:tentative="1">
      <w:start w:val="1"/>
      <w:numFmt w:val="lowerRoman"/>
      <w:lvlText w:val="%6."/>
      <w:lvlJc w:val="right"/>
      <w:pPr>
        <w:ind w:left="4677" w:hanging="180"/>
      </w:pPr>
    </w:lvl>
    <w:lvl w:ilvl="6" w:tplc="72349ADE" w:tentative="1">
      <w:start w:val="1"/>
      <w:numFmt w:val="decimal"/>
      <w:lvlText w:val="%7."/>
      <w:lvlJc w:val="left"/>
      <w:pPr>
        <w:ind w:left="5397" w:hanging="360"/>
      </w:pPr>
    </w:lvl>
    <w:lvl w:ilvl="7" w:tplc="D0BC5C94" w:tentative="1">
      <w:start w:val="1"/>
      <w:numFmt w:val="lowerLetter"/>
      <w:lvlText w:val="%8."/>
      <w:lvlJc w:val="left"/>
      <w:pPr>
        <w:ind w:left="6117" w:hanging="360"/>
      </w:pPr>
    </w:lvl>
    <w:lvl w:ilvl="8" w:tplc="0E1A41B2" w:tentative="1">
      <w:start w:val="1"/>
      <w:numFmt w:val="lowerRoman"/>
      <w:lvlText w:val="%9."/>
      <w:lvlJc w:val="right"/>
      <w:pPr>
        <w:ind w:left="6837" w:hanging="180"/>
      </w:pPr>
    </w:lvl>
  </w:abstractNum>
  <w:abstractNum w:abstractNumId="5" w15:restartNumberingAfterBreak="0">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2D84663"/>
    <w:multiLevelType w:val="hybridMultilevel"/>
    <w:tmpl w:val="2C8AF8BE"/>
    <w:lvl w:ilvl="0" w:tplc="34F63086">
      <w:start w:val="1"/>
      <w:numFmt w:val="bullet"/>
      <w:lvlText w:val=""/>
      <w:lvlJc w:val="left"/>
      <w:pPr>
        <w:ind w:left="720" w:hanging="360"/>
      </w:pPr>
      <w:rPr>
        <w:rFonts w:ascii="Symbol" w:hAnsi="Symbol" w:hint="default"/>
      </w:rPr>
    </w:lvl>
    <w:lvl w:ilvl="1" w:tplc="ED881280" w:tentative="1">
      <w:start w:val="1"/>
      <w:numFmt w:val="bullet"/>
      <w:lvlText w:val="o"/>
      <w:lvlJc w:val="left"/>
      <w:pPr>
        <w:ind w:left="1440" w:hanging="360"/>
      </w:pPr>
      <w:rPr>
        <w:rFonts w:ascii="Courier New" w:hAnsi="Courier New" w:cs="Courier New" w:hint="default"/>
      </w:rPr>
    </w:lvl>
    <w:lvl w:ilvl="2" w:tplc="25ACA470" w:tentative="1">
      <w:start w:val="1"/>
      <w:numFmt w:val="bullet"/>
      <w:lvlText w:val=""/>
      <w:lvlJc w:val="left"/>
      <w:pPr>
        <w:ind w:left="2160" w:hanging="360"/>
      </w:pPr>
      <w:rPr>
        <w:rFonts w:ascii="Wingdings" w:hAnsi="Wingdings" w:hint="default"/>
      </w:rPr>
    </w:lvl>
    <w:lvl w:ilvl="3" w:tplc="D310BC08" w:tentative="1">
      <w:start w:val="1"/>
      <w:numFmt w:val="bullet"/>
      <w:lvlText w:val=""/>
      <w:lvlJc w:val="left"/>
      <w:pPr>
        <w:ind w:left="2880" w:hanging="360"/>
      </w:pPr>
      <w:rPr>
        <w:rFonts w:ascii="Symbol" w:hAnsi="Symbol" w:hint="default"/>
      </w:rPr>
    </w:lvl>
    <w:lvl w:ilvl="4" w:tplc="F81CE998" w:tentative="1">
      <w:start w:val="1"/>
      <w:numFmt w:val="bullet"/>
      <w:lvlText w:val="o"/>
      <w:lvlJc w:val="left"/>
      <w:pPr>
        <w:ind w:left="3600" w:hanging="360"/>
      </w:pPr>
      <w:rPr>
        <w:rFonts w:ascii="Courier New" w:hAnsi="Courier New" w:cs="Courier New" w:hint="default"/>
      </w:rPr>
    </w:lvl>
    <w:lvl w:ilvl="5" w:tplc="FC0E5428" w:tentative="1">
      <w:start w:val="1"/>
      <w:numFmt w:val="bullet"/>
      <w:lvlText w:val=""/>
      <w:lvlJc w:val="left"/>
      <w:pPr>
        <w:ind w:left="4320" w:hanging="360"/>
      </w:pPr>
      <w:rPr>
        <w:rFonts w:ascii="Wingdings" w:hAnsi="Wingdings" w:hint="default"/>
      </w:rPr>
    </w:lvl>
    <w:lvl w:ilvl="6" w:tplc="0DC2459A" w:tentative="1">
      <w:start w:val="1"/>
      <w:numFmt w:val="bullet"/>
      <w:lvlText w:val=""/>
      <w:lvlJc w:val="left"/>
      <w:pPr>
        <w:ind w:left="5040" w:hanging="360"/>
      </w:pPr>
      <w:rPr>
        <w:rFonts w:ascii="Symbol" w:hAnsi="Symbol" w:hint="default"/>
      </w:rPr>
    </w:lvl>
    <w:lvl w:ilvl="7" w:tplc="8BF6D738" w:tentative="1">
      <w:start w:val="1"/>
      <w:numFmt w:val="bullet"/>
      <w:lvlText w:val="o"/>
      <w:lvlJc w:val="left"/>
      <w:pPr>
        <w:ind w:left="5760" w:hanging="360"/>
      </w:pPr>
      <w:rPr>
        <w:rFonts w:ascii="Courier New" w:hAnsi="Courier New" w:cs="Courier New" w:hint="default"/>
      </w:rPr>
    </w:lvl>
    <w:lvl w:ilvl="8" w:tplc="1DBE7BDA" w:tentative="1">
      <w:start w:val="1"/>
      <w:numFmt w:val="bullet"/>
      <w:lvlText w:val=""/>
      <w:lvlJc w:val="left"/>
      <w:pPr>
        <w:ind w:left="6480" w:hanging="360"/>
      </w:pPr>
      <w:rPr>
        <w:rFonts w:ascii="Wingdings" w:hAnsi="Wingdings" w:hint="default"/>
      </w:rPr>
    </w:lvl>
  </w:abstractNum>
  <w:abstractNum w:abstractNumId="8" w15:restartNumberingAfterBreak="0">
    <w:nsid w:val="044A29A5"/>
    <w:multiLevelType w:val="hybridMultilevel"/>
    <w:tmpl w:val="BBAA02F4"/>
    <w:lvl w:ilvl="0" w:tplc="C1741F28">
      <w:start w:val="1"/>
      <w:numFmt w:val="bullet"/>
      <w:lvlText w:val=""/>
      <w:lvlJc w:val="left"/>
      <w:pPr>
        <w:ind w:left="720" w:hanging="360"/>
      </w:pPr>
      <w:rPr>
        <w:rFonts w:ascii="Symbol" w:hAnsi="Symbol" w:hint="default"/>
        <w:color w:val="auto"/>
        <w:u w:color="FFFF00"/>
      </w:rPr>
    </w:lvl>
    <w:lvl w:ilvl="1" w:tplc="C4C8B3FC" w:tentative="1">
      <w:start w:val="1"/>
      <w:numFmt w:val="bullet"/>
      <w:lvlText w:val="o"/>
      <w:lvlJc w:val="left"/>
      <w:pPr>
        <w:ind w:left="1440" w:hanging="360"/>
      </w:pPr>
      <w:rPr>
        <w:rFonts w:ascii="Courier New" w:hAnsi="Courier New" w:cs="Courier New" w:hint="default"/>
      </w:rPr>
    </w:lvl>
    <w:lvl w:ilvl="2" w:tplc="36E08982" w:tentative="1">
      <w:start w:val="1"/>
      <w:numFmt w:val="bullet"/>
      <w:lvlText w:val=""/>
      <w:lvlJc w:val="left"/>
      <w:pPr>
        <w:ind w:left="2160" w:hanging="360"/>
      </w:pPr>
      <w:rPr>
        <w:rFonts w:ascii="Wingdings" w:hAnsi="Wingdings" w:hint="default"/>
      </w:rPr>
    </w:lvl>
    <w:lvl w:ilvl="3" w:tplc="A00A3FEA" w:tentative="1">
      <w:start w:val="1"/>
      <w:numFmt w:val="bullet"/>
      <w:lvlText w:val=""/>
      <w:lvlJc w:val="left"/>
      <w:pPr>
        <w:ind w:left="2880" w:hanging="360"/>
      </w:pPr>
      <w:rPr>
        <w:rFonts w:ascii="Symbol" w:hAnsi="Symbol" w:hint="default"/>
      </w:rPr>
    </w:lvl>
    <w:lvl w:ilvl="4" w:tplc="646E5680" w:tentative="1">
      <w:start w:val="1"/>
      <w:numFmt w:val="bullet"/>
      <w:lvlText w:val="o"/>
      <w:lvlJc w:val="left"/>
      <w:pPr>
        <w:ind w:left="3600" w:hanging="360"/>
      </w:pPr>
      <w:rPr>
        <w:rFonts w:ascii="Courier New" w:hAnsi="Courier New" w:cs="Courier New" w:hint="default"/>
      </w:rPr>
    </w:lvl>
    <w:lvl w:ilvl="5" w:tplc="D26ABDDA" w:tentative="1">
      <w:start w:val="1"/>
      <w:numFmt w:val="bullet"/>
      <w:lvlText w:val=""/>
      <w:lvlJc w:val="left"/>
      <w:pPr>
        <w:ind w:left="4320" w:hanging="360"/>
      </w:pPr>
      <w:rPr>
        <w:rFonts w:ascii="Wingdings" w:hAnsi="Wingdings" w:hint="default"/>
      </w:rPr>
    </w:lvl>
    <w:lvl w:ilvl="6" w:tplc="0494E82E" w:tentative="1">
      <w:start w:val="1"/>
      <w:numFmt w:val="bullet"/>
      <w:lvlText w:val=""/>
      <w:lvlJc w:val="left"/>
      <w:pPr>
        <w:ind w:left="5040" w:hanging="360"/>
      </w:pPr>
      <w:rPr>
        <w:rFonts w:ascii="Symbol" w:hAnsi="Symbol" w:hint="default"/>
      </w:rPr>
    </w:lvl>
    <w:lvl w:ilvl="7" w:tplc="F020A912" w:tentative="1">
      <w:start w:val="1"/>
      <w:numFmt w:val="bullet"/>
      <w:lvlText w:val="o"/>
      <w:lvlJc w:val="left"/>
      <w:pPr>
        <w:ind w:left="5760" w:hanging="360"/>
      </w:pPr>
      <w:rPr>
        <w:rFonts w:ascii="Courier New" w:hAnsi="Courier New" w:cs="Courier New" w:hint="default"/>
      </w:rPr>
    </w:lvl>
    <w:lvl w:ilvl="8" w:tplc="8E142074" w:tentative="1">
      <w:start w:val="1"/>
      <w:numFmt w:val="bullet"/>
      <w:lvlText w:val=""/>
      <w:lvlJc w:val="left"/>
      <w:pPr>
        <w:ind w:left="6480" w:hanging="360"/>
      </w:pPr>
      <w:rPr>
        <w:rFonts w:ascii="Wingdings" w:hAnsi="Wingdings" w:hint="default"/>
      </w:rPr>
    </w:lvl>
  </w:abstractNum>
  <w:abstractNum w:abstractNumId="9" w15:restartNumberingAfterBreak="0">
    <w:nsid w:val="05524CF5"/>
    <w:multiLevelType w:val="hybridMultilevel"/>
    <w:tmpl w:val="A0B81E40"/>
    <w:lvl w:ilvl="0" w:tplc="8B104F28">
      <w:start w:val="1"/>
      <w:numFmt w:val="bullet"/>
      <w:lvlText w:val=""/>
      <w:lvlJc w:val="left"/>
      <w:pPr>
        <w:ind w:left="720" w:hanging="360"/>
      </w:pPr>
      <w:rPr>
        <w:rFonts w:ascii="Symbol" w:hAnsi="Symbol" w:hint="default"/>
        <w:color w:val="016794"/>
        <w:u w:color="016794"/>
      </w:rPr>
    </w:lvl>
    <w:lvl w:ilvl="1" w:tplc="1F4283E2" w:tentative="1">
      <w:start w:val="1"/>
      <w:numFmt w:val="bullet"/>
      <w:lvlText w:val="o"/>
      <w:lvlJc w:val="left"/>
      <w:pPr>
        <w:ind w:left="1440" w:hanging="360"/>
      </w:pPr>
      <w:rPr>
        <w:rFonts w:ascii="Courier New" w:hAnsi="Courier New" w:cs="Courier New" w:hint="default"/>
      </w:rPr>
    </w:lvl>
    <w:lvl w:ilvl="2" w:tplc="DD50CFEC" w:tentative="1">
      <w:start w:val="1"/>
      <w:numFmt w:val="bullet"/>
      <w:lvlText w:val=""/>
      <w:lvlJc w:val="left"/>
      <w:pPr>
        <w:ind w:left="2160" w:hanging="360"/>
      </w:pPr>
      <w:rPr>
        <w:rFonts w:ascii="Wingdings" w:hAnsi="Wingdings" w:hint="default"/>
      </w:rPr>
    </w:lvl>
    <w:lvl w:ilvl="3" w:tplc="0F4EA338" w:tentative="1">
      <w:start w:val="1"/>
      <w:numFmt w:val="bullet"/>
      <w:lvlText w:val=""/>
      <w:lvlJc w:val="left"/>
      <w:pPr>
        <w:ind w:left="2880" w:hanging="360"/>
      </w:pPr>
      <w:rPr>
        <w:rFonts w:ascii="Symbol" w:hAnsi="Symbol" w:hint="default"/>
      </w:rPr>
    </w:lvl>
    <w:lvl w:ilvl="4" w:tplc="27681D92" w:tentative="1">
      <w:start w:val="1"/>
      <w:numFmt w:val="bullet"/>
      <w:lvlText w:val="o"/>
      <w:lvlJc w:val="left"/>
      <w:pPr>
        <w:ind w:left="3600" w:hanging="360"/>
      </w:pPr>
      <w:rPr>
        <w:rFonts w:ascii="Courier New" w:hAnsi="Courier New" w:cs="Courier New" w:hint="default"/>
      </w:rPr>
    </w:lvl>
    <w:lvl w:ilvl="5" w:tplc="E292C02E" w:tentative="1">
      <w:start w:val="1"/>
      <w:numFmt w:val="bullet"/>
      <w:lvlText w:val=""/>
      <w:lvlJc w:val="left"/>
      <w:pPr>
        <w:ind w:left="4320" w:hanging="360"/>
      </w:pPr>
      <w:rPr>
        <w:rFonts w:ascii="Wingdings" w:hAnsi="Wingdings" w:hint="default"/>
      </w:rPr>
    </w:lvl>
    <w:lvl w:ilvl="6" w:tplc="3B3CE1E2" w:tentative="1">
      <w:start w:val="1"/>
      <w:numFmt w:val="bullet"/>
      <w:lvlText w:val=""/>
      <w:lvlJc w:val="left"/>
      <w:pPr>
        <w:ind w:left="5040" w:hanging="360"/>
      </w:pPr>
      <w:rPr>
        <w:rFonts w:ascii="Symbol" w:hAnsi="Symbol" w:hint="default"/>
      </w:rPr>
    </w:lvl>
    <w:lvl w:ilvl="7" w:tplc="4156158E" w:tentative="1">
      <w:start w:val="1"/>
      <w:numFmt w:val="bullet"/>
      <w:lvlText w:val="o"/>
      <w:lvlJc w:val="left"/>
      <w:pPr>
        <w:ind w:left="5760" w:hanging="360"/>
      </w:pPr>
      <w:rPr>
        <w:rFonts w:ascii="Courier New" w:hAnsi="Courier New" w:cs="Courier New" w:hint="default"/>
      </w:rPr>
    </w:lvl>
    <w:lvl w:ilvl="8" w:tplc="45DA2DE6" w:tentative="1">
      <w:start w:val="1"/>
      <w:numFmt w:val="bullet"/>
      <w:lvlText w:val=""/>
      <w:lvlJc w:val="left"/>
      <w:pPr>
        <w:ind w:left="6480" w:hanging="360"/>
      </w:pPr>
      <w:rPr>
        <w:rFonts w:ascii="Wingdings" w:hAnsi="Wingdings" w:hint="default"/>
      </w:rPr>
    </w:lvl>
  </w:abstractNum>
  <w:abstractNum w:abstractNumId="10" w15:restartNumberingAfterBreak="0">
    <w:nsid w:val="098A3198"/>
    <w:multiLevelType w:val="hybridMultilevel"/>
    <w:tmpl w:val="A99C3C74"/>
    <w:lvl w:ilvl="0" w:tplc="D1D2DEEE">
      <w:start w:val="1"/>
      <w:numFmt w:val="decimal"/>
      <w:pStyle w:val="HEADER4Part3"/>
      <w:lvlText w:val="%1.1.1.1"/>
      <w:lvlJc w:val="left"/>
      <w:pPr>
        <w:ind w:left="720" w:hanging="360"/>
      </w:pPr>
      <w:rPr>
        <w:rFonts w:ascii="Verdana" w:hAnsi="Verdana" w:hint="default"/>
        <w:sz w:val="18"/>
        <w:szCs w:val="18"/>
      </w:rPr>
    </w:lvl>
    <w:lvl w:ilvl="1" w:tplc="DCB6D718" w:tentative="1">
      <w:start w:val="1"/>
      <w:numFmt w:val="lowerLetter"/>
      <w:lvlText w:val="%2."/>
      <w:lvlJc w:val="left"/>
      <w:pPr>
        <w:ind w:left="1440" w:hanging="360"/>
      </w:pPr>
    </w:lvl>
    <w:lvl w:ilvl="2" w:tplc="456814AE" w:tentative="1">
      <w:start w:val="1"/>
      <w:numFmt w:val="lowerRoman"/>
      <w:lvlText w:val="%3."/>
      <w:lvlJc w:val="right"/>
      <w:pPr>
        <w:ind w:left="2160" w:hanging="180"/>
      </w:pPr>
    </w:lvl>
    <w:lvl w:ilvl="3" w:tplc="B4CED25E">
      <w:start w:val="1"/>
      <w:numFmt w:val="decimal"/>
      <w:lvlText w:val="%4."/>
      <w:lvlJc w:val="left"/>
      <w:pPr>
        <w:ind w:left="2880" w:hanging="360"/>
      </w:pPr>
    </w:lvl>
    <w:lvl w:ilvl="4" w:tplc="21DAF1C8" w:tentative="1">
      <w:start w:val="1"/>
      <w:numFmt w:val="lowerLetter"/>
      <w:lvlText w:val="%5."/>
      <w:lvlJc w:val="left"/>
      <w:pPr>
        <w:ind w:left="3600" w:hanging="360"/>
      </w:pPr>
    </w:lvl>
    <w:lvl w:ilvl="5" w:tplc="1AD260FC" w:tentative="1">
      <w:start w:val="1"/>
      <w:numFmt w:val="lowerRoman"/>
      <w:lvlText w:val="%6."/>
      <w:lvlJc w:val="right"/>
      <w:pPr>
        <w:ind w:left="4320" w:hanging="180"/>
      </w:pPr>
    </w:lvl>
    <w:lvl w:ilvl="6" w:tplc="1CB84764" w:tentative="1">
      <w:start w:val="1"/>
      <w:numFmt w:val="decimal"/>
      <w:lvlText w:val="%7."/>
      <w:lvlJc w:val="left"/>
      <w:pPr>
        <w:ind w:left="5040" w:hanging="360"/>
      </w:pPr>
    </w:lvl>
    <w:lvl w:ilvl="7" w:tplc="5A82CA26" w:tentative="1">
      <w:start w:val="1"/>
      <w:numFmt w:val="lowerLetter"/>
      <w:lvlText w:val="%8."/>
      <w:lvlJc w:val="left"/>
      <w:pPr>
        <w:ind w:left="5760" w:hanging="360"/>
      </w:pPr>
    </w:lvl>
    <w:lvl w:ilvl="8" w:tplc="C9C29392" w:tentative="1">
      <w:start w:val="1"/>
      <w:numFmt w:val="lowerRoman"/>
      <w:lvlText w:val="%9."/>
      <w:lvlJc w:val="right"/>
      <w:pPr>
        <w:ind w:left="6480" w:hanging="180"/>
      </w:pPr>
    </w:lvl>
  </w:abstractNum>
  <w:abstractNum w:abstractNumId="11" w15:restartNumberingAfterBreak="0">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15:restartNumberingAfterBreak="0">
    <w:nsid w:val="0FEB6FFB"/>
    <w:multiLevelType w:val="hybridMultilevel"/>
    <w:tmpl w:val="6B423194"/>
    <w:lvl w:ilvl="0" w:tplc="2738D6D4">
      <w:start w:val="1"/>
      <w:numFmt w:val="bullet"/>
      <w:lvlText w:val=""/>
      <w:lvlJc w:val="left"/>
      <w:pPr>
        <w:ind w:left="720" w:hanging="360"/>
      </w:pPr>
      <w:rPr>
        <w:rFonts w:ascii="Symbol" w:hAnsi="Symbol" w:hint="default"/>
      </w:rPr>
    </w:lvl>
    <w:lvl w:ilvl="1" w:tplc="1C7630B0" w:tentative="1">
      <w:start w:val="1"/>
      <w:numFmt w:val="bullet"/>
      <w:lvlText w:val="o"/>
      <w:lvlJc w:val="left"/>
      <w:pPr>
        <w:ind w:left="1440" w:hanging="360"/>
      </w:pPr>
      <w:rPr>
        <w:rFonts w:ascii="Courier New" w:hAnsi="Courier New" w:cs="Courier New" w:hint="default"/>
      </w:rPr>
    </w:lvl>
    <w:lvl w:ilvl="2" w:tplc="3760DDC6" w:tentative="1">
      <w:start w:val="1"/>
      <w:numFmt w:val="bullet"/>
      <w:lvlText w:val=""/>
      <w:lvlJc w:val="left"/>
      <w:pPr>
        <w:ind w:left="2160" w:hanging="360"/>
      </w:pPr>
      <w:rPr>
        <w:rFonts w:ascii="Wingdings" w:hAnsi="Wingdings" w:hint="default"/>
      </w:rPr>
    </w:lvl>
    <w:lvl w:ilvl="3" w:tplc="7166DB06" w:tentative="1">
      <w:start w:val="1"/>
      <w:numFmt w:val="bullet"/>
      <w:lvlText w:val=""/>
      <w:lvlJc w:val="left"/>
      <w:pPr>
        <w:ind w:left="2880" w:hanging="360"/>
      </w:pPr>
      <w:rPr>
        <w:rFonts w:ascii="Symbol" w:hAnsi="Symbol" w:hint="default"/>
      </w:rPr>
    </w:lvl>
    <w:lvl w:ilvl="4" w:tplc="0556F6F0" w:tentative="1">
      <w:start w:val="1"/>
      <w:numFmt w:val="bullet"/>
      <w:lvlText w:val="o"/>
      <w:lvlJc w:val="left"/>
      <w:pPr>
        <w:ind w:left="3600" w:hanging="360"/>
      </w:pPr>
      <w:rPr>
        <w:rFonts w:ascii="Courier New" w:hAnsi="Courier New" w:cs="Courier New" w:hint="default"/>
      </w:rPr>
    </w:lvl>
    <w:lvl w:ilvl="5" w:tplc="1D9687A4" w:tentative="1">
      <w:start w:val="1"/>
      <w:numFmt w:val="bullet"/>
      <w:lvlText w:val=""/>
      <w:lvlJc w:val="left"/>
      <w:pPr>
        <w:ind w:left="4320" w:hanging="360"/>
      </w:pPr>
      <w:rPr>
        <w:rFonts w:ascii="Wingdings" w:hAnsi="Wingdings" w:hint="default"/>
      </w:rPr>
    </w:lvl>
    <w:lvl w:ilvl="6" w:tplc="017C348E" w:tentative="1">
      <w:start w:val="1"/>
      <w:numFmt w:val="bullet"/>
      <w:lvlText w:val=""/>
      <w:lvlJc w:val="left"/>
      <w:pPr>
        <w:ind w:left="5040" w:hanging="360"/>
      </w:pPr>
      <w:rPr>
        <w:rFonts w:ascii="Symbol" w:hAnsi="Symbol" w:hint="default"/>
      </w:rPr>
    </w:lvl>
    <w:lvl w:ilvl="7" w:tplc="91AE2862" w:tentative="1">
      <w:start w:val="1"/>
      <w:numFmt w:val="bullet"/>
      <w:lvlText w:val="o"/>
      <w:lvlJc w:val="left"/>
      <w:pPr>
        <w:ind w:left="5760" w:hanging="360"/>
      </w:pPr>
      <w:rPr>
        <w:rFonts w:ascii="Courier New" w:hAnsi="Courier New" w:cs="Courier New" w:hint="default"/>
      </w:rPr>
    </w:lvl>
    <w:lvl w:ilvl="8" w:tplc="89DE970A" w:tentative="1">
      <w:start w:val="1"/>
      <w:numFmt w:val="bullet"/>
      <w:lvlText w:val=""/>
      <w:lvlJc w:val="left"/>
      <w:pPr>
        <w:ind w:left="6480" w:hanging="360"/>
      </w:pPr>
      <w:rPr>
        <w:rFonts w:ascii="Wingdings" w:hAnsi="Wingdings" w:hint="default"/>
      </w:rPr>
    </w:lvl>
  </w:abstractNum>
  <w:abstractNum w:abstractNumId="13" w15:restartNumberingAfterBreak="0">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2865EF8"/>
    <w:multiLevelType w:val="hybridMultilevel"/>
    <w:tmpl w:val="7A1604BC"/>
    <w:lvl w:ilvl="0" w:tplc="FAE23EAC">
      <w:start w:val="1"/>
      <w:numFmt w:val="lowerLetter"/>
      <w:lvlText w:val="%1)"/>
      <w:lvlJc w:val="left"/>
      <w:pPr>
        <w:ind w:left="717" w:hanging="360"/>
      </w:pPr>
      <w:rPr>
        <w:rFonts w:hint="default"/>
      </w:rPr>
    </w:lvl>
    <w:lvl w:ilvl="1" w:tplc="9BB63E76" w:tentative="1">
      <w:start w:val="1"/>
      <w:numFmt w:val="lowerLetter"/>
      <w:lvlText w:val="%2."/>
      <w:lvlJc w:val="left"/>
      <w:pPr>
        <w:ind w:left="1437" w:hanging="360"/>
      </w:pPr>
    </w:lvl>
    <w:lvl w:ilvl="2" w:tplc="A2287562" w:tentative="1">
      <w:start w:val="1"/>
      <w:numFmt w:val="lowerRoman"/>
      <w:lvlText w:val="%3."/>
      <w:lvlJc w:val="right"/>
      <w:pPr>
        <w:ind w:left="2157" w:hanging="180"/>
      </w:pPr>
    </w:lvl>
    <w:lvl w:ilvl="3" w:tplc="BCA81016" w:tentative="1">
      <w:start w:val="1"/>
      <w:numFmt w:val="decimal"/>
      <w:lvlText w:val="%4."/>
      <w:lvlJc w:val="left"/>
      <w:pPr>
        <w:ind w:left="2877" w:hanging="360"/>
      </w:pPr>
    </w:lvl>
    <w:lvl w:ilvl="4" w:tplc="A1360C66" w:tentative="1">
      <w:start w:val="1"/>
      <w:numFmt w:val="lowerLetter"/>
      <w:lvlText w:val="%5."/>
      <w:lvlJc w:val="left"/>
      <w:pPr>
        <w:ind w:left="3597" w:hanging="360"/>
      </w:pPr>
    </w:lvl>
    <w:lvl w:ilvl="5" w:tplc="1338973C" w:tentative="1">
      <w:start w:val="1"/>
      <w:numFmt w:val="lowerRoman"/>
      <w:lvlText w:val="%6."/>
      <w:lvlJc w:val="right"/>
      <w:pPr>
        <w:ind w:left="4317" w:hanging="180"/>
      </w:pPr>
    </w:lvl>
    <w:lvl w:ilvl="6" w:tplc="526E9C1C" w:tentative="1">
      <w:start w:val="1"/>
      <w:numFmt w:val="decimal"/>
      <w:lvlText w:val="%7."/>
      <w:lvlJc w:val="left"/>
      <w:pPr>
        <w:ind w:left="5037" w:hanging="360"/>
      </w:pPr>
    </w:lvl>
    <w:lvl w:ilvl="7" w:tplc="4540F972" w:tentative="1">
      <w:start w:val="1"/>
      <w:numFmt w:val="lowerLetter"/>
      <w:lvlText w:val="%8."/>
      <w:lvlJc w:val="left"/>
      <w:pPr>
        <w:ind w:left="5757" w:hanging="360"/>
      </w:pPr>
    </w:lvl>
    <w:lvl w:ilvl="8" w:tplc="45E6E3E6" w:tentative="1">
      <w:start w:val="1"/>
      <w:numFmt w:val="lowerRoman"/>
      <w:lvlText w:val="%9."/>
      <w:lvlJc w:val="right"/>
      <w:pPr>
        <w:ind w:left="6477" w:hanging="180"/>
      </w:pPr>
    </w:lvl>
  </w:abstractNum>
  <w:abstractNum w:abstractNumId="15" w15:restartNumberingAfterBreak="0">
    <w:nsid w:val="161C77D2"/>
    <w:multiLevelType w:val="hybridMultilevel"/>
    <w:tmpl w:val="0318EF0E"/>
    <w:lvl w:ilvl="0" w:tplc="DE76EB10">
      <w:start w:val="1"/>
      <w:numFmt w:val="bullet"/>
      <w:lvlText w:val=""/>
      <w:lvlJc w:val="left"/>
      <w:pPr>
        <w:ind w:left="720" w:hanging="360"/>
      </w:pPr>
      <w:rPr>
        <w:rFonts w:ascii="Symbol" w:hAnsi="Symbol" w:hint="default"/>
      </w:rPr>
    </w:lvl>
    <w:lvl w:ilvl="1" w:tplc="8D4AD8AC" w:tentative="1">
      <w:start w:val="1"/>
      <w:numFmt w:val="bullet"/>
      <w:lvlText w:val="o"/>
      <w:lvlJc w:val="left"/>
      <w:pPr>
        <w:ind w:left="1440" w:hanging="360"/>
      </w:pPr>
      <w:rPr>
        <w:rFonts w:ascii="Courier New" w:hAnsi="Courier New" w:cs="Courier New" w:hint="default"/>
      </w:rPr>
    </w:lvl>
    <w:lvl w:ilvl="2" w:tplc="E80490E4" w:tentative="1">
      <w:start w:val="1"/>
      <w:numFmt w:val="bullet"/>
      <w:lvlText w:val=""/>
      <w:lvlJc w:val="left"/>
      <w:pPr>
        <w:ind w:left="2160" w:hanging="360"/>
      </w:pPr>
      <w:rPr>
        <w:rFonts w:ascii="Wingdings" w:hAnsi="Wingdings" w:hint="default"/>
      </w:rPr>
    </w:lvl>
    <w:lvl w:ilvl="3" w:tplc="1E7CE806" w:tentative="1">
      <w:start w:val="1"/>
      <w:numFmt w:val="bullet"/>
      <w:lvlText w:val=""/>
      <w:lvlJc w:val="left"/>
      <w:pPr>
        <w:ind w:left="2880" w:hanging="360"/>
      </w:pPr>
      <w:rPr>
        <w:rFonts w:ascii="Symbol" w:hAnsi="Symbol" w:hint="default"/>
      </w:rPr>
    </w:lvl>
    <w:lvl w:ilvl="4" w:tplc="C3DEAD88" w:tentative="1">
      <w:start w:val="1"/>
      <w:numFmt w:val="bullet"/>
      <w:lvlText w:val="o"/>
      <w:lvlJc w:val="left"/>
      <w:pPr>
        <w:ind w:left="3600" w:hanging="360"/>
      </w:pPr>
      <w:rPr>
        <w:rFonts w:ascii="Courier New" w:hAnsi="Courier New" w:cs="Courier New" w:hint="default"/>
      </w:rPr>
    </w:lvl>
    <w:lvl w:ilvl="5" w:tplc="D012D63C" w:tentative="1">
      <w:start w:val="1"/>
      <w:numFmt w:val="bullet"/>
      <w:lvlText w:val=""/>
      <w:lvlJc w:val="left"/>
      <w:pPr>
        <w:ind w:left="4320" w:hanging="360"/>
      </w:pPr>
      <w:rPr>
        <w:rFonts w:ascii="Wingdings" w:hAnsi="Wingdings" w:hint="default"/>
      </w:rPr>
    </w:lvl>
    <w:lvl w:ilvl="6" w:tplc="658E8216" w:tentative="1">
      <w:start w:val="1"/>
      <w:numFmt w:val="bullet"/>
      <w:lvlText w:val=""/>
      <w:lvlJc w:val="left"/>
      <w:pPr>
        <w:ind w:left="5040" w:hanging="360"/>
      </w:pPr>
      <w:rPr>
        <w:rFonts w:ascii="Symbol" w:hAnsi="Symbol" w:hint="default"/>
      </w:rPr>
    </w:lvl>
    <w:lvl w:ilvl="7" w:tplc="1A464B72" w:tentative="1">
      <w:start w:val="1"/>
      <w:numFmt w:val="bullet"/>
      <w:lvlText w:val="o"/>
      <w:lvlJc w:val="left"/>
      <w:pPr>
        <w:ind w:left="5760" w:hanging="360"/>
      </w:pPr>
      <w:rPr>
        <w:rFonts w:ascii="Courier New" w:hAnsi="Courier New" w:cs="Courier New" w:hint="default"/>
      </w:rPr>
    </w:lvl>
    <w:lvl w:ilvl="8" w:tplc="B1BE5A1C" w:tentative="1">
      <w:start w:val="1"/>
      <w:numFmt w:val="bullet"/>
      <w:lvlText w:val=""/>
      <w:lvlJc w:val="left"/>
      <w:pPr>
        <w:ind w:left="6480" w:hanging="360"/>
      </w:pPr>
      <w:rPr>
        <w:rFonts w:ascii="Wingdings" w:hAnsi="Wingdings" w:hint="default"/>
      </w:rPr>
    </w:lvl>
  </w:abstractNum>
  <w:abstractNum w:abstractNumId="16" w15:restartNumberingAfterBreak="0">
    <w:nsid w:val="16807242"/>
    <w:multiLevelType w:val="hybridMultilevel"/>
    <w:tmpl w:val="F462088C"/>
    <w:lvl w:ilvl="0" w:tplc="D39A7622">
      <w:start w:val="1"/>
      <w:numFmt w:val="bullet"/>
      <w:lvlText w:val=""/>
      <w:lvlJc w:val="left"/>
      <w:pPr>
        <w:ind w:left="720" w:hanging="360"/>
      </w:pPr>
      <w:rPr>
        <w:rFonts w:ascii="Symbol" w:hAnsi="Symbol" w:hint="default"/>
      </w:rPr>
    </w:lvl>
    <w:lvl w:ilvl="1" w:tplc="6BAE6A4E" w:tentative="1">
      <w:start w:val="1"/>
      <w:numFmt w:val="bullet"/>
      <w:lvlText w:val="o"/>
      <w:lvlJc w:val="left"/>
      <w:pPr>
        <w:ind w:left="1440" w:hanging="360"/>
      </w:pPr>
      <w:rPr>
        <w:rFonts w:ascii="Courier New" w:hAnsi="Courier New" w:cs="Courier New" w:hint="default"/>
      </w:rPr>
    </w:lvl>
    <w:lvl w:ilvl="2" w:tplc="CA1AFEAE" w:tentative="1">
      <w:start w:val="1"/>
      <w:numFmt w:val="bullet"/>
      <w:lvlText w:val=""/>
      <w:lvlJc w:val="left"/>
      <w:pPr>
        <w:ind w:left="2160" w:hanging="360"/>
      </w:pPr>
      <w:rPr>
        <w:rFonts w:ascii="Wingdings" w:hAnsi="Wingdings" w:hint="default"/>
      </w:rPr>
    </w:lvl>
    <w:lvl w:ilvl="3" w:tplc="FBE411DC" w:tentative="1">
      <w:start w:val="1"/>
      <w:numFmt w:val="bullet"/>
      <w:lvlText w:val=""/>
      <w:lvlJc w:val="left"/>
      <w:pPr>
        <w:ind w:left="2880" w:hanging="360"/>
      </w:pPr>
      <w:rPr>
        <w:rFonts w:ascii="Symbol" w:hAnsi="Symbol" w:hint="default"/>
      </w:rPr>
    </w:lvl>
    <w:lvl w:ilvl="4" w:tplc="A2923BFA" w:tentative="1">
      <w:start w:val="1"/>
      <w:numFmt w:val="bullet"/>
      <w:lvlText w:val="o"/>
      <w:lvlJc w:val="left"/>
      <w:pPr>
        <w:ind w:left="3600" w:hanging="360"/>
      </w:pPr>
      <w:rPr>
        <w:rFonts w:ascii="Courier New" w:hAnsi="Courier New" w:cs="Courier New" w:hint="default"/>
      </w:rPr>
    </w:lvl>
    <w:lvl w:ilvl="5" w:tplc="568CC41A" w:tentative="1">
      <w:start w:val="1"/>
      <w:numFmt w:val="bullet"/>
      <w:lvlText w:val=""/>
      <w:lvlJc w:val="left"/>
      <w:pPr>
        <w:ind w:left="4320" w:hanging="360"/>
      </w:pPr>
      <w:rPr>
        <w:rFonts w:ascii="Wingdings" w:hAnsi="Wingdings" w:hint="default"/>
      </w:rPr>
    </w:lvl>
    <w:lvl w:ilvl="6" w:tplc="A24CABA8" w:tentative="1">
      <w:start w:val="1"/>
      <w:numFmt w:val="bullet"/>
      <w:lvlText w:val=""/>
      <w:lvlJc w:val="left"/>
      <w:pPr>
        <w:ind w:left="5040" w:hanging="360"/>
      </w:pPr>
      <w:rPr>
        <w:rFonts w:ascii="Symbol" w:hAnsi="Symbol" w:hint="default"/>
      </w:rPr>
    </w:lvl>
    <w:lvl w:ilvl="7" w:tplc="FDC892CA" w:tentative="1">
      <w:start w:val="1"/>
      <w:numFmt w:val="bullet"/>
      <w:lvlText w:val="o"/>
      <w:lvlJc w:val="left"/>
      <w:pPr>
        <w:ind w:left="5760" w:hanging="360"/>
      </w:pPr>
      <w:rPr>
        <w:rFonts w:ascii="Courier New" w:hAnsi="Courier New" w:cs="Courier New" w:hint="default"/>
      </w:rPr>
    </w:lvl>
    <w:lvl w:ilvl="8" w:tplc="E6B2FCE6" w:tentative="1">
      <w:start w:val="1"/>
      <w:numFmt w:val="bullet"/>
      <w:lvlText w:val=""/>
      <w:lvlJc w:val="left"/>
      <w:pPr>
        <w:ind w:left="6480" w:hanging="360"/>
      </w:pPr>
      <w:rPr>
        <w:rFonts w:ascii="Wingdings" w:hAnsi="Wingdings" w:hint="default"/>
      </w:rPr>
    </w:lvl>
  </w:abstractNum>
  <w:abstractNum w:abstractNumId="17" w15:restartNumberingAfterBreak="0">
    <w:nsid w:val="1959315C"/>
    <w:multiLevelType w:val="hybridMultilevel"/>
    <w:tmpl w:val="D3562B64"/>
    <w:lvl w:ilvl="0" w:tplc="B3FA2C6C">
      <w:start w:val="1"/>
      <w:numFmt w:val="bullet"/>
      <w:lvlText w:val=""/>
      <w:lvlJc w:val="left"/>
      <w:pPr>
        <w:ind w:left="720" w:hanging="360"/>
      </w:pPr>
      <w:rPr>
        <w:rFonts w:ascii="Symbol" w:hAnsi="Symbol" w:hint="default"/>
      </w:rPr>
    </w:lvl>
    <w:lvl w:ilvl="1" w:tplc="908251DE" w:tentative="1">
      <w:start w:val="1"/>
      <w:numFmt w:val="bullet"/>
      <w:lvlText w:val="o"/>
      <w:lvlJc w:val="left"/>
      <w:pPr>
        <w:ind w:left="1440" w:hanging="360"/>
      </w:pPr>
      <w:rPr>
        <w:rFonts w:ascii="Courier New" w:hAnsi="Courier New" w:cs="Courier New" w:hint="default"/>
      </w:rPr>
    </w:lvl>
    <w:lvl w:ilvl="2" w:tplc="3D647A28" w:tentative="1">
      <w:start w:val="1"/>
      <w:numFmt w:val="bullet"/>
      <w:lvlText w:val=""/>
      <w:lvlJc w:val="left"/>
      <w:pPr>
        <w:ind w:left="2160" w:hanging="360"/>
      </w:pPr>
      <w:rPr>
        <w:rFonts w:ascii="Wingdings" w:hAnsi="Wingdings" w:hint="default"/>
      </w:rPr>
    </w:lvl>
    <w:lvl w:ilvl="3" w:tplc="E19C9EB2" w:tentative="1">
      <w:start w:val="1"/>
      <w:numFmt w:val="bullet"/>
      <w:lvlText w:val=""/>
      <w:lvlJc w:val="left"/>
      <w:pPr>
        <w:ind w:left="2880" w:hanging="360"/>
      </w:pPr>
      <w:rPr>
        <w:rFonts w:ascii="Symbol" w:hAnsi="Symbol" w:hint="default"/>
      </w:rPr>
    </w:lvl>
    <w:lvl w:ilvl="4" w:tplc="9C26DC30" w:tentative="1">
      <w:start w:val="1"/>
      <w:numFmt w:val="bullet"/>
      <w:lvlText w:val="o"/>
      <w:lvlJc w:val="left"/>
      <w:pPr>
        <w:ind w:left="3600" w:hanging="360"/>
      </w:pPr>
      <w:rPr>
        <w:rFonts w:ascii="Courier New" w:hAnsi="Courier New" w:cs="Courier New" w:hint="default"/>
      </w:rPr>
    </w:lvl>
    <w:lvl w:ilvl="5" w:tplc="C1EAA506" w:tentative="1">
      <w:start w:val="1"/>
      <w:numFmt w:val="bullet"/>
      <w:lvlText w:val=""/>
      <w:lvlJc w:val="left"/>
      <w:pPr>
        <w:ind w:left="4320" w:hanging="360"/>
      </w:pPr>
      <w:rPr>
        <w:rFonts w:ascii="Wingdings" w:hAnsi="Wingdings" w:hint="default"/>
      </w:rPr>
    </w:lvl>
    <w:lvl w:ilvl="6" w:tplc="5D249F58" w:tentative="1">
      <w:start w:val="1"/>
      <w:numFmt w:val="bullet"/>
      <w:lvlText w:val=""/>
      <w:lvlJc w:val="left"/>
      <w:pPr>
        <w:ind w:left="5040" w:hanging="360"/>
      </w:pPr>
      <w:rPr>
        <w:rFonts w:ascii="Symbol" w:hAnsi="Symbol" w:hint="default"/>
      </w:rPr>
    </w:lvl>
    <w:lvl w:ilvl="7" w:tplc="784C744C" w:tentative="1">
      <w:start w:val="1"/>
      <w:numFmt w:val="bullet"/>
      <w:lvlText w:val="o"/>
      <w:lvlJc w:val="left"/>
      <w:pPr>
        <w:ind w:left="5760" w:hanging="360"/>
      </w:pPr>
      <w:rPr>
        <w:rFonts w:ascii="Courier New" w:hAnsi="Courier New" w:cs="Courier New" w:hint="default"/>
      </w:rPr>
    </w:lvl>
    <w:lvl w:ilvl="8" w:tplc="2AC29DE2" w:tentative="1">
      <w:start w:val="1"/>
      <w:numFmt w:val="bullet"/>
      <w:lvlText w:val=""/>
      <w:lvlJc w:val="left"/>
      <w:pPr>
        <w:ind w:left="6480" w:hanging="360"/>
      </w:pPr>
      <w:rPr>
        <w:rFonts w:ascii="Wingdings" w:hAnsi="Wingdings" w:hint="default"/>
      </w:rPr>
    </w:lvl>
  </w:abstractNum>
  <w:abstractNum w:abstractNumId="18" w15:restartNumberingAfterBreak="0">
    <w:nsid w:val="199F1DAA"/>
    <w:multiLevelType w:val="hybridMultilevel"/>
    <w:tmpl w:val="1248AB5A"/>
    <w:lvl w:ilvl="0" w:tplc="AA8C3EB6">
      <w:start w:val="1"/>
      <w:numFmt w:val="decimal"/>
      <w:pStyle w:val="Textstand-alonenumberingJustified"/>
      <w:lvlText w:val="(%1)"/>
      <w:lvlJc w:val="left"/>
      <w:pPr>
        <w:ind w:left="720" w:hanging="360"/>
      </w:pPr>
      <w:rPr>
        <w:rFonts w:ascii="Verdana" w:hAnsi="Verdana" w:hint="default"/>
        <w:b w:val="0"/>
        <w:i w:val="0"/>
        <w:sz w:val="18"/>
      </w:rPr>
    </w:lvl>
    <w:lvl w:ilvl="1" w:tplc="5192B06A" w:tentative="1">
      <w:start w:val="1"/>
      <w:numFmt w:val="lowerLetter"/>
      <w:lvlText w:val="%2."/>
      <w:lvlJc w:val="left"/>
      <w:pPr>
        <w:ind w:left="1440" w:hanging="360"/>
      </w:pPr>
    </w:lvl>
    <w:lvl w:ilvl="2" w:tplc="6CE87ABE" w:tentative="1">
      <w:start w:val="1"/>
      <w:numFmt w:val="lowerRoman"/>
      <w:lvlText w:val="%3."/>
      <w:lvlJc w:val="right"/>
      <w:pPr>
        <w:ind w:left="2160" w:hanging="180"/>
      </w:pPr>
    </w:lvl>
    <w:lvl w:ilvl="3" w:tplc="57361FBE" w:tentative="1">
      <w:start w:val="1"/>
      <w:numFmt w:val="decimal"/>
      <w:lvlText w:val="%4."/>
      <w:lvlJc w:val="left"/>
      <w:pPr>
        <w:ind w:left="2880" w:hanging="360"/>
      </w:pPr>
    </w:lvl>
    <w:lvl w:ilvl="4" w:tplc="2C40E5C0" w:tentative="1">
      <w:start w:val="1"/>
      <w:numFmt w:val="lowerLetter"/>
      <w:lvlText w:val="%5."/>
      <w:lvlJc w:val="left"/>
      <w:pPr>
        <w:ind w:left="3600" w:hanging="360"/>
      </w:pPr>
    </w:lvl>
    <w:lvl w:ilvl="5" w:tplc="9B9C3C54" w:tentative="1">
      <w:start w:val="1"/>
      <w:numFmt w:val="lowerRoman"/>
      <w:lvlText w:val="%6."/>
      <w:lvlJc w:val="right"/>
      <w:pPr>
        <w:ind w:left="4320" w:hanging="180"/>
      </w:pPr>
    </w:lvl>
    <w:lvl w:ilvl="6" w:tplc="DA42B26A" w:tentative="1">
      <w:start w:val="1"/>
      <w:numFmt w:val="decimal"/>
      <w:lvlText w:val="%7."/>
      <w:lvlJc w:val="left"/>
      <w:pPr>
        <w:ind w:left="5040" w:hanging="360"/>
      </w:pPr>
    </w:lvl>
    <w:lvl w:ilvl="7" w:tplc="3F20F7DC" w:tentative="1">
      <w:start w:val="1"/>
      <w:numFmt w:val="lowerLetter"/>
      <w:lvlText w:val="%8."/>
      <w:lvlJc w:val="left"/>
      <w:pPr>
        <w:ind w:left="5760" w:hanging="360"/>
      </w:pPr>
    </w:lvl>
    <w:lvl w:ilvl="8" w:tplc="37341072" w:tentative="1">
      <w:start w:val="1"/>
      <w:numFmt w:val="lowerRoman"/>
      <w:lvlText w:val="%9."/>
      <w:lvlJc w:val="right"/>
      <w:pPr>
        <w:ind w:left="6480" w:hanging="180"/>
      </w:pPr>
    </w:lvl>
  </w:abstractNum>
  <w:abstractNum w:abstractNumId="19" w15:restartNumberingAfterBreak="0">
    <w:nsid w:val="214F78CA"/>
    <w:multiLevelType w:val="hybridMultilevel"/>
    <w:tmpl w:val="43686B9E"/>
    <w:lvl w:ilvl="0" w:tplc="37E6052E">
      <w:start w:val="1"/>
      <w:numFmt w:val="bullet"/>
      <w:lvlText w:val=""/>
      <w:lvlJc w:val="left"/>
      <w:pPr>
        <w:ind w:left="720" w:hanging="360"/>
      </w:pPr>
      <w:rPr>
        <w:rFonts w:ascii="Symbol" w:hAnsi="Symbol" w:hint="default"/>
      </w:rPr>
    </w:lvl>
    <w:lvl w:ilvl="1" w:tplc="0750E6F2" w:tentative="1">
      <w:start w:val="1"/>
      <w:numFmt w:val="bullet"/>
      <w:lvlText w:val="o"/>
      <w:lvlJc w:val="left"/>
      <w:pPr>
        <w:ind w:left="1440" w:hanging="360"/>
      </w:pPr>
      <w:rPr>
        <w:rFonts w:ascii="Courier New" w:hAnsi="Courier New" w:cs="Courier New" w:hint="default"/>
      </w:rPr>
    </w:lvl>
    <w:lvl w:ilvl="2" w:tplc="6D0A9A42" w:tentative="1">
      <w:start w:val="1"/>
      <w:numFmt w:val="bullet"/>
      <w:lvlText w:val=""/>
      <w:lvlJc w:val="left"/>
      <w:pPr>
        <w:ind w:left="2160" w:hanging="360"/>
      </w:pPr>
      <w:rPr>
        <w:rFonts w:ascii="Wingdings" w:hAnsi="Wingdings" w:hint="default"/>
      </w:rPr>
    </w:lvl>
    <w:lvl w:ilvl="3" w:tplc="68D89C30" w:tentative="1">
      <w:start w:val="1"/>
      <w:numFmt w:val="bullet"/>
      <w:lvlText w:val=""/>
      <w:lvlJc w:val="left"/>
      <w:pPr>
        <w:ind w:left="2880" w:hanging="360"/>
      </w:pPr>
      <w:rPr>
        <w:rFonts w:ascii="Symbol" w:hAnsi="Symbol" w:hint="default"/>
      </w:rPr>
    </w:lvl>
    <w:lvl w:ilvl="4" w:tplc="53DA391A" w:tentative="1">
      <w:start w:val="1"/>
      <w:numFmt w:val="bullet"/>
      <w:lvlText w:val="o"/>
      <w:lvlJc w:val="left"/>
      <w:pPr>
        <w:ind w:left="3600" w:hanging="360"/>
      </w:pPr>
      <w:rPr>
        <w:rFonts w:ascii="Courier New" w:hAnsi="Courier New" w:cs="Courier New" w:hint="default"/>
      </w:rPr>
    </w:lvl>
    <w:lvl w:ilvl="5" w:tplc="1CFEA06E" w:tentative="1">
      <w:start w:val="1"/>
      <w:numFmt w:val="bullet"/>
      <w:lvlText w:val=""/>
      <w:lvlJc w:val="left"/>
      <w:pPr>
        <w:ind w:left="4320" w:hanging="360"/>
      </w:pPr>
      <w:rPr>
        <w:rFonts w:ascii="Wingdings" w:hAnsi="Wingdings" w:hint="default"/>
      </w:rPr>
    </w:lvl>
    <w:lvl w:ilvl="6" w:tplc="38AEB93E" w:tentative="1">
      <w:start w:val="1"/>
      <w:numFmt w:val="bullet"/>
      <w:lvlText w:val=""/>
      <w:lvlJc w:val="left"/>
      <w:pPr>
        <w:ind w:left="5040" w:hanging="360"/>
      </w:pPr>
      <w:rPr>
        <w:rFonts w:ascii="Symbol" w:hAnsi="Symbol" w:hint="default"/>
      </w:rPr>
    </w:lvl>
    <w:lvl w:ilvl="7" w:tplc="28C6A750" w:tentative="1">
      <w:start w:val="1"/>
      <w:numFmt w:val="bullet"/>
      <w:lvlText w:val="o"/>
      <w:lvlJc w:val="left"/>
      <w:pPr>
        <w:ind w:left="5760" w:hanging="360"/>
      </w:pPr>
      <w:rPr>
        <w:rFonts w:ascii="Courier New" w:hAnsi="Courier New" w:cs="Courier New" w:hint="default"/>
      </w:rPr>
    </w:lvl>
    <w:lvl w:ilvl="8" w:tplc="244E26C2" w:tentative="1">
      <w:start w:val="1"/>
      <w:numFmt w:val="bullet"/>
      <w:lvlText w:val=""/>
      <w:lvlJc w:val="left"/>
      <w:pPr>
        <w:ind w:left="6480" w:hanging="360"/>
      </w:pPr>
      <w:rPr>
        <w:rFonts w:ascii="Wingdings" w:hAnsi="Wingdings" w:hint="default"/>
      </w:rPr>
    </w:lvl>
  </w:abstractNum>
  <w:abstractNum w:abstractNumId="20" w15:restartNumberingAfterBreak="0">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1" w15:restartNumberingAfterBreak="0">
    <w:nsid w:val="26C620F3"/>
    <w:multiLevelType w:val="hybridMultilevel"/>
    <w:tmpl w:val="A81E17F6"/>
    <w:lvl w:ilvl="0" w:tplc="CBC4C5FE">
      <w:start w:val="1"/>
      <w:numFmt w:val="bullet"/>
      <w:lvlText w:val=""/>
      <w:lvlJc w:val="left"/>
      <w:pPr>
        <w:ind w:left="720" w:hanging="360"/>
      </w:pPr>
      <w:rPr>
        <w:rFonts w:ascii="Symbol" w:hAnsi="Symbol" w:hint="default"/>
      </w:rPr>
    </w:lvl>
    <w:lvl w:ilvl="1" w:tplc="569E7352" w:tentative="1">
      <w:start w:val="1"/>
      <w:numFmt w:val="bullet"/>
      <w:lvlText w:val="o"/>
      <w:lvlJc w:val="left"/>
      <w:pPr>
        <w:ind w:left="1440" w:hanging="360"/>
      </w:pPr>
      <w:rPr>
        <w:rFonts w:ascii="Courier New" w:hAnsi="Courier New" w:cs="Courier New" w:hint="default"/>
      </w:rPr>
    </w:lvl>
    <w:lvl w:ilvl="2" w:tplc="9C2834B2" w:tentative="1">
      <w:start w:val="1"/>
      <w:numFmt w:val="bullet"/>
      <w:lvlText w:val=""/>
      <w:lvlJc w:val="left"/>
      <w:pPr>
        <w:ind w:left="2160" w:hanging="360"/>
      </w:pPr>
      <w:rPr>
        <w:rFonts w:ascii="Wingdings" w:hAnsi="Wingdings" w:hint="default"/>
      </w:rPr>
    </w:lvl>
    <w:lvl w:ilvl="3" w:tplc="F38E2FC2" w:tentative="1">
      <w:start w:val="1"/>
      <w:numFmt w:val="bullet"/>
      <w:lvlText w:val=""/>
      <w:lvlJc w:val="left"/>
      <w:pPr>
        <w:ind w:left="2880" w:hanging="360"/>
      </w:pPr>
      <w:rPr>
        <w:rFonts w:ascii="Symbol" w:hAnsi="Symbol" w:hint="default"/>
      </w:rPr>
    </w:lvl>
    <w:lvl w:ilvl="4" w:tplc="6AC69DFC" w:tentative="1">
      <w:start w:val="1"/>
      <w:numFmt w:val="bullet"/>
      <w:lvlText w:val="o"/>
      <w:lvlJc w:val="left"/>
      <w:pPr>
        <w:ind w:left="3600" w:hanging="360"/>
      </w:pPr>
      <w:rPr>
        <w:rFonts w:ascii="Courier New" w:hAnsi="Courier New" w:cs="Courier New" w:hint="default"/>
      </w:rPr>
    </w:lvl>
    <w:lvl w:ilvl="5" w:tplc="4F3AD9FC" w:tentative="1">
      <w:start w:val="1"/>
      <w:numFmt w:val="bullet"/>
      <w:lvlText w:val=""/>
      <w:lvlJc w:val="left"/>
      <w:pPr>
        <w:ind w:left="4320" w:hanging="360"/>
      </w:pPr>
      <w:rPr>
        <w:rFonts w:ascii="Wingdings" w:hAnsi="Wingdings" w:hint="default"/>
      </w:rPr>
    </w:lvl>
    <w:lvl w:ilvl="6" w:tplc="3F84F5B0" w:tentative="1">
      <w:start w:val="1"/>
      <w:numFmt w:val="bullet"/>
      <w:lvlText w:val=""/>
      <w:lvlJc w:val="left"/>
      <w:pPr>
        <w:ind w:left="5040" w:hanging="360"/>
      </w:pPr>
      <w:rPr>
        <w:rFonts w:ascii="Symbol" w:hAnsi="Symbol" w:hint="default"/>
      </w:rPr>
    </w:lvl>
    <w:lvl w:ilvl="7" w:tplc="2C38C890" w:tentative="1">
      <w:start w:val="1"/>
      <w:numFmt w:val="bullet"/>
      <w:lvlText w:val="o"/>
      <w:lvlJc w:val="left"/>
      <w:pPr>
        <w:ind w:left="5760" w:hanging="360"/>
      </w:pPr>
      <w:rPr>
        <w:rFonts w:ascii="Courier New" w:hAnsi="Courier New" w:cs="Courier New" w:hint="default"/>
      </w:rPr>
    </w:lvl>
    <w:lvl w:ilvl="8" w:tplc="BD946602" w:tentative="1">
      <w:start w:val="1"/>
      <w:numFmt w:val="bullet"/>
      <w:lvlText w:val=""/>
      <w:lvlJc w:val="left"/>
      <w:pPr>
        <w:ind w:left="6480" w:hanging="360"/>
      </w:pPr>
      <w:rPr>
        <w:rFonts w:ascii="Wingdings" w:hAnsi="Wingdings" w:hint="default"/>
      </w:rPr>
    </w:lvl>
  </w:abstractNum>
  <w:abstractNum w:abstractNumId="22" w15:restartNumberingAfterBreak="0">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1D31BBD"/>
    <w:multiLevelType w:val="hybridMultilevel"/>
    <w:tmpl w:val="AB545582"/>
    <w:lvl w:ilvl="0" w:tplc="3A60FDC8">
      <w:start w:val="1"/>
      <w:numFmt w:val="bullet"/>
      <w:pStyle w:val="Textstand-alonebulletpointJustified"/>
      <w:lvlText w:val=""/>
      <w:lvlJc w:val="left"/>
      <w:pPr>
        <w:ind w:left="1080" w:hanging="360"/>
      </w:pPr>
      <w:rPr>
        <w:rFonts w:ascii="Verdana" w:hAnsi="Verdana" w:hint="default"/>
      </w:rPr>
    </w:lvl>
    <w:lvl w:ilvl="1" w:tplc="924A9C90" w:tentative="1">
      <w:start w:val="1"/>
      <w:numFmt w:val="bullet"/>
      <w:lvlText w:val="o"/>
      <w:lvlJc w:val="left"/>
      <w:pPr>
        <w:ind w:left="1800" w:hanging="360"/>
      </w:pPr>
      <w:rPr>
        <w:rFonts w:ascii="Courier New" w:hAnsi="Courier New" w:cs="Courier New" w:hint="default"/>
      </w:rPr>
    </w:lvl>
    <w:lvl w:ilvl="2" w:tplc="EC58A7FC" w:tentative="1">
      <w:start w:val="1"/>
      <w:numFmt w:val="bullet"/>
      <w:lvlText w:val=""/>
      <w:lvlJc w:val="left"/>
      <w:pPr>
        <w:ind w:left="2520" w:hanging="360"/>
      </w:pPr>
      <w:rPr>
        <w:rFonts w:ascii="Wingdings" w:hAnsi="Wingdings" w:hint="default"/>
      </w:rPr>
    </w:lvl>
    <w:lvl w:ilvl="3" w:tplc="E404FBEA" w:tentative="1">
      <w:start w:val="1"/>
      <w:numFmt w:val="bullet"/>
      <w:lvlText w:val=""/>
      <w:lvlJc w:val="left"/>
      <w:pPr>
        <w:ind w:left="3240" w:hanging="360"/>
      </w:pPr>
      <w:rPr>
        <w:rFonts w:ascii="Symbol" w:hAnsi="Symbol" w:hint="default"/>
      </w:rPr>
    </w:lvl>
    <w:lvl w:ilvl="4" w:tplc="0246AD06" w:tentative="1">
      <w:start w:val="1"/>
      <w:numFmt w:val="bullet"/>
      <w:lvlText w:val="o"/>
      <w:lvlJc w:val="left"/>
      <w:pPr>
        <w:ind w:left="3960" w:hanging="360"/>
      </w:pPr>
      <w:rPr>
        <w:rFonts w:ascii="Courier New" w:hAnsi="Courier New" w:cs="Courier New" w:hint="default"/>
      </w:rPr>
    </w:lvl>
    <w:lvl w:ilvl="5" w:tplc="703E6502" w:tentative="1">
      <w:start w:val="1"/>
      <w:numFmt w:val="bullet"/>
      <w:lvlText w:val=""/>
      <w:lvlJc w:val="left"/>
      <w:pPr>
        <w:ind w:left="4680" w:hanging="360"/>
      </w:pPr>
      <w:rPr>
        <w:rFonts w:ascii="Wingdings" w:hAnsi="Wingdings" w:hint="default"/>
      </w:rPr>
    </w:lvl>
    <w:lvl w:ilvl="6" w:tplc="66C2B9CE" w:tentative="1">
      <w:start w:val="1"/>
      <w:numFmt w:val="bullet"/>
      <w:lvlText w:val=""/>
      <w:lvlJc w:val="left"/>
      <w:pPr>
        <w:ind w:left="5400" w:hanging="360"/>
      </w:pPr>
      <w:rPr>
        <w:rFonts w:ascii="Symbol" w:hAnsi="Symbol" w:hint="default"/>
      </w:rPr>
    </w:lvl>
    <w:lvl w:ilvl="7" w:tplc="B2D292D6" w:tentative="1">
      <w:start w:val="1"/>
      <w:numFmt w:val="bullet"/>
      <w:lvlText w:val="o"/>
      <w:lvlJc w:val="left"/>
      <w:pPr>
        <w:ind w:left="6120" w:hanging="360"/>
      </w:pPr>
      <w:rPr>
        <w:rFonts w:ascii="Courier New" w:hAnsi="Courier New" w:cs="Courier New" w:hint="default"/>
      </w:rPr>
    </w:lvl>
    <w:lvl w:ilvl="8" w:tplc="B6684DF8" w:tentative="1">
      <w:start w:val="1"/>
      <w:numFmt w:val="bullet"/>
      <w:lvlText w:val=""/>
      <w:lvlJc w:val="left"/>
      <w:pPr>
        <w:ind w:left="6840" w:hanging="360"/>
      </w:pPr>
      <w:rPr>
        <w:rFonts w:ascii="Wingdings" w:hAnsi="Wingdings" w:hint="default"/>
      </w:rPr>
    </w:lvl>
  </w:abstractNum>
  <w:abstractNum w:abstractNumId="24" w15:restartNumberingAfterBreak="0">
    <w:nsid w:val="32A22287"/>
    <w:multiLevelType w:val="hybridMultilevel"/>
    <w:tmpl w:val="53B48AA0"/>
    <w:lvl w:ilvl="0" w:tplc="A642C08A">
      <w:start w:val="1"/>
      <w:numFmt w:val="bullet"/>
      <w:lvlText w:val=""/>
      <w:lvlJc w:val="left"/>
      <w:pPr>
        <w:ind w:left="1440" w:hanging="360"/>
      </w:pPr>
      <w:rPr>
        <w:rFonts w:ascii="Symbol" w:hAnsi="Symbol" w:hint="default"/>
        <w:color w:val="auto"/>
        <w:u w:color="FFFF00"/>
      </w:rPr>
    </w:lvl>
    <w:lvl w:ilvl="1" w:tplc="1D62A3D4" w:tentative="1">
      <w:start w:val="1"/>
      <w:numFmt w:val="bullet"/>
      <w:lvlText w:val="o"/>
      <w:lvlJc w:val="left"/>
      <w:pPr>
        <w:ind w:left="2160" w:hanging="360"/>
      </w:pPr>
      <w:rPr>
        <w:rFonts w:ascii="Courier New" w:hAnsi="Courier New" w:cs="Courier New" w:hint="default"/>
      </w:rPr>
    </w:lvl>
    <w:lvl w:ilvl="2" w:tplc="94920B78" w:tentative="1">
      <w:start w:val="1"/>
      <w:numFmt w:val="bullet"/>
      <w:lvlText w:val=""/>
      <w:lvlJc w:val="left"/>
      <w:pPr>
        <w:ind w:left="2880" w:hanging="360"/>
      </w:pPr>
      <w:rPr>
        <w:rFonts w:ascii="Wingdings" w:hAnsi="Wingdings" w:hint="default"/>
      </w:rPr>
    </w:lvl>
    <w:lvl w:ilvl="3" w:tplc="3CCA9A9E" w:tentative="1">
      <w:start w:val="1"/>
      <w:numFmt w:val="bullet"/>
      <w:lvlText w:val=""/>
      <w:lvlJc w:val="left"/>
      <w:pPr>
        <w:ind w:left="3600" w:hanging="360"/>
      </w:pPr>
      <w:rPr>
        <w:rFonts w:ascii="Symbol" w:hAnsi="Symbol" w:hint="default"/>
      </w:rPr>
    </w:lvl>
    <w:lvl w:ilvl="4" w:tplc="37760D76" w:tentative="1">
      <w:start w:val="1"/>
      <w:numFmt w:val="bullet"/>
      <w:lvlText w:val="o"/>
      <w:lvlJc w:val="left"/>
      <w:pPr>
        <w:ind w:left="4320" w:hanging="360"/>
      </w:pPr>
      <w:rPr>
        <w:rFonts w:ascii="Courier New" w:hAnsi="Courier New" w:cs="Courier New" w:hint="default"/>
      </w:rPr>
    </w:lvl>
    <w:lvl w:ilvl="5" w:tplc="C130FF42" w:tentative="1">
      <w:start w:val="1"/>
      <w:numFmt w:val="bullet"/>
      <w:lvlText w:val=""/>
      <w:lvlJc w:val="left"/>
      <w:pPr>
        <w:ind w:left="5040" w:hanging="360"/>
      </w:pPr>
      <w:rPr>
        <w:rFonts w:ascii="Wingdings" w:hAnsi="Wingdings" w:hint="default"/>
      </w:rPr>
    </w:lvl>
    <w:lvl w:ilvl="6" w:tplc="51EE66DE" w:tentative="1">
      <w:start w:val="1"/>
      <w:numFmt w:val="bullet"/>
      <w:lvlText w:val=""/>
      <w:lvlJc w:val="left"/>
      <w:pPr>
        <w:ind w:left="5760" w:hanging="360"/>
      </w:pPr>
      <w:rPr>
        <w:rFonts w:ascii="Symbol" w:hAnsi="Symbol" w:hint="default"/>
      </w:rPr>
    </w:lvl>
    <w:lvl w:ilvl="7" w:tplc="EAF8CDF0" w:tentative="1">
      <w:start w:val="1"/>
      <w:numFmt w:val="bullet"/>
      <w:lvlText w:val="o"/>
      <w:lvlJc w:val="left"/>
      <w:pPr>
        <w:ind w:left="6480" w:hanging="360"/>
      </w:pPr>
      <w:rPr>
        <w:rFonts w:ascii="Courier New" w:hAnsi="Courier New" w:cs="Courier New" w:hint="default"/>
      </w:rPr>
    </w:lvl>
    <w:lvl w:ilvl="8" w:tplc="FABE084A" w:tentative="1">
      <w:start w:val="1"/>
      <w:numFmt w:val="bullet"/>
      <w:lvlText w:val=""/>
      <w:lvlJc w:val="left"/>
      <w:pPr>
        <w:ind w:left="7200" w:hanging="360"/>
      </w:pPr>
      <w:rPr>
        <w:rFonts w:ascii="Wingdings" w:hAnsi="Wingdings" w:hint="default"/>
      </w:rPr>
    </w:lvl>
  </w:abstractNum>
  <w:abstractNum w:abstractNumId="25" w15:restartNumberingAfterBreak="0">
    <w:nsid w:val="43B2382C"/>
    <w:multiLevelType w:val="hybridMultilevel"/>
    <w:tmpl w:val="96F23E50"/>
    <w:lvl w:ilvl="0" w:tplc="20DCDD02">
      <w:start w:val="1"/>
      <w:numFmt w:val="bullet"/>
      <w:lvlText w:val=""/>
      <w:lvlJc w:val="left"/>
      <w:pPr>
        <w:ind w:left="720" w:hanging="360"/>
      </w:pPr>
      <w:rPr>
        <w:rFonts w:ascii="Symbol" w:hAnsi="Symbol" w:hint="default"/>
      </w:rPr>
    </w:lvl>
    <w:lvl w:ilvl="1" w:tplc="1F1E4708" w:tentative="1">
      <w:start w:val="1"/>
      <w:numFmt w:val="bullet"/>
      <w:lvlText w:val="o"/>
      <w:lvlJc w:val="left"/>
      <w:pPr>
        <w:ind w:left="1440" w:hanging="360"/>
      </w:pPr>
      <w:rPr>
        <w:rFonts w:ascii="Courier New" w:hAnsi="Courier New" w:cs="Courier New" w:hint="default"/>
      </w:rPr>
    </w:lvl>
    <w:lvl w:ilvl="2" w:tplc="50B009B2" w:tentative="1">
      <w:start w:val="1"/>
      <w:numFmt w:val="bullet"/>
      <w:lvlText w:val=""/>
      <w:lvlJc w:val="left"/>
      <w:pPr>
        <w:ind w:left="2160" w:hanging="360"/>
      </w:pPr>
      <w:rPr>
        <w:rFonts w:ascii="Wingdings" w:hAnsi="Wingdings" w:hint="default"/>
      </w:rPr>
    </w:lvl>
    <w:lvl w:ilvl="3" w:tplc="43F0A57E" w:tentative="1">
      <w:start w:val="1"/>
      <w:numFmt w:val="bullet"/>
      <w:lvlText w:val=""/>
      <w:lvlJc w:val="left"/>
      <w:pPr>
        <w:ind w:left="2880" w:hanging="360"/>
      </w:pPr>
      <w:rPr>
        <w:rFonts w:ascii="Symbol" w:hAnsi="Symbol" w:hint="default"/>
      </w:rPr>
    </w:lvl>
    <w:lvl w:ilvl="4" w:tplc="46628D2A" w:tentative="1">
      <w:start w:val="1"/>
      <w:numFmt w:val="bullet"/>
      <w:lvlText w:val="o"/>
      <w:lvlJc w:val="left"/>
      <w:pPr>
        <w:ind w:left="3600" w:hanging="360"/>
      </w:pPr>
      <w:rPr>
        <w:rFonts w:ascii="Courier New" w:hAnsi="Courier New" w:cs="Courier New" w:hint="default"/>
      </w:rPr>
    </w:lvl>
    <w:lvl w:ilvl="5" w:tplc="15328520" w:tentative="1">
      <w:start w:val="1"/>
      <w:numFmt w:val="bullet"/>
      <w:lvlText w:val=""/>
      <w:lvlJc w:val="left"/>
      <w:pPr>
        <w:ind w:left="4320" w:hanging="360"/>
      </w:pPr>
      <w:rPr>
        <w:rFonts w:ascii="Wingdings" w:hAnsi="Wingdings" w:hint="default"/>
      </w:rPr>
    </w:lvl>
    <w:lvl w:ilvl="6" w:tplc="8D4E86D4" w:tentative="1">
      <w:start w:val="1"/>
      <w:numFmt w:val="bullet"/>
      <w:lvlText w:val=""/>
      <w:lvlJc w:val="left"/>
      <w:pPr>
        <w:ind w:left="5040" w:hanging="360"/>
      </w:pPr>
      <w:rPr>
        <w:rFonts w:ascii="Symbol" w:hAnsi="Symbol" w:hint="default"/>
      </w:rPr>
    </w:lvl>
    <w:lvl w:ilvl="7" w:tplc="EE166A58" w:tentative="1">
      <w:start w:val="1"/>
      <w:numFmt w:val="bullet"/>
      <w:lvlText w:val="o"/>
      <w:lvlJc w:val="left"/>
      <w:pPr>
        <w:ind w:left="5760" w:hanging="360"/>
      </w:pPr>
      <w:rPr>
        <w:rFonts w:ascii="Courier New" w:hAnsi="Courier New" w:cs="Courier New" w:hint="default"/>
      </w:rPr>
    </w:lvl>
    <w:lvl w:ilvl="8" w:tplc="27D43740" w:tentative="1">
      <w:start w:val="1"/>
      <w:numFmt w:val="bullet"/>
      <w:lvlText w:val=""/>
      <w:lvlJc w:val="left"/>
      <w:pPr>
        <w:ind w:left="6480" w:hanging="360"/>
      </w:pPr>
      <w:rPr>
        <w:rFonts w:ascii="Wingdings" w:hAnsi="Wingdings" w:hint="default"/>
      </w:rPr>
    </w:lvl>
  </w:abstractNum>
  <w:abstractNum w:abstractNumId="26" w15:restartNumberingAfterBreak="0">
    <w:nsid w:val="46DD467A"/>
    <w:multiLevelType w:val="hybridMultilevel"/>
    <w:tmpl w:val="487E9FC6"/>
    <w:lvl w:ilvl="0" w:tplc="D9D41C3E">
      <w:start w:val="1"/>
      <w:numFmt w:val="bullet"/>
      <w:lvlText w:val=""/>
      <w:lvlJc w:val="left"/>
      <w:pPr>
        <w:ind w:left="720" w:hanging="360"/>
      </w:pPr>
      <w:rPr>
        <w:rFonts w:ascii="Symbol" w:hAnsi="Symbol" w:hint="default"/>
      </w:rPr>
    </w:lvl>
    <w:lvl w:ilvl="1" w:tplc="BA00087A" w:tentative="1">
      <w:start w:val="1"/>
      <w:numFmt w:val="bullet"/>
      <w:lvlText w:val="o"/>
      <w:lvlJc w:val="left"/>
      <w:pPr>
        <w:ind w:left="1440" w:hanging="360"/>
      </w:pPr>
      <w:rPr>
        <w:rFonts w:ascii="Courier New" w:hAnsi="Courier New" w:cs="Courier New" w:hint="default"/>
      </w:rPr>
    </w:lvl>
    <w:lvl w:ilvl="2" w:tplc="A0C65FE8" w:tentative="1">
      <w:start w:val="1"/>
      <w:numFmt w:val="bullet"/>
      <w:lvlText w:val=""/>
      <w:lvlJc w:val="left"/>
      <w:pPr>
        <w:ind w:left="2160" w:hanging="360"/>
      </w:pPr>
      <w:rPr>
        <w:rFonts w:ascii="Wingdings" w:hAnsi="Wingdings" w:hint="default"/>
      </w:rPr>
    </w:lvl>
    <w:lvl w:ilvl="3" w:tplc="E07EFA2C" w:tentative="1">
      <w:start w:val="1"/>
      <w:numFmt w:val="bullet"/>
      <w:lvlText w:val=""/>
      <w:lvlJc w:val="left"/>
      <w:pPr>
        <w:ind w:left="2880" w:hanging="360"/>
      </w:pPr>
      <w:rPr>
        <w:rFonts w:ascii="Symbol" w:hAnsi="Symbol" w:hint="default"/>
      </w:rPr>
    </w:lvl>
    <w:lvl w:ilvl="4" w:tplc="22E612D8" w:tentative="1">
      <w:start w:val="1"/>
      <w:numFmt w:val="bullet"/>
      <w:lvlText w:val="o"/>
      <w:lvlJc w:val="left"/>
      <w:pPr>
        <w:ind w:left="3600" w:hanging="360"/>
      </w:pPr>
      <w:rPr>
        <w:rFonts w:ascii="Courier New" w:hAnsi="Courier New" w:cs="Courier New" w:hint="default"/>
      </w:rPr>
    </w:lvl>
    <w:lvl w:ilvl="5" w:tplc="5BA06E56" w:tentative="1">
      <w:start w:val="1"/>
      <w:numFmt w:val="bullet"/>
      <w:lvlText w:val=""/>
      <w:lvlJc w:val="left"/>
      <w:pPr>
        <w:ind w:left="4320" w:hanging="360"/>
      </w:pPr>
      <w:rPr>
        <w:rFonts w:ascii="Wingdings" w:hAnsi="Wingdings" w:hint="default"/>
      </w:rPr>
    </w:lvl>
    <w:lvl w:ilvl="6" w:tplc="37982E74" w:tentative="1">
      <w:start w:val="1"/>
      <w:numFmt w:val="bullet"/>
      <w:lvlText w:val=""/>
      <w:lvlJc w:val="left"/>
      <w:pPr>
        <w:ind w:left="5040" w:hanging="360"/>
      </w:pPr>
      <w:rPr>
        <w:rFonts w:ascii="Symbol" w:hAnsi="Symbol" w:hint="default"/>
      </w:rPr>
    </w:lvl>
    <w:lvl w:ilvl="7" w:tplc="702A7890" w:tentative="1">
      <w:start w:val="1"/>
      <w:numFmt w:val="bullet"/>
      <w:lvlText w:val="o"/>
      <w:lvlJc w:val="left"/>
      <w:pPr>
        <w:ind w:left="5760" w:hanging="360"/>
      </w:pPr>
      <w:rPr>
        <w:rFonts w:ascii="Courier New" w:hAnsi="Courier New" w:cs="Courier New" w:hint="default"/>
      </w:rPr>
    </w:lvl>
    <w:lvl w:ilvl="8" w:tplc="A4BADB84" w:tentative="1">
      <w:start w:val="1"/>
      <w:numFmt w:val="bullet"/>
      <w:lvlText w:val=""/>
      <w:lvlJc w:val="left"/>
      <w:pPr>
        <w:ind w:left="6480" w:hanging="360"/>
      </w:pPr>
      <w:rPr>
        <w:rFonts w:ascii="Wingdings" w:hAnsi="Wingdings" w:hint="default"/>
      </w:rPr>
    </w:lvl>
  </w:abstractNum>
  <w:abstractNum w:abstractNumId="27" w15:restartNumberingAfterBreak="0">
    <w:nsid w:val="48AC237C"/>
    <w:multiLevelType w:val="hybridMultilevel"/>
    <w:tmpl w:val="25BE3B7A"/>
    <w:lvl w:ilvl="0" w:tplc="8C923118">
      <w:start w:val="1"/>
      <w:numFmt w:val="lowerRoman"/>
      <w:lvlText w:val="%1."/>
      <w:lvlJc w:val="right"/>
      <w:pPr>
        <w:ind w:left="720" w:hanging="360"/>
      </w:pPr>
    </w:lvl>
    <w:lvl w:ilvl="1" w:tplc="DEF4DCB8" w:tentative="1">
      <w:start w:val="1"/>
      <w:numFmt w:val="lowerLetter"/>
      <w:lvlText w:val="%2."/>
      <w:lvlJc w:val="left"/>
      <w:pPr>
        <w:ind w:left="1440" w:hanging="360"/>
      </w:pPr>
    </w:lvl>
    <w:lvl w:ilvl="2" w:tplc="3A821CE8" w:tentative="1">
      <w:start w:val="1"/>
      <w:numFmt w:val="lowerRoman"/>
      <w:lvlText w:val="%3."/>
      <w:lvlJc w:val="right"/>
      <w:pPr>
        <w:ind w:left="2160" w:hanging="180"/>
      </w:pPr>
    </w:lvl>
    <w:lvl w:ilvl="3" w:tplc="5E8A70D2" w:tentative="1">
      <w:start w:val="1"/>
      <w:numFmt w:val="decimal"/>
      <w:lvlText w:val="%4."/>
      <w:lvlJc w:val="left"/>
      <w:pPr>
        <w:ind w:left="2880" w:hanging="360"/>
      </w:pPr>
    </w:lvl>
    <w:lvl w:ilvl="4" w:tplc="96107EDE" w:tentative="1">
      <w:start w:val="1"/>
      <w:numFmt w:val="lowerLetter"/>
      <w:lvlText w:val="%5."/>
      <w:lvlJc w:val="left"/>
      <w:pPr>
        <w:ind w:left="3600" w:hanging="360"/>
      </w:pPr>
    </w:lvl>
    <w:lvl w:ilvl="5" w:tplc="68F63372" w:tentative="1">
      <w:start w:val="1"/>
      <w:numFmt w:val="lowerRoman"/>
      <w:lvlText w:val="%6."/>
      <w:lvlJc w:val="right"/>
      <w:pPr>
        <w:ind w:left="4320" w:hanging="180"/>
      </w:pPr>
    </w:lvl>
    <w:lvl w:ilvl="6" w:tplc="EA5C5938" w:tentative="1">
      <w:start w:val="1"/>
      <w:numFmt w:val="decimal"/>
      <w:lvlText w:val="%7."/>
      <w:lvlJc w:val="left"/>
      <w:pPr>
        <w:ind w:left="5040" w:hanging="360"/>
      </w:pPr>
    </w:lvl>
    <w:lvl w:ilvl="7" w:tplc="3E42DCE4" w:tentative="1">
      <w:start w:val="1"/>
      <w:numFmt w:val="lowerLetter"/>
      <w:lvlText w:val="%8."/>
      <w:lvlJc w:val="left"/>
      <w:pPr>
        <w:ind w:left="5760" w:hanging="360"/>
      </w:pPr>
    </w:lvl>
    <w:lvl w:ilvl="8" w:tplc="A5761714" w:tentative="1">
      <w:start w:val="1"/>
      <w:numFmt w:val="lowerRoman"/>
      <w:lvlText w:val="%9."/>
      <w:lvlJc w:val="right"/>
      <w:pPr>
        <w:ind w:left="6480" w:hanging="180"/>
      </w:pPr>
    </w:lvl>
  </w:abstractNum>
  <w:abstractNum w:abstractNumId="28" w15:restartNumberingAfterBreak="0">
    <w:nsid w:val="4DAE4191"/>
    <w:multiLevelType w:val="hybridMultilevel"/>
    <w:tmpl w:val="551A35FE"/>
    <w:lvl w:ilvl="0" w:tplc="B53C4C76">
      <w:start w:val="1"/>
      <w:numFmt w:val="bullet"/>
      <w:lvlText w:val=""/>
      <w:lvlJc w:val="left"/>
      <w:pPr>
        <w:ind w:left="720" w:hanging="360"/>
      </w:pPr>
      <w:rPr>
        <w:rFonts w:ascii="Symbol" w:hAnsi="Symbol" w:hint="default"/>
      </w:rPr>
    </w:lvl>
    <w:lvl w:ilvl="1" w:tplc="DD14D19E" w:tentative="1">
      <w:start w:val="1"/>
      <w:numFmt w:val="bullet"/>
      <w:lvlText w:val="o"/>
      <w:lvlJc w:val="left"/>
      <w:pPr>
        <w:ind w:left="1440" w:hanging="360"/>
      </w:pPr>
      <w:rPr>
        <w:rFonts w:ascii="Courier New" w:hAnsi="Courier New" w:cs="Courier New" w:hint="default"/>
      </w:rPr>
    </w:lvl>
    <w:lvl w:ilvl="2" w:tplc="3A645986" w:tentative="1">
      <w:start w:val="1"/>
      <w:numFmt w:val="bullet"/>
      <w:lvlText w:val=""/>
      <w:lvlJc w:val="left"/>
      <w:pPr>
        <w:ind w:left="2160" w:hanging="360"/>
      </w:pPr>
      <w:rPr>
        <w:rFonts w:ascii="Wingdings" w:hAnsi="Wingdings" w:hint="default"/>
      </w:rPr>
    </w:lvl>
    <w:lvl w:ilvl="3" w:tplc="D924E406" w:tentative="1">
      <w:start w:val="1"/>
      <w:numFmt w:val="bullet"/>
      <w:lvlText w:val=""/>
      <w:lvlJc w:val="left"/>
      <w:pPr>
        <w:ind w:left="2880" w:hanging="360"/>
      </w:pPr>
      <w:rPr>
        <w:rFonts w:ascii="Symbol" w:hAnsi="Symbol" w:hint="default"/>
      </w:rPr>
    </w:lvl>
    <w:lvl w:ilvl="4" w:tplc="501EED30" w:tentative="1">
      <w:start w:val="1"/>
      <w:numFmt w:val="bullet"/>
      <w:lvlText w:val="o"/>
      <w:lvlJc w:val="left"/>
      <w:pPr>
        <w:ind w:left="3600" w:hanging="360"/>
      </w:pPr>
      <w:rPr>
        <w:rFonts w:ascii="Courier New" w:hAnsi="Courier New" w:cs="Courier New" w:hint="default"/>
      </w:rPr>
    </w:lvl>
    <w:lvl w:ilvl="5" w:tplc="142E73A6" w:tentative="1">
      <w:start w:val="1"/>
      <w:numFmt w:val="bullet"/>
      <w:lvlText w:val=""/>
      <w:lvlJc w:val="left"/>
      <w:pPr>
        <w:ind w:left="4320" w:hanging="360"/>
      </w:pPr>
      <w:rPr>
        <w:rFonts w:ascii="Wingdings" w:hAnsi="Wingdings" w:hint="default"/>
      </w:rPr>
    </w:lvl>
    <w:lvl w:ilvl="6" w:tplc="49967E74" w:tentative="1">
      <w:start w:val="1"/>
      <w:numFmt w:val="bullet"/>
      <w:lvlText w:val=""/>
      <w:lvlJc w:val="left"/>
      <w:pPr>
        <w:ind w:left="5040" w:hanging="360"/>
      </w:pPr>
      <w:rPr>
        <w:rFonts w:ascii="Symbol" w:hAnsi="Symbol" w:hint="default"/>
      </w:rPr>
    </w:lvl>
    <w:lvl w:ilvl="7" w:tplc="972298BE" w:tentative="1">
      <w:start w:val="1"/>
      <w:numFmt w:val="bullet"/>
      <w:lvlText w:val="o"/>
      <w:lvlJc w:val="left"/>
      <w:pPr>
        <w:ind w:left="5760" w:hanging="360"/>
      </w:pPr>
      <w:rPr>
        <w:rFonts w:ascii="Courier New" w:hAnsi="Courier New" w:cs="Courier New" w:hint="default"/>
      </w:rPr>
    </w:lvl>
    <w:lvl w:ilvl="8" w:tplc="2374984E" w:tentative="1">
      <w:start w:val="1"/>
      <w:numFmt w:val="bullet"/>
      <w:lvlText w:val=""/>
      <w:lvlJc w:val="left"/>
      <w:pPr>
        <w:ind w:left="6480" w:hanging="360"/>
      </w:pPr>
      <w:rPr>
        <w:rFonts w:ascii="Wingdings" w:hAnsi="Wingdings" w:hint="default"/>
      </w:rPr>
    </w:lvl>
  </w:abstractNum>
  <w:abstractNum w:abstractNumId="29" w15:restartNumberingAfterBreak="0">
    <w:nsid w:val="4F6804A1"/>
    <w:multiLevelType w:val="hybridMultilevel"/>
    <w:tmpl w:val="BFF0D1CA"/>
    <w:lvl w:ilvl="0" w:tplc="464EAC8A">
      <w:start w:val="1"/>
      <w:numFmt w:val="bullet"/>
      <w:lvlText w:val=""/>
      <w:lvlJc w:val="left"/>
      <w:pPr>
        <w:ind w:left="720" w:hanging="360"/>
      </w:pPr>
      <w:rPr>
        <w:rFonts w:ascii="Symbol" w:hAnsi="Symbol" w:hint="default"/>
      </w:rPr>
    </w:lvl>
    <w:lvl w:ilvl="1" w:tplc="D736E650" w:tentative="1">
      <w:start w:val="1"/>
      <w:numFmt w:val="bullet"/>
      <w:lvlText w:val="o"/>
      <w:lvlJc w:val="left"/>
      <w:pPr>
        <w:ind w:left="1440" w:hanging="360"/>
      </w:pPr>
      <w:rPr>
        <w:rFonts w:ascii="Courier New" w:hAnsi="Courier New" w:cs="Courier New" w:hint="default"/>
      </w:rPr>
    </w:lvl>
    <w:lvl w:ilvl="2" w:tplc="0C568DFE" w:tentative="1">
      <w:start w:val="1"/>
      <w:numFmt w:val="bullet"/>
      <w:lvlText w:val=""/>
      <w:lvlJc w:val="left"/>
      <w:pPr>
        <w:ind w:left="2160" w:hanging="360"/>
      </w:pPr>
      <w:rPr>
        <w:rFonts w:ascii="Wingdings" w:hAnsi="Wingdings" w:hint="default"/>
      </w:rPr>
    </w:lvl>
    <w:lvl w:ilvl="3" w:tplc="F4DEB4B0" w:tentative="1">
      <w:start w:val="1"/>
      <w:numFmt w:val="bullet"/>
      <w:lvlText w:val=""/>
      <w:lvlJc w:val="left"/>
      <w:pPr>
        <w:ind w:left="2880" w:hanging="360"/>
      </w:pPr>
      <w:rPr>
        <w:rFonts w:ascii="Symbol" w:hAnsi="Symbol" w:hint="default"/>
      </w:rPr>
    </w:lvl>
    <w:lvl w:ilvl="4" w:tplc="5010DBEC" w:tentative="1">
      <w:start w:val="1"/>
      <w:numFmt w:val="bullet"/>
      <w:lvlText w:val="o"/>
      <w:lvlJc w:val="left"/>
      <w:pPr>
        <w:ind w:left="3600" w:hanging="360"/>
      </w:pPr>
      <w:rPr>
        <w:rFonts w:ascii="Courier New" w:hAnsi="Courier New" w:cs="Courier New" w:hint="default"/>
      </w:rPr>
    </w:lvl>
    <w:lvl w:ilvl="5" w:tplc="8A464272" w:tentative="1">
      <w:start w:val="1"/>
      <w:numFmt w:val="bullet"/>
      <w:lvlText w:val=""/>
      <w:lvlJc w:val="left"/>
      <w:pPr>
        <w:ind w:left="4320" w:hanging="360"/>
      </w:pPr>
      <w:rPr>
        <w:rFonts w:ascii="Wingdings" w:hAnsi="Wingdings" w:hint="default"/>
      </w:rPr>
    </w:lvl>
    <w:lvl w:ilvl="6" w:tplc="6ABACB74" w:tentative="1">
      <w:start w:val="1"/>
      <w:numFmt w:val="bullet"/>
      <w:lvlText w:val=""/>
      <w:lvlJc w:val="left"/>
      <w:pPr>
        <w:ind w:left="5040" w:hanging="360"/>
      </w:pPr>
      <w:rPr>
        <w:rFonts w:ascii="Symbol" w:hAnsi="Symbol" w:hint="default"/>
      </w:rPr>
    </w:lvl>
    <w:lvl w:ilvl="7" w:tplc="B004303C" w:tentative="1">
      <w:start w:val="1"/>
      <w:numFmt w:val="bullet"/>
      <w:lvlText w:val="o"/>
      <w:lvlJc w:val="left"/>
      <w:pPr>
        <w:ind w:left="5760" w:hanging="360"/>
      </w:pPr>
      <w:rPr>
        <w:rFonts w:ascii="Courier New" w:hAnsi="Courier New" w:cs="Courier New" w:hint="default"/>
      </w:rPr>
    </w:lvl>
    <w:lvl w:ilvl="8" w:tplc="EE2CB05E" w:tentative="1">
      <w:start w:val="1"/>
      <w:numFmt w:val="bullet"/>
      <w:lvlText w:val=""/>
      <w:lvlJc w:val="left"/>
      <w:pPr>
        <w:ind w:left="6480" w:hanging="360"/>
      </w:pPr>
      <w:rPr>
        <w:rFonts w:ascii="Wingdings" w:hAnsi="Wingdings" w:hint="default"/>
      </w:rPr>
    </w:lvl>
  </w:abstractNum>
  <w:abstractNum w:abstractNumId="30" w15:restartNumberingAfterBreak="0">
    <w:nsid w:val="52F542F7"/>
    <w:multiLevelType w:val="hybridMultilevel"/>
    <w:tmpl w:val="6B704140"/>
    <w:lvl w:ilvl="0" w:tplc="8A50AED8">
      <w:start w:val="1"/>
      <w:numFmt w:val="bullet"/>
      <w:lvlText w:val=""/>
      <w:lvlJc w:val="left"/>
      <w:pPr>
        <w:ind w:left="720" w:hanging="360"/>
      </w:pPr>
      <w:rPr>
        <w:rFonts w:ascii="Symbol" w:hAnsi="Symbol" w:hint="default"/>
      </w:rPr>
    </w:lvl>
    <w:lvl w:ilvl="1" w:tplc="242C307C" w:tentative="1">
      <w:start w:val="1"/>
      <w:numFmt w:val="bullet"/>
      <w:lvlText w:val="o"/>
      <w:lvlJc w:val="left"/>
      <w:pPr>
        <w:ind w:left="1440" w:hanging="360"/>
      </w:pPr>
      <w:rPr>
        <w:rFonts w:ascii="Courier New" w:hAnsi="Courier New" w:cs="Courier New" w:hint="default"/>
      </w:rPr>
    </w:lvl>
    <w:lvl w:ilvl="2" w:tplc="6DB2C788" w:tentative="1">
      <w:start w:val="1"/>
      <w:numFmt w:val="bullet"/>
      <w:lvlText w:val=""/>
      <w:lvlJc w:val="left"/>
      <w:pPr>
        <w:ind w:left="2160" w:hanging="360"/>
      </w:pPr>
      <w:rPr>
        <w:rFonts w:ascii="Wingdings" w:hAnsi="Wingdings" w:hint="default"/>
      </w:rPr>
    </w:lvl>
    <w:lvl w:ilvl="3" w:tplc="665C3930" w:tentative="1">
      <w:start w:val="1"/>
      <w:numFmt w:val="bullet"/>
      <w:lvlText w:val=""/>
      <w:lvlJc w:val="left"/>
      <w:pPr>
        <w:ind w:left="2880" w:hanging="360"/>
      </w:pPr>
      <w:rPr>
        <w:rFonts w:ascii="Symbol" w:hAnsi="Symbol" w:hint="default"/>
      </w:rPr>
    </w:lvl>
    <w:lvl w:ilvl="4" w:tplc="56A8F4F2" w:tentative="1">
      <w:start w:val="1"/>
      <w:numFmt w:val="bullet"/>
      <w:lvlText w:val="o"/>
      <w:lvlJc w:val="left"/>
      <w:pPr>
        <w:ind w:left="3600" w:hanging="360"/>
      </w:pPr>
      <w:rPr>
        <w:rFonts w:ascii="Courier New" w:hAnsi="Courier New" w:cs="Courier New" w:hint="default"/>
      </w:rPr>
    </w:lvl>
    <w:lvl w:ilvl="5" w:tplc="94CA6C9C" w:tentative="1">
      <w:start w:val="1"/>
      <w:numFmt w:val="bullet"/>
      <w:lvlText w:val=""/>
      <w:lvlJc w:val="left"/>
      <w:pPr>
        <w:ind w:left="4320" w:hanging="360"/>
      </w:pPr>
      <w:rPr>
        <w:rFonts w:ascii="Wingdings" w:hAnsi="Wingdings" w:hint="default"/>
      </w:rPr>
    </w:lvl>
    <w:lvl w:ilvl="6" w:tplc="FC4A2BD6" w:tentative="1">
      <w:start w:val="1"/>
      <w:numFmt w:val="bullet"/>
      <w:lvlText w:val=""/>
      <w:lvlJc w:val="left"/>
      <w:pPr>
        <w:ind w:left="5040" w:hanging="360"/>
      </w:pPr>
      <w:rPr>
        <w:rFonts w:ascii="Symbol" w:hAnsi="Symbol" w:hint="default"/>
      </w:rPr>
    </w:lvl>
    <w:lvl w:ilvl="7" w:tplc="F5069914" w:tentative="1">
      <w:start w:val="1"/>
      <w:numFmt w:val="bullet"/>
      <w:lvlText w:val="o"/>
      <w:lvlJc w:val="left"/>
      <w:pPr>
        <w:ind w:left="5760" w:hanging="360"/>
      </w:pPr>
      <w:rPr>
        <w:rFonts w:ascii="Courier New" w:hAnsi="Courier New" w:cs="Courier New" w:hint="default"/>
      </w:rPr>
    </w:lvl>
    <w:lvl w:ilvl="8" w:tplc="2252E47A" w:tentative="1">
      <w:start w:val="1"/>
      <w:numFmt w:val="bullet"/>
      <w:lvlText w:val=""/>
      <w:lvlJc w:val="left"/>
      <w:pPr>
        <w:ind w:left="6480" w:hanging="360"/>
      </w:pPr>
      <w:rPr>
        <w:rFonts w:ascii="Wingdings" w:hAnsi="Wingdings" w:hint="default"/>
      </w:rPr>
    </w:lvl>
  </w:abstractNum>
  <w:abstractNum w:abstractNumId="31" w15:restartNumberingAfterBreak="0">
    <w:nsid w:val="53E40607"/>
    <w:multiLevelType w:val="hybridMultilevel"/>
    <w:tmpl w:val="E328F9F2"/>
    <w:lvl w:ilvl="0" w:tplc="1B6C6422">
      <w:start w:val="1"/>
      <w:numFmt w:val="bullet"/>
      <w:lvlText w:val=""/>
      <w:lvlJc w:val="left"/>
      <w:pPr>
        <w:ind w:left="360" w:hanging="360"/>
      </w:pPr>
      <w:rPr>
        <w:rFonts w:ascii="Symbol" w:hAnsi="Symbol" w:hint="default"/>
      </w:rPr>
    </w:lvl>
    <w:lvl w:ilvl="1" w:tplc="DE38970E" w:tentative="1">
      <w:start w:val="1"/>
      <w:numFmt w:val="bullet"/>
      <w:lvlText w:val="o"/>
      <w:lvlJc w:val="left"/>
      <w:pPr>
        <w:ind w:left="1080" w:hanging="360"/>
      </w:pPr>
      <w:rPr>
        <w:rFonts w:ascii="Courier New" w:hAnsi="Courier New" w:cs="Courier New" w:hint="default"/>
      </w:rPr>
    </w:lvl>
    <w:lvl w:ilvl="2" w:tplc="712C1EC4" w:tentative="1">
      <w:start w:val="1"/>
      <w:numFmt w:val="bullet"/>
      <w:lvlText w:val=""/>
      <w:lvlJc w:val="left"/>
      <w:pPr>
        <w:ind w:left="1800" w:hanging="360"/>
      </w:pPr>
      <w:rPr>
        <w:rFonts w:ascii="Wingdings" w:hAnsi="Wingdings" w:hint="default"/>
      </w:rPr>
    </w:lvl>
    <w:lvl w:ilvl="3" w:tplc="9D96001C" w:tentative="1">
      <w:start w:val="1"/>
      <w:numFmt w:val="bullet"/>
      <w:lvlText w:val=""/>
      <w:lvlJc w:val="left"/>
      <w:pPr>
        <w:ind w:left="2520" w:hanging="360"/>
      </w:pPr>
      <w:rPr>
        <w:rFonts w:ascii="Symbol" w:hAnsi="Symbol" w:hint="default"/>
      </w:rPr>
    </w:lvl>
    <w:lvl w:ilvl="4" w:tplc="AA2CFD24" w:tentative="1">
      <w:start w:val="1"/>
      <w:numFmt w:val="bullet"/>
      <w:lvlText w:val="o"/>
      <w:lvlJc w:val="left"/>
      <w:pPr>
        <w:ind w:left="3240" w:hanging="360"/>
      </w:pPr>
      <w:rPr>
        <w:rFonts w:ascii="Courier New" w:hAnsi="Courier New" w:cs="Courier New" w:hint="default"/>
      </w:rPr>
    </w:lvl>
    <w:lvl w:ilvl="5" w:tplc="01EC1A8E" w:tentative="1">
      <w:start w:val="1"/>
      <w:numFmt w:val="bullet"/>
      <w:lvlText w:val=""/>
      <w:lvlJc w:val="left"/>
      <w:pPr>
        <w:ind w:left="3960" w:hanging="360"/>
      </w:pPr>
      <w:rPr>
        <w:rFonts w:ascii="Wingdings" w:hAnsi="Wingdings" w:hint="default"/>
      </w:rPr>
    </w:lvl>
    <w:lvl w:ilvl="6" w:tplc="3EB4F096" w:tentative="1">
      <w:start w:val="1"/>
      <w:numFmt w:val="bullet"/>
      <w:lvlText w:val=""/>
      <w:lvlJc w:val="left"/>
      <w:pPr>
        <w:ind w:left="4680" w:hanging="360"/>
      </w:pPr>
      <w:rPr>
        <w:rFonts w:ascii="Symbol" w:hAnsi="Symbol" w:hint="default"/>
      </w:rPr>
    </w:lvl>
    <w:lvl w:ilvl="7" w:tplc="2C4CAC3E" w:tentative="1">
      <w:start w:val="1"/>
      <w:numFmt w:val="bullet"/>
      <w:lvlText w:val="o"/>
      <w:lvlJc w:val="left"/>
      <w:pPr>
        <w:ind w:left="5400" w:hanging="360"/>
      </w:pPr>
      <w:rPr>
        <w:rFonts w:ascii="Courier New" w:hAnsi="Courier New" w:cs="Courier New" w:hint="default"/>
      </w:rPr>
    </w:lvl>
    <w:lvl w:ilvl="8" w:tplc="67F22C36" w:tentative="1">
      <w:start w:val="1"/>
      <w:numFmt w:val="bullet"/>
      <w:lvlText w:val=""/>
      <w:lvlJc w:val="left"/>
      <w:pPr>
        <w:ind w:left="6120" w:hanging="360"/>
      </w:pPr>
      <w:rPr>
        <w:rFonts w:ascii="Wingdings" w:hAnsi="Wingdings" w:hint="default"/>
      </w:rPr>
    </w:lvl>
  </w:abstractNum>
  <w:abstractNum w:abstractNumId="32" w15:restartNumberingAfterBreak="0">
    <w:nsid w:val="569843EB"/>
    <w:multiLevelType w:val="hybridMultilevel"/>
    <w:tmpl w:val="0A107A4A"/>
    <w:lvl w:ilvl="0" w:tplc="BE8EC650">
      <w:start w:val="1"/>
      <w:numFmt w:val="bullet"/>
      <w:lvlText w:val=""/>
      <w:lvlJc w:val="left"/>
      <w:pPr>
        <w:ind w:left="720" w:hanging="360"/>
      </w:pPr>
      <w:rPr>
        <w:rFonts w:ascii="Symbol" w:hAnsi="Symbol" w:hint="default"/>
      </w:rPr>
    </w:lvl>
    <w:lvl w:ilvl="1" w:tplc="81BED154" w:tentative="1">
      <w:start w:val="1"/>
      <w:numFmt w:val="bullet"/>
      <w:lvlText w:val="o"/>
      <w:lvlJc w:val="left"/>
      <w:pPr>
        <w:ind w:left="1440" w:hanging="360"/>
      </w:pPr>
      <w:rPr>
        <w:rFonts w:ascii="Courier New" w:hAnsi="Courier New" w:cs="Courier New" w:hint="default"/>
      </w:rPr>
    </w:lvl>
    <w:lvl w:ilvl="2" w:tplc="3A4493D4" w:tentative="1">
      <w:start w:val="1"/>
      <w:numFmt w:val="bullet"/>
      <w:lvlText w:val=""/>
      <w:lvlJc w:val="left"/>
      <w:pPr>
        <w:ind w:left="2160" w:hanging="360"/>
      </w:pPr>
      <w:rPr>
        <w:rFonts w:ascii="Wingdings" w:hAnsi="Wingdings" w:hint="default"/>
      </w:rPr>
    </w:lvl>
    <w:lvl w:ilvl="3" w:tplc="BB7C378C" w:tentative="1">
      <w:start w:val="1"/>
      <w:numFmt w:val="bullet"/>
      <w:lvlText w:val=""/>
      <w:lvlJc w:val="left"/>
      <w:pPr>
        <w:ind w:left="2880" w:hanging="360"/>
      </w:pPr>
      <w:rPr>
        <w:rFonts w:ascii="Symbol" w:hAnsi="Symbol" w:hint="default"/>
      </w:rPr>
    </w:lvl>
    <w:lvl w:ilvl="4" w:tplc="792C0A0E" w:tentative="1">
      <w:start w:val="1"/>
      <w:numFmt w:val="bullet"/>
      <w:lvlText w:val="o"/>
      <w:lvlJc w:val="left"/>
      <w:pPr>
        <w:ind w:left="3600" w:hanging="360"/>
      </w:pPr>
      <w:rPr>
        <w:rFonts w:ascii="Courier New" w:hAnsi="Courier New" w:cs="Courier New" w:hint="default"/>
      </w:rPr>
    </w:lvl>
    <w:lvl w:ilvl="5" w:tplc="217E2E8E" w:tentative="1">
      <w:start w:val="1"/>
      <w:numFmt w:val="bullet"/>
      <w:lvlText w:val=""/>
      <w:lvlJc w:val="left"/>
      <w:pPr>
        <w:ind w:left="4320" w:hanging="360"/>
      </w:pPr>
      <w:rPr>
        <w:rFonts w:ascii="Wingdings" w:hAnsi="Wingdings" w:hint="default"/>
      </w:rPr>
    </w:lvl>
    <w:lvl w:ilvl="6" w:tplc="6044815E" w:tentative="1">
      <w:start w:val="1"/>
      <w:numFmt w:val="bullet"/>
      <w:lvlText w:val=""/>
      <w:lvlJc w:val="left"/>
      <w:pPr>
        <w:ind w:left="5040" w:hanging="360"/>
      </w:pPr>
      <w:rPr>
        <w:rFonts w:ascii="Symbol" w:hAnsi="Symbol" w:hint="default"/>
      </w:rPr>
    </w:lvl>
    <w:lvl w:ilvl="7" w:tplc="6D9C90C0" w:tentative="1">
      <w:start w:val="1"/>
      <w:numFmt w:val="bullet"/>
      <w:lvlText w:val="o"/>
      <w:lvlJc w:val="left"/>
      <w:pPr>
        <w:ind w:left="5760" w:hanging="360"/>
      </w:pPr>
      <w:rPr>
        <w:rFonts w:ascii="Courier New" w:hAnsi="Courier New" w:cs="Courier New" w:hint="default"/>
      </w:rPr>
    </w:lvl>
    <w:lvl w:ilvl="8" w:tplc="8CD8D9BC" w:tentative="1">
      <w:start w:val="1"/>
      <w:numFmt w:val="bullet"/>
      <w:lvlText w:val=""/>
      <w:lvlJc w:val="left"/>
      <w:pPr>
        <w:ind w:left="6480" w:hanging="360"/>
      </w:pPr>
      <w:rPr>
        <w:rFonts w:ascii="Wingdings" w:hAnsi="Wingdings" w:hint="default"/>
      </w:rPr>
    </w:lvl>
  </w:abstractNum>
  <w:abstractNum w:abstractNumId="33" w15:restartNumberingAfterBreak="0">
    <w:nsid w:val="57EA7EB0"/>
    <w:multiLevelType w:val="hybridMultilevel"/>
    <w:tmpl w:val="E6387B90"/>
    <w:lvl w:ilvl="0" w:tplc="B0A2B1D2">
      <w:start w:val="1"/>
      <w:numFmt w:val="bullet"/>
      <w:lvlText w:val=""/>
      <w:lvlJc w:val="left"/>
      <w:pPr>
        <w:ind w:left="720" w:hanging="360"/>
      </w:pPr>
      <w:rPr>
        <w:rFonts w:ascii="Symbol" w:hAnsi="Symbol" w:hint="default"/>
      </w:rPr>
    </w:lvl>
    <w:lvl w:ilvl="1" w:tplc="56EE7728" w:tentative="1">
      <w:start w:val="1"/>
      <w:numFmt w:val="bullet"/>
      <w:lvlText w:val="o"/>
      <w:lvlJc w:val="left"/>
      <w:pPr>
        <w:ind w:left="1440" w:hanging="360"/>
      </w:pPr>
      <w:rPr>
        <w:rFonts w:ascii="Courier New" w:hAnsi="Courier New" w:cs="Courier New" w:hint="default"/>
      </w:rPr>
    </w:lvl>
    <w:lvl w:ilvl="2" w:tplc="BCF0CCAA" w:tentative="1">
      <w:start w:val="1"/>
      <w:numFmt w:val="bullet"/>
      <w:lvlText w:val=""/>
      <w:lvlJc w:val="left"/>
      <w:pPr>
        <w:ind w:left="2160" w:hanging="360"/>
      </w:pPr>
      <w:rPr>
        <w:rFonts w:ascii="Wingdings" w:hAnsi="Wingdings" w:hint="default"/>
      </w:rPr>
    </w:lvl>
    <w:lvl w:ilvl="3" w:tplc="4990861C" w:tentative="1">
      <w:start w:val="1"/>
      <w:numFmt w:val="bullet"/>
      <w:lvlText w:val=""/>
      <w:lvlJc w:val="left"/>
      <w:pPr>
        <w:ind w:left="2880" w:hanging="360"/>
      </w:pPr>
      <w:rPr>
        <w:rFonts w:ascii="Symbol" w:hAnsi="Symbol" w:hint="default"/>
      </w:rPr>
    </w:lvl>
    <w:lvl w:ilvl="4" w:tplc="88CA2432" w:tentative="1">
      <w:start w:val="1"/>
      <w:numFmt w:val="bullet"/>
      <w:lvlText w:val="o"/>
      <w:lvlJc w:val="left"/>
      <w:pPr>
        <w:ind w:left="3600" w:hanging="360"/>
      </w:pPr>
      <w:rPr>
        <w:rFonts w:ascii="Courier New" w:hAnsi="Courier New" w:cs="Courier New" w:hint="default"/>
      </w:rPr>
    </w:lvl>
    <w:lvl w:ilvl="5" w:tplc="F992F282" w:tentative="1">
      <w:start w:val="1"/>
      <w:numFmt w:val="bullet"/>
      <w:lvlText w:val=""/>
      <w:lvlJc w:val="left"/>
      <w:pPr>
        <w:ind w:left="4320" w:hanging="360"/>
      </w:pPr>
      <w:rPr>
        <w:rFonts w:ascii="Wingdings" w:hAnsi="Wingdings" w:hint="default"/>
      </w:rPr>
    </w:lvl>
    <w:lvl w:ilvl="6" w:tplc="08EC9CE8" w:tentative="1">
      <w:start w:val="1"/>
      <w:numFmt w:val="bullet"/>
      <w:lvlText w:val=""/>
      <w:lvlJc w:val="left"/>
      <w:pPr>
        <w:ind w:left="5040" w:hanging="360"/>
      </w:pPr>
      <w:rPr>
        <w:rFonts w:ascii="Symbol" w:hAnsi="Symbol" w:hint="default"/>
      </w:rPr>
    </w:lvl>
    <w:lvl w:ilvl="7" w:tplc="FB4AF402" w:tentative="1">
      <w:start w:val="1"/>
      <w:numFmt w:val="bullet"/>
      <w:lvlText w:val="o"/>
      <w:lvlJc w:val="left"/>
      <w:pPr>
        <w:ind w:left="5760" w:hanging="360"/>
      </w:pPr>
      <w:rPr>
        <w:rFonts w:ascii="Courier New" w:hAnsi="Courier New" w:cs="Courier New" w:hint="default"/>
      </w:rPr>
    </w:lvl>
    <w:lvl w:ilvl="8" w:tplc="93D0378C" w:tentative="1">
      <w:start w:val="1"/>
      <w:numFmt w:val="bullet"/>
      <w:lvlText w:val=""/>
      <w:lvlJc w:val="left"/>
      <w:pPr>
        <w:ind w:left="6480" w:hanging="360"/>
      </w:pPr>
      <w:rPr>
        <w:rFonts w:ascii="Wingdings" w:hAnsi="Wingdings" w:hint="default"/>
      </w:rPr>
    </w:lvl>
  </w:abstractNum>
  <w:abstractNum w:abstractNumId="34" w15:restartNumberingAfterBreak="0">
    <w:nsid w:val="5EA07653"/>
    <w:multiLevelType w:val="hybridMultilevel"/>
    <w:tmpl w:val="549C48F2"/>
    <w:lvl w:ilvl="0" w:tplc="5B0A21EE">
      <w:start w:val="1"/>
      <w:numFmt w:val="bullet"/>
      <w:pStyle w:val="Textstand-aloneBulletpoint"/>
      <w:lvlText w:val="-"/>
      <w:lvlJc w:val="left"/>
      <w:pPr>
        <w:ind w:left="1080" w:hanging="360"/>
      </w:pPr>
      <w:rPr>
        <w:rFonts w:ascii="Verdana" w:hAnsi="Verdana" w:hint="default"/>
      </w:rPr>
    </w:lvl>
    <w:lvl w:ilvl="1" w:tplc="32566E20" w:tentative="1">
      <w:start w:val="1"/>
      <w:numFmt w:val="bullet"/>
      <w:lvlText w:val="o"/>
      <w:lvlJc w:val="left"/>
      <w:pPr>
        <w:ind w:left="1800" w:hanging="360"/>
      </w:pPr>
      <w:rPr>
        <w:rFonts w:ascii="Courier New" w:hAnsi="Courier New" w:cs="Courier New" w:hint="default"/>
      </w:rPr>
    </w:lvl>
    <w:lvl w:ilvl="2" w:tplc="31480828" w:tentative="1">
      <w:start w:val="1"/>
      <w:numFmt w:val="bullet"/>
      <w:lvlText w:val=""/>
      <w:lvlJc w:val="left"/>
      <w:pPr>
        <w:ind w:left="2520" w:hanging="360"/>
      </w:pPr>
      <w:rPr>
        <w:rFonts w:ascii="Wingdings" w:hAnsi="Wingdings" w:hint="default"/>
      </w:rPr>
    </w:lvl>
    <w:lvl w:ilvl="3" w:tplc="43663324" w:tentative="1">
      <w:start w:val="1"/>
      <w:numFmt w:val="bullet"/>
      <w:lvlText w:val=""/>
      <w:lvlJc w:val="left"/>
      <w:pPr>
        <w:ind w:left="3240" w:hanging="360"/>
      </w:pPr>
      <w:rPr>
        <w:rFonts w:ascii="Symbol" w:hAnsi="Symbol" w:hint="default"/>
      </w:rPr>
    </w:lvl>
    <w:lvl w:ilvl="4" w:tplc="491AC260" w:tentative="1">
      <w:start w:val="1"/>
      <w:numFmt w:val="bullet"/>
      <w:lvlText w:val="o"/>
      <w:lvlJc w:val="left"/>
      <w:pPr>
        <w:ind w:left="3960" w:hanging="360"/>
      </w:pPr>
      <w:rPr>
        <w:rFonts w:ascii="Courier New" w:hAnsi="Courier New" w:cs="Courier New" w:hint="default"/>
      </w:rPr>
    </w:lvl>
    <w:lvl w:ilvl="5" w:tplc="64EC0B1A" w:tentative="1">
      <w:start w:val="1"/>
      <w:numFmt w:val="bullet"/>
      <w:lvlText w:val=""/>
      <w:lvlJc w:val="left"/>
      <w:pPr>
        <w:ind w:left="4680" w:hanging="360"/>
      </w:pPr>
      <w:rPr>
        <w:rFonts w:ascii="Wingdings" w:hAnsi="Wingdings" w:hint="default"/>
      </w:rPr>
    </w:lvl>
    <w:lvl w:ilvl="6" w:tplc="528424F2" w:tentative="1">
      <w:start w:val="1"/>
      <w:numFmt w:val="bullet"/>
      <w:lvlText w:val=""/>
      <w:lvlJc w:val="left"/>
      <w:pPr>
        <w:ind w:left="5400" w:hanging="360"/>
      </w:pPr>
      <w:rPr>
        <w:rFonts w:ascii="Symbol" w:hAnsi="Symbol" w:hint="default"/>
      </w:rPr>
    </w:lvl>
    <w:lvl w:ilvl="7" w:tplc="E3C2271E" w:tentative="1">
      <w:start w:val="1"/>
      <w:numFmt w:val="bullet"/>
      <w:lvlText w:val="o"/>
      <w:lvlJc w:val="left"/>
      <w:pPr>
        <w:ind w:left="6120" w:hanging="360"/>
      </w:pPr>
      <w:rPr>
        <w:rFonts w:ascii="Courier New" w:hAnsi="Courier New" w:cs="Courier New" w:hint="default"/>
      </w:rPr>
    </w:lvl>
    <w:lvl w:ilvl="8" w:tplc="21FAF7A0" w:tentative="1">
      <w:start w:val="1"/>
      <w:numFmt w:val="bullet"/>
      <w:lvlText w:val=""/>
      <w:lvlJc w:val="left"/>
      <w:pPr>
        <w:ind w:left="6840" w:hanging="360"/>
      </w:pPr>
      <w:rPr>
        <w:rFonts w:ascii="Wingdings" w:hAnsi="Wingdings" w:hint="default"/>
      </w:rPr>
    </w:lvl>
  </w:abstractNum>
  <w:abstractNum w:abstractNumId="35" w15:restartNumberingAfterBreak="0">
    <w:nsid w:val="6189026D"/>
    <w:multiLevelType w:val="hybridMultilevel"/>
    <w:tmpl w:val="3EC20C2E"/>
    <w:lvl w:ilvl="0" w:tplc="F95013C8">
      <w:start w:val="1"/>
      <w:numFmt w:val="bullet"/>
      <w:lvlText w:val=""/>
      <w:lvlJc w:val="left"/>
      <w:pPr>
        <w:ind w:left="720" w:hanging="360"/>
      </w:pPr>
      <w:rPr>
        <w:rFonts w:ascii="Symbol" w:hAnsi="Symbol" w:hint="default"/>
      </w:rPr>
    </w:lvl>
    <w:lvl w:ilvl="1" w:tplc="39CA8DDA" w:tentative="1">
      <w:start w:val="1"/>
      <w:numFmt w:val="bullet"/>
      <w:lvlText w:val="o"/>
      <w:lvlJc w:val="left"/>
      <w:pPr>
        <w:ind w:left="1440" w:hanging="360"/>
      </w:pPr>
      <w:rPr>
        <w:rFonts w:ascii="Courier New" w:hAnsi="Courier New" w:cs="Courier New" w:hint="default"/>
      </w:rPr>
    </w:lvl>
    <w:lvl w:ilvl="2" w:tplc="51B05918" w:tentative="1">
      <w:start w:val="1"/>
      <w:numFmt w:val="bullet"/>
      <w:lvlText w:val=""/>
      <w:lvlJc w:val="left"/>
      <w:pPr>
        <w:ind w:left="2160" w:hanging="360"/>
      </w:pPr>
      <w:rPr>
        <w:rFonts w:ascii="Wingdings" w:hAnsi="Wingdings" w:hint="default"/>
      </w:rPr>
    </w:lvl>
    <w:lvl w:ilvl="3" w:tplc="5366D294" w:tentative="1">
      <w:start w:val="1"/>
      <w:numFmt w:val="bullet"/>
      <w:lvlText w:val=""/>
      <w:lvlJc w:val="left"/>
      <w:pPr>
        <w:ind w:left="2880" w:hanging="360"/>
      </w:pPr>
      <w:rPr>
        <w:rFonts w:ascii="Symbol" w:hAnsi="Symbol" w:hint="default"/>
      </w:rPr>
    </w:lvl>
    <w:lvl w:ilvl="4" w:tplc="11C07426" w:tentative="1">
      <w:start w:val="1"/>
      <w:numFmt w:val="bullet"/>
      <w:lvlText w:val="o"/>
      <w:lvlJc w:val="left"/>
      <w:pPr>
        <w:ind w:left="3600" w:hanging="360"/>
      </w:pPr>
      <w:rPr>
        <w:rFonts w:ascii="Courier New" w:hAnsi="Courier New" w:cs="Courier New" w:hint="default"/>
      </w:rPr>
    </w:lvl>
    <w:lvl w:ilvl="5" w:tplc="4ABA18CC" w:tentative="1">
      <w:start w:val="1"/>
      <w:numFmt w:val="bullet"/>
      <w:lvlText w:val=""/>
      <w:lvlJc w:val="left"/>
      <w:pPr>
        <w:ind w:left="4320" w:hanging="360"/>
      </w:pPr>
      <w:rPr>
        <w:rFonts w:ascii="Wingdings" w:hAnsi="Wingdings" w:hint="default"/>
      </w:rPr>
    </w:lvl>
    <w:lvl w:ilvl="6" w:tplc="B14086DC" w:tentative="1">
      <w:start w:val="1"/>
      <w:numFmt w:val="bullet"/>
      <w:lvlText w:val=""/>
      <w:lvlJc w:val="left"/>
      <w:pPr>
        <w:ind w:left="5040" w:hanging="360"/>
      </w:pPr>
      <w:rPr>
        <w:rFonts w:ascii="Symbol" w:hAnsi="Symbol" w:hint="default"/>
      </w:rPr>
    </w:lvl>
    <w:lvl w:ilvl="7" w:tplc="43882CAE" w:tentative="1">
      <w:start w:val="1"/>
      <w:numFmt w:val="bullet"/>
      <w:lvlText w:val="o"/>
      <w:lvlJc w:val="left"/>
      <w:pPr>
        <w:ind w:left="5760" w:hanging="360"/>
      </w:pPr>
      <w:rPr>
        <w:rFonts w:ascii="Courier New" w:hAnsi="Courier New" w:cs="Courier New" w:hint="default"/>
      </w:rPr>
    </w:lvl>
    <w:lvl w:ilvl="8" w:tplc="6BD8B8A2" w:tentative="1">
      <w:start w:val="1"/>
      <w:numFmt w:val="bullet"/>
      <w:lvlText w:val=""/>
      <w:lvlJc w:val="left"/>
      <w:pPr>
        <w:ind w:left="6480" w:hanging="360"/>
      </w:pPr>
      <w:rPr>
        <w:rFonts w:ascii="Wingdings" w:hAnsi="Wingdings" w:hint="default"/>
      </w:rPr>
    </w:lvl>
  </w:abstractNum>
  <w:abstractNum w:abstractNumId="36" w15:restartNumberingAfterBreak="0">
    <w:nsid w:val="64AF4E6A"/>
    <w:multiLevelType w:val="hybridMultilevel"/>
    <w:tmpl w:val="F7122C9E"/>
    <w:lvl w:ilvl="0" w:tplc="C28C19F8">
      <w:start w:val="1"/>
      <w:numFmt w:val="bullet"/>
      <w:lvlText w:val=""/>
      <w:lvlJc w:val="left"/>
      <w:pPr>
        <w:ind w:left="720" w:hanging="360"/>
      </w:pPr>
      <w:rPr>
        <w:rFonts w:ascii="Symbol" w:hAnsi="Symbol" w:hint="default"/>
      </w:rPr>
    </w:lvl>
    <w:lvl w:ilvl="1" w:tplc="847C306A" w:tentative="1">
      <w:start w:val="1"/>
      <w:numFmt w:val="bullet"/>
      <w:lvlText w:val="o"/>
      <w:lvlJc w:val="left"/>
      <w:pPr>
        <w:ind w:left="1440" w:hanging="360"/>
      </w:pPr>
      <w:rPr>
        <w:rFonts w:ascii="Courier New" w:hAnsi="Courier New" w:cs="Courier New" w:hint="default"/>
      </w:rPr>
    </w:lvl>
    <w:lvl w:ilvl="2" w:tplc="9F02A604" w:tentative="1">
      <w:start w:val="1"/>
      <w:numFmt w:val="bullet"/>
      <w:lvlText w:val=""/>
      <w:lvlJc w:val="left"/>
      <w:pPr>
        <w:ind w:left="2160" w:hanging="360"/>
      </w:pPr>
      <w:rPr>
        <w:rFonts w:ascii="Wingdings" w:hAnsi="Wingdings" w:hint="default"/>
      </w:rPr>
    </w:lvl>
    <w:lvl w:ilvl="3" w:tplc="58A8B77E" w:tentative="1">
      <w:start w:val="1"/>
      <w:numFmt w:val="bullet"/>
      <w:lvlText w:val=""/>
      <w:lvlJc w:val="left"/>
      <w:pPr>
        <w:ind w:left="2880" w:hanging="360"/>
      </w:pPr>
      <w:rPr>
        <w:rFonts w:ascii="Symbol" w:hAnsi="Symbol" w:hint="default"/>
      </w:rPr>
    </w:lvl>
    <w:lvl w:ilvl="4" w:tplc="D66C9688" w:tentative="1">
      <w:start w:val="1"/>
      <w:numFmt w:val="bullet"/>
      <w:lvlText w:val="o"/>
      <w:lvlJc w:val="left"/>
      <w:pPr>
        <w:ind w:left="3600" w:hanging="360"/>
      </w:pPr>
      <w:rPr>
        <w:rFonts w:ascii="Courier New" w:hAnsi="Courier New" w:cs="Courier New" w:hint="default"/>
      </w:rPr>
    </w:lvl>
    <w:lvl w:ilvl="5" w:tplc="7A7456E0" w:tentative="1">
      <w:start w:val="1"/>
      <w:numFmt w:val="bullet"/>
      <w:lvlText w:val=""/>
      <w:lvlJc w:val="left"/>
      <w:pPr>
        <w:ind w:left="4320" w:hanging="360"/>
      </w:pPr>
      <w:rPr>
        <w:rFonts w:ascii="Wingdings" w:hAnsi="Wingdings" w:hint="default"/>
      </w:rPr>
    </w:lvl>
    <w:lvl w:ilvl="6" w:tplc="32400BBE" w:tentative="1">
      <w:start w:val="1"/>
      <w:numFmt w:val="bullet"/>
      <w:lvlText w:val=""/>
      <w:lvlJc w:val="left"/>
      <w:pPr>
        <w:ind w:left="5040" w:hanging="360"/>
      </w:pPr>
      <w:rPr>
        <w:rFonts w:ascii="Symbol" w:hAnsi="Symbol" w:hint="default"/>
      </w:rPr>
    </w:lvl>
    <w:lvl w:ilvl="7" w:tplc="BF628260" w:tentative="1">
      <w:start w:val="1"/>
      <w:numFmt w:val="bullet"/>
      <w:lvlText w:val="o"/>
      <w:lvlJc w:val="left"/>
      <w:pPr>
        <w:ind w:left="5760" w:hanging="360"/>
      </w:pPr>
      <w:rPr>
        <w:rFonts w:ascii="Courier New" w:hAnsi="Courier New" w:cs="Courier New" w:hint="default"/>
      </w:rPr>
    </w:lvl>
    <w:lvl w:ilvl="8" w:tplc="26BC5B12" w:tentative="1">
      <w:start w:val="1"/>
      <w:numFmt w:val="bullet"/>
      <w:lvlText w:val=""/>
      <w:lvlJc w:val="left"/>
      <w:pPr>
        <w:ind w:left="6480" w:hanging="360"/>
      </w:pPr>
      <w:rPr>
        <w:rFonts w:ascii="Wingdings" w:hAnsi="Wingdings" w:hint="default"/>
      </w:rPr>
    </w:lvl>
  </w:abstractNum>
  <w:abstractNum w:abstractNumId="37" w15:restartNumberingAfterBreak="0">
    <w:nsid w:val="6E2E225E"/>
    <w:multiLevelType w:val="hybridMultilevel"/>
    <w:tmpl w:val="39804DFE"/>
    <w:lvl w:ilvl="0" w:tplc="6B82D1CA">
      <w:start w:val="1"/>
      <w:numFmt w:val="bullet"/>
      <w:lvlText w:val=""/>
      <w:lvlJc w:val="left"/>
      <w:pPr>
        <w:ind w:left="720" w:hanging="360"/>
      </w:pPr>
      <w:rPr>
        <w:rFonts w:ascii="Symbol" w:hAnsi="Symbol" w:hint="default"/>
      </w:rPr>
    </w:lvl>
    <w:lvl w:ilvl="1" w:tplc="ED069670" w:tentative="1">
      <w:start w:val="1"/>
      <w:numFmt w:val="bullet"/>
      <w:lvlText w:val="o"/>
      <w:lvlJc w:val="left"/>
      <w:pPr>
        <w:ind w:left="1440" w:hanging="360"/>
      </w:pPr>
      <w:rPr>
        <w:rFonts w:ascii="Courier New" w:hAnsi="Courier New" w:cs="Courier New" w:hint="default"/>
      </w:rPr>
    </w:lvl>
    <w:lvl w:ilvl="2" w:tplc="DFE0365E" w:tentative="1">
      <w:start w:val="1"/>
      <w:numFmt w:val="bullet"/>
      <w:lvlText w:val=""/>
      <w:lvlJc w:val="left"/>
      <w:pPr>
        <w:ind w:left="2160" w:hanging="360"/>
      </w:pPr>
      <w:rPr>
        <w:rFonts w:ascii="Wingdings" w:hAnsi="Wingdings" w:hint="default"/>
      </w:rPr>
    </w:lvl>
    <w:lvl w:ilvl="3" w:tplc="07F47DD8" w:tentative="1">
      <w:start w:val="1"/>
      <w:numFmt w:val="bullet"/>
      <w:lvlText w:val=""/>
      <w:lvlJc w:val="left"/>
      <w:pPr>
        <w:ind w:left="2880" w:hanging="360"/>
      </w:pPr>
      <w:rPr>
        <w:rFonts w:ascii="Symbol" w:hAnsi="Symbol" w:hint="default"/>
      </w:rPr>
    </w:lvl>
    <w:lvl w:ilvl="4" w:tplc="41944ADA" w:tentative="1">
      <w:start w:val="1"/>
      <w:numFmt w:val="bullet"/>
      <w:lvlText w:val="o"/>
      <w:lvlJc w:val="left"/>
      <w:pPr>
        <w:ind w:left="3600" w:hanging="360"/>
      </w:pPr>
      <w:rPr>
        <w:rFonts w:ascii="Courier New" w:hAnsi="Courier New" w:cs="Courier New" w:hint="default"/>
      </w:rPr>
    </w:lvl>
    <w:lvl w:ilvl="5" w:tplc="E2B02B3E" w:tentative="1">
      <w:start w:val="1"/>
      <w:numFmt w:val="bullet"/>
      <w:lvlText w:val=""/>
      <w:lvlJc w:val="left"/>
      <w:pPr>
        <w:ind w:left="4320" w:hanging="360"/>
      </w:pPr>
      <w:rPr>
        <w:rFonts w:ascii="Wingdings" w:hAnsi="Wingdings" w:hint="default"/>
      </w:rPr>
    </w:lvl>
    <w:lvl w:ilvl="6" w:tplc="5C64E568" w:tentative="1">
      <w:start w:val="1"/>
      <w:numFmt w:val="bullet"/>
      <w:lvlText w:val=""/>
      <w:lvlJc w:val="left"/>
      <w:pPr>
        <w:ind w:left="5040" w:hanging="360"/>
      </w:pPr>
      <w:rPr>
        <w:rFonts w:ascii="Symbol" w:hAnsi="Symbol" w:hint="default"/>
      </w:rPr>
    </w:lvl>
    <w:lvl w:ilvl="7" w:tplc="812E4BC2" w:tentative="1">
      <w:start w:val="1"/>
      <w:numFmt w:val="bullet"/>
      <w:lvlText w:val="o"/>
      <w:lvlJc w:val="left"/>
      <w:pPr>
        <w:ind w:left="5760" w:hanging="360"/>
      </w:pPr>
      <w:rPr>
        <w:rFonts w:ascii="Courier New" w:hAnsi="Courier New" w:cs="Courier New" w:hint="default"/>
      </w:rPr>
    </w:lvl>
    <w:lvl w:ilvl="8" w:tplc="D1FE760C" w:tentative="1">
      <w:start w:val="1"/>
      <w:numFmt w:val="bullet"/>
      <w:lvlText w:val=""/>
      <w:lvlJc w:val="left"/>
      <w:pPr>
        <w:ind w:left="6480" w:hanging="360"/>
      </w:pPr>
      <w:rPr>
        <w:rFonts w:ascii="Wingdings" w:hAnsi="Wingdings" w:hint="default"/>
      </w:rPr>
    </w:lvl>
  </w:abstractNum>
  <w:abstractNum w:abstractNumId="38" w15:restartNumberingAfterBreak="0">
    <w:nsid w:val="6E866C12"/>
    <w:multiLevelType w:val="hybridMultilevel"/>
    <w:tmpl w:val="D4901814"/>
    <w:lvl w:ilvl="0" w:tplc="3E583C88">
      <w:start w:val="1"/>
      <w:numFmt w:val="bullet"/>
      <w:lvlText w:val=""/>
      <w:lvlJc w:val="left"/>
      <w:pPr>
        <w:ind w:left="720" w:hanging="360"/>
      </w:pPr>
      <w:rPr>
        <w:rFonts w:ascii="Symbol" w:hAnsi="Symbol" w:hint="default"/>
      </w:rPr>
    </w:lvl>
    <w:lvl w:ilvl="1" w:tplc="8C5E5B7C" w:tentative="1">
      <w:start w:val="1"/>
      <w:numFmt w:val="bullet"/>
      <w:lvlText w:val="o"/>
      <w:lvlJc w:val="left"/>
      <w:pPr>
        <w:ind w:left="1440" w:hanging="360"/>
      </w:pPr>
      <w:rPr>
        <w:rFonts w:ascii="Courier New" w:hAnsi="Courier New" w:cs="Courier New" w:hint="default"/>
      </w:rPr>
    </w:lvl>
    <w:lvl w:ilvl="2" w:tplc="30D23826" w:tentative="1">
      <w:start w:val="1"/>
      <w:numFmt w:val="bullet"/>
      <w:lvlText w:val=""/>
      <w:lvlJc w:val="left"/>
      <w:pPr>
        <w:ind w:left="2160" w:hanging="360"/>
      </w:pPr>
      <w:rPr>
        <w:rFonts w:ascii="Wingdings" w:hAnsi="Wingdings" w:hint="default"/>
      </w:rPr>
    </w:lvl>
    <w:lvl w:ilvl="3" w:tplc="9D36C2AC" w:tentative="1">
      <w:start w:val="1"/>
      <w:numFmt w:val="bullet"/>
      <w:lvlText w:val=""/>
      <w:lvlJc w:val="left"/>
      <w:pPr>
        <w:ind w:left="2880" w:hanging="360"/>
      </w:pPr>
      <w:rPr>
        <w:rFonts w:ascii="Symbol" w:hAnsi="Symbol" w:hint="default"/>
      </w:rPr>
    </w:lvl>
    <w:lvl w:ilvl="4" w:tplc="FCA00C56" w:tentative="1">
      <w:start w:val="1"/>
      <w:numFmt w:val="bullet"/>
      <w:lvlText w:val="o"/>
      <w:lvlJc w:val="left"/>
      <w:pPr>
        <w:ind w:left="3600" w:hanging="360"/>
      </w:pPr>
      <w:rPr>
        <w:rFonts w:ascii="Courier New" w:hAnsi="Courier New" w:cs="Courier New" w:hint="default"/>
      </w:rPr>
    </w:lvl>
    <w:lvl w:ilvl="5" w:tplc="B17EAA3A" w:tentative="1">
      <w:start w:val="1"/>
      <w:numFmt w:val="bullet"/>
      <w:lvlText w:val=""/>
      <w:lvlJc w:val="left"/>
      <w:pPr>
        <w:ind w:left="4320" w:hanging="360"/>
      </w:pPr>
      <w:rPr>
        <w:rFonts w:ascii="Wingdings" w:hAnsi="Wingdings" w:hint="default"/>
      </w:rPr>
    </w:lvl>
    <w:lvl w:ilvl="6" w:tplc="FEB0348A" w:tentative="1">
      <w:start w:val="1"/>
      <w:numFmt w:val="bullet"/>
      <w:lvlText w:val=""/>
      <w:lvlJc w:val="left"/>
      <w:pPr>
        <w:ind w:left="5040" w:hanging="360"/>
      </w:pPr>
      <w:rPr>
        <w:rFonts w:ascii="Symbol" w:hAnsi="Symbol" w:hint="default"/>
      </w:rPr>
    </w:lvl>
    <w:lvl w:ilvl="7" w:tplc="1EB68616" w:tentative="1">
      <w:start w:val="1"/>
      <w:numFmt w:val="bullet"/>
      <w:lvlText w:val="o"/>
      <w:lvlJc w:val="left"/>
      <w:pPr>
        <w:ind w:left="5760" w:hanging="360"/>
      </w:pPr>
      <w:rPr>
        <w:rFonts w:ascii="Courier New" w:hAnsi="Courier New" w:cs="Courier New" w:hint="default"/>
      </w:rPr>
    </w:lvl>
    <w:lvl w:ilvl="8" w:tplc="6AB05B2E" w:tentative="1">
      <w:start w:val="1"/>
      <w:numFmt w:val="bullet"/>
      <w:lvlText w:val=""/>
      <w:lvlJc w:val="left"/>
      <w:pPr>
        <w:ind w:left="6480" w:hanging="360"/>
      </w:pPr>
      <w:rPr>
        <w:rFonts w:ascii="Wingdings" w:hAnsi="Wingdings" w:hint="default"/>
      </w:rPr>
    </w:lvl>
  </w:abstractNum>
  <w:abstractNum w:abstractNumId="39" w15:restartNumberingAfterBreak="0">
    <w:nsid w:val="6F351A53"/>
    <w:multiLevelType w:val="hybridMultilevel"/>
    <w:tmpl w:val="A22E4046"/>
    <w:lvl w:ilvl="0" w:tplc="F59C28CC">
      <w:start w:val="1"/>
      <w:numFmt w:val="lowerRoman"/>
      <w:pStyle w:val="Textstand-alonenumberingRCIndentJustified"/>
      <w:lvlText w:val="(%1)"/>
      <w:lvlJc w:val="left"/>
      <w:pPr>
        <w:ind w:left="720" w:hanging="360"/>
      </w:pPr>
      <w:rPr>
        <w:rFonts w:hint="default"/>
      </w:rPr>
    </w:lvl>
    <w:lvl w:ilvl="1" w:tplc="9D88F4B0" w:tentative="1">
      <w:start w:val="1"/>
      <w:numFmt w:val="lowerLetter"/>
      <w:lvlText w:val="%2."/>
      <w:lvlJc w:val="left"/>
      <w:pPr>
        <w:ind w:left="1440" w:hanging="360"/>
      </w:pPr>
    </w:lvl>
    <w:lvl w:ilvl="2" w:tplc="B0728648" w:tentative="1">
      <w:start w:val="1"/>
      <w:numFmt w:val="lowerRoman"/>
      <w:lvlText w:val="%3."/>
      <w:lvlJc w:val="right"/>
      <w:pPr>
        <w:ind w:left="2160" w:hanging="180"/>
      </w:pPr>
    </w:lvl>
    <w:lvl w:ilvl="3" w:tplc="210AD984" w:tentative="1">
      <w:start w:val="1"/>
      <w:numFmt w:val="decimal"/>
      <w:lvlText w:val="%4."/>
      <w:lvlJc w:val="left"/>
      <w:pPr>
        <w:ind w:left="2880" w:hanging="360"/>
      </w:pPr>
    </w:lvl>
    <w:lvl w:ilvl="4" w:tplc="36302F1E" w:tentative="1">
      <w:start w:val="1"/>
      <w:numFmt w:val="lowerLetter"/>
      <w:lvlText w:val="%5."/>
      <w:lvlJc w:val="left"/>
      <w:pPr>
        <w:ind w:left="3600" w:hanging="360"/>
      </w:pPr>
    </w:lvl>
    <w:lvl w:ilvl="5" w:tplc="201C25B6" w:tentative="1">
      <w:start w:val="1"/>
      <w:numFmt w:val="lowerRoman"/>
      <w:lvlText w:val="%6."/>
      <w:lvlJc w:val="right"/>
      <w:pPr>
        <w:ind w:left="4320" w:hanging="180"/>
      </w:pPr>
    </w:lvl>
    <w:lvl w:ilvl="6" w:tplc="044417B8" w:tentative="1">
      <w:start w:val="1"/>
      <w:numFmt w:val="decimal"/>
      <w:lvlText w:val="%7."/>
      <w:lvlJc w:val="left"/>
      <w:pPr>
        <w:ind w:left="5040" w:hanging="360"/>
      </w:pPr>
    </w:lvl>
    <w:lvl w:ilvl="7" w:tplc="450ADC6E" w:tentative="1">
      <w:start w:val="1"/>
      <w:numFmt w:val="lowerLetter"/>
      <w:lvlText w:val="%8."/>
      <w:lvlJc w:val="left"/>
      <w:pPr>
        <w:ind w:left="5760" w:hanging="360"/>
      </w:pPr>
    </w:lvl>
    <w:lvl w:ilvl="8" w:tplc="12EEB068" w:tentative="1">
      <w:start w:val="1"/>
      <w:numFmt w:val="lowerRoman"/>
      <w:lvlText w:val="%9."/>
      <w:lvlJc w:val="right"/>
      <w:pPr>
        <w:ind w:left="6480" w:hanging="180"/>
      </w:pPr>
    </w:lvl>
  </w:abstractNum>
  <w:abstractNum w:abstractNumId="40" w15:restartNumberingAfterBreak="0">
    <w:nsid w:val="6F351A54"/>
    <w:multiLevelType w:val="hybridMultilevel"/>
    <w:tmpl w:val="0C4AF42A"/>
    <w:lvl w:ilvl="0" w:tplc="7EB0A3BC">
      <w:start w:val="1"/>
      <w:numFmt w:val="bullet"/>
      <w:lvlText w:val=""/>
      <w:lvlJc w:val="left"/>
      <w:pPr>
        <w:ind w:left="720" w:hanging="360"/>
      </w:pPr>
      <w:rPr>
        <w:rFonts w:ascii="Symbol" w:hAnsi="Symbol" w:hint="default"/>
      </w:rPr>
    </w:lvl>
    <w:lvl w:ilvl="1" w:tplc="FD88D8D2" w:tentative="1">
      <w:start w:val="1"/>
      <w:numFmt w:val="bullet"/>
      <w:lvlText w:val="o"/>
      <w:lvlJc w:val="left"/>
      <w:pPr>
        <w:ind w:left="1440" w:hanging="360"/>
      </w:pPr>
      <w:rPr>
        <w:rFonts w:ascii="Courier New" w:hAnsi="Courier New" w:cs="Courier New" w:hint="default"/>
      </w:rPr>
    </w:lvl>
    <w:lvl w:ilvl="2" w:tplc="9342F524" w:tentative="1">
      <w:start w:val="1"/>
      <w:numFmt w:val="bullet"/>
      <w:lvlText w:val=""/>
      <w:lvlJc w:val="left"/>
      <w:pPr>
        <w:ind w:left="2160" w:hanging="360"/>
      </w:pPr>
      <w:rPr>
        <w:rFonts w:ascii="Wingdings" w:hAnsi="Wingdings" w:hint="default"/>
      </w:rPr>
    </w:lvl>
    <w:lvl w:ilvl="3" w:tplc="230248AA" w:tentative="1">
      <w:start w:val="1"/>
      <w:numFmt w:val="bullet"/>
      <w:lvlText w:val=""/>
      <w:lvlJc w:val="left"/>
      <w:pPr>
        <w:ind w:left="2880" w:hanging="360"/>
      </w:pPr>
      <w:rPr>
        <w:rFonts w:ascii="Symbol" w:hAnsi="Symbol" w:hint="default"/>
      </w:rPr>
    </w:lvl>
    <w:lvl w:ilvl="4" w:tplc="0BD65C34" w:tentative="1">
      <w:start w:val="1"/>
      <w:numFmt w:val="bullet"/>
      <w:lvlText w:val="o"/>
      <w:lvlJc w:val="left"/>
      <w:pPr>
        <w:ind w:left="3600" w:hanging="360"/>
      </w:pPr>
      <w:rPr>
        <w:rFonts w:ascii="Courier New" w:hAnsi="Courier New" w:cs="Courier New" w:hint="default"/>
      </w:rPr>
    </w:lvl>
    <w:lvl w:ilvl="5" w:tplc="C9DA2B8C" w:tentative="1">
      <w:start w:val="1"/>
      <w:numFmt w:val="bullet"/>
      <w:lvlText w:val=""/>
      <w:lvlJc w:val="left"/>
      <w:pPr>
        <w:ind w:left="4320" w:hanging="360"/>
      </w:pPr>
      <w:rPr>
        <w:rFonts w:ascii="Wingdings" w:hAnsi="Wingdings" w:hint="default"/>
      </w:rPr>
    </w:lvl>
    <w:lvl w:ilvl="6" w:tplc="097ACAD2" w:tentative="1">
      <w:start w:val="1"/>
      <w:numFmt w:val="bullet"/>
      <w:lvlText w:val=""/>
      <w:lvlJc w:val="left"/>
      <w:pPr>
        <w:ind w:left="5040" w:hanging="360"/>
      </w:pPr>
      <w:rPr>
        <w:rFonts w:ascii="Symbol" w:hAnsi="Symbol" w:hint="default"/>
      </w:rPr>
    </w:lvl>
    <w:lvl w:ilvl="7" w:tplc="73A60C64" w:tentative="1">
      <w:start w:val="1"/>
      <w:numFmt w:val="bullet"/>
      <w:lvlText w:val="o"/>
      <w:lvlJc w:val="left"/>
      <w:pPr>
        <w:ind w:left="5760" w:hanging="360"/>
      </w:pPr>
      <w:rPr>
        <w:rFonts w:ascii="Courier New" w:hAnsi="Courier New" w:cs="Courier New" w:hint="default"/>
      </w:rPr>
    </w:lvl>
    <w:lvl w:ilvl="8" w:tplc="9ABC8A1C" w:tentative="1">
      <w:start w:val="1"/>
      <w:numFmt w:val="bullet"/>
      <w:lvlText w:val=""/>
      <w:lvlJc w:val="left"/>
      <w:pPr>
        <w:ind w:left="6480" w:hanging="360"/>
      </w:pPr>
      <w:rPr>
        <w:rFonts w:ascii="Wingdings" w:hAnsi="Wingdings" w:hint="default"/>
      </w:rPr>
    </w:lvl>
  </w:abstractNum>
  <w:abstractNum w:abstractNumId="41" w15:restartNumberingAfterBreak="0">
    <w:nsid w:val="6F351A55"/>
    <w:multiLevelType w:val="hybridMultilevel"/>
    <w:tmpl w:val="1B526418"/>
    <w:lvl w:ilvl="0" w:tplc="01E0423C">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68307B22">
      <w:start w:val="1"/>
      <w:numFmt w:val="bullet"/>
      <w:lvlText w:val="o"/>
      <w:lvlJc w:val="left"/>
      <w:pPr>
        <w:ind w:left="1440" w:hanging="360"/>
      </w:pPr>
      <w:rPr>
        <w:rFonts w:ascii="Courier New" w:hAnsi="Courier New" w:cs="Courier New" w:hint="default"/>
      </w:rPr>
    </w:lvl>
    <w:lvl w:ilvl="2" w:tplc="44E42ED4" w:tentative="1">
      <w:start w:val="1"/>
      <w:numFmt w:val="bullet"/>
      <w:lvlText w:val=""/>
      <w:lvlJc w:val="left"/>
      <w:pPr>
        <w:ind w:left="2160" w:hanging="360"/>
      </w:pPr>
      <w:rPr>
        <w:rFonts w:ascii="Wingdings" w:hAnsi="Wingdings" w:hint="default"/>
      </w:rPr>
    </w:lvl>
    <w:lvl w:ilvl="3" w:tplc="FB40543E" w:tentative="1">
      <w:start w:val="1"/>
      <w:numFmt w:val="bullet"/>
      <w:lvlText w:val=""/>
      <w:lvlJc w:val="left"/>
      <w:pPr>
        <w:ind w:left="2880" w:hanging="360"/>
      </w:pPr>
      <w:rPr>
        <w:rFonts w:ascii="Symbol" w:hAnsi="Symbol" w:hint="default"/>
      </w:rPr>
    </w:lvl>
    <w:lvl w:ilvl="4" w:tplc="37BA41E4" w:tentative="1">
      <w:start w:val="1"/>
      <w:numFmt w:val="bullet"/>
      <w:lvlText w:val="o"/>
      <w:lvlJc w:val="left"/>
      <w:pPr>
        <w:ind w:left="3600" w:hanging="360"/>
      </w:pPr>
      <w:rPr>
        <w:rFonts w:ascii="Courier New" w:hAnsi="Courier New" w:cs="Courier New" w:hint="default"/>
      </w:rPr>
    </w:lvl>
    <w:lvl w:ilvl="5" w:tplc="12AA6048" w:tentative="1">
      <w:start w:val="1"/>
      <w:numFmt w:val="bullet"/>
      <w:lvlText w:val=""/>
      <w:lvlJc w:val="left"/>
      <w:pPr>
        <w:ind w:left="4320" w:hanging="360"/>
      </w:pPr>
      <w:rPr>
        <w:rFonts w:ascii="Wingdings" w:hAnsi="Wingdings" w:hint="default"/>
      </w:rPr>
    </w:lvl>
    <w:lvl w:ilvl="6" w:tplc="3CD8AA38" w:tentative="1">
      <w:start w:val="1"/>
      <w:numFmt w:val="bullet"/>
      <w:lvlText w:val=""/>
      <w:lvlJc w:val="left"/>
      <w:pPr>
        <w:ind w:left="5040" w:hanging="360"/>
      </w:pPr>
      <w:rPr>
        <w:rFonts w:ascii="Symbol" w:hAnsi="Symbol" w:hint="default"/>
      </w:rPr>
    </w:lvl>
    <w:lvl w:ilvl="7" w:tplc="B7640C1A" w:tentative="1">
      <w:start w:val="1"/>
      <w:numFmt w:val="bullet"/>
      <w:lvlText w:val="o"/>
      <w:lvlJc w:val="left"/>
      <w:pPr>
        <w:ind w:left="5760" w:hanging="360"/>
      </w:pPr>
      <w:rPr>
        <w:rFonts w:ascii="Courier New" w:hAnsi="Courier New" w:cs="Courier New" w:hint="default"/>
      </w:rPr>
    </w:lvl>
    <w:lvl w:ilvl="8" w:tplc="BE400FA8" w:tentative="1">
      <w:start w:val="1"/>
      <w:numFmt w:val="bullet"/>
      <w:lvlText w:val=""/>
      <w:lvlJc w:val="left"/>
      <w:pPr>
        <w:ind w:left="6480" w:hanging="360"/>
      </w:pPr>
      <w:rPr>
        <w:rFonts w:ascii="Wingdings" w:hAnsi="Wingdings" w:hint="default"/>
      </w:rPr>
    </w:lvl>
  </w:abstractNum>
  <w:abstractNum w:abstractNumId="42" w15:restartNumberingAfterBreak="0">
    <w:nsid w:val="6F351A61"/>
    <w:multiLevelType w:val="hybridMultilevel"/>
    <w:tmpl w:val="7200EC64"/>
    <w:lvl w:ilvl="0" w:tplc="96386C1A">
      <w:start w:val="1"/>
      <w:numFmt w:val="bullet"/>
      <w:lvlText w:val=""/>
      <w:lvlJc w:val="left"/>
      <w:pPr>
        <w:ind w:left="720" w:hanging="360"/>
      </w:pPr>
      <w:rPr>
        <w:rFonts w:ascii="Symbol" w:hAnsi="Symbol" w:hint="default"/>
      </w:rPr>
    </w:lvl>
    <w:lvl w:ilvl="1" w:tplc="A3047FF0" w:tentative="1">
      <w:start w:val="1"/>
      <w:numFmt w:val="bullet"/>
      <w:lvlText w:val="o"/>
      <w:lvlJc w:val="left"/>
      <w:pPr>
        <w:ind w:left="1440" w:hanging="360"/>
      </w:pPr>
      <w:rPr>
        <w:rFonts w:ascii="Courier New" w:hAnsi="Courier New" w:cs="Courier New" w:hint="default"/>
      </w:rPr>
    </w:lvl>
    <w:lvl w:ilvl="2" w:tplc="77FC98CE" w:tentative="1">
      <w:start w:val="1"/>
      <w:numFmt w:val="bullet"/>
      <w:lvlText w:val=""/>
      <w:lvlJc w:val="left"/>
      <w:pPr>
        <w:ind w:left="2160" w:hanging="360"/>
      </w:pPr>
      <w:rPr>
        <w:rFonts w:ascii="Wingdings" w:hAnsi="Wingdings" w:hint="default"/>
      </w:rPr>
    </w:lvl>
    <w:lvl w:ilvl="3" w:tplc="9F983C7A" w:tentative="1">
      <w:start w:val="1"/>
      <w:numFmt w:val="bullet"/>
      <w:lvlText w:val=""/>
      <w:lvlJc w:val="left"/>
      <w:pPr>
        <w:ind w:left="2880" w:hanging="360"/>
      </w:pPr>
      <w:rPr>
        <w:rFonts w:ascii="Symbol" w:hAnsi="Symbol" w:hint="default"/>
      </w:rPr>
    </w:lvl>
    <w:lvl w:ilvl="4" w:tplc="9A2880E4" w:tentative="1">
      <w:start w:val="1"/>
      <w:numFmt w:val="bullet"/>
      <w:lvlText w:val="o"/>
      <w:lvlJc w:val="left"/>
      <w:pPr>
        <w:ind w:left="3600" w:hanging="360"/>
      </w:pPr>
      <w:rPr>
        <w:rFonts w:ascii="Courier New" w:hAnsi="Courier New" w:cs="Courier New" w:hint="default"/>
      </w:rPr>
    </w:lvl>
    <w:lvl w:ilvl="5" w:tplc="3356E9FE" w:tentative="1">
      <w:start w:val="1"/>
      <w:numFmt w:val="bullet"/>
      <w:lvlText w:val=""/>
      <w:lvlJc w:val="left"/>
      <w:pPr>
        <w:ind w:left="4320" w:hanging="360"/>
      </w:pPr>
      <w:rPr>
        <w:rFonts w:ascii="Wingdings" w:hAnsi="Wingdings" w:hint="default"/>
      </w:rPr>
    </w:lvl>
    <w:lvl w:ilvl="6" w:tplc="7DB4D120" w:tentative="1">
      <w:start w:val="1"/>
      <w:numFmt w:val="bullet"/>
      <w:lvlText w:val=""/>
      <w:lvlJc w:val="left"/>
      <w:pPr>
        <w:ind w:left="5040" w:hanging="360"/>
      </w:pPr>
      <w:rPr>
        <w:rFonts w:ascii="Symbol" w:hAnsi="Symbol" w:hint="default"/>
      </w:rPr>
    </w:lvl>
    <w:lvl w:ilvl="7" w:tplc="375E5990" w:tentative="1">
      <w:start w:val="1"/>
      <w:numFmt w:val="bullet"/>
      <w:lvlText w:val="o"/>
      <w:lvlJc w:val="left"/>
      <w:pPr>
        <w:ind w:left="5760" w:hanging="360"/>
      </w:pPr>
      <w:rPr>
        <w:rFonts w:ascii="Courier New" w:hAnsi="Courier New" w:cs="Courier New" w:hint="default"/>
      </w:rPr>
    </w:lvl>
    <w:lvl w:ilvl="8" w:tplc="476A1B9C" w:tentative="1">
      <w:start w:val="1"/>
      <w:numFmt w:val="bullet"/>
      <w:lvlText w:val=""/>
      <w:lvlJc w:val="left"/>
      <w:pPr>
        <w:ind w:left="6480" w:hanging="360"/>
      </w:pPr>
      <w:rPr>
        <w:rFonts w:ascii="Wingdings" w:hAnsi="Wingdings" w:hint="default"/>
      </w:rPr>
    </w:lvl>
  </w:abstractNum>
  <w:abstractNum w:abstractNumId="43" w15:restartNumberingAfterBreak="0">
    <w:nsid w:val="6F351A62"/>
    <w:multiLevelType w:val="hybridMultilevel"/>
    <w:tmpl w:val="E9BA324C"/>
    <w:lvl w:ilvl="0" w:tplc="C362041E">
      <w:start w:val="1"/>
      <w:numFmt w:val="bullet"/>
      <w:lvlText w:val=""/>
      <w:lvlJc w:val="left"/>
      <w:pPr>
        <w:ind w:left="720" w:hanging="360"/>
      </w:pPr>
      <w:rPr>
        <w:rFonts w:ascii="Symbol" w:hAnsi="Symbol" w:hint="default"/>
      </w:rPr>
    </w:lvl>
    <w:lvl w:ilvl="1" w:tplc="65F60AEA" w:tentative="1">
      <w:start w:val="1"/>
      <w:numFmt w:val="bullet"/>
      <w:lvlText w:val="o"/>
      <w:lvlJc w:val="left"/>
      <w:pPr>
        <w:ind w:left="1440" w:hanging="360"/>
      </w:pPr>
      <w:rPr>
        <w:rFonts w:ascii="Courier New" w:hAnsi="Courier New" w:cs="Courier New" w:hint="default"/>
      </w:rPr>
    </w:lvl>
    <w:lvl w:ilvl="2" w:tplc="1FB4B970" w:tentative="1">
      <w:start w:val="1"/>
      <w:numFmt w:val="bullet"/>
      <w:lvlText w:val=""/>
      <w:lvlJc w:val="left"/>
      <w:pPr>
        <w:ind w:left="2160" w:hanging="360"/>
      </w:pPr>
      <w:rPr>
        <w:rFonts w:ascii="Wingdings" w:hAnsi="Wingdings" w:hint="default"/>
      </w:rPr>
    </w:lvl>
    <w:lvl w:ilvl="3" w:tplc="6E369CB6" w:tentative="1">
      <w:start w:val="1"/>
      <w:numFmt w:val="bullet"/>
      <w:lvlText w:val=""/>
      <w:lvlJc w:val="left"/>
      <w:pPr>
        <w:ind w:left="2880" w:hanging="360"/>
      </w:pPr>
      <w:rPr>
        <w:rFonts w:ascii="Symbol" w:hAnsi="Symbol" w:hint="default"/>
      </w:rPr>
    </w:lvl>
    <w:lvl w:ilvl="4" w:tplc="91282020" w:tentative="1">
      <w:start w:val="1"/>
      <w:numFmt w:val="bullet"/>
      <w:lvlText w:val="o"/>
      <w:lvlJc w:val="left"/>
      <w:pPr>
        <w:ind w:left="3600" w:hanging="360"/>
      </w:pPr>
      <w:rPr>
        <w:rFonts w:ascii="Courier New" w:hAnsi="Courier New" w:cs="Courier New" w:hint="default"/>
      </w:rPr>
    </w:lvl>
    <w:lvl w:ilvl="5" w:tplc="AC4EC358" w:tentative="1">
      <w:start w:val="1"/>
      <w:numFmt w:val="bullet"/>
      <w:lvlText w:val=""/>
      <w:lvlJc w:val="left"/>
      <w:pPr>
        <w:ind w:left="4320" w:hanging="360"/>
      </w:pPr>
      <w:rPr>
        <w:rFonts w:ascii="Wingdings" w:hAnsi="Wingdings" w:hint="default"/>
      </w:rPr>
    </w:lvl>
    <w:lvl w:ilvl="6" w:tplc="BE58D264" w:tentative="1">
      <w:start w:val="1"/>
      <w:numFmt w:val="bullet"/>
      <w:lvlText w:val=""/>
      <w:lvlJc w:val="left"/>
      <w:pPr>
        <w:ind w:left="5040" w:hanging="360"/>
      </w:pPr>
      <w:rPr>
        <w:rFonts w:ascii="Symbol" w:hAnsi="Symbol" w:hint="default"/>
      </w:rPr>
    </w:lvl>
    <w:lvl w:ilvl="7" w:tplc="DD967B5C" w:tentative="1">
      <w:start w:val="1"/>
      <w:numFmt w:val="bullet"/>
      <w:lvlText w:val="o"/>
      <w:lvlJc w:val="left"/>
      <w:pPr>
        <w:ind w:left="5760" w:hanging="360"/>
      </w:pPr>
      <w:rPr>
        <w:rFonts w:ascii="Courier New" w:hAnsi="Courier New" w:cs="Courier New" w:hint="default"/>
      </w:rPr>
    </w:lvl>
    <w:lvl w:ilvl="8" w:tplc="F89E718C" w:tentative="1">
      <w:start w:val="1"/>
      <w:numFmt w:val="bullet"/>
      <w:lvlText w:val=""/>
      <w:lvlJc w:val="left"/>
      <w:pPr>
        <w:ind w:left="6480" w:hanging="360"/>
      </w:pPr>
      <w:rPr>
        <w:rFonts w:ascii="Wingdings" w:hAnsi="Wingdings" w:hint="default"/>
      </w:rPr>
    </w:lvl>
  </w:abstractNum>
  <w:abstractNum w:abstractNumId="44" w15:restartNumberingAfterBreak="0">
    <w:nsid w:val="6F351A66"/>
    <w:multiLevelType w:val="hybridMultilevel"/>
    <w:tmpl w:val="14BE167C"/>
    <w:lvl w:ilvl="0" w:tplc="BA1C7A9E">
      <w:start w:val="1"/>
      <w:numFmt w:val="bullet"/>
      <w:lvlText w:val=""/>
      <w:lvlJc w:val="left"/>
      <w:pPr>
        <w:ind w:left="720" w:hanging="360"/>
      </w:pPr>
      <w:rPr>
        <w:rFonts w:ascii="Symbol" w:hAnsi="Symbol" w:hint="default"/>
      </w:rPr>
    </w:lvl>
    <w:lvl w:ilvl="1" w:tplc="5C5838B6" w:tentative="1">
      <w:start w:val="1"/>
      <w:numFmt w:val="bullet"/>
      <w:lvlText w:val="o"/>
      <w:lvlJc w:val="left"/>
      <w:pPr>
        <w:ind w:left="1440" w:hanging="360"/>
      </w:pPr>
      <w:rPr>
        <w:rFonts w:ascii="Courier New" w:hAnsi="Courier New" w:cs="Courier New" w:hint="default"/>
      </w:rPr>
    </w:lvl>
    <w:lvl w:ilvl="2" w:tplc="FCE218C4" w:tentative="1">
      <w:start w:val="1"/>
      <w:numFmt w:val="bullet"/>
      <w:lvlText w:val=""/>
      <w:lvlJc w:val="left"/>
      <w:pPr>
        <w:ind w:left="2160" w:hanging="360"/>
      </w:pPr>
      <w:rPr>
        <w:rFonts w:ascii="Wingdings" w:hAnsi="Wingdings" w:hint="default"/>
      </w:rPr>
    </w:lvl>
    <w:lvl w:ilvl="3" w:tplc="848C4FFA" w:tentative="1">
      <w:start w:val="1"/>
      <w:numFmt w:val="bullet"/>
      <w:lvlText w:val=""/>
      <w:lvlJc w:val="left"/>
      <w:pPr>
        <w:ind w:left="2880" w:hanging="360"/>
      </w:pPr>
      <w:rPr>
        <w:rFonts w:ascii="Symbol" w:hAnsi="Symbol" w:hint="default"/>
      </w:rPr>
    </w:lvl>
    <w:lvl w:ilvl="4" w:tplc="7D405C8C" w:tentative="1">
      <w:start w:val="1"/>
      <w:numFmt w:val="bullet"/>
      <w:lvlText w:val="o"/>
      <w:lvlJc w:val="left"/>
      <w:pPr>
        <w:ind w:left="3600" w:hanging="360"/>
      </w:pPr>
      <w:rPr>
        <w:rFonts w:ascii="Courier New" w:hAnsi="Courier New" w:cs="Courier New" w:hint="default"/>
      </w:rPr>
    </w:lvl>
    <w:lvl w:ilvl="5" w:tplc="B92093CA" w:tentative="1">
      <w:start w:val="1"/>
      <w:numFmt w:val="bullet"/>
      <w:lvlText w:val=""/>
      <w:lvlJc w:val="left"/>
      <w:pPr>
        <w:ind w:left="4320" w:hanging="360"/>
      </w:pPr>
      <w:rPr>
        <w:rFonts w:ascii="Wingdings" w:hAnsi="Wingdings" w:hint="default"/>
      </w:rPr>
    </w:lvl>
    <w:lvl w:ilvl="6" w:tplc="33828D66" w:tentative="1">
      <w:start w:val="1"/>
      <w:numFmt w:val="bullet"/>
      <w:lvlText w:val=""/>
      <w:lvlJc w:val="left"/>
      <w:pPr>
        <w:ind w:left="5040" w:hanging="360"/>
      </w:pPr>
      <w:rPr>
        <w:rFonts w:ascii="Symbol" w:hAnsi="Symbol" w:hint="default"/>
      </w:rPr>
    </w:lvl>
    <w:lvl w:ilvl="7" w:tplc="FD52F46C" w:tentative="1">
      <w:start w:val="1"/>
      <w:numFmt w:val="bullet"/>
      <w:lvlText w:val="o"/>
      <w:lvlJc w:val="left"/>
      <w:pPr>
        <w:ind w:left="5760" w:hanging="360"/>
      </w:pPr>
      <w:rPr>
        <w:rFonts w:ascii="Courier New" w:hAnsi="Courier New" w:cs="Courier New" w:hint="default"/>
      </w:rPr>
    </w:lvl>
    <w:lvl w:ilvl="8" w:tplc="7B722BF6" w:tentative="1">
      <w:start w:val="1"/>
      <w:numFmt w:val="bullet"/>
      <w:lvlText w:val=""/>
      <w:lvlJc w:val="left"/>
      <w:pPr>
        <w:ind w:left="6480" w:hanging="360"/>
      </w:pPr>
      <w:rPr>
        <w:rFonts w:ascii="Wingdings" w:hAnsi="Wingdings" w:hint="default"/>
      </w:rPr>
    </w:lvl>
  </w:abstractNum>
  <w:abstractNum w:abstractNumId="45" w15:restartNumberingAfterBreak="0">
    <w:nsid w:val="6F351A6D"/>
    <w:multiLevelType w:val="hybridMultilevel"/>
    <w:tmpl w:val="6CE4E562"/>
    <w:lvl w:ilvl="0" w:tplc="B6A8EEC0">
      <w:start w:val="1"/>
      <w:numFmt w:val="bullet"/>
      <w:lvlText w:val=""/>
      <w:lvlJc w:val="left"/>
      <w:pPr>
        <w:ind w:left="720" w:hanging="360"/>
      </w:pPr>
      <w:rPr>
        <w:rFonts w:ascii="Symbol" w:hAnsi="Symbol" w:hint="default"/>
      </w:rPr>
    </w:lvl>
    <w:lvl w:ilvl="1" w:tplc="DEB8C336">
      <w:start w:val="1"/>
      <w:numFmt w:val="bullet"/>
      <w:lvlText w:val="o"/>
      <w:lvlJc w:val="left"/>
      <w:pPr>
        <w:ind w:left="1440" w:hanging="360"/>
      </w:pPr>
      <w:rPr>
        <w:rFonts w:ascii="Courier New" w:hAnsi="Courier New" w:cs="Courier New" w:hint="default"/>
      </w:rPr>
    </w:lvl>
    <w:lvl w:ilvl="2" w:tplc="95B275C6">
      <w:start w:val="1"/>
      <w:numFmt w:val="bullet"/>
      <w:lvlText w:val=""/>
      <w:lvlJc w:val="left"/>
      <w:pPr>
        <w:ind w:left="2160" w:hanging="360"/>
      </w:pPr>
      <w:rPr>
        <w:rFonts w:ascii="Wingdings" w:hAnsi="Wingdings" w:hint="default"/>
      </w:rPr>
    </w:lvl>
    <w:lvl w:ilvl="3" w:tplc="AA5E42AE">
      <w:start w:val="1"/>
      <w:numFmt w:val="bullet"/>
      <w:lvlText w:val=""/>
      <w:lvlJc w:val="left"/>
      <w:pPr>
        <w:ind w:left="2880" w:hanging="360"/>
      </w:pPr>
      <w:rPr>
        <w:rFonts w:ascii="Symbol" w:hAnsi="Symbol" w:hint="default"/>
      </w:rPr>
    </w:lvl>
    <w:lvl w:ilvl="4" w:tplc="72E2DF18">
      <w:start w:val="1"/>
      <w:numFmt w:val="bullet"/>
      <w:lvlText w:val="o"/>
      <w:lvlJc w:val="left"/>
      <w:pPr>
        <w:ind w:left="3600" w:hanging="360"/>
      </w:pPr>
      <w:rPr>
        <w:rFonts w:ascii="Courier New" w:hAnsi="Courier New" w:cs="Courier New" w:hint="default"/>
      </w:rPr>
    </w:lvl>
    <w:lvl w:ilvl="5" w:tplc="5F90ADB6">
      <w:start w:val="1"/>
      <w:numFmt w:val="bullet"/>
      <w:lvlText w:val=""/>
      <w:lvlJc w:val="left"/>
      <w:pPr>
        <w:ind w:left="4320" w:hanging="360"/>
      </w:pPr>
      <w:rPr>
        <w:rFonts w:ascii="Wingdings" w:hAnsi="Wingdings" w:hint="default"/>
      </w:rPr>
    </w:lvl>
    <w:lvl w:ilvl="6" w:tplc="C582C62A">
      <w:start w:val="1"/>
      <w:numFmt w:val="bullet"/>
      <w:lvlText w:val=""/>
      <w:lvlJc w:val="left"/>
      <w:pPr>
        <w:ind w:left="5040" w:hanging="360"/>
      </w:pPr>
      <w:rPr>
        <w:rFonts w:ascii="Symbol" w:hAnsi="Symbol" w:hint="default"/>
      </w:rPr>
    </w:lvl>
    <w:lvl w:ilvl="7" w:tplc="AC12B730">
      <w:start w:val="1"/>
      <w:numFmt w:val="bullet"/>
      <w:lvlText w:val="o"/>
      <w:lvlJc w:val="left"/>
      <w:pPr>
        <w:ind w:left="5760" w:hanging="360"/>
      </w:pPr>
      <w:rPr>
        <w:rFonts w:ascii="Courier New" w:hAnsi="Courier New" w:cs="Courier New" w:hint="default"/>
      </w:rPr>
    </w:lvl>
    <w:lvl w:ilvl="8" w:tplc="62C0C4CE">
      <w:start w:val="1"/>
      <w:numFmt w:val="bullet"/>
      <w:lvlText w:val=""/>
      <w:lvlJc w:val="left"/>
      <w:pPr>
        <w:ind w:left="6480" w:hanging="360"/>
      </w:pPr>
      <w:rPr>
        <w:rFonts w:ascii="Wingdings" w:hAnsi="Wingdings" w:hint="default"/>
      </w:rPr>
    </w:lvl>
  </w:abstractNum>
  <w:abstractNum w:abstractNumId="46" w15:restartNumberingAfterBreak="0">
    <w:nsid w:val="6F351A70"/>
    <w:multiLevelType w:val="hybridMultilevel"/>
    <w:tmpl w:val="7A0489D2"/>
    <w:lvl w:ilvl="0" w:tplc="15A84938">
      <w:start w:val="1"/>
      <w:numFmt w:val="bullet"/>
      <w:lvlText w:val=""/>
      <w:lvlJc w:val="left"/>
      <w:pPr>
        <w:ind w:left="720" w:hanging="360"/>
      </w:pPr>
      <w:rPr>
        <w:rFonts w:ascii="Symbol" w:hAnsi="Symbol" w:hint="default"/>
      </w:rPr>
    </w:lvl>
    <w:lvl w:ilvl="1" w:tplc="6B34277E">
      <w:start w:val="1"/>
      <w:numFmt w:val="bullet"/>
      <w:lvlText w:val="o"/>
      <w:lvlJc w:val="left"/>
      <w:pPr>
        <w:ind w:left="1440" w:hanging="360"/>
      </w:pPr>
      <w:rPr>
        <w:rFonts w:ascii="Courier New" w:hAnsi="Courier New" w:cs="Courier New" w:hint="default"/>
      </w:rPr>
    </w:lvl>
    <w:lvl w:ilvl="2" w:tplc="74F431DE">
      <w:start w:val="1"/>
      <w:numFmt w:val="bullet"/>
      <w:lvlText w:val=""/>
      <w:lvlJc w:val="left"/>
      <w:pPr>
        <w:ind w:left="2160" w:hanging="360"/>
      </w:pPr>
      <w:rPr>
        <w:rFonts w:ascii="Wingdings" w:hAnsi="Wingdings" w:hint="default"/>
      </w:rPr>
    </w:lvl>
    <w:lvl w:ilvl="3" w:tplc="81E25848">
      <w:start w:val="1"/>
      <w:numFmt w:val="bullet"/>
      <w:lvlText w:val=""/>
      <w:lvlJc w:val="left"/>
      <w:pPr>
        <w:ind w:left="2880" w:hanging="360"/>
      </w:pPr>
      <w:rPr>
        <w:rFonts w:ascii="Symbol" w:hAnsi="Symbol" w:hint="default"/>
      </w:rPr>
    </w:lvl>
    <w:lvl w:ilvl="4" w:tplc="5B0EA004">
      <w:start w:val="1"/>
      <w:numFmt w:val="bullet"/>
      <w:lvlText w:val="o"/>
      <w:lvlJc w:val="left"/>
      <w:pPr>
        <w:ind w:left="3600" w:hanging="360"/>
      </w:pPr>
      <w:rPr>
        <w:rFonts w:ascii="Courier New" w:hAnsi="Courier New" w:cs="Courier New" w:hint="default"/>
      </w:rPr>
    </w:lvl>
    <w:lvl w:ilvl="5" w:tplc="41A828BE">
      <w:start w:val="1"/>
      <w:numFmt w:val="bullet"/>
      <w:lvlText w:val=""/>
      <w:lvlJc w:val="left"/>
      <w:pPr>
        <w:ind w:left="4320" w:hanging="360"/>
      </w:pPr>
      <w:rPr>
        <w:rFonts w:ascii="Wingdings" w:hAnsi="Wingdings" w:hint="default"/>
      </w:rPr>
    </w:lvl>
    <w:lvl w:ilvl="6" w:tplc="7786E11A">
      <w:start w:val="1"/>
      <w:numFmt w:val="bullet"/>
      <w:lvlText w:val=""/>
      <w:lvlJc w:val="left"/>
      <w:pPr>
        <w:ind w:left="5040" w:hanging="360"/>
      </w:pPr>
      <w:rPr>
        <w:rFonts w:ascii="Symbol" w:hAnsi="Symbol" w:hint="default"/>
      </w:rPr>
    </w:lvl>
    <w:lvl w:ilvl="7" w:tplc="4FC4A9DC">
      <w:start w:val="1"/>
      <w:numFmt w:val="bullet"/>
      <w:lvlText w:val="o"/>
      <w:lvlJc w:val="left"/>
      <w:pPr>
        <w:ind w:left="5760" w:hanging="360"/>
      </w:pPr>
      <w:rPr>
        <w:rFonts w:ascii="Courier New" w:hAnsi="Courier New" w:cs="Courier New" w:hint="default"/>
      </w:rPr>
    </w:lvl>
    <w:lvl w:ilvl="8" w:tplc="D4A2FE40">
      <w:start w:val="1"/>
      <w:numFmt w:val="bullet"/>
      <w:lvlText w:val=""/>
      <w:lvlJc w:val="left"/>
      <w:pPr>
        <w:ind w:left="6480" w:hanging="360"/>
      </w:pPr>
      <w:rPr>
        <w:rFonts w:ascii="Wingdings" w:hAnsi="Wingdings" w:hint="default"/>
      </w:rPr>
    </w:lvl>
  </w:abstractNum>
  <w:abstractNum w:abstractNumId="47" w15:restartNumberingAfterBreak="0">
    <w:nsid w:val="6FC76223"/>
    <w:multiLevelType w:val="hybridMultilevel"/>
    <w:tmpl w:val="2A682C6A"/>
    <w:lvl w:ilvl="0" w:tplc="E17286A0">
      <w:start w:val="1"/>
      <w:numFmt w:val="lowerLetter"/>
      <w:lvlText w:val="%1)"/>
      <w:lvlJc w:val="left"/>
      <w:pPr>
        <w:ind w:left="720" w:hanging="360"/>
      </w:pPr>
    </w:lvl>
    <w:lvl w:ilvl="1" w:tplc="1806FE34" w:tentative="1">
      <w:start w:val="1"/>
      <w:numFmt w:val="lowerLetter"/>
      <w:lvlText w:val="%2."/>
      <w:lvlJc w:val="left"/>
      <w:pPr>
        <w:ind w:left="1440" w:hanging="360"/>
      </w:pPr>
    </w:lvl>
    <w:lvl w:ilvl="2" w:tplc="BA8C452E" w:tentative="1">
      <w:start w:val="1"/>
      <w:numFmt w:val="lowerRoman"/>
      <w:lvlText w:val="%3."/>
      <w:lvlJc w:val="right"/>
      <w:pPr>
        <w:ind w:left="2160" w:hanging="180"/>
      </w:pPr>
    </w:lvl>
    <w:lvl w:ilvl="3" w:tplc="778820BA" w:tentative="1">
      <w:start w:val="1"/>
      <w:numFmt w:val="decimal"/>
      <w:lvlText w:val="%4."/>
      <w:lvlJc w:val="left"/>
      <w:pPr>
        <w:ind w:left="2880" w:hanging="360"/>
      </w:pPr>
    </w:lvl>
    <w:lvl w:ilvl="4" w:tplc="BFC46920" w:tentative="1">
      <w:start w:val="1"/>
      <w:numFmt w:val="lowerLetter"/>
      <w:lvlText w:val="%5."/>
      <w:lvlJc w:val="left"/>
      <w:pPr>
        <w:ind w:left="3600" w:hanging="360"/>
      </w:pPr>
    </w:lvl>
    <w:lvl w:ilvl="5" w:tplc="4A50724A" w:tentative="1">
      <w:start w:val="1"/>
      <w:numFmt w:val="lowerRoman"/>
      <w:lvlText w:val="%6."/>
      <w:lvlJc w:val="right"/>
      <w:pPr>
        <w:ind w:left="4320" w:hanging="180"/>
      </w:pPr>
    </w:lvl>
    <w:lvl w:ilvl="6" w:tplc="EF4E3E48" w:tentative="1">
      <w:start w:val="1"/>
      <w:numFmt w:val="decimal"/>
      <w:lvlText w:val="%7."/>
      <w:lvlJc w:val="left"/>
      <w:pPr>
        <w:ind w:left="5040" w:hanging="360"/>
      </w:pPr>
    </w:lvl>
    <w:lvl w:ilvl="7" w:tplc="C3900D8E" w:tentative="1">
      <w:start w:val="1"/>
      <w:numFmt w:val="lowerLetter"/>
      <w:lvlText w:val="%8."/>
      <w:lvlJc w:val="left"/>
      <w:pPr>
        <w:ind w:left="5760" w:hanging="360"/>
      </w:pPr>
    </w:lvl>
    <w:lvl w:ilvl="8" w:tplc="73AACE3A" w:tentative="1">
      <w:start w:val="1"/>
      <w:numFmt w:val="lowerRoman"/>
      <w:lvlText w:val="%9."/>
      <w:lvlJc w:val="right"/>
      <w:pPr>
        <w:ind w:left="6480" w:hanging="180"/>
      </w:pPr>
    </w:lvl>
  </w:abstractNum>
  <w:abstractNum w:abstractNumId="48" w15:restartNumberingAfterBreak="0">
    <w:nsid w:val="740BC42C"/>
    <w:multiLevelType w:val="multilevel"/>
    <w:tmpl w:val="160E8EBC"/>
    <w:lvl w:ilvl="0">
      <w:start w:val="1"/>
      <w:numFmt w:val="decimal"/>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180" w:hanging="180"/>
      </w:pPr>
      <w:rPr>
        <w:rFonts w:hint="default"/>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C342F4E"/>
    <w:multiLevelType w:val="multilevel"/>
    <w:tmpl w:val="E46A7BD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5"/>
  </w:num>
  <w:num w:numId="4">
    <w:abstractNumId w:val="6"/>
  </w:num>
  <w:num w:numId="5">
    <w:abstractNumId w:val="0"/>
  </w:num>
  <w:num w:numId="6">
    <w:abstractNumId w:val="18"/>
  </w:num>
  <w:num w:numId="7">
    <w:abstractNumId w:val="23"/>
  </w:num>
  <w:num w:numId="8">
    <w:abstractNumId w:val="4"/>
  </w:num>
  <w:num w:numId="9">
    <w:abstractNumId w:val="34"/>
  </w:num>
  <w:num w:numId="10">
    <w:abstractNumId w:val="20"/>
  </w:num>
  <w:num w:numId="11">
    <w:abstractNumId w:val="39"/>
  </w:num>
  <w:num w:numId="12">
    <w:abstractNumId w:val="2"/>
  </w:num>
  <w:num w:numId="13">
    <w:abstractNumId w:val="10"/>
  </w:num>
  <w:num w:numId="14">
    <w:abstractNumId w:val="22"/>
  </w:num>
  <w:num w:numId="15">
    <w:abstractNumId w:val="11"/>
  </w:num>
  <w:num w:numId="16">
    <w:abstractNumId w:val="13"/>
  </w:num>
  <w:num w:numId="17">
    <w:abstractNumId w:val="8"/>
  </w:num>
  <w:num w:numId="18">
    <w:abstractNumId w:val="9"/>
  </w:num>
  <w:num w:numId="19">
    <w:abstractNumId w:val="24"/>
  </w:num>
  <w:num w:numId="20">
    <w:abstractNumId w:val="38"/>
  </w:num>
  <w:num w:numId="21">
    <w:abstractNumId w:val="17"/>
  </w:num>
  <w:num w:numId="22">
    <w:abstractNumId w:val="31"/>
  </w:num>
  <w:num w:numId="23">
    <w:abstractNumId w:val="29"/>
  </w:num>
  <w:num w:numId="24">
    <w:abstractNumId w:val="35"/>
  </w:num>
  <w:num w:numId="25">
    <w:abstractNumId w:val="47"/>
  </w:num>
  <w:num w:numId="26">
    <w:abstractNumId w:val="27"/>
  </w:num>
  <w:num w:numId="27">
    <w:abstractNumId w:val="14"/>
  </w:num>
  <w:num w:numId="28">
    <w:abstractNumId w:val="37"/>
  </w:num>
  <w:num w:numId="29">
    <w:abstractNumId w:val="15"/>
  </w:num>
  <w:num w:numId="30">
    <w:abstractNumId w:val="33"/>
  </w:num>
  <w:num w:numId="31">
    <w:abstractNumId w:val="42"/>
  </w:num>
  <w:num w:numId="32">
    <w:abstractNumId w:val="43"/>
  </w:num>
  <w:num w:numId="33">
    <w:abstractNumId w:val="7"/>
  </w:num>
  <w:num w:numId="34">
    <w:abstractNumId w:val="19"/>
  </w:num>
  <w:num w:numId="35">
    <w:abstractNumId w:val="21"/>
  </w:num>
  <w:num w:numId="36">
    <w:abstractNumId w:val="44"/>
  </w:num>
  <w:num w:numId="37">
    <w:abstractNumId w:val="25"/>
  </w:num>
  <w:num w:numId="38">
    <w:abstractNumId w:val="28"/>
  </w:num>
  <w:num w:numId="39">
    <w:abstractNumId w:val="26"/>
  </w:num>
  <w:num w:numId="40">
    <w:abstractNumId w:val="16"/>
  </w:num>
  <w:num w:numId="41">
    <w:abstractNumId w:val="30"/>
  </w:num>
  <w:num w:numId="42">
    <w:abstractNumId w:val="12"/>
  </w:num>
  <w:num w:numId="43">
    <w:abstractNumId w:val="45"/>
  </w:num>
  <w:num w:numId="44">
    <w:abstractNumId w:val="36"/>
  </w:num>
  <w:num w:numId="45">
    <w:abstractNumId w:val="46"/>
  </w:num>
  <w:num w:numId="46">
    <w:abstractNumId w:val="32"/>
  </w:num>
  <w:num w:numId="47">
    <w:abstractNumId w:val="49"/>
  </w:num>
  <w:num w:numId="48">
    <w:abstractNumId w:val="40"/>
  </w:num>
  <w:num w:numId="49">
    <w:abstractNumId w:val="41"/>
  </w:num>
  <w:num w:numId="50">
    <w:abstractNumId w:val="48"/>
  </w:num>
  <w:num w:numId="51">
    <w:abstractNumId w:val="11"/>
  </w:num>
  <w:num w:numId="52">
    <w:abstractNumId w:val="13"/>
  </w:num>
  <w:num w:numId="53">
    <w:abstractNumId w:val="13"/>
  </w:num>
  <w:num w:numId="54">
    <w:abstractNumId w:val="13"/>
  </w:num>
  <w:num w:numId="55">
    <w:abstractNumId w:val="13"/>
  </w:num>
  <w:num w:numId="56">
    <w:abstractNumId w:val="13"/>
  </w:num>
  <w:num w:numId="57">
    <w:abstractNumId w:val="13"/>
  </w:num>
  <w:num w:numId="58">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907"/>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1:51:04&lt;/DYNAMIZEDON&gt;&lt;LASTUPDATEDBY&gt;kythrst&lt;/LASTUPDATEDBY&gt;&lt;LASTUPDATEDON&gt;6/16/2020 2:21:49 PM&lt;/LASTUPDATEDON&gt;&lt;UTC&gt;1&lt;/UTC&gt;&lt;/UPDATE&gt;&lt;QUERIES bbk=&quot;17213&quot; bbkdesc=&quot;2019 Annual Accounts/EU Annual Accounts/DC - Balance Sheet&quot; datapro=&quot;BIP_BS&quot; tdatapro=&quot;BIP_BS&quot; author=&quot;&quot; modtime=&quot;6/16/2020 2:21:45 PM&quot; moduser=&quot;kythrst&quot; rolluptime=&quot;&quot; syuser=&quot;kythrst&quot; syuzeit=&quot;6/16/2020 2:21:45 PM&quot; root=&quot;/BBOOK/DATAPROVIDER[./META/PROPS/ID='BIP_BS']/DATA&quot; colcount=&quot;4&quot; rowcount=&quot;37&quot; url=&quot;&quot; dynamizeds=&quot;SAP Disclosure Management - Production&quot; dynamizedstype=&quot;9&quot; refreshds=&quot;&quot; viewtype=&quot;1&quot;&gt;&lt;QUERY reftype=&quot;ABS&quot; elmntsel=&quot;TABLE&quot; bbk=&quot;17213&quot; bbkdesc=&quot;2019 Annual Accounts/EU Annual Accounts/DC - Balance Sheet&quot; datapro=&quot;BIP_BS&quot; infos=&quot;&quot; iscomment=&quot;0&quot;&gt;&lt;SELECT&gt;/BBOOK/DATAPROVIDER[./META/PROPS/ID='BIP_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03:47&lt;/DYNAMIZEDON&gt;&lt;LASTUPDATEDBY&gt;Ruberla&lt;/LASTUPDATEDBY&gt;&lt;LASTUPDATEDON&gt;6/11/2020 4:58:06 PM&lt;/LASTUPDATEDON&gt;&lt;UTC&gt;1&lt;/UTC&gt;&lt;/UPDATE&gt;&lt;QUERIES bbk=&quot;17229&quot; bbkdesc=&quot;2019 Annual Accounts/EU Annual Accounts/DC - Statement of Financial Performance&quot; datapro=&quot;BIP_SOFP&quot; tdatapro=&quot;BIP_SOFP&quot; author=&quot;&quot; modtime=&quot;6/9/2020 8:52:51 AM&quot; moduser=&quot;Ruberla&quot; rolluptime=&quot;&quot; syuser=&quot;Ruberla&quot; syuzeit=&quot;6/9/2020 8:52:51 AM&quot; root=&quot;/BBOOK/DATAPROVIDER[./META/PROPS/ID='BIP_SOFP']/DATA&quot; colcount=&quot;4&quot; rowcount=&quot;32&quot; url=&quot;&quot; dynamizeds=&quot;SAP Disclosure Management - Production&quot; dynamizedstype=&quot;9&quot; refreshds=&quot;&quot; viewtype=&quot;1&quot;&gt;&lt;QUERY reftype=&quot;ABS&quot; elmntsel=&quot;TABLE&quot; bbk=&quot;17229&quot; bbkdesc=&quot;2019 Annual Accounts/EU Annual Accounts/DC - Statement of Financial Performance&quot; datapro=&quot;BIP_SOFP&quot; infos=&quot;&quot; iscomment=&quot;0&quot;&gt;&lt;SELECT&gt;/BBOOK/DATAPROVIDER[./META/PROPS/ID='BIP_SO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16:26&lt;/DYNAMIZEDON&gt;&lt;LASTUPDATEDBY&gt;kythrst&lt;/LASTUPDATEDBY&gt;&lt;LASTUPDATEDON&gt;6/16/2020 2:23:11 PM&lt;/LASTUPDATEDON&gt;&lt;UTC&gt;1&lt;/UTC&gt;&lt;/UPDATE&gt;&lt;QUERIES bbk=&quot;17230&quot; bbkdesc=&quot;2019 Annual Accounts/EU Annual Accounts/DC - Cashflow statement&quot; datapro=&quot;BIP_CF&quot; tdatapro=&quot;BIP_CF&quot; author=&quot;&quot; modtime=&quot;6/16/2020 2:23:03 PM&quot; moduser=&quot;kythrst&quot; rolluptime=&quot;&quot; syuser=&quot;kythrst&quot; syuzeit=&quot;6/16/2020 2:23:03 PM&quot; root=&quot;/BBOOK/DATAPROVIDER[./META/PROPS/ID='BIP_CF']/DATA&quot; colcount=&quot;3&quot; rowcount=&quot;28&quot; url=&quot;&quot; dynamizeds=&quot;SAP Disclosure Management - Production&quot; dynamizedstype=&quot;9&quot; refreshds=&quot;&quot; viewtype=&quot;1&quot;&gt;&lt;QUERY reftype=&quot;ABS&quot; elmntsel=&quot;TABLE&quot; bbk=&quot;17230&quot; bbkdesc=&quot;2019 Annual Accounts/EU Annual Accounts/DC - Cashflow statement&quot; datapro=&quot;BIP_CF&quot; infos=&quot;&quot; iscomment=&quot;0&quot;&gt;&lt;SELECT&gt;/BBOOK/DATAPROVIDER[./META/PROPS/ID='BIP_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24:25&lt;/DYNAMIZEDON&gt;&lt;LASTUPDATEDBY&gt;Ruberla&lt;/LASTUPDATEDBY&gt;&lt;LASTUPDATEDON&gt;6/11/2020 4:58:06 PM&lt;/LASTUPDATEDON&gt;&lt;UTC&gt;1&lt;/UTC&gt;&lt;/UPDATE&gt;&lt;QUERIES bbk=&quot;17201&quot; bbkdesc=&quot;2019 Annual Accounts/EU Annual Accounts/DC - Statement of changes in net assets EU&quot; datapro=&quot;BIP_SCNA&quot; tdatapro=&quot;BIP_SCNA&quot; author=&quot;&quot; modtime=&quot;6/8/2020 1:16:04 PM&quot; moduser=&quot;kythrst&quot; rolluptime=&quot;&quot; syuser=&quot;kythrst&quot; syuzeit=&quot;6/8/2020 1:16:04 PM&quot; root=&quot;/BBOOK/DATAPROVIDER[./META/PROPS/ID='BIP_SCNA']/DATA&quot; colcount=&quot;5&quot; rowcount=&quot;17&quot; url=&quot;&quot; dynamizeds=&quot;SAP Disclosure Management - Production&quot; dynamizedstype=&quot;9&quot; refreshds=&quot;&quot; viewtype=&quot;1&quot;&gt;&lt;QUERY reftype=&quot;ABS&quot; elmntsel=&quot;TABLE&quot; bbk=&quot;17201&quot; bbkdesc=&quot;2019 Annual Accounts/EU Annual Accounts/DC - Statement of changes in net assets EU&quot; datapro=&quot;BIP_SCNA&quot; infos=&quot;&quot; iscomment=&quot;0&quot;&gt;&lt;SELECT&gt;/BBOOK/DATAPROVIDER[./META/PROPS/ID='BIP_S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7/30/2019 11:27:04 AM&lt;/DYNAMIZEDON&gt;&lt;LASTUPDATEDBY&gt;kythrst&lt;/LASTUPDATEDBY&gt;&lt;LASTUPDATEDON&gt;6/16/2020 2:24:48 PM&lt;/LASTUPDATEDON&gt;&lt;UTC&gt;1&lt;/UTC&gt;&lt;/UPDATE&gt;&lt;QUERIES bbk=&quot;17185&quot; bbkdesc=&quot;2019 Annual Accounts/EU Annual Accounts/DC - Currency table and Deprec. Rates&quot; datapro=&quot;BIP_CURR&quot; tdatapro=&quot;BIP_CURR&quot; author=&quot;&quot; modtime=&quot;6/16/2020 2:23:22 PM&quot; moduser=&quot;kythrst&quot; rolluptime=&quot;&quot; syuser=&quot;kythrst&quot; syuzeit=&quot;6/16/2020 2:23:22 P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quot; datapro=&quot;BIP_CURR&quot; infos=&quot;&quot; iscomment=&quot;0&quot;&gt;&lt;SELECT&gt;/BBOOK/DATAPROVIDER[./META/PROPS/ID='BIP_CURR']/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ruberla&lt;/DYNAMIZEDBY&gt;&lt;DYNAMIZEDON&gt;24-01-2020 12:26:20&lt;/DYNAMIZEDON&gt;&lt;LASTUPDATEDBY&gt;kythrst&lt;/LASTUPDATEDBY&gt;&lt;LASTUPDATEDON&gt;6/16/2020 2:24:48 PM&lt;/LASTUPDATEDON&gt;&lt;UTC&gt;1&lt;/UTC&gt;&lt;/UPDATE&gt;&lt;QUERIES bbk=&quot;17185&quot; bbkdesc=&quot;2019 Annual Accounts/EU Annual Accounts/DC - Currency table and Deprec. Rates&quot; datapro=&quot;BIP_DR&quot; tdatapro=&quot;BIP_DR&quot; author=&quot;&quot; modtime=&quot;6/16/2020 2:23:22 PM&quot; moduser=&quot;kythrst&quot; rolluptime=&quot;&quot; syuser=&quot;kythrst&quot; syuzeit=&quot;6/16/2020 2:23:22 PM&quot; root=&quot;/BBOOK/DATAPROVIDER[./META/PROPS/ID='BIP_DR']/DATA&quot; colcount=&quot;2&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quot; infos=&quot;&quot; iscomment=&quot;0&quot;&gt;&lt;SELECT&gt;/BBOOK/DATAPROVIDER[./META/PROPS/ID='BIP_DR']/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7:09&lt;/DYNAMIZEDON&gt;&lt;LASTUPDATEDBY&gt;kythrst&lt;/LASTUPDATEDBY&gt;&lt;LASTUPDATEDON&gt;6/16/2020 2:22:04 PM&lt;/LASTUPDATEDON&gt;&lt;UTC&gt;1&lt;/UTC&gt;&lt;/UPDATE&gt;&lt;QUERIES bbk=&quot;17202&quot; bbkdesc=&quot;2019 Annual Accounts/EU Annual Accounts/DC - Intangible assets and PPE&quot; datapro=&quot;BIP_INFA&quot; tdatapro=&quot;BIP_INFA&quot; author=&quot;&quot; modtime=&quot;6/16/2020 2:22:00 PM&quot; moduser=&quot;kythrst&quot; rolluptime=&quot;&quot; syuser=&quot;kythrst&quot; syuzeit=&quot;6/16/2020 2:22:00 PM&quot; root=&quot;/BBOOK/DATAPROVIDER[./META/PROPS/ID='BIP_INFA']/DATA&quot; colcount=&quot;2&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INFA&quot; infos=&quot;&quot; iscomment=&quot;0&quot;&gt;&lt;SELECT&gt;/BBOOK/DATAPROVIDER[./META/PROPS/ID='BIP_IN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8:24&lt;/DYNAMIZEDON&gt;&lt;LASTUPDATEDBY&gt;kythrst&lt;/LASTUPDATEDBY&gt;&lt;LASTUPDATEDON&gt;6/16/2020 2:22:04 PM&lt;/LASTUPDATEDON&gt;&lt;UTC&gt;1&lt;/UTC&gt;&lt;/UPDATE&gt;&lt;QUERIES bbk=&quot;17202&quot; bbkdesc=&quot;2019 Annual Accounts/EU Annual Accounts/DC - Intangible assets and PPE&quot; datapro=&quot;BIP_EUPPE&quot; tdatapro=&quot;BIP_EUPPE&quot; author=&quot;&quot; modtime=&quot;6/16/2020 2:22:00 PM&quot; moduser=&quot;kythrst&quot; rolluptime=&quot;&quot; syuser=&quot;kythrst&quot; syuzeit=&quot;6/16/2020 2:22:00 PM&quot; root=&quot;/BBOOK/DATAPROVIDER[./META/PROPS/ID='BIP_EUPPE']/DATA&quot; colcount=&quot;10&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EUPPE&quot; infos=&quot;&quot; iscomment=&quot;0&quot;&gt;&lt;SELECT&gt;/BBOOK/DATAPROVIDER[./META/PROPS/ID='BIP_EU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0:1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1&quot; tdatapro=&quot;BIP_PARTASS1&quot; author=&quot;&quot; modtime=&quot;6/4/2020 3:29:38 PM&quot; moduser=&quot;kythrst&quot; rolluptime=&quot;&quot; syuser=&quot;kythrst&quot; syuzeit=&quot;6/4/2020 3:29:38 PM&quot; root=&quot;/BBOOK/DATAPROVIDER[./META/PROPS/ID='BIP_PARTASS1']/DATA&quot; colcount=&quot;2&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1&quot; infos=&quot;&quot; iscomment=&quot;0&quot;&gt;&lt;SELECT&gt;/BBOOK/DATAPROVIDER[./META/PROPS/ID='BIP_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4:0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2&quot; tdatapro=&quot;BIP_PARTASS2&quot; author=&quot;&quot; modtime=&quot;6/4/2020 3:29:38 PM&quot; moduser=&quot;kythrst&quot; rolluptime=&quot;&quot; syuser=&quot;kythrst&quot; syuzeit=&quot;6/4/2020 3:29:38 PM&quot; root=&quot;/BBOOK/DATAPROVIDER[./META/PROPS/ID='BIP_PARTASS2']/DATA&quot; colcount=&quot;3&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2&quot; infos=&quot;&quot; iscomment=&quot;0&quot;&gt;&lt;SELECT&gt;/BBOOK/DATAPROVIDER[./META/PROPS/ID='BIP_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9:55&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2&quot; tdatapro=&quot;BIP_EIF2&quot; author=&quot;&quot; modtime=&quot;6/4/2020 3:29:38 PM&quot; moduser=&quot;kythrst&quot; rolluptime=&quot;&quot; syuser=&quot;kythrst&quot; syuzeit=&quot;6/4/2020 3:29:38 PM&quot; root=&quot;/BBOOK/DATAPROVIDER[./META/PROPS/ID='BIP_EIF2']/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2&quot; infos=&quot;&quot; iscomment=&quot;0&quot;&gt;&lt;SELECT&gt;/BBOOK/DATAPROVIDER[./META/PROPS/ID='BIP_EIF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40:56&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1&quot; tdatapro=&quot;BIP_EIF1&quot; author=&quot;&quot; modtime=&quot;6/4/2020 3:29:38 PM&quot; moduser=&quot;kythrst&quot; rolluptime=&quot;&quot; syuser=&quot;kythrst&quot; syuzeit=&quot;6/4/2020 3:29:38 PM&quot; root=&quot;/BBOOK/DATAPROVIDER[./META/PROPS/ID='BIP_EIF1']/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1&quot; infos=&quot;&quot; iscomment=&quot;0&quot;&gt;&lt;SELECT&gt;/BBOOK/DATAPROVIDER[./META/PROPS/ID='BIP_EIF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6:44&lt;/DYNAMIZEDON&gt;&lt;LASTUPDATEDBY&gt;kythrst&lt;/LASTUPDATEDBY&gt;&lt;LASTUPDATEDON&gt;6/16/2020 2:21:42 PM&lt;/LASTUPDATEDON&gt;&lt;UTC&gt;1&lt;/UTC&gt;&lt;/UPDATE&gt;&lt;QUERIES bbk=&quot;17240&quot; bbkdesc=&quot;2019 Annual Accounts/EU Annual Accounts/DC - Financial assets&quot; datapro=&quot;BIP_FINA&quot; tdatapro=&quot;BIP_FINA&quot; author=&quot;&quot; modtime=&quot;6/16/2020 2:21:37 PM&quot; moduser=&quot;kythrst&quot; rolluptime=&quot;&quot; syuser=&quot;kythrst&quot; syuzeit=&quot;6/16/2020 2:21:37 PM&quot; root=&quot;/BBOOK/DATAPROVIDER[./META/PROPS/ID='BIP_FINA']/DATA&quot; colcount=&quot;4&quot; rowcount=&quot;13&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INA&quot; infos=&quot;&quot; iscomment=&quot;0&quot;&gt;&lt;SELECT&gt;/BBOOK/DATAPROVIDER[./META/PROPS/ID='BIP_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7:54&lt;/DYNAMIZEDON&gt;&lt;LASTUPDATEDBY&gt;kythrst&lt;/LASTUPDATEDBY&gt;&lt;LASTUPDATEDON&gt;6/16/2020 2:21:43 PM&lt;/LASTUPDATEDON&gt;&lt;UTC&gt;1&lt;/UTC&gt;&lt;/UPDATE&gt;&lt;QUERIES bbk=&quot;17240&quot; bbkdesc=&quot;2019 Annual Accounts/EU Annual Accounts/DC - Financial assets&quot; datapro=&quot;BIP_AFS&quot; tdatapro=&quot;BIP_AFS&quot; author=&quot;&quot; modtime=&quot;6/16/2020 2:21:37 PM&quot; moduser=&quot;kythrst&quot; rolluptime=&quot;&quot; syuser=&quot;kythrst&quot; syuzeit=&quot;6/16/2020 2:21:37 PM&quot; root=&quot;/BBOOK/DATAPROVIDER[./META/PROPS/ID='BIP_AFS']/DATA&quot; colcount=&quot;3&quot; rowcount=&quot;2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AFS&quot; infos=&quot;&quot; iscomment=&quot;0&quot;&gt;&lt;SELECT&gt;/BBOOK/DATAPROVIDER[./META/PROPS/ID='BIP_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00:18&lt;/DYNAMIZEDON&gt;&lt;LASTUPDATEDBY&gt;kythrst&lt;/LASTUPDATEDBY&gt;&lt;LASTUPDATEDON&gt;6/16/2020 2:21:42 PM&lt;/LASTUPDATEDON&gt;&lt;UTC&gt;1&lt;/UTC&gt;&lt;/UPDATE&gt;&lt;QUERIES bbk=&quot;17240&quot; bbkdesc=&quot;2019 Annual Accounts/EU Annual Accounts/DC - Financial assets&quot; datapro=&quot;BIP_FAFVTSD&quot; tdatapro=&quot;BIP_FAFVTSD&quot; author=&quot;&quot; modtime=&quot;6/16/2020 2:21:37 PM&quot; moduser=&quot;kythrst&quot; rolluptime=&quot;&quot; syuser=&quot;kythrst&quot; syuzeit=&quot;6/16/2020 2:21:37 PM&quot; root=&quot;/BBOOK/DATAPROVIDER[./META/PROPS/ID='BIP_FAFVTSD']/DATA&quot; colcount=&quot;5&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AFVTSD&quot; infos=&quot;&quot; iscomment=&quot;0&quot;&gt;&lt;SELECT&gt;/BBOOK/DATAPROVIDER[./META/PROPS/ID='BIP_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3:17&lt;/DYNAMIZEDON&gt;&lt;LASTUPDATEDBY&gt;kythrst&lt;/LASTUPDATEDBY&gt;&lt;LASTUPDATEDON&gt;6/16/2020 2:21:42 PM&lt;/LASTUPDATEDON&gt;&lt;UTC&gt;1&lt;/UTC&gt;&lt;/UPDATE&gt;&lt;QUERIES bbk=&quot;17240&quot; bbkdesc=&quot;2019 Annual Accounts/EU Annual Accounts/DC - Financial assets&quot; datapro=&quot;BIP_FVH&quot; tdatapro=&quot;BIP_FVH&quot; author=&quot;&quot; modtime=&quot;6/16/2020 2:21:37 PM&quot; moduser=&quot;kythrst&quot; rolluptime=&quot;&quot; syuser=&quot;kythrst&quot; syuzeit=&quot;6/16/2020 2:21: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VH&quot; infos=&quot;&quot; iscomment=&quot;0&quot;&gt;&lt;SELECT&gt;/BBOOK/DATAPROVIDER[./META/PROPS/ID='BIP_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6:39&lt;/DYNAMIZEDON&gt;&lt;LASTUPDATEDBY&gt;kythrst&lt;/LASTUPDATEDBY&gt;&lt;LASTUPDATEDON&gt;6/16/2020 2:21:42 PM&lt;/LASTUPDATEDON&gt;&lt;UTC&gt;1&lt;/UTC&gt;&lt;/UPDATE&gt;&lt;QUERIES bbk=&quot;16545&quot; bbkdesc=&quot;2019 Annual Accounts/EC Annual Accounts/DC - Financial assets&quot; datapro=&quot;BIP_RECOFINA&quot; tdatapro=&quot;BIP_RECOFINA&quot; author=&quot;&quot; modtime=&quot;6/16/2020 2:16:58 PM&quot; moduser=&quot;kythrst&quot; rolluptime=&quot;&quot; syuser=&quot;kythrst&quot; syuzeit=&quot;6/16/2020 2:16:58 PM&quot; root=&quot;/BBOOK/DATAPROVIDER[./META/PROPS/ID='BIP_RECOFINA']/DATA&quot; colcount=&quot;2&quot; rowcount=&quot;10&quot; url=&quot;&quot; dynamizeds=&quot;SAP Disclosure Management - Production&quot; dynamizedstype=&quot;9&quot; refreshds=&quot;&quot; viewtype=&quot;1&quot;&gt;&lt;QUERY reftype=&quot;ABS&quot; elmntsel=&quot;TABLE&quot; bbk=&quot;16545&quot; bbkdesc=&quot;2019 Annual Accounts/EC Annual Accounts/DC - Financial assets&quot; datapro=&quot;BIP_RECOFINA&quot; infos=&quot;&quot; iscomment=&quot;0&quot;&gt;&lt;SELECT&gt;/BBOOK/DATAPROVIDER[./META/PROPS/ID='BIP_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08:35&lt;/DYNAMIZEDON&gt;&lt;LASTUPDATEDBY&gt;kythrst&lt;/LASTUPDATEDBY&gt;&lt;LASTUPDATEDON&gt;6/16/2020 2:21:42 PM&lt;/LASTUPDATEDON&gt;&lt;UTC&gt;1&lt;/UTC&gt;&lt;/UPDATE&gt;&lt;QUERIES bbk=&quot;17240&quot; bbkdesc=&quot;2019 Annual Accounts/EU Annual Accounts/DC - Financial assets&quot; datapro=&quot;BIP_LO&quot; tdatapro=&quot;BIP_LO&quot; author=&quot;&quot; modtime=&quot;6/16/2020 2:21:37 PM&quot; moduser=&quot;kythrst&quot; rolluptime=&quot;&quot; syuser=&quot;kythrst&quot; syuzeit=&quot;6/16/2020 2:21:37 PM&quot; root=&quot;/BBOOK/DATAPROVIDER[./META/PROPS/ID='BIP_LO']/DATA&quot; colcount=&quot;4&quot; rowcount=&quot;7&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quot; infos=&quot;&quot; iscomment=&quot;0&quot;&gt;&lt;SELECT&gt;/BBOOK/DATAPROVIDER[./META/PROPS/ID='BIP_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9:36&lt;/DYNAMIZEDON&gt;&lt;LASTUPDATEDBY&gt;kythrst&lt;/LASTUPDATEDBY&gt;&lt;LASTUPDATEDON&gt;6/16/2020 2:21:42 PM&lt;/LASTUPDATEDON&gt;&lt;UTC&gt;1&lt;/UTC&gt;&lt;/UPDATE&gt;&lt;QUERIES bbk=&quot;17240&quot; bbkdesc=&quot;2019 Annual Accounts/EU Annual Accounts/DC - Financial assets&quot; datapro=&quot;BIP_LGFBF&quot; tdatapro=&quot;BIP_LGFBF&quot; author=&quot;&quot; modtime=&quot;6/16/2020 2:21:37 PM&quot; moduser=&quot;kythrst&quot; rolluptime=&quot;&quot; syuser=&quot;kythrst&quot; syuzeit=&quot;6/16/2020 2:21:37 PM&quot; root=&quot;/BBOOK/DATAPROVIDER[./META/PROPS/ID='BIP_LGFBF']/DATA&quot; colcount=&quot;7&quot; rowcount=&quot;11&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GFBF&quot; infos=&quot;&quot; iscomment=&quot;0&quot;&gt;&lt;SELECT&gt;/BBOOK/DATAPROVIDER[./META/PROPS/ID='BIP_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1:47&lt;/DYNAMIZEDON&gt;&lt;LASTUPDATEDBY&gt;kythrst&lt;/LASTUPDATEDBY&gt;&lt;LASTUPDATEDON&gt;6/16/2020 2:21:42 PM&lt;/LASTUPDATEDON&gt;&lt;UTC&gt;1&lt;/UTC&gt;&lt;/UPDATE&gt;&lt;QUERIES bbk=&quot;17240&quot; bbkdesc=&quot;2019 Annual Accounts/EU Annual Accounts/DC - Financial assets&quot; datapro=&quot;BIP_BORR2&quot; tdatapro=&quot;BIP_BORR2&quot; author=&quot;&quot; modtime=&quot;6/16/2020 2:21:37 PM&quot; moduser=&quot;kythrst&quot; rolluptime=&quot;&quot; syuser=&quot;kythrst&quot; syuzeit=&quot;6/16/2020 2:21:37 PM&quot; root=&quot;/BBOOK/DATAPROVIDER[./META/PROPS/ID='BIP_BORR2']/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BORR2&quot; infos=&quot;&quot; iscomment=&quot;0&quot;&gt;&lt;SELECT&gt;/BBOOK/DATAPROVIDER[./META/PROPS/ID='BIP_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13:12&lt;/DYNAMIZEDON&gt;&lt;LASTUPDATEDBY&gt;kythrst&lt;/LASTUPDATEDBY&gt;&lt;LASTUPDATEDON&gt;6/16/2020 2:21:42 PM&lt;/LASTUPDATEDON&gt;&lt;UTC&gt;1&lt;/UTC&gt;&lt;/UPDATE&gt;&lt;QUERIES bbk=&quot;17240&quot; bbkdesc=&quot;2019 Annual Accounts/EU Annual Accounts/DC - Financial assets&quot; datapro=&quot;BIP_LOBUDG&quot; tdatapro=&quot;BIP_LOBUDG&quot; author=&quot;&quot; modtime=&quot;6/16/2020 2:21:37 PM&quot; moduser=&quot;kythrst&quot; rolluptime=&quot;&quot; syuser=&quot;kythrst&quot; syuzeit=&quot;6/16/2020 2:21:37 PM&quot; root=&quot;/BBOOK/DATAPROVIDER[./META/PROPS/ID='BIP_LOBUDG']/DATA&quot; colcount=&quot;3&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BUDG&quot; infos=&quot;&quot; iscomment=&quot;0&quot;&gt;&lt;SELECT&gt;/BBOOK/DATAPROVIDER[./META/PROPS/ID='BIP_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14:05&lt;/DYNAMIZEDON&gt;&lt;LASTUPDATEDBY&gt;kythrst&lt;/LASTUPDATEDBY&gt;&lt;LASTUPDATEDON&gt;6/16/2020 2:21:42 PM&lt;/LASTUPDATEDON&gt;&lt;UTC&gt;1&lt;/UTC&gt;&lt;/UPDATE&gt;&lt;QUERIES bbk=&quot;17240&quot; bbkdesc=&quot;2019 Annual Accounts/EU Annual Accounts/DC - Financial assets&quot; datapro=&quot;BIP_IMP&quot; tdatapro=&quot;BIP_IMP&quot; author=&quot;&quot; modtime=&quot;6/16/2020 2:21:37 PM&quot; moduser=&quot;kythrst&quot; rolluptime=&quot;&quot; syuser=&quot;kythrst&quot; syuzeit=&quot;6/16/2020 2:21:37 PM&quot; root=&quot;/BBOOK/DATAPROVIDER[./META/PROPS/ID='BIP_IMP']/DATA&quot; colcount=&quot;7&quot; rowcount=&quot;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IMP&quot; infos=&quot;&quot; iscomment=&quot;0&quot;&gt;&lt;SELECT&gt;/BBOOK/DATAPROVIDER[./META/PROPS/ID='BIP_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13:00&lt;/DYNAMIZEDON&gt;&lt;LASTUPDATEDBY&gt;Ruberla&lt;/LASTUPDATEDBY&gt;&lt;LASTUPDATEDON&gt;6/11/2020 4:58:01 PM&lt;/LASTUPDATEDON&gt;&lt;UTC&gt;1&lt;/UTC&gt;&lt;/UPDATE&gt;&lt;QUERIES bbk=&quot;17241&quot; bbkdesc=&quot;2019 Annual Accounts/EU Annual Accounts/DC - Pre-financing&quot; datapro=&quot;BIP_PF&quot; tdatapro=&quot;BIP_PF&quot; author=&quot;&quot; modtime=&quot;6/10/2020 2:58:02 PM&quot; moduser=&quot;Ruberla&quot; rolluptime=&quot;&quot; syuser=&quot;Ruberla&quot; syuzeit=&quot;6/10/2020 2:58:02 PM&quot; root=&quot;/BBOOK/DATAPROVIDER[./META/PROPS/ID='BIP_PF']/DATA&quot; colcount=&quot;4&quot; rowcount=&quot;12&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quot; infos=&quot;&quot; iscomment=&quot;0&quot;&gt;&lt;SELECT&gt;/BBOOK/DATAPROVIDER[./META/PROPS/ID='BIP_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8/09/2019 08:02:06&lt;/DYNAMIZEDON&gt;&lt;LASTUPDATEDBY&gt;Ruberla&lt;/LASTUPDATEDBY&gt;&lt;LASTUPDATEDON&gt;6/11/2020 4:58:01 PM&lt;/LASTUPDATEDON&gt;&lt;UTC&gt;1&lt;/UTC&gt;&lt;/UPDATE&gt;&lt;QUERIES bbk=&quot;17241&quot; bbkdesc=&quot;2019 Annual Accounts/EU Annual Accounts/DC - Pre-financing&quot; datapro=&quot;BIP_PFD&quot; tdatapro=&quot;BIP_PFD&quot; author=&quot;&quot; modtime=&quot;6/10/2020 2:58:02 PM&quot; moduser=&quot;Ruberla&quot; rolluptime=&quot;&quot; syuser=&quot;Ruberla&quot; syuzeit=&quot;6/10/2020 2:58:02 PM&quot; root=&quot;/BBOOK/DATAPROVIDER[./META/PROPS/ID='BIP_PFD']/DATA&quot; colcount=&quot;7&quot; rowcount=&quot;24&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D&quot; infos=&quot;&quot; iscomment=&quot;0&quot;&gt;&lt;SELECT&gt;/BBOOK/DATAPROVIDER[./META/PROPS/ID='BIP_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20:58&lt;/DYNAMIZEDON&gt;&lt;LASTUPDATEDBY&gt;Ruberla&lt;/LASTUPDATEDBY&gt;&lt;LASTUPDATEDON&gt;6/11/2020 4:58:01 PM&lt;/LASTUPDATEDON&gt;&lt;UTC&gt;1&lt;/UTC&gt;&lt;/UPDATE&gt;&lt;QUERIES bbk=&quot;16547&quot; bbkdesc=&quot;2019 Annual Accounts/EC Annual Accounts/DC - Pre-financing&quot; datapro=&quot;BIP_FEIAS&quot; tdatapro=&quot;BIP_FEIAS&quot; author=&quot;&quot; modtime=&quot;6/4/2020 3:30:58 PM&quot; moduser=&quot;kythrst&quot; rolluptime=&quot;&quot; syuser=&quot;kythrst&quot; syuzeit=&quot;6/4/2020 3:30:58 PM&quot; root=&quot;/BBOOK/DATAPROVIDER[./META/PROPS/ID='BIP_FEIAS']/DATA&quot; colcount=&quot;3&quot; rowcount=&quot;7&quot; url=&quot;&quot; dynamizeds=&quot;SAP Disclosure Management - Production&quot; dynamizedstype=&quot;9&quot; refreshds=&quot;&quot; viewtype=&quot;1&quot;&gt;&lt;QUERY reftype=&quot;ABS&quot; elmntsel=&quot;TABLE&quot; bbk=&quot;16547&quot; bbkdesc=&quot;2019 Annual Accounts/EC Annual Accounts/DC - Pre-financing&quot; datapro=&quot;BIP_FEIAS&quot; infos=&quot;&quot; iscomment=&quot;0&quot;&gt;&lt;SELECT&gt;/BBOOK/DATAPROVIDER[./META/PROPS/ID='BIP_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8:10&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ERNER&quot; tdatapro=&quot;BIP_ERNER&quot; author=&quot;&quot; modtime=&quot;6/16/2020 2:23:23 PM&quot; moduser=&quot;kythrst&quot; rolluptime=&quot;&quot; syuser=&quot;kythrst&quot; syuzeit=&quot;6/16/2020 2:23:23 PM&quot; root=&quot;/BBOOK/DATAPROVIDER[./META/PROPS/ID='BIP_ERNER']/DATA&quot; colcount=&quot;4&quot; rowcount=&quot;11&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ERNER&quot; infos=&quot;&quot; iscomment=&quot;0&quot;&gt;&lt;SELECT&gt;/BBOOK/DATAPROVIDER[./META/PROPS/ID='BIP_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9:26&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NET&quot; tdatapro=&quot;BIP_RNET&quot; author=&quot;&quot; modtime=&quot;6/16/2020 2:23:23 PM&quot; moduser=&quot;kythrst&quot; rolluptime=&quot;&quot; syuser=&quot;kythrst&quot; syuzeit=&quot;6/16/2020 2:23:23 PM&quot; root=&quot;/BBOOK/DATAPROVIDER[./META/PROPS/ID='BIP_RNET']/DATA&quot; colcount=&quot;4&quot; rowcount=&quot;12&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NET&quot; infos=&quot;&quot; iscomment=&quot;0&quot;&gt;&lt;SELECT&gt;/BBOOK/DATAPROVIDER[./META/PROPS/ID='BIP_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54:02&lt;/DYNAMIZEDON&gt;&lt;LASTUPDATEDBY&gt;kythrst&lt;/LASTUPDATEDBY&gt;&lt;LASTUPDATEDON&gt;6/16/2020 2:23:39 PM&lt;/LASTUPDATEDON&gt;&lt;UTC&gt;1&lt;/UTC&gt;&lt;/UPDATE&gt;&lt;QUERIES bbk=&quot;17218&quot; bbkdesc=&quot;2019 Annual Accounts/EU Annual Accounts/DC - Recoverables from Member States&quot; datapro=&quot;BIP_RMS&quot; tdatapro=&quot;BIP_RMS&quot; author=&quot;&quot; modtime=&quot;6/16/2020 2:23:24 PM&quot; moduser=&quot;kythrst&quot; rolluptime=&quot;&quot; syuser=&quot;kythrst&quot; syuzeit=&quot;6/16/2020 2:23:24 PM&quot; root=&quot;/BBOOK/DATAPROVIDER[./META/PROPS/ID='BIP_RMS']/DATA&quot; colcount=&quot;3&quot; rowcount=&quot;18&quot; url=&quot;&quot; dynamizeds=&quot;SAP Disclosure Management - Production&quot; dynamizedstype=&quot;9&quot; refreshds=&quot;&quot; viewtype=&quot;1&quot;&gt;&lt;QUERY reftype=&quot;ABS&quot; elmntsel=&quot;TABLE&quot; bbk=&quot;17218&quot; bbkdesc=&quot;2019 Annual Accounts/EU Annual Accounts/DC - Recoverables from Member States&quot; datapro=&quot;BIP_RMS&quot; infos=&quot;&quot; iscomment=&quot;0&quot;&gt;&lt;SELECT&gt;/BBOOK/DATAPROVIDER[./META/PROPS/ID='BIP_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09:40:29&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FINES&quot; tdatapro=&quot;BIP_FINES&quot; author=&quot;&quot; modtime=&quot;6/16/2020 2:23:23 PM&quot; moduser=&quot;kythrst&quot; rolluptime=&quot;&quot; syuser=&quot;kythrst&quot; syuzeit=&quot;6/16/2020 2:23:23 PM&quot; root=&quot;/BBOOK/DATAPROVIDER[./META/PROPS/ID='BIP_FINES']/DATA&quot; colcount=&quot;3&quot; rowcount=&quot;8&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FINES&quot; infos=&quot;&quot; iscomment=&quot;0&quot;&gt;&lt;SELECT&gt;/BBOOK/DATAPROVIDER[./META/PROPS/ID='BIP_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01:09&lt;/DYNAMIZEDON&gt;&lt;LASTUPDATEDBY&gt;kythrst&lt;/LASTUPDATEDBY&gt;&lt;LASTUPDATEDON&gt;6/16/2020 2:23:39 PM&lt;/LASTUPDATEDON&gt;&lt;UTC&gt;1&lt;/UTC&gt;&lt;/UPDATE&gt;&lt;QUERIES bbk=&quot;17219&quot; bbkdesc=&quot;2019 Annual Accounts/EU Annual Accounts/DC - Accrued income and Deferred charges&quot; datapro=&quot;BIP_AIDC&quot; tdatapro=&quot;BIP_AIDC&quot; author=&quot;&quot; modtime=&quot;6/16/2020 2:23:25 PM&quot; moduser=&quot;kythrst&quot; rolluptime=&quot;&quot; syuser=&quot;kythrst&quot; syuzeit=&quot;6/16/2020 2:23:25 PM&quot; root=&quot;/BBOOK/DATAPROVIDER[./META/PROPS/ID='BIP_AIDC']/DATA&quot; colcount=&quot;3&quot; rowcount=&quot;7&quot; url=&quot;&quot; dynamizeds=&quot;SAP Disclosure Management - Production&quot; dynamizedstype=&quot;9&quot; refreshds=&quot;&quot; viewtype=&quot;1&quot;&gt;&lt;QUERY reftype=&quot;ABS&quot; elmntsel=&quot;TABLE&quot; bbk=&quot;17219&quot; bbkdesc=&quot;2019 Annual Accounts/EU Annual Accounts/DC - Accrued income and Deferred charges&quot; datapro=&quot;BIP_AIDC&quot; infos=&quot;&quot; iscomment=&quot;0&quot;&gt;&lt;SELECT&gt;/BBOOK/DATAPROVIDER[./META/PROPS/ID='BIP_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41:32&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ET&quot; tdatapro=&quot;BIP_RET&quot; author=&quot;&quot; modtime=&quot;6/16/2020 2:23:23 PM&quot; moduser=&quot;kythrst&quot; rolluptime=&quot;&quot; syuser=&quot;kythrst&quot; syuzeit=&quot;6/16/2020 2:23:23 PM&quot; root=&quot;/BBOOK/DATAPROVIDER[./META/PROPS/ID='BIP_RET']/DATA&quot; colcount=&quot;3&quot; rowcount=&quot;13&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ET&quot; infos=&quot;&quot; iscomment=&quot;0&quot;&gt;&lt;SELECT&gt;/BBOOK/DATAPROVIDER[./META/PROPS/ID='BIP_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25:51&lt;/DYNAMIZEDON&gt;&lt;LASTUPDATEDBY&gt;kythrst&lt;/LASTUPDATEDBY&gt;&lt;LASTUPDATEDON&gt;6/8/2020 1:18:34 PM&lt;/LASTUPDATEDON&gt;&lt;UTC&gt;1&lt;/UTC&gt;&lt;/UPDATE&gt;&lt;QUERIES bbk=&quot;17242&quot; bbkdesc=&quot;2019 Annual Accounts/EU Annual Accounts/DC - Inventories&quot; datapro=&quot;BIP_INV&quot; tdatapro=&quot;BIP_INV&quot; author=&quot;&quot; modtime=&quot;6/8/2020 1:15:47 PM&quot; moduser=&quot;kythrst&quot; rolluptime=&quot;&quot; syuser=&quot;kythrst&quot; syuzeit=&quot;6/8/2020 1:15:47 PM&quot; root=&quot;/BBOOK/DATAPROVIDER[./META/PROPS/ID='BIP_INV']/DATA&quot; colcount=&quot;3&quot; rowcount=&quot;5&quot; url=&quot;&quot; dynamizeds=&quot;SAP Disclosure Management - Production&quot; dynamizedstype=&quot;9&quot; refreshds=&quot;&quot; viewtype=&quot;1&quot;&gt;&lt;QUERY reftype=&quot;ABS&quot; elmntsel=&quot;TABLE&quot; bbk=&quot;17242&quot; bbkdesc=&quot;2019 Annual Accounts/EU Annual Accounts/DC - Inventories&quot; datapro=&quot;BIP_INV&quot; infos=&quot;&quot; iscomment=&quot;0&quot;&gt;&lt;SELECT&gt;/BBOOK/DATAPROVIDER[./META/PROPS/ID='BIP_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34:46&lt;/DYNAMIZEDON&gt;&lt;LASTUPDATEDBY&gt;kythrst&lt;/LASTUPDATEDBY&gt;&lt;LASTUPDATEDON&gt;6/8/2020 1:13:37 PM&lt;/LASTUPDATEDON&gt;&lt;UTC&gt;1&lt;/UTC&gt;&lt;/UPDATE&gt;&lt;QUERIES bbk=&quot;17243&quot; bbkdesc=&quot;2019 Annual Accounts/EU Annual Accounts/DC - Cash and cash equivalents&quot; datapro=&quot;BIP_CCE&quot; tdatapro=&quot;BIP_CCE&quot; author=&quot;&quot; modtime=&quot;6/8/2020 1:13:32 PM&quot; moduser=&quot;kythrst&quot; rolluptime=&quot;&quot; syuser=&quot;kythrst&quot; syuzeit=&quot;6/8/2020 1:13:32 PM&quot; root=&quot;/BBOOK/DATAPROVIDER[./META/PROPS/ID='BIP_CCE']/DATA&quot; colcount=&quot;4&quot; rowcount=&quot;12&quot; url=&quot;&quot; dynamizeds=&quot;SAP Disclosure Management - Production&quot; dynamizedstype=&quot;9&quot; refreshds=&quot;&quot; viewtype=&quot;1&quot;&gt;&lt;QUERY reftype=&quot;ABS&quot; elmntsel=&quot;TABLE&quot; bbk=&quot;17243&quot; bbkdesc=&quot;2019 Annual Accounts/EU Annual Accounts/DC - Cash and cash equivalents&quot; datapro=&quot;BIP_CCE&quot; infos=&quot;&quot; iscomment=&quot;0&quot;&gt;&lt;SELECT&gt;/BBOOK/DATAPROVIDER[./META/PROPS/ID='BIP_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49:54&lt;/DYNAMIZEDON&gt;&lt;LASTUPDATEDBY&gt;kythrst&lt;/LASTUPDATEDBY&gt;&lt;LASTUPDATEDON&gt;6/16/2020 2:23:54 PM&lt;/LASTUPDATEDON&gt;&lt;UTC&gt;1&lt;/UTC&gt;&lt;/UPDATE&gt;&lt;QUERIES bbk=&quot;17244&quot; bbkdesc=&quot;2019 Annual Accounts/EU Annual Accounts/DC - Pension and other employee benefits&quot; datapro=&quot;BIP_PENS1&quot; tdatapro=&quot;BIP_PENS1&quot; author=&quot;&quot; modtime=&quot;6/16/2020 2:23:45 PM&quot; moduser=&quot;kythrst&quot; rolluptime=&quot;&quot; syuser=&quot;kythrst&quot; syuzeit=&quot;6/16/2020 2:23:45 PM&quot; root=&quot;/BBOOK/DATAPROVIDER[./META/PROPS/ID='BIP_PENS1']/DATA&quot; colcount=&quot;6&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quot; infos=&quot;&quot; iscomment=&quot;0&quot;&gt;&lt;SELECT&gt;/BBOOK/DATAPROVIDER[./META/PROPS/ID='BIP_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1:04&lt;/DYNAMIZEDON&gt;&lt;LASTUPDATEDBY&gt;kythrst&lt;/LASTUPDATEDBY&gt;&lt;LASTUPDATEDON&gt;6/16/2020 2:23:53 PM&lt;/LASTUPDATEDON&gt;&lt;UTC&gt;1&lt;/UTC&gt;&lt;/UPDATE&gt;&lt;QUERIES bbk=&quot;17244&quot; bbkdesc=&quot;2019 Annual Accounts/EU Annual Accounts/DC - Pension and other employee benefits&quot; datapro=&quot;BIP_PENS2&quot; tdatapro=&quot;BIP_PENS2&quot; author=&quot;&quot; modtime=&quot;6/16/2020 2:23:45 PM&quot; moduser=&quot;kythrst&quot; rolluptime=&quot;&quot; syuser=&quot;kythrst&quot; syuzeit=&quot;6/16/2020 2:23:45 PM&quot; root=&quot;/BBOOK/DATAPROVIDER[./META/PROPS/ID='BIP_PENS2']/DATA&quot; colcount=&quot;5&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2&quot; infos=&quot;&quot; iscomment=&quot;0&quot;&gt;&lt;SELECT&gt;/BBOOK/DATAPROVIDER[./META/PROPS/ID='BIP_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7:01&lt;/DYNAMIZEDON&gt;&lt;LASTUPDATEDBY&gt;kythrst&lt;/LASTUPDATEDBY&gt;&lt;LASTUPDATEDON&gt;6/16/2020 2:23:53 PM&lt;/LASTUPDATEDON&gt;&lt;UTC&gt;1&lt;/UTC&gt;&lt;/UPDATE&gt;&lt;QUERIES bbk=&quot;17244&quot; bbkdesc=&quot;2019 Annual Accounts/EU Annual Accounts/DC - Pension and other employee benefits&quot; datapro=&quot;BIP_PENS3&quot; tdatapro=&quot;BIP_PENS3&quot; author=&quot;&quot; modtime=&quot;6/16/2020 2:23:45 PM&quot; moduser=&quot;kythrst&quot; rolluptime=&quot;&quot; syuser=&quot;kythrst&quot; syuzeit=&quot;6/16/2020 2:23:45 PM&quot; root=&quot;/BBOOK/DATAPROVIDER[./META/PROPS/ID='BIP_PENS3']/DATA&quot; colcount=&quot;4&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3&quot; infos=&quot;&quot; iscomment=&quot;0&quot;&gt;&lt;SELECT&gt;/BBOOK/DATAPROVIDER[./META/PROPS/ID='BIP_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8:10&lt;/DYNAMIZEDON&gt;&lt;LASTUPDATEDBY&gt;kythrst&lt;/LASTUPDATEDBY&gt;&lt;LASTUPDATEDON&gt;6/16/2020 2:23:54 PM&lt;/LASTUPDATEDON&gt;&lt;UTC&gt;1&lt;/UTC&gt;&lt;/UPDATE&gt;&lt;QUERIES bbk=&quot;17244&quot; bbkdesc=&quot;2019 Annual Accounts/EU Annual Accounts/DC - Pension and other employee benefits&quot; datapro=&quot;BIP_SPL&quot; tdatapro=&quot;BIP_SPL&quot; author=&quot;&quot; modtime=&quot;6/16/2020 2:23:45 PM&quot; moduser=&quot;kythrst&quot; rolluptime=&quot;&quot; syuser=&quot;kythrst&quot; syuzeit=&quot;6/16/2020 2:23:45 PM&quot; root=&quot;/BBOOK/DATAPROVIDER[./META/PROPS/ID='BIP_SPL']/DATA&quot; colcount=&quot;3&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SPL&quot; infos=&quot;&quot; iscomment=&quot;0&quot;&gt;&lt;SELECT&gt;/BBOOK/DATAPROVIDER[./META/PROPS/ID='BIP_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9:53&lt;/DYNAMIZEDON&gt;&lt;LASTUPDATEDBY&gt;kythrst&lt;/LASTUPDATEDBY&gt;&lt;LASTUPDATEDON&gt;6/16/2020 2:23:53 PM&lt;/LASTUPDATEDON&gt;&lt;UTC&gt;1&lt;/UTC&gt;&lt;/UPDATE&gt;&lt;QUERIES bbk=&quot;17244&quot; bbkdesc=&quot;2019 Annual Accounts/EU Annual Accounts/DC - Pension and other employee benefits&quot; datapro=&quot;BIP_PENS6&quot; tdatapro=&quot;BIP_PENS6&quot; author=&quot;&quot; modtime=&quot;6/16/2020 2:23:45 PM&quot; moduser=&quot;kythrst&quot; rolluptime=&quot;&quot; syuser=&quot;kythrst&quot; syuzeit=&quot;6/16/2020 2:23:45 PM&quot; root=&quot;/BBOOK/DATAPROVIDER[./META/PROPS/ID='BIP_PENS6']/DATA&quot; colcount=&quot;5&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6&quot; infos=&quot;&quot; iscomment=&quot;0&quot;&gt;&lt;SELECT&gt;/BBOOK/DATAPROVIDER[./META/PROPS/ID='BIP_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0:50&lt;/DYNAMIZEDON&gt;&lt;LASTUPDATEDBY&gt;kythrst&lt;/LASTUPDATEDBY&gt;&lt;LASTUPDATEDON&gt;6/16/2020 2:23:54 PM&lt;/LASTUPDATEDON&gt;&lt;UTC&gt;1&lt;/UTC&gt;&lt;/UPDATE&gt;&lt;QUERIES bbk=&quot;17244&quot; bbkdesc=&quot;2019 Annual Accounts/EU Annual Accounts/DC - Pension and other employee benefits&quot; datapro=&quot;BIP_PENS7&quot; tdatapro=&quot;BIP_PENS7&quot; author=&quot;&quot; modtime=&quot;6/16/2020 2:23:45 PM&quot; moduser=&quot;kythrst&quot; rolluptime=&quot;&quot; syuser=&quot;kythrst&quot; syuzeit=&quot;6/16/2020 2:23:45 PM&quot; root=&quot;/BBOOK/DATAPROVIDER[./META/PROPS/ID='BIP_PENS7']/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7&quot; infos=&quot;&quot; iscomment=&quot;0&quot;&gt;&lt;SELECT&gt;/BBOOK/DATAPROVIDER[./META/PROPS/ID='BIP_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1:31&lt;/DYNAMIZEDON&gt;&lt;LASTUPDATEDBY&gt;kythrst&lt;/LASTUPDATEDBY&gt;&lt;LASTUPDATEDON&gt;6/16/2020 2:23:54 PM&lt;/LASTUPDATEDON&gt;&lt;UTC&gt;1&lt;/UTC&gt;&lt;/UPDATE&gt;&lt;QUERIES bbk=&quot;17244&quot; bbkdesc=&quot;2019 Annual Accounts/EU Annual Accounts/DC - Pension and other employee benefits&quot; datapro=&quot;BIP_PENS8&quot; tdatapro=&quot;BIP_PENS8&quot; author=&quot;&quot; modtime=&quot;6/16/2020 2:23:45 PM&quot; moduser=&quot;kythrst&quot; rolluptime=&quot;&quot; syuser=&quot;kythrst&quot; syuzeit=&quot;6/16/2020 2:23:45 PM&quot; root=&quot;/BBOOK/DATAPROVIDER[./META/PROPS/ID='BIP_PENS8']/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8&quot; infos=&quot;&quot; iscomment=&quot;0&quot;&gt;&lt;SELECT&gt;/BBOOK/DATAPROVIDER[./META/PROPS/ID='BIP_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2:15&lt;/DYNAMIZEDON&gt;&lt;LASTUPDATEDBY&gt;kythrst&lt;/LASTUPDATEDBY&gt;&lt;LASTUPDATEDON&gt;6/16/2020 2:23:54 PM&lt;/LASTUPDATEDON&gt;&lt;UTC&gt;1&lt;/UTC&gt;&lt;/UPDATE&gt;&lt;QUERIES bbk=&quot;17244&quot; bbkdesc=&quot;2019 Annual Accounts/EU Annual Accounts/DC - Pension and other employee benefits&quot; datapro=&quot;BIP_PENS9&quot; tdatapro=&quot;BIP_PENS9&quot; author=&quot;&quot; modtime=&quot;6/16/2020 2:23:45 PM&quot; moduser=&quot;kythrst&quot; rolluptime=&quot;&quot; syuser=&quot;kythrst&quot; syuzeit=&quot;6/16/2020 2:23:45 PM&quot; root=&quot;/BBOOK/DATAPROVIDER[./META/PROPS/ID='BIP_PENS9']/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9&quot; infos=&quot;&quot; iscomment=&quot;0&quot;&gt;&lt;SELECT&gt;/BBOOK/DATAPROVIDER[./META/PROPS/ID='BIP_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11&lt;/DYNAMIZEDON&gt;&lt;LASTUPDATEDBY&gt;kythrst&lt;/LASTUPDATEDBY&gt;&lt;LASTUPDATEDON&gt;6/16/2020 2:23:54 PM&lt;/LASTUPDATEDON&gt;&lt;UTC&gt;1&lt;/UTC&gt;&lt;/UPDATE&gt;&lt;QUERIES bbk=&quot;17244&quot; bbkdesc=&quot;2019 Annual Accounts/EU Annual Accounts/DC - Pension and other employee benefits&quot; datapro=&quot;BIP_PENS10&quot; tdatapro=&quot;BIP_PENS10&quot; author=&quot;&quot; modtime=&quot;6/16/2020 2:23:45 PM&quot; moduser=&quot;kythrst&quot; rolluptime=&quot;&quot; syuser=&quot;kythrst&quot; syuzeit=&quot;6/16/2020 2:23:45 PM&quot; root=&quot;/BBOOK/DATAPROVIDER[./META/PROPS/ID='BIP_PENS10']/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0&quot; infos=&quot;&quot; iscomment=&quot;0&quot;&gt;&lt;SELECT&gt;/BBOOK/DATAPROVIDER[./META/PROPS/ID='BIP_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54&lt;/DYNAMIZEDON&gt;&lt;LASTUPDATEDBY&gt;kythrst&lt;/LASTUPDATEDBY&gt;&lt;LASTUPDATEDON&gt;6/16/2020 2:23:53 PM&lt;/LASTUPDATEDON&gt;&lt;UTC&gt;1&lt;/UTC&gt;&lt;/UPDATE&gt;&lt;QUERIES bbk=&quot;17244&quot; bbkdesc=&quot;2019 Annual Accounts/EU Annual Accounts/DC - Pension and other employee benefits&quot; datapro=&quot;BIP_PENS11&quot; tdatapro=&quot;BIP_PENS11&quot; author=&quot;&quot; modtime=&quot;6/16/2020 2:23:45 PM&quot; moduser=&quot;kythrst&quot; rolluptime=&quot;&quot; syuser=&quot;kythrst&quot; syuzeit=&quot;6/16/2020 2:23:45 PM&quot; root=&quot;/BBOOK/DATAPROVIDER[./META/PROPS/ID='BIP_PENS11']/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1&quot; infos=&quot;&quot; iscomment=&quot;0&quot;&gt;&lt;SELECT&gt;/BBOOK/DATAPROVIDER[./META/PROPS/ID='BIP_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7:36&lt;/DYNAMIZEDON&gt;&lt;LASTUPDATEDBY&gt;kythrst&lt;/LASTUPDATEDBY&gt;&lt;LASTUPDATEDON&gt;6/16/2020 2:23:54 PM&lt;/LASTUPDATEDON&gt;&lt;UTC&gt;1&lt;/UTC&gt;&lt;/UPDATE&gt;&lt;QUERIES bbk=&quot;17244&quot; bbkdesc=&quot;2019 Annual Accounts/EU Annual Accounts/DC - Pension and other employee benefits&quot; datapro=&quot;BIP_PENS12&quot; tdatapro=&quot;BIP_PENS12&quot; author=&quot;&quot; modtime=&quot;6/16/2020 2:23:45 PM&quot; moduser=&quot;kythrst&quot; rolluptime=&quot;&quot; syuser=&quot;kythrst&quot; syuzeit=&quot;6/16/2020 2:23:45 PM&quot; root=&quot;/BBOOK/DATAPROVIDER[./META/PROPS/ID='BIP_PENS12']/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2&quot; infos=&quot;&quot; iscomment=&quot;0&quot;&gt;&lt;SELECT&gt;/BBOOK/DATAPROVIDER[./META/PROPS/ID='BIP_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14:47&lt;/DYNAMIZEDON&gt;&lt;LASTUPDATEDBY&gt;Ruberla&lt;/LASTUPDATEDBY&gt;&lt;LASTUPDATEDON&gt;6/11/2020 4:58:02 PM&lt;/LASTUPDATEDON&gt;&lt;UTC&gt;1&lt;/UTC&gt;&lt;/UPDATE&gt;&lt;QUERIES bbk=&quot;17245&quot; bbkdesc=&quot;2019 Annual Accounts/EU Annual Accounts/DC - Provisions&quot; datapro=&quot;BIP_PROV&quot; tdatapro=&quot;BIP_PROV&quot; author=&quot;&quot; modtime=&quot;6/8/2020 1:15:57 PM&quot; moduser=&quot;kythrst&quot; rolluptime=&quot;&quot; syuser=&quot;kythrst&quot; syuzeit=&quot;6/8/2020 1:15:57 PM&quot; root=&quot;/BBOOK/DATAPROVIDER[./META/PROPS/ID='BIP_PROV']/DATA&quot; colcount=&quot;8&quot; rowcount=&quot;12&quot; url=&quot;&quot; dynamizeds=&quot;SAP Disclosure Management - Production&quot; dynamizedstype=&quot;9&quot; refreshds=&quot;&quot; viewtype=&quot;1&quot;&gt;&lt;QUERY reftype=&quot;ABS&quot; elmntsel=&quot;TABLE&quot; bbk=&quot;17245&quot; bbkdesc=&quot;2019 Annual Accounts/EU Annual Accounts/DC - Provisions&quot; datapro=&quot;BIP_PROV&quot; infos=&quot;&quot; iscomment=&quot;0&quot;&gt;&lt;SELECT&gt;/BBOOK/DATAPROVIDER[./META/PROPS/ID='BIP_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26:29&lt;/DYNAMIZEDON&gt;&lt;LASTUPDATEDBY&gt;kythrst&lt;/LASTUPDATEDBY&gt;&lt;LASTUPDATEDON&gt;6/8/2020 1:18:17 PM&lt;/LASTUPDATEDON&gt;&lt;UTC&gt;1&lt;/UTC&gt;&lt;/UPDATE&gt;&lt;QUERIES bbk=&quot;17246&quot; bbkdesc=&quot;2019 Annual Accounts/EU Annual Accounts/DC - Financial liabilities&quot; datapro=&quot;BIP_FINL&quot; tdatapro=&quot;BIP_FINL&quot; author=&quot;&quot; modtime=&quot;6/8/2020 1:15:43 PM&quot; moduser=&quot;kythrst&quot; rolluptime=&quot;&quot; syuser=&quot;kythrst&quot; syuzeit=&quot;6/8/2020 1:15:43 PM&quot; root=&quot;/BBOOK/DATAPROVIDER[./META/PROPS/ID='BIP_FINL']/DATA&quot; colcount=&quot;4&quot; rowcount=&quot;12&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INL&quot; infos=&quot;&quot; iscomment=&quot;0&quot;&gt;&lt;SELECT&gt;/BBOOK/DATAPROVIDER[./META/PROPS/ID='BIP_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7:23&lt;/DYNAMIZEDON&gt;&lt;LASTUPDATEDBY&gt;kythrst&lt;/LASTUPDATEDBY&gt;&lt;LASTUPDATEDON&gt;6/8/2020 1:18:17 PM&lt;/LASTUPDATEDON&gt;&lt;UTC&gt;1&lt;/UTC&gt;&lt;/UPDATE&gt;&lt;QUERIES bbk=&quot;17246&quot; bbkdesc=&quot;2019 Annual Accounts/EU Annual Accounts/DC - Financial liabilities&quot; datapro=&quot;BIP_FLB&quot; tdatapro=&quot;BIP_FLB&quot; author=&quot;&quot; modtime=&quot;6/8/2020 1:15:43 PM&quot; moduser=&quot;kythrst&quot; rolluptime=&quot;&quot; syuser=&quot;kythrst&quot; syuzeit=&quot;6/8/2020 1:15:43 PM&quot; root=&quot;/BBOOK/DATAPROVIDER[./META/PROPS/ID='BIP_FLB']/DATA&quot; colcount=&quot;4&quot; rowcount=&quot;7&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LB&quot; infos=&quot;&quot; iscomment=&quot;0&quot;&gt;&lt;SELECT&gt;/BBOOK/DATAPROVIDER[./META/PROPS/ID='BIP_FLB']/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09:33:02&lt;/DYNAMIZEDON&gt;&lt;LASTUPDATEDBY&gt;kythrst&lt;/LASTUPDATEDBY&gt;&lt;LASTUPDATEDON&gt;6/8/2020 1:18:17 PM&lt;/LASTUPDATEDON&gt;&lt;UTC&gt;1&lt;/UTC&gt;&lt;/UPDATE&gt;&lt;QUERIES bbk=&quot;17246&quot; bbkdesc=&quot;2019 Annual Accounts/EU Annual Accounts/DC - Financial liabilities&quot; datapro=&quot;BIP_LGFBF&quot; tdatapro=&quot;BIP_LGFBF&quot; author=&quot;&quot; modtime=&quot;6/8/2020 1:15:43 PM&quot; moduser=&quot;kythrst&quot; rolluptime=&quot;&quot; syuser=&quot;kythrst&quot; syuzeit=&quot;6/8/2020 1:15:43 PM&quot; root=&quot;/BBOOK/DATAPROVIDER[./META/PROPS/ID='BIP_LGFBF']/DATA&quot; colcount=&quot;7&quot; rowcount=&quot;10&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LGFBF&quot; infos=&quot;&quot; iscomment=&quot;0&quot;&gt;&lt;SELECT&gt;/BBOOK/DATAPROVIDER[./META/PROPS/ID='BIP_LGFB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54:19&lt;/DYNAMIZEDON&gt;&lt;LASTUPDATEDBY&gt;kythrst&lt;/LASTUPDATEDBY&gt;&lt;LASTUPDATEDON&gt;6/8/2020 1:18:17 PM&lt;/LASTUPDATEDON&gt;&lt;UTC&gt;1&lt;/UTC&gt;&lt;/UPDATE&gt;&lt;QUERIES bbk=&quot;17246&quot; bbkdesc=&quot;2019 Annual Accounts/EU Annual Accounts/DC - Financial liabilities&quot; datapro=&quot;BIP_BORR3&quot; tdatapro=&quot;BIP_BORR3&quot; author=&quot;&quot; modtime=&quot;7/31/2019 8:52:13 AM&quot; moduser=&quot;milemar&quot; rolluptime=&quot;&quot; syuser=&quot;milemar&quot; syuzeit=&quot;7/31/2019 8:52:13 AM&quot; root=&quot;/BBOOK/DATAPROVIDER[./META/PROPS/ID='BIP_Reconciliation']/DATA&quot; colcount=&quot;3&quot; rowcount=&quot;6&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BORR3&quot; infos=&quot;&quot; iscomment=&quot;0&quot;&gt;&lt;SELECT&gt;/BBOOK/DATAPROVIDER[./META/PROPS/ID='BIP_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0:11&lt;/DYNAMIZEDON&gt;&lt;LASTUPDATEDBY&gt;kythrst&lt;/LASTUPDATEDBY&gt;&lt;LASTUPDATEDON&gt;6/8/2020 1:18:17 PM&lt;/LASTUPDATEDON&gt;&lt;UTC&gt;1&lt;/UTC&gt;&lt;/UPDATE&gt;&lt;QUERIES bbk=&quot;17247&quot; bbkdesc=&quot;2019 Annual Accounts/EU Annual Accounts/DC - Other financial liabilities&quot; datapro=&quot;BIP_OFL&quot; tdatapro=&quot;BIP_OFL&quot; author=&quot;&quot; modtime=&quot;6/8/2020 1:15:51 PM&quot; moduser=&quot;kythrst&quot; rolluptime=&quot;&quot; syuser=&quot;kythrst&quot; syuzeit=&quot;6/8/2020 1:15:51 PM&quot; root=&quot;/BBOOK/DATAPROVIDER[./META/PROPS/ID='BIP_OFL']/DATA&quot; colcount=&quot;3&quot; rowcount=&quot;14&quot; url=&quot;&quot; dynamizeds=&quot;SAP Disclosure Management - Production&quot; dynamizedstype=&quot;9&quot; refreshds=&quot;&quot; viewtype=&quot;1&quot;&gt;&lt;QUERY reftype=&quot;ABS&quot; elmntsel=&quot;TABLE&quot; bbk=&quot;17247&quot; bbkdesc=&quot;2019 Annual Accounts/EU Annual Accounts/DC - Other financial liabilities&quot; datapro=&quot;BIP_OFL&quot; infos=&quot;&quot; iscomment=&quot;0&quot;&gt;&lt;SELECT&gt;/BBOOK/DATAPROVIDER[./META/PROPS/ID='BIP_OF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5:47&lt;/DYNAMIZEDON&gt;&lt;LASTUPDATEDBY&gt;kythrst&lt;/LASTUPDATEDBY&gt;&lt;LASTUPDATEDON&gt;6/8/2020 1:18:17 PM&lt;/LASTUPDATEDON&gt;&lt;UTC&gt;1&lt;/UTC&gt;&lt;/UPDATE&gt;&lt;QUERIES bbk=&quot;17248&quot; bbkdesc=&quot;2019 Annual Accounts/EU Annual Accounts/DC - Finance Lease liabilities&quot; datapro=&quot;BIP_FL&quot; tdatapro=&quot;BIP_FL&quot; author=&quot;&quot; modtime=&quot;6/8/2020 1:15:41 PM&quot; moduser=&quot;kythrst&quot; rolluptime=&quot;&quot; syuser=&quot;kythrst&quot; syuzeit=&quot;6/8/2020 1:15:41 PM&quot; root=&quot;/BBOOK/DATAPROVIDER[./META/PROPS/ID='BIP_FL']/DATA&quot; colcount=&quot;5&quot; rowcount=&quot;9&quot; url=&quot;&quot; dynamizeds=&quot;SAP Disclosure Management - Production&quot; dynamizedstype=&quot;9&quot; refreshds=&quot;&quot; viewtype=&quot;1&quot;&gt;&lt;QUERY reftype=&quot;ABS&quot; elmntsel=&quot;TABLE&quot; bbk=&quot;17248&quot; bbkdesc=&quot;2019 Annual Accounts/EU Annual Accounts/DC - Finance Lease liabilities&quot; datapro=&quot;BIP_FL&quot; infos=&quot;&quot; iscomment=&quot;0&quot;&gt;&lt;SELECT&gt;/BBOOK/DATAPROVIDER[./META/PROPS/ID='BIP_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1:41&lt;/DYNAMIZEDON&gt;&lt;LASTUPDATEDBY&gt;kythrst&lt;/LASTUPDATEDBY&gt;&lt;LASTUPDATEDON&gt;6/8/2020 1:18:17 PM&lt;/LASTUPDATEDON&gt;&lt;UTC&gt;1&lt;/UTC&gt;&lt;/UPDATE&gt;&lt;QUERIES bbk=&quot;16552&quot; bbkdesc=&quot;2019 Annual Accounts/EC Annual Accounts/DC - Financial liabilities&quot; datapro=&quot;BIP_NOTIONALFL&quot; tdatapro=&quot;BIP_NOTIONALFL&quot; author=&quot;&quot; modtime=&quot;6/4/2020 3:28:37 PM&quot; moduser=&quot;kythrst&quot; rolluptime=&quot;&quot; syuser=&quot;kythrst&quot; syuzeit=&quot;6/4/2020 3:28:37 PM&quot; root=&quot;/BBOOK/DATAPROVIDER[./META/PROPS/ID='BIP_NOTIONALFL']/DATA&quot; colcount=&quot;5&quot; rowcount=&quot;8&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NOTIONALFL&quot; infos=&quot;&quot; iscomment=&quot;0&quot;&gt;&lt;SELECT&gt;/BBOOK/DATAPROVIDER[./META/PROPS/ID='BIP_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2:51&lt;/DYNAMIZEDON&gt;&lt;LASTUPDATEDBY&gt;kythrst&lt;/LASTUPDATEDBY&gt;&lt;LASTUPDATEDON&gt;6/8/2020 1:18:17 PM&lt;/LASTUPDATEDON&gt;&lt;UTC&gt;1&lt;/UTC&gt;&lt;/UPDATE&gt;&lt;QUERIES bbk=&quot;16552&quot; bbkdesc=&quot;2019 Annual Accounts/EC Annual Accounts/DC - Financial liabilities&quot; datapro=&quot;BIP_FVH&quot; tdatapro=&quot;BIP_FVH&quot; author=&quot;&quot; modtime=&quot;6/4/2020 3:28:37 PM&quot; moduser=&quot;kythrst&quot; rolluptime=&quot;&quot; syuser=&quot;kythrst&quot; syuzeit=&quot;6/4/2020 3:28: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FVH&quot; infos=&quot;&quot; iscomment=&quot;0&quot;&gt;&lt;SELECT&gt;/BBOOK/DATAPROVIDER[./META/PROPS/ID='BIP_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17:01&lt;/DYNAMIZEDON&gt;&lt;LASTUPDATEDBY&gt;Ruberla&lt;/LASTUPDATEDBY&gt;&lt;LASTUPDATEDON&gt;6/11/2020 4:58:00 PM&lt;/LASTUPDATEDON&gt;&lt;UTC&gt;1&lt;/UTC&gt;&lt;/UPDATE&gt;&lt;QUERIES bbk=&quot;17220&quot; bbkdesc=&quot;2019 Annual Accounts/EU Annual Accounts/DC - Payables&quot; datapro=&quot;BIP_PAYAB&quot; tdatapro=&quot;BIP_PAYAB&quot; author=&quot;&quot; modtime=&quot;6/10/2020 12:52:42 PM&quot; moduser=&quot;Ruberla&quot; rolluptime=&quot;&quot; syuser=&quot;Ruberla&quot; syuzeit=&quot;6/10/2020 12:52:42 PM&quot; root=&quot;/BBOOK/DATAPROVIDER[./META/PROPS/ID='BIP_PAYAB']/DATA&quot; colcount=&quot;7&quot; rowcount=&quot;15&quot; url=&quot;&quot; dynamizeds=&quot;SAP Disclosure Management - Production&quot; dynamizedstype=&quot;9&quot; refreshds=&quot;&quot; viewtype=&quot;1&quot;&gt;&lt;QUERY reftype=&quot;ABS&quot; elmntsel=&quot;TABLE&quot; bbk=&quot;17220&quot; bbkdesc=&quot;2019 Annual Accounts/EU Annual Accounts/DC - Payables&quot; datapro=&quot;BIP_PAYAB&quot; infos=&quot;&quot; iscomment=&quot;0&quot;&gt;&lt;SELECT&gt;/BBOOK/DATAPROVIDER[./META/PROPS/ID='BIP_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1:24&lt;/DYNAMIZEDON&gt;&lt;LASTUPDATEDBY&gt;kythrst&lt;/LASTUPDATEDBY&gt;&lt;LASTUPDATEDON&gt;6/16/2020 2:24:39 PM&lt;/LASTUPDATEDON&gt;&lt;UTC&gt;1&lt;/UTC&gt;&lt;/UPDATE&gt;&lt;QUERIES bbk=&quot;17249&quot; bbkdesc=&quot;2019 Annual Accounts/EU Annual Accounts/DC - Accrued charges and Deferred income&quot; datapro=&quot;BIP_ACDI&quot; tdatapro=&quot;BIP_ACDI&quot; author=&quot;&quot; modtime=&quot;6/16/2020 2:24:30 PM&quot; moduser=&quot;kythrst&quot; rolluptime=&quot;&quot; syuser=&quot;kythrst&quot; syuzeit=&quot;6/16/2020 2:24:30 PM&quot; root=&quot;/BBOOK/DATAPROVIDER[./META/PROPS/ID='BIP_ACDI']/DATA&quot; colcount=&quot;3&quot; rowcount=&quot;6&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quot; infos=&quot;&quot; iscomment=&quot;0&quot;&gt;&lt;SELECT&gt;/BBOOK/DATAPROVIDER[./META/PROPS/ID='BIP_ACDI']/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2:03&lt;/DYNAMIZEDON&gt;&lt;LASTUPDATEDBY&gt;kythrst&lt;/LASTUPDATEDBY&gt;&lt;LASTUPDATEDON&gt;6/16/2020 2:24:39 PM&lt;/LASTUPDATEDON&gt;&lt;UTC&gt;1&lt;/UTC&gt;&lt;/UPDATE&gt;&lt;QUERIES bbk=&quot;17249&quot; bbkdesc=&quot;2019 Annual Accounts/EU Annual Accounts/DC - Accrued charges and Deferred income&quot; datapro=&quot;BIP_ACDISPLIT&quot; tdatapro=&quot;BIP_ACDISPLIT&quot; author=&quot;&quot; modtime=&quot;6/16/2020 2:24:30 PM&quot; moduser=&quot;kythrst&quot; rolluptime=&quot;&quot; syuser=&quot;kythrst&quot; syuzeit=&quot;6/16/2020 2:24:30 PM&quot; root=&quot;/BBOOK/DATAPROVIDER[./META/PROPS/ID='BIP_ACDISPLIT']/DATA&quot; colcount=&quot;3&quot; rowcount=&quot;8&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SPLIT&quot; infos=&quot;&quot; iscomment=&quot;0&quot;&gt;&lt;SELECT&gt;/BBOOK/DATAPROVIDER[./META/PROPS/ID='BIP_ACDISPLIT']/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1:15&lt;/DYNAMIZEDON&gt;&lt;LASTUPDATEDBY&gt;ruberla&lt;/LASTUPDATEDBY&gt;&lt;LASTUPDATEDON&gt;6/9/2020 10:17:15 AM&lt;/LASTUPDATEDON&gt;&lt;UTC&gt;1&lt;/UTC&gt;&lt;/UPDATE&gt;&lt;QUERIES bbk=&quot;17250&quot; bbkdesc=&quot;2019 Annual Accounts/EU Annual Accounts/DC - Net assets&quot; datapro=&quot;BIP_RES&quot; tdatapro=&quot;BIP_RES&quot; author=&quot;&quot; modtime=&quot;6/9/2020 10:16:00 AM&quot; moduser=&quot;Ruberla&quot; rolluptime=&quot;&quot; syuser=&quot;Ruberla&quot; syuzeit=&quot;6/9/2020 10:16:00 AM&quot; root=&quot;/BBOOK/DATAPROVIDER[./META/PROPS/ID='BIP_RES']/DATA&quot; colcount=&quot;4&quot; rowcount=&quot;6&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RES&quot; infos=&quot;&quot; iscomment=&quot;0&quot;&gt;&lt;SELECT&gt;/BBOOK/DATAPROVIDER[./META/PROPS/ID='BIP_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2:25&lt;/DYNAMIZEDON&gt;&lt;LASTUPDATEDBY&gt;ruberla&lt;/LASTUPDATEDBY&gt;&lt;LASTUPDATEDON&gt;6/9/2020 10:17:13 AM&lt;/LASTUPDATEDON&gt;&lt;UTC&gt;1&lt;/UTC&gt;&lt;/UPDATE&gt;&lt;QUERIES bbk=&quot;17250&quot; bbkdesc=&quot;2019 Annual Accounts/EU Annual Accounts/DC - Net assets&quot; datapro=&quot;BIP_FVMAFS&quot; tdatapro=&quot;BIP_FVMAFS&quot; author=&quot;&quot; modtime=&quot;6/9/2020 10:16:00 AM&quot; moduser=&quot;Ruberla&quot; rolluptime=&quot;&quot; syuser=&quot;Ruberla&quot; syuzeit=&quot;6/9/2020 10:16:00 A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FVMAFS&quot; infos=&quot;&quot; iscomment=&quot;0&quot;&gt;&lt;SELECT&gt;/BBOOK/DATAPROVIDER[./META/PROPS/ID='BIP_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3:37&lt;/DYNAMIZEDON&gt;&lt;LASTUPDATEDBY&gt;ruberla&lt;/LASTUPDATEDBY&gt;&lt;LASTUPDATEDON&gt;6/9/2020 10:17:10 AM&lt;/LASTUPDATEDON&gt;&lt;UTC&gt;1&lt;/UTC&gt;&lt;/UPDATE&gt;&lt;QUERIES bbk=&quot;17250&quot; bbkdesc=&quot;2019 Annual Accounts/EU Annual Accounts/DC - Net assets&quot; datapro=&quot;BIP_MEMST1&quot; tdatapro=&quot;BIP_MEMST1&quot; author=&quot;&quot; modtime=&quot;6/9/2020 10:16:00 AM&quot; moduser=&quot;Ruberla&quot; rolluptime=&quot;&quot; syuser=&quot;Ruberla&quot; syuzeit=&quot;6/9/2020 10:16:00 AM&quot; root=&quot;/BBOOK/DATAPROVIDER[./META/PROPS/ID='BIP_MEMST1']/DATA&quot; colcount=&quot;2&quot; rowcount=&quot;9&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MEMST1&quot; infos=&quot;&quot; iscomment=&quot;0&quot;&gt;&lt;SELECT&gt;/BBOOK/DATAPROVIDER[./META/PROPS/ID='BIP_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18:42&lt;/DYNAMIZEDON&gt;&lt;LASTUPDATEDBY&gt;kythrst&lt;/LASTUPDATEDBY&gt;&lt;LASTUPDATEDON&gt;6/16/2020 2:24:24 PM&lt;/LASTUPDATEDON&gt;&lt;UTC&gt;1&lt;/UTC&gt;&lt;/UPDATE&gt;&lt;QUERIES bbk=&quot;16562&quot; bbkdesc=&quot;2019 Annual Accounts/EC Annual Accounts/DC - Traditional own resources&quot; datapro=&quot;BIP_TOR&quot; tdatapro=&quot;BIP_TOR&quot; author=&quot;&quot; modtime=&quot;6/16/2020 2:12:55 PM&quot; moduser=&quot;kythrst&quot; rolluptime=&quot;&quot; syuser=&quot;kythrst&quot; syuzeit=&quot;6/16/2020 2:12:55 PM&quot; root=&quot;/BBOOK/DATAPROVIDER[./META/PROPS/ID='BIP_TOR']/DATA&quot; colcount=&quot;3&quot; rowcount=&quot;5&quot; url=&quot;&quot; dynamizeds=&quot;SAP Disclosure Management - Production&quot; dynamizedstype=&quot;9&quot; refreshds=&quot;&quot; viewtype=&quot;1&quot;&gt;&lt;QUERY reftype=&quot;ABS&quot; elmntsel=&quot;TABLE&quot; bbk=&quot;16562&quot; bbkdesc=&quot;2019 Annual Accounts/EC Annual Accounts/DC - Traditional own resources&quot; datapro=&quot;BIP_TOR&quot; infos=&quot;&quot; iscomment=&quot;0&quot;&gt;&lt;SELECT&gt;/BBOOK/DATAPROVIDER[./META/PROPS/ID='BIP_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25:53&lt;/DYNAMIZEDON&gt;&lt;LASTUPDATEDBY&gt;kythrst&lt;/LASTUPDATEDBY&gt;&lt;LASTUPDATEDON&gt;6/16/2020 2:24:25 PM&lt;/LASTUPDATEDON&gt;&lt;UTC&gt;1&lt;/UTC&gt;&lt;/UPDATE&gt;&lt;QUERIES bbk=&quot;17252&quot; bbkdesc=&quot;2019 Annual Accounts/EU Annual Accounts/DC - Recovery of expenses&quot; datapro=&quot;BIP_RECOVEXP&quot; tdatapro=&quot;BIP_RECOVEXP&quot; author=&quot;&quot; modtime=&quot;6/16/2020 2:24:07 PM&quot; moduser=&quot;kythrst&quot; rolluptime=&quot;&quot; syuser=&quot;kythrst&quot; syuzeit=&quot;6/16/2020 2:24:07 PM&quot; root=&quot;/BBOOK/DATAPROVIDER[./META/PROPS/ID='BIP_RECOVEXP']/DATA&quot; colcount=&quot;3&quot; rowcount=&quot;6&quot; url=&quot;&quot; dynamizeds=&quot;SAP Disclosure Management - Production&quot; dynamizedstype=&quot;9&quot; refreshds=&quot;&quot; viewtype=&quot;1&quot;&gt;&lt;QUERY reftype=&quot;ABS&quot; elmntsel=&quot;TABLE&quot; bbk=&quot;17252&quot; bbkdesc=&quot;2019 Annual Accounts/EU Annual Accounts/DC - Recovery of expenses&quot; datapro=&quot;BIP_RECOVEXP&quot; infos=&quot;&quot; iscomment=&quot;0&quot;&gt;&lt;SELECT&gt;/BBOOK/DATAPROVIDER[./META/PROPS/ID='BIP_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3:33:15&lt;/DYNAMIZEDON&gt;&lt;LASTUPDATEDBY&gt;kythrst&lt;/LASTUPDATEDBY&gt;&lt;LASTUPDATEDON&gt;6/16/2020 2:24:24 PM&lt;/LASTUPDATEDON&gt;&lt;UTC&gt;1&lt;/UTC&gt;&lt;/UPDATE&gt;&lt;QUERIES bbk=&quot;17221&quot; bbkdesc=&quot;2019 Annual Accounts/EU Annual Accounts/DC - Other non-exchange revenue&quot; datapro=&quot;BIP_ONER&quot; tdatapro=&quot;BIP_ONER&quot; author=&quot;&quot; modtime=&quot;6/16/2020 2:24:05 PM&quot; moduser=&quot;kythrst&quot; rolluptime=&quot;&quot; syuser=&quot;kythrst&quot; syuzeit=&quot;6/16/2020 2:24:05 PM&quot; root=&quot;/BBOOK/DATAPROVIDER[./META/PROPS/ID='BIP_ONER']/DATA&quot; colcount=&quot;3&quot; rowcount=&quot;11&quot; url=&quot;&quot; dynamizeds=&quot;SAP Disclosure Management - Production&quot; dynamizedstype=&quot;9&quot; refreshds=&quot;&quot; viewtype=&quot;1&quot;&gt;&lt;QUERY reftype=&quot;ABS&quot; elmntsel=&quot;TABLE&quot; bbk=&quot;17221&quot; bbkdesc=&quot;2019 Annual Accounts/EU Annual Accounts/DC - Other non-exchange revenue&quot; datapro=&quot;BIP_ONER&quot; infos=&quot;&quot; iscomment=&quot;0&quot;&gt;&lt;SELECT&gt;/BBOOK/DATAPROVIDER[./META/PROPS/ID='BIP_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5:43&lt;/DYNAMIZEDON&gt;&lt;LASTUPDATEDBY&gt;kythrst&lt;/LASTUPDATEDBY&gt;&lt;LASTUPDATEDON&gt;6/16/2020 2:24:25 PM&lt;/LASTUPDATEDON&gt;&lt;UTC&gt;1&lt;/UTC&gt;&lt;/UPDATE&gt;&lt;QUERIES bbk=&quot;17231&quot; bbkdesc=&quot;2019 Annual Accounts/EU Annual Accounts/DC - Financial revenue&quot; datapro=&quot;BIP_FINREV&quot; tdatapro=&quot;BIP_FINREV&quot; author=&quot;&quot; modtime=&quot;6/16/2020 2:24:06 PM&quot; moduser=&quot;kythrst&quot; rolluptime=&quot;&quot; syuser=&quot;kythrst&quot; syuzeit=&quot;6/16/2020 2:24:06 PM&quot; root=&quot;/BBOOK/DATAPROVIDER[./META/PROPS/ID='BIP_FINREV']/DATA&quot; colcount=&quot;3&quot; rowcount=&quot;12&quot; url=&quot;&quot; dynamizeds=&quot;SAP Disclosure Management - Production&quot; dynamizedstype=&quot;9&quot; refreshds=&quot;&quot; viewtype=&quot;1&quot;&gt;&lt;QUERY reftype=&quot;ABS&quot; elmntsel=&quot;TABLE&quot; bbk=&quot;17231&quot; bbkdesc=&quot;2019 Annual Accounts/EU Annual Accounts/DC - Financial revenue&quot; datapro=&quot;BIP_FINREV&quot; infos=&quot;&quot; iscomment=&quot;0&quot;&gt;&lt;SELECT&gt;/BBOOK/DATAPROVIDER[./META/PROPS/ID='BIP_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7:08&lt;/DYNAMIZEDON&gt;&lt;LASTUPDATEDBY&gt;kythrst&lt;/LASTUPDATEDBY&gt;&lt;LASTUPDATEDON&gt;6/16/2020 2:24:25 PM&lt;/LASTUPDATEDON&gt;&lt;UTC&gt;1&lt;/UTC&gt;&lt;/UPDATE&gt;&lt;QUERIES bbk=&quot;17253&quot; bbkdesc=&quot;2019 Annual Accounts/EU Annual Accounts/DC - Other exchange revenue&quot; datapro=&quot;BIP_OER&quot; tdatapro=&quot;BIP_OER&quot; author=&quot;&quot; modtime=&quot;6/16/2020 2:24:08 PM&quot; moduser=&quot;kythrst&quot; rolluptime=&quot;&quot; syuser=&quot;kythrst&quot; syuzeit=&quot;6/16/2020 2:24:08 PM&quot; root=&quot;/BBOOK/DATAPROVIDER[./META/PROPS/ID='BIP_OER']/DATA&quot; colcount=&quot;3&quot; rowcount=&quot;10&quot; url=&quot;&quot; dynamizeds=&quot;SAP Disclosure Management - Production&quot; dynamizedstype=&quot;9&quot; refreshds=&quot;&quot; viewtype=&quot;1&quot;&gt;&lt;QUERY reftype=&quot;ABS&quot; elmntsel=&quot;TABLE&quot; bbk=&quot;17253&quot; bbkdesc=&quot;2019 Annual Accounts/EU Annual Accounts/DC - Other exchange revenue&quot; datapro=&quot;BIP_OER&quot; infos=&quot;&quot; iscomment=&quot;0&quot;&gt;&lt;SELECT&gt;/BBOOK/DATAPROVIDER[./META/PROPS/ID='BIP_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48:44&lt;/DYNAMIZEDON&gt;&lt;LASTUPDATEDBY&gt;kythrst&lt;/LASTUPDATEDBY&gt;&lt;LASTUPDATEDON&gt;6/16/2020 2:22:59 PM&lt;/LASTUPDATEDON&gt;&lt;UTC&gt;1&lt;/UTC&gt;&lt;/UPDATE&gt;&lt;QUERIES bbk=&quot;16488&quot; bbkdesc=&quot;2019 Annual Accounts/EC Annual Accounts/DC - Shared Direct and Indirect Management&quot; datapro=&quot;BIP_SM&quot; tdatapro=&quot;BIP_SM&quot; author=&quot;&quot; modtime=&quot;6/16/2020 2:14:02 PM&quot; moduser=&quot;kythrst&quot; rolluptime=&quot;&quot; syuser=&quot;kythrst&quot; syuzeit=&quot;6/16/2020 2:14:02 PM&quot; root=&quot;/BBOOK/DATAPROVIDER[./META/PROPS/ID='BIP_SM']/DATA&quot; colcount=&quot;3&quot; rowcount=&quot;8&quot; url=&quot;&quot; dynamizeds=&quot;SAP Disclosure Management - Production&quot; dynamizedstype=&quot;9&quot; refreshds=&quot;&quot; viewtype=&quot;1&quot;&gt;&lt;QUERY reftype=&quot;ABS&quot; elmntsel=&quot;TABLE&quot; bbk=&quot;16488&quot; bbkdesc=&quot;2019 Annual Accounts/EC Annual Accounts/DC - Shared Direct and Indirect Management&quot; datapro=&quot;BIP_SM&quot; infos=&quot;&quot; iscomment=&quot;0&quot;&gt;&lt;SELECT&gt;/BBOOK/DATAPROVIDER[./META/PROPS/ID='BIP_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7:08&lt;/DYNAMIZEDON&gt;&lt;LASTUPDATEDBY&gt;kythrst&lt;/LASTUPDATEDBY&gt;&lt;LASTUPDATEDON&gt;6/16/2020 2:22:59 PM&lt;/LASTUPDATEDON&gt;&lt;UTC&gt;1&lt;/UTC&gt;&lt;/UPDATE&gt;&lt;QUERIES bbk=&quot;17222&quot; bbkdesc=&quot;2019 Annual Accounts/EU Annual Accounts/DC - Direct and Indirect Management&quot; datapro=&quot;BIP_DM&quot; tdatapro=&quot;BIP_DM&quot; author=&quot;&quot; modtime=&quot;6/16/2020 2:22:53 PM&quot; moduser=&quot;kythrst&quot; rolluptime=&quot;&quot; syuser=&quot;kythrst&quot; syuzeit=&quot;6/16/2020 2:22:53 PM&quot; root=&quot;/BBOOK/DATAPROVIDER[./META/PROPS/ID='BIP_DM']/DATA&quot; colcount=&quot;3&quot; rowcount=&quot;6&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DM&quot; infos=&quot;&quot; iscomment=&quot;0&quot;&gt;&lt;SELECT&gt;/BBOOK/DATAPROVIDER[./META/PROPS/ID='BIP_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8:42&lt;/DYNAMIZEDON&gt;&lt;LASTUPDATEDBY&gt;kythrst&lt;/LASTUPDATEDBY&gt;&lt;LASTUPDATEDON&gt;6/16/2020 2:22:59 PM&lt;/LASTUPDATEDON&gt;&lt;UTC&gt;1&lt;/UTC&gt;&lt;/UPDATE&gt;&lt;QUERIES bbk=&quot;17222&quot; bbkdesc=&quot;2019 Annual Accounts/EU Annual Accounts/DC - Direct and Indirect Management&quot; datapro=&quot;BIP_IM&quot; tdatapro=&quot;BIP_IM&quot; author=&quot;&quot; modtime=&quot;6/16/2020 2:22:53 PM&quot; moduser=&quot;kythrst&quot; rolluptime=&quot;&quot; syuser=&quot;kythrst&quot; syuzeit=&quot;6/16/2020 2:22:53 PM&quot; root=&quot;/BBOOK/DATAPROVIDER[./META/PROPS/ID='BIP_IM']/DATA&quot; colcount=&quot;3&quot; rowcount=&quot;7&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IM&quot; infos=&quot;&quot; iscomment=&quot;0&quot;&gt;&lt;SELECT&gt;/BBOOK/DATAPROVIDER[./META/PROPS/ID='BIP_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08:06&lt;/DYNAMIZEDON&gt;&lt;LASTUPDATEDBY&gt;kythrst&lt;/LASTUPDATEDBY&gt;&lt;LASTUPDATEDON&gt;6/16/2020 2:21:56 PM&lt;/LASTUPDATEDON&gt;&lt;UTC&gt;1&lt;/UTC&gt;&lt;/UPDATE&gt;&lt;QUERIES bbk=&quot;17254&quot; bbkdesc=&quot;2019 Annual Accounts/EU Annual Accounts/DC - Staff and Pension costs&quot; datapro=&quot;BIP_SPC&quot; tdatapro=&quot;BIP_SPC&quot; author=&quot;&quot; modtime=&quot;6/16/2020 2:21:52 PM&quot; moduser=&quot;kythrst&quot; rolluptime=&quot;&quot; syuser=&quot;kythrst&quot; syuzeit=&quot;6/16/2020 2:21:52 PM&quot; root=&quot;/BBOOK/DATAPROVIDER[./META/PROPS/ID='BIP_SPC']/DATA&quot; colcount=&quot;3&quot; rowcount=&quot;5&quot; url=&quot;&quot; dynamizeds=&quot;SAP Disclosure Management - Production&quot; dynamizedstype=&quot;9&quot; refreshds=&quot;&quot; viewtype=&quot;1&quot;&gt;&lt;QUERY reftype=&quot;ABS&quot; elmntsel=&quot;TABLE&quot; bbk=&quot;17254&quot; bbkdesc=&quot;2019 Annual Accounts/EU Annual Accounts/DC - Staff and Pension costs&quot; datapro=&quot;BIP_SPC&quot; infos=&quot;&quot; iscomment=&quot;0&quot;&gt;&lt;SELECT&gt;/BBOOK/DATAPROVIDER[./META/PROPS/ID='BIP_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1:29&lt;/DYNAMIZEDON&gt;&lt;LASTUPDATEDBY&gt;kythrst&lt;/LASTUPDATEDBY&gt;&lt;LASTUPDATEDON&gt;6/8/2020 1:18:08 PM&lt;/LASTUPDATEDON&gt;&lt;UTC&gt;1&lt;/UTC&gt;&lt;/UPDATE&gt;&lt;QUERIES bbk=&quot;17232&quot; bbkdesc=&quot;2019 Annual Accounts/EU Annual Accounts/DC - Finance costs&quot; datapro=&quot;BIP_FINEXP&quot; tdatapro=&quot;BIP_FINEXP&quot; author=&quot;&quot; modtime=&quot;6/8/2020 1:15:40 PM&quot; moduser=&quot;kythrst&quot; rolluptime=&quot;&quot; syuser=&quot;kythrst&quot; syuzeit=&quot;6/8/2020 1:15:40 PM&quot; root=&quot;/BBOOK/DATAPROVIDER[./META/PROPS/ID='BIP_FINEXP']/DATA&quot; colcount=&quot;3&quot; rowcount=&quot;12&quot; url=&quot;&quot; dynamizeds=&quot;SAP Disclosure Management - Production&quot; dynamizedstype=&quot;9&quot; refreshds=&quot;&quot; viewtype=&quot;1&quot;&gt;&lt;QUERY reftype=&quot;ABS&quot; elmntsel=&quot;TABLE&quot; bbk=&quot;17232&quot; bbkdesc=&quot;2019 Annual Accounts/EU Annual Accounts/DC - Finance costs&quot; datapro=&quot;BIP_FINEXP&quot; infos=&quot;&quot; iscomment=&quot;0&quot;&gt;&lt;SELECT&gt;/BBOOK/DATAPROVIDER[./META/PROPS/ID='BIP_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3:55&lt;/DYNAMIZEDON&gt;&lt;LASTUPDATEDBY&gt;kythrst&lt;/LASTUPDATEDBY&gt;&lt;LASTUPDATEDON&gt;6/16/2020 2:21:32 PM&lt;/LASTUPDATEDON&gt;&lt;UTC&gt;1&lt;/UTC&gt;&lt;/UPDATE&gt;&lt;QUERIES bbk=&quot;17223&quot; bbkdesc=&quot;2019 Annual Accounts/EU Annual Accounts/DC - Other expenses&quot; datapro=&quot;BIP_OE&quot; tdatapro=&quot;BIP_OE&quot; author=&quot;&quot; modtime=&quot;6/16/2020 2:21:27 PM&quot; moduser=&quot;kythrst&quot; rolluptime=&quot;&quot; syuser=&quot;kythrst&quot; syuzeit=&quot;6/16/2020 2:21:27 PM&quot; root=&quot;/BBOOK/DATAPROVIDER[./META/PROPS/ID='BIP_OE']/DATA&quot; colcount=&quot;3&quot; rowcount=&quot;10&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OE&quot; infos=&quot;&quot; iscomment=&quot;0&quot;&gt;&lt;SELECT&gt;/BBOOK/DATAPROVIDER[./META/PROPS/ID='BIP_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4:47&lt;/DYNAMIZEDON&gt;&lt;LASTUPDATEDBY&gt;kythrst&lt;/LASTUPDATEDBY&gt;&lt;LASTUPDATEDON&gt;6/16/2020 2:21:32 PM&lt;/LASTUPDATEDON&gt;&lt;UTC&gt;1&lt;/UTC&gt;&lt;/UPDATE&gt;&lt;QUERIES bbk=&quot;17223&quot; bbkdesc=&quot;2019 Annual Accounts/EU Annual Accounts/DC - Other expenses&quot; datapro=&quot;BIP_RD&quot; tdatapro=&quot;BIP_RD&quot; author=&quot;&quot; modtime=&quot;6/16/2020 2:21:27 PM&quot; moduser=&quot;kythrst&quot; rolluptime=&quot;&quot; syuser=&quot;kythrst&quot; syuzeit=&quot;6/16/2020 2:21:27 PM&quot; root=&quot;/BBOOK/DATAPROVIDER[./META/PROPS/ID='BIP_RD']/DATA&quot; colcount=&quot;3&quot; rowcount=&quot;5&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RD&quot; infos=&quot;&quot; iscomment=&quot;0&quot;&gt;&lt;SELECT&gt;/BBOOK/DATAPROVIDER[./META/PROPS/ID='BIP_RD']/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8:04&lt;/DYNAMIZEDON&gt;&lt;LASTUPDATEDBY&gt;kythrst&lt;/LASTUPDATEDBY&gt;&lt;LASTUPDATEDON&gt;6/16/2020 2:22:22 PM&lt;/LASTUPDATEDON&gt;&lt;UTC&gt;1&lt;/UTC&gt;&lt;/UPDATE&gt;&lt;QUERIES bbk=&quot;17224&quot; bbkdesc=&quot;2019 Annual Accounts/EU Annual Accounts/DC - Segment report&quot; datapro=&quot;BIP_SEGREP&quot; tdatapro=&quot;BIP_SEGREP&quot; author=&quot;&quot; modtime=&quot;6/16/2020 2:22:13 PM&quot; moduser=&quot;kythrst&quot; rolluptime=&quot;&quot; syuser=&quot;kythrst&quot; syuzeit=&quot;6/16/2020 2:22:13 PM&quot; root=&quot;/BBOOK/DATAPROVIDER[./META/PROPS/ID='BIP_SEGREP']/DATA&quot; colcount=&quot;8&quot; rowcount=&quot;28&quot; url=&quot;&quot; dynamizeds=&quot;SAP Disclosure Management - Production&quot; dynamizedstype=&quot;9&quot; refreshds=&quot;&quot; viewtype=&quot;1&quot;&gt;&lt;QUERY reftype=&quot;ABS&quot; elmntsel=&quot;TABLE&quot; bbk=&quot;17224&quot; bbkdesc=&quot;2019 Annual Accounts/EU Annual Accounts/DC - Segment report&quot; datapro=&quot;BIP_SEGREP&quot; infos=&quot;&quot; iscomment=&quot;0&quot;&gt;&lt;SELECT&gt;/BBOOK/DATAPROVIDER[./META/PROPS/ID='BIP_SEGREP']/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39:11&lt;/DYNAMIZEDON&gt;&lt;LASTUPDATEDBY&gt;kythrst&lt;/LASTUPDATEDBY&gt;&lt;LASTUPDATEDON&gt;6/16/2020 2:21:24 PM&lt;/LASTUPDATEDON&gt;&lt;UTC&gt;1&lt;/UTC&gt;&lt;/UPDATE&gt;&lt;QUERIES bbk=&quot;16559&quot; bbkdesc=&quot;2019 Annual Accounts/EC Annual Accounts/DC - Guarantees given&quot; datapro=&quot;BIP_GUAR&quot; tdatapro=&quot;BIP_GUAR&quot; author=&quot;&quot; modtime=&quot;6/16/2020 2:14:26 PM&quot; moduser=&quot;kythrst&quot; rolluptime=&quot;&quot; syuser=&quot;kythrst&quot; syuzeit=&quot;6/16/2020 2:14:26 PM&quot; root=&quot;/BBOOK/DATAPROVIDER[./META/PROPS/ID='BIP_GUAR']/DATA&quot; colcount=&quot;7&quot; rowcount=&quot;7&quot; url=&quot;&quot; dynamizeds=&quot;SAP Disclosure Management - Production&quot; dynamizedstype=&quot;9&quot; refreshds=&quot;&quot; viewtype=&quot;1&quot;&gt;&lt;QUERY reftype=&quot;ABS&quot; elmntsel=&quot;TABLE&quot; bbk=&quot;16559&quot; bbkdesc=&quot;2019 Annual Accounts/EC Annual Accounts/DC - Guarantees given&quot; datapro=&quot;BIP_GUAR&quot; infos=&quot;&quot; iscomment=&quot;0&quot;&gt;&lt;SELECT&gt;/BBOOK/DATAPROVIDER[./META/PROPS/ID='BIP_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2:03&lt;/DYNAMIZEDON&gt;&lt;LASTUPDATEDBY&gt;kythrst&lt;/LASTUPDATEDBY&gt;&lt;LASTUPDATEDON&gt;6/16/2020 2:21:24 PM&lt;/LASTUPDATEDON&gt;&lt;UTC&gt;1&lt;/UTC&gt;&lt;/UPDATE&gt;&lt;QUERIES bbk=&quot;16558&quot; bbkdesc=&quot;2019 Annual Accounts/EC Annual Accounts/DC - Contingent liabilities&quot; datapro=&quot;BIP_GUARFA&quot; tdatapro=&quot;BIP_GUARFA&quot; author=&quot;&quot; modtime=&quot;6/16/2020 2:14:25 PM&quot; moduser=&quot;kythrst&quot; rolluptime=&quot;&quot; syuser=&quot;kythrst&quot; syuzeit=&quot;6/16/2020 2:14:25 PM&quot; root=&quot;/BBOOK/DATAPROVIDER[./META/PROPS/ID='BIP_GUARFA']/DATA&quot; colcount=&quot;7&quot; rowcount=&quot;8&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GUARFA&quot; infos=&quot;&quot; iscomment=&quot;0&quot;&gt;&lt;SELECT&gt;/BBOOK/DATAPROVIDER[./META/PROPS/ID='BIP_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4:05&lt;/DYNAMIZEDON&gt;&lt;LASTUPDATEDBY&gt;kythrst&lt;/LASTUPDATEDBY&gt;&lt;LASTUPDATEDON&gt;6/16/2020 2:21:24 PM&lt;/LASTUPDATEDON&gt;&lt;UTC&gt;1&lt;/UTC&gt;&lt;/UPDATE&gt;&lt;QUERIES bbk=&quot;16558&quot; bbkdesc=&quot;2019 Annual Accounts/EC Annual Accounts/DC - Contingent liabilities&quot; datapro=&quot;BIP_INSGUA&quot; tdatapro=&quot;BIP_INSGUA&quot; author=&quot;&quot; modtime=&quot;6/16/2020 2:14:25 PM&quot; moduser=&quot;kythrst&quot; rolluptime=&quot;&quot; syuser=&quot;kythrst&quot; syuzeit=&quot;6/16/2020 2:14:25 PM&quot; root=&quot;/BBOOK/DATAPROVIDER[./META/PROPS/ID='BIP_INSGUA']/DATA&quot; colcount=&quot;3&quot; rowcount=&quot;7&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INSGUA&quot; infos=&quot;&quot; iscomment=&quot;0&quot;&gt;&lt;SELECT&gt;/BBOOK/DATAPROVIDER[./META/PROPS/ID='BIP_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2:26&lt;/DYNAMIZEDON&gt;&lt;LASTUPDATEDBY&gt;kythrst&lt;/LASTUPDATEDBY&gt;&lt;LASTUPDATEDON&gt;6/16/2020 2:21:24 PM&lt;/LASTUPDATEDON&gt;&lt;UTC&gt;1&lt;/UTC&gt;&lt;/UPDATE&gt;&lt;QUERIES bbk=&quot;17236&quot; bbkdesc=&quot;2019 Annual Accounts/EU Annual Accounts/DC - Contingent liabilities&quot; datapro=&quot;BIP_CL&quot; tdatapro=&quot;BIP_CL&quot; author=&quot;&quot; modtime=&quot;6/16/2020 2:21:19 PM&quot; moduser=&quot;kythrst&quot; rolluptime=&quot;&quot; syuser=&quot;kythrst&quot; syuzeit=&quot;6/16/2020 2:21:19 PM&quot; root=&quot;/BBOOK/DATAPROVIDER[./META/PROPS/ID='BIP_CL']/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L&quot; infos=&quot;&quot; iscomment=&quot;0&quot;&gt;&lt;SELECT&gt;/BBOOK/DATAPROVIDER[./META/PROPS/ID='BIP_CL']/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4:39&lt;/DYNAMIZEDON&gt;&lt;LASTUPDATEDBY&gt;kythrst&lt;/LASTUPDATEDBY&gt;&lt;LASTUPDATEDON&gt;6/16/2020 2:21:24 PM&lt;/LASTUPDATEDON&gt;&lt;UTC&gt;1&lt;/UTC&gt;&lt;/UPDATE&gt;&lt;QUERIES bbk=&quot;17236&quot; bbkdesc=&quot;2019 Annual Accounts/EU Annual Accounts/DC - Contingent liabilities&quot; datapro=&quot;BIP_CA&quot; tdatapro=&quot;BIP_CA&quot; author=&quot;&quot; modtime=&quot;6/16/2020 2:21:19 PM&quot; moduser=&quot;kythrst&quot; rolluptime=&quot;&quot; syuser=&quot;kythrst&quot; syuzeit=&quot;6/16/2020 2:21:19 PM&quot; root=&quot;/BBOOK/DATAPROVIDER[./META/PROPS/ID='BIP_CA']/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A&quot; infos=&quot;&quot; iscomment=&quot;0&quot;&gt;&lt;SELECT&gt;/BBOOK/DATAPROVIDER[./META/PROPS/ID='BIP_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5:16&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BULEG&quot; tdatapro=&quot;BIP_OBULEG&quot; author=&quot;&quot; modtime=&quot;6/8/2020 1:13:17 PM&quot; moduser=&quot;kythrst&quot; rolluptime=&quot;&quot; syuser=&quot;kythrst&quot; syuzeit=&quot;6/8/2020 1:13:17 PM&quot; root=&quot;/BBOOK/DATAPROVIDER[./META/PROPS/ID='BIP_OBULEG']/DATA&quot; colcount=&quot;4&quot; rowcount=&quot;6&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BULEG&quot; infos=&quot;&quot; iscomment=&quot;0&quot;&gt;&lt;SELECT&gt;/BBOOK/DATAPROVIDER[./META/PROPS/ID='BIP_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6:57&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CNYE&quot; tdatapro=&quot;BIP_OCNYE&quot; author=&quot;&quot; modtime=&quot;6/8/2020 1:13:17 PM&quot; moduser=&quot;kythrst&quot; rolluptime=&quot;&quot; syuser=&quot;kythrst&quot; syuzeit=&quot;6/8/2020 1:13:17 PM&quot; root=&quot;/BBOOK/DATAPROVIDER[./META/PROPS/ID='BIP_OCNYE']/DATA&quot; colcount=&quot;3&quot; rowcount=&quot;3&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CNYE&quot; infos=&quot;&quot; iscomment=&quot;0&quot;&gt;&lt;SELECT&gt;/BBOOK/DATAPROVIDER[./META/PROPS/ID='BIP_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9:08&lt;/DYNAMIZEDON&gt;&lt;LASTUPDATEDBY&gt;kythrst&lt;/LASTUPDATEDBY&gt;&lt;LASTUPDATEDON&gt;6/8/2020 1:13:27 PM&lt;/LASTUPDATEDON&gt;&lt;UTC&gt;1&lt;/UTC&gt;&lt;/UPDATE&gt;&lt;QUERIES bbk=&quot;16561&quot; bbkdesc=&quot;2019 Annual Accounts/EC Annual Accounts/DC - Significant legal commitments&quot; datapro=&quot;BIP_STRUCAC&quot; tdatapro=&quot;BIP_STRUCAC&quot; author=&quot;&quot; modtime=&quot;6/4/2020 3:29:21 PM&quot; moduser=&quot;kythrst&quot; rolluptime=&quot;&quot; syuser=&quot;kythrst&quot; syuzeit=&quot;6/4/2020 3:29:21 PM&quot; root=&quot;/BBOOK/DATAPROVIDER[./META/PROPS/ID='BIP_STRUCAC']/DATA&quot; colcount=&quot;5&quot; rowcount=&quot;15&quot; url=&quot;&quot; dynamizeds=&quot;SAP Disclosure Management - Production&quot; dynamizedstype=&quot;9&quot; refreshds=&quot;&quot; viewtype=&quot;1&quot;&gt;&lt;QUERY reftype=&quot;ABS&quot; elmntsel=&quot;TABLE&quot; bbk=&quot;16561&quot; bbkdesc=&quot;2019 Annual Accounts/EC Annual Accounts/DC - Significant legal commitments&quot; datapro=&quot;BIP_STRUCAC&quot; infos=&quot;&quot; iscomment=&quot;0&quot;&gt;&lt;SELECT&gt;/BBOOK/DATAPROVIDER[./META/PROPS/ID='BIP_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6:45&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LEGCOM&quot; tdatapro=&quot;BIP_LEGCOM&quot; author=&quot;&quot; modtime=&quot;6/8/2020 1:13:17 PM&quot; moduser=&quot;kythrst&quot; rolluptime=&quot;&quot; syuser=&quot;kythrst&quot; syuzeit=&quot;6/8/2020 1:13:17 PM&quot; root=&quot;/BBOOK/DATAPROVIDER[./META/PROPS/ID='BIP_LEGCOM']/DATA&quot; colcount=&quot;3&quot; rowcount=&quot;10&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LEGCOM&quot; infos=&quot;&quot; iscomment=&quot;0&quot;&gt;&lt;SELECT&gt;/BBOOK/DATAPROVIDER[./META/PROPS/ID='BIP_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8:55&lt;/DYNAMIZEDON&gt;&lt;LASTUPDATEDBY&gt;kythrst&lt;/LASTUPDATEDBY&gt;&lt;LASTUPDATEDON&gt;6/8/2020 1:13:27 PM&lt;/LASTUPDATEDON&gt;&lt;UTC&gt;1&lt;/UTC&gt;&lt;/UPDATE&gt;&lt;QUERIES bbk=&quot;17233&quot; bbkdesc=&quot;2019 Annual Accounts/EU Annual Accounts/DC - Operating lease commitments&quot; datapro=&quot;BIP_PPERE&quot; tdatapro=&quot;BIP_PPERE&quot; author=&quot;&quot; modtime=&quot;6/8/2020 1:13:17 PM&quot; moduser=&quot;kythrst&quot; rolluptime=&quot;&quot; syuser=&quot;kythrst&quot; syuzeit=&quot;6/8/2020 1:13:17 PM&quot; root=&quot;/BBOOK/DATAPROVIDER[./META/PROPS/ID='BIP_PPERE']/DATA&quot; colcount=&quot;5&quot; rowcount=&quot;6&quot; url=&quot;&quot; dynamizeds=&quot;SAP Disclosure Management - Production&quot; dynamizedstype=&quot;9&quot; refreshds=&quot;&quot; viewtype=&quot;1&quot;&gt;&lt;QUERY reftype=&quot;ABS&quot; elmntsel=&quot;TABLE&quot; bbk=&quot;17233&quot; bbkdesc=&quot;2019 Annual Accounts/EU Annual Accounts/DC -Operating lease commitments&quot; datapro=&quot;BIP_PPERE&quot; infos=&quot;&quot; iscomment=&quot;0&quot;&gt;&lt;SELECT&gt;/BBOOK/DATAPROVIDER[./META/PROPS/ID='BIP_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09:12:01&lt;/DYNAMIZEDON&gt;&lt;LASTUPDATEDBY&gt;kythrst&lt;/LASTUPDATEDBY&gt;&lt;LASTUPDATEDON&gt;6/16/2020 2:22:48 PM&lt;/LASTUPDATEDON&gt;&lt;UTC&gt;1&lt;/UTC&gt;&lt;/UPDATE&gt;&lt;QUERIES bbk=&quot;17225&quot; bbkdesc=&quot;2019 Annual Accounts/EU Annual Accounts/DC - Currency risk&quot; datapro=&quot;BIP_CRCY&quot; tdatapro=&quot;BIP_CRCY&quot; author=&quot;&quot; modtime=&quot;6/16/2020 2:22:32 PM&quot; moduser=&quot;kythrst&quot; rolluptime=&quot;&quot; syuser=&quot;kythrst&quot; syuzeit=&quot;6/16/2020 2:22:32 PM&quot; root=&quot;/BBOOK/DATAPROVIDER[./META/PROPS/ID='BIP_CRC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CY&quot; infos=&quot;&quot; iscomment=&quot;0&quot;&gt;&lt;SELECT&gt;/BBOOK/DATAPROVIDER[./META/PROPS/ID='BIP_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10:13:26&lt;/DYNAMIZEDON&gt;&lt;LASTUPDATEDBY&gt;kythrst&lt;/LASTUPDATEDBY&gt;&lt;LASTUPDATEDON&gt;6/16/2020 2:22:48 PM&lt;/LASTUPDATEDON&gt;&lt;UTC&gt;1&lt;/UTC&gt;&lt;/UPDATE&gt;&lt;QUERIES bbk=&quot;17225&quot; bbkdesc=&quot;2019 Annual Accounts/EU Annual Accounts/DC - Currency risk&quot; datapro=&quot;BIP_CRPY&quot; tdatapro=&quot;BIP_CRPY&quot; author=&quot;&quot; modtime=&quot;6/16/2020 2:22:32 PM&quot; moduser=&quot;kythrst&quot; rolluptime=&quot;&quot; syuser=&quot;kythrst&quot; syuzeit=&quot;6/16/2020 2:22:32 PM&quot; root=&quot;/BBOOK/DATAPROVIDER[./META/PROPS/ID='BIP_CRP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PY&quot; infos=&quot;&quot; iscomment=&quot;0&quot;&gt;&lt;SELECT&gt;/BBOOK/DATAPROVIDER[./META/PROPS/ID='BIP_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3:11&lt;/DYNAMIZEDON&gt;&lt;LASTUPDATEDBY&gt;kythrst&lt;/LASTUPDATEDBY&gt;&lt;LASTUPDATEDON&gt;6/16/2020 2:22:48 PM&lt;/LASTUPDATEDON&gt;&lt;UTC&gt;1&lt;/UTC&gt;&lt;/UPDATE&gt;&lt;QUERIES bbk=&quot;17225&quot; bbkdesc=&quot;2019 Annual Accounts/EU Annual Accounts/DC - Currency risk&quot; datapro=&quot;BIP_SDS&quot; tdatapro=&quot;BIP_SDS&quot; author=&quot;&quot; modtime=&quot;6/16/2020 2:22:32 PM&quot; moduser=&quot;kythrst&quot; rolluptime=&quot;&quot; syuser=&quot;kythrst&quot; syuzeit=&quot;6/16/2020 2:22:32 PM&quot; root=&quot;/BBOOK/DATAPROVIDER[./META/PROPS/ID='BIP_SD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S&quot; infos=&quot;&quot; iscomment=&quot;0&quot;&gt;&lt;SELECT&gt;/BBOOK/DATAPROVIDER[./META/PROPS/ID='BIP_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4:50 AM&lt;/DYNAMIZEDON&gt;&lt;LASTUPDATEDBY&gt;kythrst&lt;/LASTUPDATEDBY&gt;&lt;LASTUPDATEDON&gt;6/16/2020 2:22:48 PM&lt;/LASTUPDATEDON&gt;&lt;UTC&gt;1&lt;/UTC&gt;&lt;/UPDATE&gt;&lt;QUERIES bbk=&quot;17225&quot; bbkdesc=&quot;2019 Annual Accounts/EU Annual Accounts/DC - Currency risk&quot; datapro=&quot;BIP_NAS&quot; tdatapro=&quot;BIP_NAS&quot; author=&quot;&quot; modtime=&quot;6/16/2020 2:22:32 PM&quot; moduser=&quot;kythrst&quot; rolluptime=&quot;&quot; syuser=&quot;kythrst&quot; syuzeit=&quot;6/16/2020 2:22:32 PM&quot; root=&quot;/BBOOK/DATAPROVIDER[./META/PROPS/ID='BIP_NA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S&quot; infos=&quot;&quot; iscomment=&quot;0&quot;&gt;&lt;SELECT&gt;/BBOOK/DATAPROVIDER[./META/PROPS/ID='BIP_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8:04&lt;/DYNAMIZEDON&gt;&lt;LASTUPDATEDBY&gt;kythrst&lt;/LASTUPDATEDBY&gt;&lt;LASTUPDATEDON&gt;6/16/2020 2:22:48 PM&lt;/LASTUPDATEDON&gt;&lt;UTC&gt;1&lt;/UTC&gt;&lt;/UPDATE&gt;&lt;QUERIES bbk=&quot;17225&quot; bbkdesc=&quot;2019 Annual Accounts/EU Annual Accounts/DC - Currency risk&quot; datapro=&quot;BIP_SDW&quot; tdatapro=&quot;BIP_SDW&quot; author=&quot;&quot; modtime=&quot;6/16/2020 2:22:32 PM&quot; moduser=&quot;kythrst&quot; rolluptime=&quot;&quot; syuser=&quot;kythrst&quot; syuzeit=&quot;6/16/2020 2:22:32 PM&quot; root=&quot;/BBOOK/DATAPROVIDER[./META/PROPS/ID='BIP_SD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W&quot; infos=&quot;&quot; iscomment=&quot;0&quot;&gt;&lt;SELECT&gt;/BBOOK/DATAPROVIDER[./META/PROPS/ID='BIP_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5:40 AM&lt;/DYNAMIZEDON&gt;&lt;LASTUPDATEDBY&gt;kythrst&lt;/LASTUPDATEDBY&gt;&lt;LASTUPDATEDON&gt;6/16/2020 2:22:48 PM&lt;/LASTUPDATEDON&gt;&lt;UTC&gt;1&lt;/UTC&gt;&lt;/UPDATE&gt;&lt;QUERIES bbk=&quot;17225&quot; bbkdesc=&quot;2019 Annual Accounts/EU Annual Accounts/DC - Currency risk&quot; datapro=&quot;BIP_NAW&quot; tdatapro=&quot;BIP_NAW&quot; author=&quot;&quot; modtime=&quot;6/16/2020 2:22:32 PM&quot; moduser=&quot;kythrst&quot; rolluptime=&quot;&quot; syuser=&quot;kythrst&quot; syuzeit=&quot;6/16/2020 2:22:32 PM&quot; root=&quot;/BBOOK/DATAPROVIDER[./META/PROPS/ID='BIP_NA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W&quot; infos=&quot;&quot; iscomment=&quot;0&quot;&gt;&lt;SELECT&gt;/BBOOK/DATAPROVIDER[./META/PROPS/ID='BIP_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05:45&lt;/DYNAMIZEDON&gt;&lt;LASTUPDATEDBY&gt;kythrst&lt;/LASTUPDATEDBY&gt;&lt;LASTUPDATEDON&gt;6/16/2020 2:22:48 PM&lt;/LASTUPDATEDON&gt;&lt;UTC&gt;1&lt;/UTC&gt;&lt;/UPDATE&gt;&lt;QUERIES bbk=&quot;17226&quot; bbkdesc=&quot;2019 Annual Accounts/EU Annual Accounts/DC - Interest rate risk&quot; datapro=&quot;BIP_IRR&quot; tdatapro=&quot;BIP_IRR&quot; author=&quot;&quot; modtime=&quot;6/16/2020 2:22:32 PM&quot; moduser=&quot;kythrst&quot; rolluptime=&quot;&quot; syuser=&quot;kythrst&quot; syuzeit=&quot;6/16/2020 2:22:32 PM&quot; root=&quot;/BBOOK/DATAPROVIDER[./META/PROPS/ID='BIP_IRR']/DATA&quot; colcount=&quot;3&quot; rowcount=&quot;6&quot; url=&quot;&quot; dynamizeds=&quot;SAP Disclosure Management - Production&quot; dynamizedstype=&quot;9&quot; refreshds=&quot;&quot; viewtype=&quot;1&quot;&gt;&lt;QUERY reftype=&quot;ABS&quot; elmntsel=&quot;TABLE&quot; bbk=&quot;17226&quot; bbkdesc=&quot;2019 Annual Accounts/EU Annual Accounts/DC - Interest rate risk&quot; datapro=&quot;BIP_IRR&quot; infos=&quot;&quot; iscomment=&quot;0&quot;&gt;&lt;SELECT&gt;/BBOOK/DATAPROVIDER[./META/PROPS/ID='BIP_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15:18&lt;/DYNAMIZEDON&gt;&lt;LASTUPDATEDBY&gt;kythrst&lt;/LASTUPDATEDBY&gt;&lt;LASTUPDATEDON&gt;6/16/2020 2:22:48 PM&lt;/LASTUPDATEDON&gt;&lt;UTC&gt;1&lt;/UTC&gt;&lt;/UPDATE&gt;&lt;QUERIES bbk=&quot;17227&quot; bbkdesc=&quot;2019 Annual Accounts/EU Annual Accounts/DC - Credit risk&quot; datapro=&quot;BIP_CDTR&quot; tdatapro=&quot;BIP_CDTR&quot; author=&quot;&quot; modtime=&quot;6/16/2020 2:22:33 PM&quot; moduser=&quot;kythrst&quot; rolluptime=&quot;&quot; syuser=&quot;kythrst&quot; syuzeit=&quot;6/16/2020 2:22:33 PM&quot; root=&quot;/BBOOK/DATAPROVIDER[./META/PROPS/ID='BIP_CDTR']/DATA&quot; colcount=&quot;6&quot; rowcount=&quot;11&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CDTR&quot; infos=&quot;&quot; iscomment=&quot;0&quot;&gt;&lt;SELECT&gt;/BBOOK/DATAPROVIDER[./META/PROPS/ID='BIP_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4:32&lt;/DYNAMIZEDON&gt;&lt;LASTUPDATEDBY&gt;kythrst&lt;/LASTUPDATEDBY&gt;&lt;LASTUPDATEDON&gt;6/16/2020 2:22:48 PM&lt;/LASTUPDATEDON&gt;&lt;UTC&gt;1&lt;/UTC&gt;&lt;/UPDATE&gt;&lt;QUERIES bbk=&quot;17227&quot; bbkdesc=&quot;2019 Annual Accounts/EU Annual Accounts/DC - Credit risk&quot; datapro=&quot;BIP_FARCCY&quot; tdatapro=&quot;BIP_FARCCY&quot; author=&quot;&quot; modtime=&quot;6/16/2020 2:22:33 PM&quot; moduser=&quot;kythrst&quot; rolluptime=&quot;&quot; syuser=&quot;kythrst&quot; syuzeit=&quot;6/16/2020 2:22:33 PM&quot; root=&quot;/BBOOK/DATAPROVIDER[./META/PROPS/ID='BIP_FARCC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CY&quot; infos=&quot;&quot; iscomment=&quot;0&quot;&gt;&lt;SELECT&gt;/BBOOK/DATAPROVIDER[./META/PROPS/ID='BIP_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6:49&lt;/DYNAMIZEDON&gt;&lt;LASTUPDATEDBY&gt;kythrst&lt;/LASTUPDATEDBY&gt;&lt;LASTUPDATEDON&gt;6/16/2020 2:22:48 PM&lt;/LASTUPDATEDON&gt;&lt;UTC&gt;1&lt;/UTC&gt;&lt;/UPDATE&gt;&lt;QUERIES bbk=&quot;17227&quot; bbkdesc=&quot;2019 Annual Accounts/EU Annual Accounts/DC - Credit risk&quot; datapro=&quot;BIP_FARCPY&quot; tdatapro=&quot;BIP_FARCPY&quot; author=&quot;&quot; modtime=&quot;6/16/2020 2:22:33 PM&quot; moduser=&quot;kythrst&quot; rolluptime=&quot;&quot; syuser=&quot;kythrst&quot; syuzeit=&quot;6/16/2020 2:22:33 PM&quot; root=&quot;/BBOOK/DATAPROVIDER[./META/PROPS/ID='BIP_FARCP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PY&quot; infos=&quot;&quot; iscomment=&quot;0&quot;&gt;&lt;SELECT&gt;/BBOOK/DATAPROVIDER[./META/PROPS/ID='BIP_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0:18&lt;/DYNAMIZEDON&gt;&lt;LASTUPDATEDBY&gt;kythrst&lt;/LASTUPDATEDBY&gt;&lt;LASTUPDATEDON&gt;6/16/2020 2:22:48 PM&lt;/LASTUPDATEDON&gt;&lt;UTC&gt;1&lt;/UTC&gt;&lt;/UPDATE&gt;&lt;QUERIES bbk=&quot;17228&quot; bbkdesc=&quot;2019 Annual Accounts/EU Annual Accounts/DC - Liquiduty risk&quot; datapro=&quot;BIP_LR&quot; tdatapro=&quot;BIP_LR&quot; author=&quot;&quot; modtime=&quot;6/16/2020 2:22:34 PM&quot; moduser=&quot;kythrst&quot; rolluptime=&quot;&quot; syuser=&quot;kythrst&quot; syuzeit=&quot;6/16/2020 2:22:34 PM&quot; root=&quot;/BBOOK/DATAPROVIDER[./META/PROPS/ID='BIP_LR']/DATA&quot; colcount=&quot;5&quot; rowcount=&quot;11&quot; url=&quot;&quot; dynamizeds=&quot;SAP Disclosure Management - Production&quot; dynamizedstype=&quot;9&quot; refreshds=&quot;&quot; viewtype=&quot;1&quot;&gt;&lt;QUERY reftype=&quot;ABS&quot; elmntsel=&quot;TABLE&quot; bbk=&quot;17228&quot; bbkdesc=&quot;2019 Annual Accounts/EU Annual Accounts/DC - Maturity analysis of financial liabilities&quot; datapro=&quot;BIP_LR&quot; infos=&quot;&quot; iscomment=&quot;0&quot;&gt;&lt;SELECT&gt;/BBOOK/DATAPROVIDER[./META/PROPS/ID='BIP_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2:18&lt;/DYNAMIZEDON&gt;&lt;LASTUPDATEDBY&gt;kythrst&lt;/LASTUPDATEDBY&gt;&lt;LASTUPDATEDON&gt;6/16/2020 2:22:48 PM&lt;/LASTUPDATEDON&gt;&lt;UTC&gt;1&lt;/UTC&gt;&lt;/UPDATE&gt;&lt;QUERIES bbk=&quot;16539&quot; bbkdesc=&quot;2019 Annual Accounts/EC Annual Accounts/DC - Liquidity risk&quot; datapro=&quot;BIP_FLA&quot; tdatapro=&quot;BIP_FLA&quot; author=&quot;&quot; modtime=&quot;6/16/2020 2:13:24 PM&quot; moduser=&quot;kythrst&quot; rolluptime=&quot;&quot; syuser=&quot;kythrst&quot; syuzeit=&quot;6/16/2020 2:13:24 PM&quot; root=&quot;/BBOOK/DATAPROVIDER[./META/PROPS/ID='BIP_FLA']/DATA&quot; colcount=&quot;5&quot; rowcount=&quot;8&quot; url=&quot;&quot; dynamizeds=&quot;SAP Disclosure Management - Production&quot; dynamizedstype=&quot;9&quot; refreshds=&quot;&quot; viewtype=&quot;1&quot;&gt;&lt;QUERY reftype=&quot;ABS&quot; elmntsel=&quot;TABLE&quot; bbk=&quot;16539&quot; bbkdesc=&quot;2019 Annual Accounts/EC Annual Accounts/DC - Maturity analysis of financial liabilities&quot; datapro=&quot;BIP_FLA&quot; infos=&quot;&quot; iscomment=&quot;0&quot;&gt;&lt;SELECT&gt;/BBOOK/DATAPROVIDER[./META/PROPS/ID='BIP_FLA']/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3:05:55&lt;/DYNAMIZEDON&gt;&lt;LASTUPDATEDBY&gt;kythrst&lt;/LASTUPDATEDBY&gt;&lt;LASTUPDATEDON&gt;6/16/2020 2:22:10 PM&lt;/LASTUPDATEDON&gt;&lt;UTC&gt;1&lt;/UTC&gt;&lt;/UPDATE&gt;&lt;QUERIES bbk=&quot;17208&quot; bbkdesc=&quot;2019 Annual Accounts/EU Annual Accounts/DC - Related party disclosures&quot; datapro=&quot;BIP_KM&quot; tdatapro=&quot;BIP_KM&quot; author=&quot;&quot; modtime=&quot;6/16/2020 2:22:06 PM&quot; moduser=&quot;kythrst&quot; rolluptime=&quot;&quot; syuser=&quot;kythrst&quot; syuzeit=&quot;6/16/2020 2:22:06 PM&quot; root=&quot;/BBOOK/DATAPROVIDER[./META/PROPS/ID='BIP_KM']/DATA&quot; colcount=&quot;6&quot; rowcount=&quot;45&quot; url=&quot;&quot; dynamizeds=&quot;SAP Disclosure Management - Production&quot; dynamizedstype=&quot;9&quot; refreshds=&quot;&quot; viewtype=&quot;1&quot;&gt;&lt;QUERY reftype=&quot;ABS&quot; elmntsel=&quot;TABLE&quot; bbk=&quot;17208&quot; bbkdesc=&quot;2019 Annual Accounts/EU Annual Accounts/DC - Related party disclosures&quot; datapro=&quot;BIP_KM&quot; infos=&quot;&quot; iscomment=&quot;0&quot;&gt;&lt;SELECT&gt;/BBOOK/DATAPROVIDER[./META/PROPS/ID='BIP_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3:18:40&lt;/DYNAMIZEDON&gt;&lt;LASTUPDATEDBY&gt;Ruberla&lt;/LASTUPDATEDBY&gt;&lt;LASTUPDATEDON&gt;6/11/2020 4:58:03 PM&lt;/LASTUPDATEDON&gt;&lt;UTC&gt;1&lt;/UTC&gt;&lt;/UPDATE&gt;&lt;QUERIES bbk=&quot;17209&quot; bbkdesc=&quot;2019 Annual Accounts/EU Annual Accounts/DC - Scope of consolidation EU&quot; datapro=&quot;BIP_CE&quot; tdatapro=&quot;BIP_CE&quot; author=&quot;&quot; modtime=&quot;6/8/2020 1:16:00 PM&quot; moduser=&quot;kythrst&quot; rolluptime=&quot;&quot; syuser=&quot;kythrst&quot; syuzeit=&quot;6/8/2020 1:16:00 PM&quot; root=&quot;/BBOOK/DATAPROVIDER[./META/PROPS/ID='BIP_CE']/DATA&quot; colcount=&quot;2&quot; rowcount=&quot;39&quot; url=&quot;&quot; dynamizeds=&quot;SAP Disclosure Management - Production&quot; dynamizedstype=&quot;9&quot; refreshds=&quot;&quot; viewtype=&quot;1&quot;&gt;&lt;QUERY reftype=&quot;ABS&quot; elmntsel=&quot;TABLE&quot; bbk=&quot;17209&quot; bbkdesc=&quot;2019 Annual Accounts/EU Annual Accounts/DC - Scope of consolidation EU&quot; datapro=&quot;BIP_CE&quot; infos=&quot;&quot; iscomment=&quot;0&quot;&gt;&lt;SELECT&gt;/BBOOK/DATAPROVIDER[./META/PROPS/ID='BIP_CE']/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7:57&lt;/DYNAMIZEDON&gt;&lt;LASTUPDATEDBY&gt;kythrst&lt;/LASTUPDATEDBY&gt;&lt;LASTUPDATEDON&gt;6/16/2020 2:24:50 PM&lt;/LASTUPDATEDON&gt;&lt;UTC&gt;1&lt;/UTC&gt;&lt;/UPDATE&gt;&lt;QUERIES bbk=&quot;17140&quot; bbkdesc=&quot;2019 Annual Accounts/EU Annual Accounts/DC - Budget result and Statements of Comparison&quot; datapro=&quot;BIP_Budget_result&quot; tdatapro=&quot;BIP_Budget_result&quot; author=&quot;&quot; modtime=&quot;6/8/2020 1:15:35 PM&quot; moduser=&quot;kythrst&quot; rolluptime=&quot;&quot; syuser=&quot;kythrst&quot; syuzeit=&quot;6/8/2020 1:15:35 PM&quot; root=&quot;/BBOOK/DATAPROVIDER[./META/PROPS/ID='BIP_Budget_result']/DATA&quot; colcount=&quot;4&quot; rowcount=&quot;11&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8:42&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Revenue&quot; tdatapro=&quot;BIP_Statement_of_comparison_Revenue&quot; author=&quot;&quot; modtime=&quot;6/8/2020 1:15:35 PM&quot; moduser=&quot;kythrst&quot; rolluptime=&quot;&quot; syuser=&quot;kythrst&quot; syuzeit=&quot;6/8/2020 1:15:35 P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0:0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Commitments&quot; tdatapro=&quot;BIP_Statement_of_comparison_Commitments&quot; author=&quot;&quot; modtime=&quot;6/8/2020 1:15:35 PM&quot; moduser=&quot;kythrst&quot; rolluptime=&quot;&quot; syuser=&quot;kythrst&quot; syuzeit=&quot;6/8/2020 1:15:35 P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2:3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Payments&quot; tdatapro=&quot;BIP_Statement_of_comparison_Payments&quot; author=&quot;&quot; modtime=&quot;6/8/2020 1:15:35 PM&quot; moduser=&quot;kythrst&quot; rolluptime=&quot;&quot; syuser=&quot;kythrst&quot; syuzeit=&quot;6/8/2020 1:15:35 P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kythrst&lt;/LASTUPDATEDBY&gt;&lt;LASTUPDATEDON&gt;6/16/2020 2:24:40 PM&lt;/LASTUPDATEDON&gt;&lt;UTC&gt;1&lt;/UTC&gt;&lt;/UPDATE&gt;&lt;QUERIES bbk=&quot;17196&quot; bbkdesc=&quot;2019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7196&quot; bbkdesc=&quot;2019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42:07&lt;/DYNAMIZEDON&gt;&lt;LASTUPDATEDBY&gt;kythrst&lt;/LASTUPDATEDBY&gt;&lt;LASTUPDATEDON&gt;6/16/2020 2:25:14 PM&lt;/LASTUPDATEDON&gt;&lt;UTC&gt;1&lt;/UTC&gt;&lt;/UPDATE&gt;&lt;QUERIES bbk=&quot;17108&quot; bbkdesc=&quot;2019 Annual Accounts/EU Annual Accounts/DC - EU Reconciliation of economic result&quot; datapro=&quot;BIP_Reconciliation&quot; tdatapro=&quot;BIP_Reconciliation&quot; author=&quot;&quot; modtime=&quot;6/5/2020 3:55:51 PM&quot; moduser=&quot;canarpa&quot; rolluptime=&quot;&quot; syuser=&quot;canarpa&quot; syuzeit=&quot;6/5/2020 3:55:51 PM&quot; root=&quot;/BBOOK/DATAPROVIDER[./META/PROPS/ID='BIP_Reconciliation']/DATA&quot; colcount=&quot;3&quot; rowcount=&quot;21&quot; url=&quot;&quot; dynamizeds=&quot;SAP Disclosure Management - Production&quot; dynamizedstype=&quot;9&quot; refreshds=&quot;&quot; viewtype=&quot;1&quot;&gt;&lt;QUERY reftype=&quot;ABS&quot; elmntsel=&quot;TABLE&quot; bbk=&quot;17108&quot; bbkdesc=&quot;2019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3/03/2019 08:15:24&lt;/DYNAMIZEDON&gt;&lt;LASTUPDATEDBY&gt;kythrst&lt;/LASTUPDATEDBY&gt;&lt;LASTUPDATEDON&gt;6/16/2020 2:25:17 PM&lt;/LASTUPDATEDON&gt;&lt;UTC&gt;1&lt;/UTC&gt;&lt;/UPDATE&gt;&lt;QUERIES bbk=&quot;17211&quot; bbkdesc=&quot;2019 Annual Accounts/EU Annual Accounts/DC - EU revenues&quot; datapro=&quot;BIP_Implementation_budget_revenue&quot; tdatapro=&quot;BIP_Implementation_budget_revenue&quot; author=&quot;&quot; modtime=&quot;6/16/2020 2:24:52 PM&quot; moduser=&quot;kythrst&quot; rolluptime=&quot;&quot; syuser=&quot;kythrst&quot; syuzeit=&quot;6/16/2020 2:24:52 P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7211&quot; bbkdesc=&quot;2019 Annual Accounts/EU Annual Accounts/DC - EU revenues&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kythrst&lt;/LASTUPDATEDBY&gt;&lt;LASTUPDATEDON&gt;6/16/2020 2:25:13 PM&lt;/LASTUPDATEDON&gt;&lt;UTC&gt;1&lt;/UTC&gt;&lt;/UPDATE&gt;&lt;QUERIES bbk=&quot;17212&quot; bbkdesc=&quot;2019 Annual Accounts/EU Annual Accounts/DC - EU expenditures&quot; datapro=&quot;BIP_MFF_1_Breakdown_Comm_Paym&quot; tdatapro=&quot;BIP_MFF_1_Breakdown_Comm_Paym&quot; author=&quot;&quot; modtime=&quot;6/16/2020 2:24:53 PM&quot; moduser=&quot;kythrst&quot; rolluptime=&quot;&quot; syuser=&quot;kythrst&quot; syuzeit=&quot;6/16/2020 2:24:53 P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kythrst&lt;/LASTUPDATEDBY&gt;&lt;LASTUPDATEDON&gt;6/16/2020 2:25:12 PM&lt;/LASTUPDATEDON&gt;&lt;UTC&gt;1&lt;/UTC&gt;&lt;/UPDATE&gt;&lt;QUERIES bbk=&quot;17212&quot; bbkdesc=&quot;2019 Annual Accounts/EU Annual Accounts/DC - EU expenditures&quot; datapro=&quot;BIP_MFF_2_Implement_Commitments&quot; tdatapro=&quot;BIP_MFF_2_Implement_Commitments&quot; author=&quot;&quot; modtime=&quot;6/16/2020 2:24:53 PM&quot; moduser=&quot;kythrst&quot; rolluptime=&quot;&quot; syuser=&quot;kythrst&quot; syuzeit=&quot;6/16/2020 2:24:53 P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kythrst&lt;/LASTUPDATEDBY&gt;&lt;LASTUPDATEDON&gt;6/16/2020 2:25:12 PM&lt;/LASTUPDATEDON&gt;&lt;UTC&gt;1&lt;/UTC&gt;&lt;/UPDATE&gt;&lt;QUERIES bbk=&quot;17212&quot; bbkdesc=&quot;2019 Annual Accounts/EU Annual Accounts/DC - EU expenditures&quot; datapro=&quot;BIP_MFF_3_Implement_Payments&quot; tdatapro=&quot;BIP_MFF_3_Implement_Payments&quot; author=&quot;&quot; modtime=&quot;6/16/2020 2:24:53 PM&quot; moduser=&quot;kythrst&quot; rolluptime=&quot;&quot; syuser=&quot;kythrst&quot; syuzeit=&quot;6/16/2020 2:24:53 P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kythrst&lt;/LASTUPDATEDBY&gt;&lt;LASTUPDATEDON&gt;6/16/2020 2:25:13 PM&lt;/LASTUPDATEDON&gt;&lt;UTC&gt;1&lt;/UTC&gt;&lt;/UPDATE&gt;&lt;QUERIES bbk=&quot;17212&quot; bbkdesc=&quot;2019 Annual Accounts/EU Annual Accounts/DC - EU expenditures&quot; datapro=&quot;BIP_MFF_4_Commitments_oustanding&quot; tdatapro=&quot;BIP_MFF_4_Commitments_oustanding&quot; author=&quot;&quot; modtime=&quot;6/16/2020 2:24:53 PM&quot; moduser=&quot;kythrst&quot; rolluptime=&quot;&quot; syuser=&quot;kythrst&quot; syuzeit=&quot;6/16/2020 2:24:53 P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kythrst&lt;/LASTUPDATEDBY&gt;&lt;LASTUPDATEDON&gt;6/16/2020 2:25:12 PM&lt;/LASTUPDATEDON&gt;&lt;UTC&gt;1&lt;/UTC&gt;&lt;/UPDATE&gt;&lt;QUERIES bbk=&quot;17212&quot; bbkdesc=&quot;2019 Annual Accounts/EU Annual Accounts/DC - EU expenditures&quot; datapro=&quot;BIP_MFF_5_RAL_YoO&quot; tdatapro=&quot;BIP_MFF_5_RAL_YoO&quot; author=&quot;&quot; modtime=&quot;6/16/2020 2:24:53 PM&quot; moduser=&quot;kythrst&quot; rolluptime=&quot;&quot; syuser=&quot;kythrst&quot; syuzeit=&quot;6/16/2020 2:24:53 P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kythrst&lt;/LASTUPDATEDBY&gt;&lt;LASTUPDATEDON&gt;6/16/2020 2:25:12 PM&lt;/LASTUPDATEDON&gt;&lt;UTC&gt;1&lt;/UTC&gt;&lt;/UPDATE&gt;&lt;QUERIES bbk=&quot;17212&quot; bbkdesc=&quot;2019 Annual Accounts/EU Annual Accounts/DC - EU expenditures&quot; datapro=&quot;BIP_DetailedMFF_1_Breakdown&quot; tdatapro=&quot;BIP_DetailedMFF_1_Breakdown&quot; author=&quot;&quot; modtime=&quot;6/16/2020 2:24:53 PM&quot; moduser=&quot;kythrst&quot; rolluptime=&quot;&quot; syuser=&quot;kythrst&quot; syuzeit=&quot;6/16/2020 2:24:53 PM&quot; root=&quot;/BBOOK/DATAPROVIDER[./META/PROPS/ID='BIP_DetailedMFF_1_Breakdown']/DATA&quot; colcount=&quot;14&quot; rowcount=&quot;100&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kythrst&lt;/LASTUPDATEDBY&gt;&lt;LASTUPDATEDON&gt;6/16/2020 2:25:11 PM&lt;/LASTUPDATEDON&gt;&lt;UTC&gt;1&lt;/UTC&gt;&lt;/UPDATE&gt;&lt;QUERIES bbk=&quot;17212&quot; bbkdesc=&quot;2019 Annual Accounts/EU Annual Accounts/DC - EU expenditures&quot; datapro=&quot;BIP_DetailedMFF_2_Implement_Commitments&quot; tdatapro=&quot;BIP_DetailedMFF_2_Implement_Commitments&quot; author=&quot;&quot; modtime=&quot;6/16/2020 2:24:53 PM&quot; moduser=&quot;kythrst&quot; rolluptime=&quot;&quot; syuser=&quot;kythrst&quot; syuzeit=&quot;6/16/2020 2:24:53 PM&quot; root=&quot;/BBOOK/DATAPROVIDER[./META/PROPS/ID='BIP_DetailedMFF_2_Implement_Commitments']/DATA&quot; colcount=&quot;15&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kythrst&lt;/LASTUPDATEDBY&gt;&lt;LASTUPDATEDON&gt;6/16/2020 2:25:13 PM&lt;/LASTUPDATEDON&gt;&lt;UTC&gt;1&lt;/UTC&gt;&lt;/UPDATE&gt;&lt;QUERIES bbk=&quot;17212&quot; bbkdesc=&quot;2019 Annual Accounts/EU Annual Accounts/DC - EU expenditures&quot; datapro=&quot;BIP_DetailedMFF_3_Implement_Payments&quot; tdatapro=&quot;BIP_DetailedMFF_3_Implement_Payments&quot; author=&quot;&quot; modtime=&quot;6/16/2020 2:24:53 PM&quot; moduser=&quot;kythrst&quot; rolluptime=&quot;&quot; syuser=&quot;kythrst&quot; syuzeit=&quot;6/16/2020 2:24:53 PM&quot; root=&quot;/BBOOK/DATAPROVIDER[./META/PROPS/ID='BIP_DetailedMFF_3_Implement_Payments']/DATA&quot; colcount=&quot;16&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kythrst&lt;/LASTUPDATEDBY&gt;&lt;LASTUPDATEDON&gt;6/16/2020 2:25:12 PM&lt;/LASTUPDATEDON&gt;&lt;UTC&gt;1&lt;/UTC&gt;&lt;/UPDATE&gt;&lt;QUERIES bbk=&quot;17212&quot; bbkdesc=&quot;2019 Annual Accounts/EU Annual Accounts/DC - EU expenditures&quot; datapro=&quot;BIP_DetailedMFF_4_Commitments_oustanding&quot; tdatapro=&quot;BIP_DetailedMFF_4_Commitments_oustanding&quot; author=&quot;&quot; modtime=&quot;6/16/2020 2:24:53 PM&quot; moduser=&quot;kythrst&quot; rolluptime=&quot;&quot; syuser=&quot;kythrst&quot; syuzeit=&quot;6/16/2020 2:24:53 PM&quot; root=&quot;/BBOOK/DATAPROVIDER[./META/PROPS/ID='BIP_DetailedMFF_4_Commitments_oustanding']/DATA&quot; colcount=&quot;11&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kythrst&lt;/LASTUPDATEDBY&gt;&lt;LASTUPDATEDON&gt;6/16/2020 2:25:11 PM&lt;/LASTUPDATEDON&gt;&lt;UTC&gt;1&lt;/UTC&gt;&lt;/UPDATE&gt;&lt;QUERIES bbk=&quot;17212&quot; bbkdesc=&quot;2019 Annual Accounts/EU Annual Accounts/DC - EU expenditures&quot; datapro=&quot;BIP_DetailedMFF_5_RAL_YoO&quot; tdatapro=&quot;BIP_DetailedMFF_5_RAL_YoO&quot; author=&quot;&quot; modtime=&quot;6/16/2020 2:24:53 PM&quot; moduser=&quot;kythrst&quot; rolluptime=&quot;&quot; syuser=&quot;kythrst&quot; syuzeit=&quot;6/16/2020 2:24:53 PM&quot; root=&quot;/BBOOK/DATAPROVIDER[./META/PROPS/ID='BIP_DetailedMFF_5_RAL_YoO']/DATA&quot; colcount=&quot;11&quot; rowcount=&quot;9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kythrst&lt;/LASTUPDATEDBY&gt;&lt;LASTUPDATEDON&gt;6/16/2020 2:25:18 PM&lt;/LASTUPDATEDON&gt;&lt;UTC&gt;1&lt;/UTC&gt;&lt;/UPDATE&gt;&lt;QUERIES bbk=&quot;17256&quot; bbkdesc=&quot;2019 Annual Accounts/EU Annual Accounts/DC - Institutions and agencies&quot; datapro=&quot;BIP_Institutions_1_Revenue&quot; tdatapro=&quot;BIP_Institutions_1_Revenue&quot; author=&quot;&quot; modtime=&quot;6/16/2020 2:24:54 PM&quot; moduser=&quot;kythrst&quot; rolluptime=&quot;&quot; syuser=&quot;kythrst&quot; syuzeit=&quot;6/16/2020 2:24:54 P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kythrst&lt;/LASTUPDATEDBY&gt;&lt;LASTUPDATEDON&gt;6/16/2020 2:25:19 PM&lt;/LASTUPDATEDON&gt;&lt;UTC&gt;1&lt;/UTC&gt;&lt;/UPDATE&gt;&lt;QUERIES bbk=&quot;17256&quot; bbkdesc=&quot;2019 Annual Accounts/EU Annual Accounts/DC - Institutions and agencies&quot; datapro=&quot;BIP_Institutions_2_Commitments&quot; tdatapro=&quot;BIP_Institutions_2_Commitments&quot; author=&quot;&quot; modtime=&quot;6/16/2020 2:24:54 PM&quot; moduser=&quot;kythrst&quot; rolluptime=&quot;&quot; syuser=&quot;kythrst&quot; syuzeit=&quot;6/16/2020 2:24:54 P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kythrst&lt;/LASTUPDATEDBY&gt;&lt;LASTUPDATEDON&gt;6/16/2020 2:25:19 PM&lt;/LASTUPDATEDON&gt;&lt;UTC&gt;1&lt;/UTC&gt;&lt;/UPDATE&gt;&lt;QUERIES bbk=&quot;17256&quot; bbkdesc=&quot;2019 Annual Accounts/EU Annual Accounts/DC - Institutions and agencies&quot; datapro=&quot;BIP_Institutions_3_Payments&quot; tdatapro=&quot;BIP_Institutions_3_Payments&quot; author=&quot;&quot; modtime=&quot;6/16/2020 2:24:54 PM&quot; moduser=&quot;kythrst&quot; rolluptime=&quot;&quot; syuser=&quot;kythrst&quot; syuzeit=&quot;6/16/2020 2:24:54 P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2:19&lt;/DYNAMIZEDON&gt;&lt;LASTUPDATEDBY&gt;kythrst&lt;/LASTUPDATEDBY&gt;&lt;LASTUPDATEDON&gt;6/16/2020 2:25:16 PM&lt;/LASTUPDATEDON&gt;&lt;UTC&gt;1&lt;/UTC&gt;&lt;/UPDATE&gt;&lt;QUERIES bbk=&quot;17256&quot; bbkdesc=&quot;2019 Annual Accounts/EU Annual Accounts/DC - Institutions and agencies&quot; datapro=&quot;BIP_Agencies_1_Revenue&quot; tdatapro=&quot;BIP_Agencies_1_Revenue&quot; author=&quot;&quot; modtime=&quot;6/16/2020 2:24:54 PM&quot; moduser=&quot;kythrst&quot; rolluptime=&quot;&quot; syuser=&quot;kythrst&quot; syuzeit=&quot;6/16/2020 2:24:54 P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5:30&lt;/DYNAMIZEDON&gt;&lt;LASTUPDATEDBY&gt;kythrst&lt;/LASTUPDATEDBY&gt;&lt;LASTUPDATEDON&gt;6/16/2020 2:25:16 PM&lt;/LASTUPDATEDON&gt;&lt;UTC&gt;1&lt;/UTC&gt;&lt;/UPDATE&gt;&lt;QUERIES bbk=&quot;17256&quot; bbkdesc=&quot;2019 Annual Accounts/EU Annual Accounts/DC - Institutions and agencies&quot; datapro=&quot;BIP_Agencies_2_Type_of_Revenue&quot; tdatapro=&quot;BIP_Agencies_2_Type_of_Revenue&quot; author=&quot;&quot; modtime=&quot;6/16/2020 2:24:54 PM&quot; moduser=&quot;kythrst&quot; rolluptime=&quot;&quot; syuser=&quot;kythrst&quot; syuzeit=&quot;6/16/2020 2:24:54 PM&quot; root=&quot;/BBOOK/DATAPROVIDER[./META/PROPS/ID='BIP_Agencies_2_Type_of_Revenue']/DATA&quot; colcount=&quot;4&quot; rowcount=&quot;6&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6:11&lt;/DYNAMIZEDON&gt;&lt;LASTUPDATEDBY&gt;kythrst&lt;/LASTUPDATEDBY&gt;&lt;LASTUPDATEDON&gt;6/16/2020 2:25:16 PM&lt;/LASTUPDATEDON&gt;&lt;UTC&gt;1&lt;/UTC&gt;&lt;/UPDATE&gt;&lt;QUERIES bbk=&quot;17256&quot; bbkdesc=&quot;2019 Annual Accounts/EU Annual Accounts/DC - Institutions and agencies&quot; datapro=&quot;BIP_Agencies_3_Commitments_Payments&quot; tdatapro=&quot;BIP_Agencies_3_Commitments_Payments&quot; author=&quot;&quot; modtime=&quot;6/16/2020 2:24:54 PM&quot; moduser=&quot;kythrst&quot; rolluptime=&quot;&quot; syuser=&quot;kythrst&quot; syuzeit=&quot;6/16/2020 2:24:54 P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7:48&lt;/DYNAMIZEDON&gt;&lt;LASTUPDATEDBY&gt;kythrst&lt;/LASTUPDATEDBY&gt;&lt;LASTUPDATEDON&gt;6/16/2020 2:25:16 PM&lt;/LASTUPDATEDON&gt;&lt;UTC&gt;1&lt;/UTC&gt;&lt;/UPDATE&gt;&lt;QUERIES bbk=&quot;17256&quot; bbkdesc=&quot;2019 Annual Accounts/EU Annual Accounts/DC - Institutions and agencies&quot; datapro=&quot;BIP_Agencies_4_Type_of_Expenditure&quot; tdatapro=&quot;BIP_Agencies_4_Type_of_Expenditure&quot; author=&quot;&quot; modtime=&quot;6/16/2020 2:24:54 PM&quot; moduser=&quot;kythrst&quot; rolluptime=&quot;&quot; syuser=&quot;kythrst&quot; syuzeit=&quot;6/16/2020 2:24:54 P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7213&quot; bbdesc=&quot;2019 Annual Accounts/EU Annual Accounts/DC - Balance Sheet&quot; dsname=&quot;SAP Disclosure Management - Production&quot;&gt;&lt;VARIABLES /&gt;&lt;/BBOOK&gt;&lt;BBOOK bbname=&quot;17229&quot; bbdesc=&quot;2019 Annual Accounts/EU Annual Accounts/DC - Statement of Financial Performance&quot; dsname=&quot;SAP Disclosure Management - Production&quot;&gt;&lt;VARIABLES /&gt;&lt;/BBOOK&gt;&lt;BBOOK bbname=&quot;17230&quot; bbdesc=&quot;2019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7201&quot; bbdesc=&quot;2019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7249&quot; bbdesc=&quot;2019 Annual Accounts/EU Annual Accounts/DC - Accrued charges and Deferred income&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17678&quot; bbdesc=&quot;2019 Annual Accounts/Master Report/DC - Financial Statements&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7200&quot; bbdesc=&quot;2019 Annual Accounts/EU Annual Accounts/DC - Intangible fixed assets&quot; dsname=&quot;SAP Disclosure Management - Production&quot;&gt;&lt;VARIABLES /&gt;&lt;/BBOOK&gt;&lt;BBOOK bbname=&quot;17202&quot; bbdesc=&quot;2019 Annual Accounts/EU Annual Accounts/DC - Intangible assets and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6570&quot; bbdesc=&quot;2019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7240&quot; bbdesc=&quot;2019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7215&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7153&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7207&quot; bbdesc=&quot;2018 Annual Accounts/EU Annual Accounts/DC - Financial Support Mechanisms&quot; dsname=&quot;SAP Disclosure Management - Production&quot;&gt;&lt;VARIABLES /&gt;&lt;/BBOOK&gt;&lt;BBOOK bbname=&quot;16545&quot; bbdesc=&quot;2019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7241&quot; bbdesc=&quot;2019 Annual Accounts/EU Annual Accounts/DC - Pre-financing&quot; dsname=&quot;SAP Disclosure Management - Production&quot;&gt;&lt;VARIABLES /&gt;&lt;/BBOOK&gt;&lt;BBOOK bbname=&quot;17216&quot; bbdesc=&quot;2019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6547&quot; bbdesc=&quot;2019 Annual Accounts/EC Annual Accounts/DC - Pre-financing&quot; dsname=&quot;SAP Disclosure Management - Production&quot;&gt;&lt;VARIABLES /&gt;&lt;/BBOOK&gt;&lt;BBOOK bbname=&quot;17217&quot; bbdesc=&quot;2019 Annual Accounts/EU Annual Accounts/DC - Exchange receivables and Non-exchange recoverables&quot; dsname=&quot;SAP Disclosure Management - Production&quot;&gt;&lt;VARIABLES /&gt;&lt;/BBOOK&gt;&lt;BBOOK bbname=&quot;17218&quot; bbdesc=&quot;2019 Annual Accounts/EU Annual Accounts/DC - Recoverables from Member States&quot; dsname=&quot;SAP Disclosure Management - Production&quot;&gt;&lt;VARIABLES /&gt;&lt;/BBOOK&gt;&lt;BBOOK bbname=&quot;17219&quot; bbdesc=&quot;2019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7242&quot; bbdesc=&quot;2019 Annual Accounts/EU Annual Accounts/DC - Inventories&quot; dsname=&quot;SAP Disclosure Management - Production&quot;&gt;&lt;VARIABLES /&gt;&lt;/BBOOK&gt;&lt;BBOOK bbname=&quot;17243&quot; bbdesc=&quot;2019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7244&quot; bbdesc=&quot;2019 Annual Accounts/EU Annual Accounts/DC - Pension and other employee benefits&quot; dsname=&quot;SAP Disclosure Management - Production&quot;&gt;&lt;VARIABLES /&gt;&lt;/BBOOK&gt;&lt;BBOOK bbname=&quot;14848&quot; bbdesc=&quot;2018 Annual Accounts/EU Annual Accounts/DC - Pre-financing&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7245&quot; bbdesc=&quot;2019 Annual Accounts/EU Annual Accounts/DC - Provisions&quot; dsname=&quot;SAP Disclosure Management - Production&quot;&gt;&lt;VARIABLES /&gt;&lt;/BBOOK&gt;&lt;BBOOK bbname=&quot;17246&quot; bbdesc=&quot;2019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7247&quot; bbdesc=&quot;2019 Annual Accounts/EU Annual Accounts/DC - Other financial liabilities&quot; dsname=&quot;SAP Disclosure Management - Production&quot;&gt;&lt;VARIABLES /&gt;&lt;/BBOOK&gt;&lt;BBOOK bbname=&quot;17248&quot; bbdesc=&quot;2019 Annual Accounts/EU Annual Accounts/DC - Finance Lease liabilities&quot; dsname=&quot;SAP Disclosure Management - Production&quot;&gt;&lt;VARIABLES /&gt;&lt;/BBOOK&gt;&lt;BBOOK bbname=&quot;1718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6552&quot; bbdesc=&quot;2019 Annual Accounts/EC Annual Accounts/DC - Financial liabilities&quot; dsname=&quot;SAP Disclosure Management - Production&quot;&gt;&lt;VARIABLES /&gt;&lt;/BBOOK&gt;&lt;BBOOK bbname=&quot;14847&quot; bbdesc=&quot;2018 Annual Accounts/EU Annual Accounts/DC - Financial assets&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14020&quot; bbdesc=&quot;2018 Annual Accounts/EC Annual Accounts/DC - Financial assets&quot; dsname=&quot;SAP Disclosure Management - Production&quot;&gt;&lt;VARIABLES /&gt;&lt;/BBOOK&gt;&lt;BBOOK bbname=&quot;17220&quot; bbdesc=&quot;2019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7250&quot; bbdesc=&quot;2019 Annual Accounts/EU Annual Accounts/DC - Net assets&quot; dsname=&quot;SAP Disclosure Management - Production&quot;&gt;&lt;VARIABLES /&gt;&lt;/BBOOK&gt;&lt;BBOOK bbname=&quot;17255&quot; bbdesc=&quot;2018 Annual Accounts/EU Annual Accounts/DC - Fair value movements of available for sale financial assets&quot; dsname=&quot;SAP Disclosure Management - Production&quot;&gt;&lt;VARIABLES /&gt;&lt;/BBOOK&gt;&lt;BBOOK bbname=&quot;16562&quot; bbdesc=&quot;2019 Annual Accounts/EC Annual Accounts/DC - Traditional own resources&quot; dsname=&quot;SAP Disclosure Management - Production&quot;&gt;&lt;VARIABLES /&gt;&lt;/BBOOK&gt;&lt;BBOOK bbname=&quot;17252&quot; bbdesc=&quot;2019 Annual Accounts/EU Annual Accounts/DC - Recovery of expenses&quot; dsname=&quot;SAP Disclosure Management - Production&quot;&gt;&lt;VARIABLES /&gt;&lt;/BBOOK&gt;&lt;BBOOK bbname=&quot;17221&quot; bbdesc=&quot;2019 Annual Accounts/EU Annual Accounts/DC - Other non-exchange revenue&quot; dsname=&quot;SAP Disclosure Management - Production&quot;&gt;&lt;VARIABLES /&gt;&lt;/BBOOK&gt;&lt;BBOOK bbname=&quot;17231&quot; bbdesc=&quot;2019 Annual Accounts/EU Annual Accounts/DC - Financial revenue&quot; dsname=&quot;SAP Disclosure Management - Production&quot;&gt;&lt;VARIABLES /&gt;&lt;/BBOOK&gt;&lt;BBOOK bbname=&quot;17253&quot; bbdesc=&quot;2019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6488&quot; bbdesc=&quot;2019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7222&quot; bbdesc=&quot;2019 Annual Accounts/EU Annual Accounts/DC - Direct and Indirect Management&quot; dsname=&quot;SAP Disclosure Management - Production&quot;&gt;&lt;VARIABLES /&gt;&lt;/BBOOK&gt;&lt;BBOOK bbname=&quot;17254&quot; bbdesc=&quot;2019 Annual Accounts/EU Annual Accounts/DC - Staff and Pension costs&quot; dsname=&quot;SAP Disclosure Management - Production&quot;&gt;&lt;VARIABLES /&gt;&lt;/BBOOK&gt;&lt;BBOOK bbname=&quot;17232&quot; bbdesc=&quot;2019 Annual Accounts/EU Annual Accounts/DC - Finance costs&quot; dsname=&quot;SAP Disclosure Management - Production&quot;&gt;&lt;VARIABLES /&gt;&lt;/BBOOK&gt;&lt;BBOOK bbname=&quot;17223&quot; bbdesc=&quot;2019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7234&quot; bbdesc=&quot;2018 Annual Accounts/EU Annual Accounts/DC - Research and Development costs&quot; dsname=&quot;SAP Disclosure Management - Production&quot;&gt;&lt;VARIABLES /&gt;&lt;/BBOOK&gt;&lt;BBOOK bbname=&quot;17224&quot; bbdesc=&quot;2019 Annual Accounts/EU Annual Accounts/DC - Segment report&quot; dsname=&quot;SAP Disclosure Management - Production&quot;&gt;&lt;VARIABLES /&gt;&lt;/BBOOK&gt;&lt;BBOOK bbname=&quot;16559&quot; bbdesc=&quot;2019 Annual Accounts/EC Annual Accounts/DC - Guarantees given&quot; dsname=&quot;SAP Disclosure Management - Production&quot;&gt;&lt;VARIABLES /&gt;&lt;/BBOOK&gt;&lt;BBOOK bbname=&quot;16558&quot; bbdesc=&quot;2019 Annual Accounts/EC Annual Accounts/DC - Contingent liabilities&quot; dsname=&quot;SAP Disclosure Management - Production&quot;&gt;&lt;VARIABLES /&gt;&lt;/BBOOK&gt;&lt;BBOOK bbname=&quot;17236&quot; bbdesc=&quot;2019 Annual Accounts/EU Annual Accounts/DC - Contingent liabilities and assets&quot; dsname=&quot;SAP Disclosure Management - Production&quot;&gt;&lt;VARIABLES /&gt;&lt;/BBOOK&gt;&lt;BBOOK bbname=&quot;17237&quot; bbdesc=&quot;2019 Annual Accounts/EU Annual Accounts/DC - Outstanding commitments not yet expensed - Significant legal commitments&quot; dsname=&quot;SAP Disclosure Management - Production&quot;&gt;&lt;VARIABLES /&gt;&lt;/BBOOK&gt;&lt;BBOOK bbname=&quot;17238&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6561&quot; bbdesc=&quot;2019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7233&quot; bbdesc=&quot;2019 Annual Accounts/EU Annual Accounts/DC - Operating lease commitments&quot; dsname=&quot;SAP Disclosure Management - Production&quot;&gt;&lt;VARIABLES /&gt;&lt;/BBOOK&gt;&lt;BBOOK bbname=&quot;17225&quot; bbdesc=&quot;2019 Annual Accounts/EU Annual Accounts/DC - Currency risk&quot; dsname=&quot;SAP Disclosure Management - Production&quot;&gt;&lt;VARIABLES /&gt;&lt;/BBOOK&gt;&lt;BBOOK bbname=&quot;17226&quot; bbdesc=&quot;2019 Annual Accounts/EU Annual Accounts/DC - Interest rate risk&quot; dsname=&quot;SAP Disclosure Management - Production&quot;&gt;&lt;VARIABLES /&gt;&lt;/BBOOK&gt;&lt;BBOOK bbname=&quot;17227&quot; bbdesc=&quot;2019 Annual Accounts/EU Annual Accounts/DC - Credit risk&quot; dsname=&quot;SAP Disclosure Management - Production&quot;&gt;&lt;VARIABLES /&gt;&lt;/BBOOK&gt;&lt;BBOOK bbname=&quot;17228&quot; bbdesc=&quot;2019 Annual Accounts/EU Annual Accounts/DC - Liquiduty risk&quot; dsname=&quot;SAP Disclosure Management - Production&quot;&gt;&lt;VARIABLES /&gt;&lt;/BBOOK&gt;&lt;BBOOK bbname=&quot;16539&quot; bbdesc=&quot;2019 Annual Accounts/EC Annual Accounts/DC - Liquidity risk&quot; dsname=&quot;SAP Disclosure Management - Production&quot;&gt;&lt;VARIABLES /&gt;&lt;/BBOOK&gt;&lt;BBOOK bbname=&quot;17208&quot; bbdesc=&quot;2019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7209&quot; bbdesc=&quot;2019 Annual Accounts/EU Annual Accounts/DC - Scope of consolidation EU&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7140&quot; bbdesc=&quot;2019 Annual Accounts/EU Annual Accounts/DC - Budget result and Statements of Comparison&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7196&quot; bbdesc=&quot;2017 Annual Accounts/EU Annual Accounts/DC - Financial framework 2014 - 2020&quot; dsname=&quot;SAP Disclosure Management - Production&quot;&gt;&lt;VARIABLES /&gt;&lt;/BBOOK&gt;&lt;BBOOK bbname=&quot;17108&quot; bbdesc=&quot;2019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7211&quot; bbdesc=&quot;2019 Annual Accounts/EU Annual Accounts/DC - EU revenues&quot; dsname=&quot;SAP Disclosure Management - Production&quot;&gt;&lt;VARIABLES /&gt;&lt;/BBOOK&gt;&lt;BBOOK bbname=&quot;9035&quot; bbdesc=&quot;2016 Annual Accounts/EU Annual Accounts/DC - EU revenues (xlsx)&quot; dsname=&quot;SAP Disclosure Management - Production&quot;&gt;&lt;VARIABLES /&gt;&lt;/BBOOK&gt;&lt;BBOOK bbname=&quot;17212&quot; bbdesc=&quot;2019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7256&quot; bbdesc=&quot;2019 Annual Accounts/EU Annual Accounts/DC - Institutions and agencies&quot; dsname=&quot;SAP Disclosure Management - Production&quot;&gt;&lt;VARIABLES /&gt;&lt;/BBOOK&gt;&lt;/BBOOKS&gt;"/>
    <w:docVar w:name="DM_WB_C17102_METADATA" w:val="&lt;ChapterMetadata&gt;&lt;ChapterId&gt;17102&lt;/ChapterId&gt;&lt;ChapterName&gt;Liabilities&lt;/ChapterName&gt;&lt;ChapterNoOfPages&gt;-1&lt;/ChapterNoOfPages&gt;&lt;ChapterVersion&gt;1&lt;/ChapterVersion&gt;&lt;/ChapterMetadata&gt;"/>
    <w:docVar w:name="DM_WB_C17106_METADATA" w:val="&lt;ChapterMetadata&gt;&lt;ChapterId&gt;17106&lt;/ChapterId&gt;&lt;ChapterName&gt;Budgetary and legal commitments&lt;/ChapterName&gt;&lt;ChapterNoOfPages&gt;-1&lt;/ChapterNoOfPages&gt;&lt;ChapterVersion&gt;65&lt;/ChapterVersion&gt;&lt;/ChapterMetadata&gt;"/>
    <w:docVar w:name="DM_WB_C17110_METADATA" w:val="&lt;ChapterMetadata&gt;&lt;ChapterId&gt;17110&lt;/ChapterId&gt;&lt;ChapterName&gt;FSDA&lt;/ChapterName&gt;&lt;ChapterNoOfPages&gt;-1&lt;/ChapterNoOfPages&gt;&lt;ChapterVersion&gt;43&lt;/ChapterVersion&gt;&lt;/ChapterMetadata&gt;"/>
    <w:docVar w:name="DM_WB_C17111_METADATA" w:val="&lt;ChapterMetadata&gt;&lt;ChapterId&gt;17111&lt;/ChapterId&gt;&lt;ChapterName&gt;EU political framework governance and accountability&lt;/ChapterName&gt;&lt;ChapterNoOfPages&gt;-1&lt;/ChapterNoOfPages&gt;&lt;ChapterVersion&gt;20&lt;/ChapterVersion&gt;&lt;/ChapterMetadata&gt;"/>
    <w:docVar w:name="DM_WB_C17113_METADATA" w:val="&lt;ChapterMetadata&gt;&lt;ChapterId&gt;17113&lt;/ChapterId&gt;&lt;ChapterName&gt;Pre-financing&lt;/ChapterName&gt;&lt;ChapterNoOfPages&gt;-1&lt;/ChapterNoOfPages&gt;&lt;ChapterVersion&gt;64&lt;/ChapterVersion&gt;&lt;/ChapterMetadata&gt;"/>
    <w:docVar w:name="DM_WB_C17118_METADATA" w:val="&lt;ChapterMetadata&gt;&lt;ChapterId&gt;17118&lt;/ChapterId&gt;&lt;ChapterName&gt;Scope of consolidation&lt;/ChapterName&gt;&lt;ChapterNoOfPages&gt;-1&lt;/ChapterNoOfPages&gt;&lt;ChapterVersion&gt;59&lt;/ChapterVersion&gt;&lt;/ChapterMetadata&gt;"/>
    <w:docVar w:name="DM_WB_C17119_METADATA" w:val="&lt;ChapterMetadata&gt;&lt;ChapterId&gt;17119&lt;/ChapterId&gt;&lt;ChapterName&gt;Consolidated financial statements and explanatory notes&lt;/ChapterName&gt;&lt;ChapterNoOfPages&gt;-1&lt;/ChapterNoOfPages&gt;&lt;ChapterVersion&gt;2&lt;/ChapterVersion&gt;&lt;/ChapterMetadata&gt;"/>
    <w:docVar w:name="DM_WB_C17121_METADATA" w:val="&lt;ChapterMetadata&gt;&lt;ChapterId&gt;17121&lt;/ChapterId&gt;&lt;ChapterName&gt;Inventories&lt;/ChapterName&gt;&lt;ChapterNoOfPages&gt;-1&lt;/ChapterNoOfPages&gt;&lt;ChapterVersion&gt;35&lt;/ChapterVersion&gt;&lt;/ChapterMetadata&gt;"/>
    <w:docVar w:name="DM_WB_C17122_METADATA" w:val="&lt;ChapterMetadata&gt;&lt;ChapterId&gt;17122&lt;/ChapterId&gt;&lt;ChapterName&gt;Finance costs&lt;/ChapterName&gt;&lt;ChapterNoOfPages&gt;-1&lt;/ChapterNoOfPages&gt;&lt;ChapterVersion&gt;35&lt;/ChapterVersion&gt;&lt;/ChapterMetadata&gt;"/>
    <w:docVar w:name="DM_WB_C17125_METADATA" w:val="&lt;ChapterMetadata&gt;&lt;ChapterId&gt;17125&lt;/ChapterId&gt;&lt;ChapterName&gt;Expenses - Transfer payments and subsidies by management mode&lt;/ChapterName&gt;&lt;ChapterNoOfPages&gt;-1&lt;/ChapterNoOfPages&gt;&lt;ChapterVersion&gt;4&lt;/ChapterVersion&gt;&lt;/ChapterMetadata&gt;"/>
    <w:docVar w:name="DM_WB_C17127_METADATA" w:val="&lt;ChapterMetadata&gt;&lt;ChapterId&gt;17127&lt;/ChapterId&gt;&lt;ChapterName&gt;Financial liabilities&lt;/ChapterName&gt;&lt;ChapterNoOfPages&gt;-1&lt;/ChapterNoOfPages&gt;&lt;ChapterVersion&gt;54&lt;/ChapterVersion&gt;&lt;/ChapterMetadata&gt;"/>
    <w:docVar w:name="DM_WB_C17128_METADATA" w:val="&lt;ChapterMetadata&gt;&lt;ChapterId&gt;17128&lt;/ChapterId&gt;&lt;ChapterName&gt;Assets&lt;/ChapterName&gt;&lt;ChapterNoOfPages&gt;-1&lt;/ChapterNoOfPages&gt;&lt;ChapterVersion&gt;3&lt;/ChapterVersion&gt;&lt;/ChapterMetadata&gt;"/>
    <w:docVar w:name="DM_WB_C17129_METADATA" w:val="&lt;ChapterMetadata&gt;&lt;ChapterId&gt;17129&lt;/ChapterId&gt;&lt;ChapterName&gt;Investments accounted for using the equity method&lt;/ChapterName&gt;&lt;ChapterNoOfPages&gt;-1&lt;/ChapterNoOfPages&gt;&lt;ChapterVersion&gt;42&lt;/ChapterVersion&gt;&lt;/ChapterMetadata&gt;"/>
    <w:docVar w:name="DM_WB_C17131_METADATA" w:val="&lt;ChapterMetadata&gt;&lt;ChapterId&gt;17131&lt;/ChapterId&gt;&lt;ChapterName&gt;Provisions&lt;/ChapterName&gt;&lt;ChapterNoOfPages&gt;-1&lt;/ChapterNoOfPages&gt;&lt;ChapterVersion&gt;51&lt;/ChapterVersion&gt;&lt;/ChapterMetadata&gt;"/>
    <w:docVar w:name="DM_WB_C17132_METADATA" w:val="&lt;ChapterMetadata&gt;&lt;ChapterId&gt;17132&lt;/ChapterId&gt;&lt;ChapterName&gt;Notes to the financial statements&lt;/ChapterName&gt;&lt;ChapterNoOfPages&gt;-1&lt;/ChapterNoOfPages&gt;&lt;ChapterVersion&gt;1&lt;/ChapterVersion&gt;&lt;/ChapterMetadata&gt;"/>
    <w:docVar w:name="DM_WB_C17133_METADATA" w:val="&lt;ChapterMetadata&gt;&lt;ChapterId&gt;17133&lt;/ChapterId&gt;&lt;ChapterName&gt;Note accompanying the consolidated accounts&lt;/ChapterName&gt;&lt;ChapterNoOfPages&gt;-1&lt;/ChapterNoOfPages&gt;&lt;ChapterVersion&gt;2&lt;/ChapterVersion&gt;&lt;/ChapterMetadata&gt;"/>
    <w:docVar w:name="DM_WB_C17134_METADATA" w:val="&lt;ChapterMetadata&gt;&lt;ChapterId&gt;17134&lt;/ChapterId&gt;&lt;ChapterName&gt;Statement of changes in net assets&lt;/ChapterName&gt;&lt;ChapterNoOfPages&gt;-1&lt;/ChapterNoOfPages&gt;&lt;ChapterVersion&gt;42&lt;/ChapterVersion&gt;&lt;/ChapterMetadata&gt;"/>
    <w:docVar w:name="DM_WB_C17137_METADATA" w:val="&lt;ChapterMetadata&gt;&lt;ChapterId&gt;17137&lt;/ChapterId&gt;&lt;ChapterName&gt;Payables&lt;/ChapterName&gt;&lt;ChapterNoOfPages&gt;-1&lt;/ChapterNoOfPages&gt;&lt;ChapterVersion&gt;62&lt;/ChapterVersion&gt;&lt;/ChapterMetadata&gt;"/>
    <w:docVar w:name="DM_WB_C17146_METADATA" w:val="&lt;ChapterMetadata&gt;&lt;ChapterId&gt;17146&lt;/ChapterId&gt;&lt;ChapterName&gt;Cash and cash equivalents&lt;/ChapterName&gt;&lt;ChapterNoOfPages&gt;-1&lt;/ChapterNoOfPages&gt;&lt;ChapterVersion&gt;44&lt;/ChapterVersion&gt;&lt;/ChapterMetadata&gt;"/>
    <w:docVar w:name="DM_WB_C17148_METADATA" w:val="&lt;ChapterMetadata&gt;&lt;ChapterId&gt;17148&lt;/ChapterId&gt;&lt;ChapterName&gt;Statement of financial performance&lt;/ChapterName&gt;&lt;ChapterNoOfPages&gt;-1&lt;/ChapterNoOfPages&gt;&lt;ChapterVersion&gt;44&lt;/ChapterVersion&gt;&lt;/ChapterMetadata&gt;"/>
    <w:docVar w:name="DM_WB_C17149_METADATA" w:val="&lt;ChapterMetadata&gt;&lt;ChapterId&gt;17149&lt;/ChapterId&gt;&lt;ChapterName&gt;Net assets&lt;/ChapterName&gt;&lt;ChapterNoOfPages&gt;-1&lt;/ChapterNoOfPages&gt;&lt;ChapterVersion&gt;44&lt;/ChapterVersion&gt;&lt;/ChapterMetadata&gt;"/>
    <w:docVar w:name="DM_WB_C17151_METADATA" w:val="&lt;ChapterMetadata&gt;&lt;ChapterId&gt;17151&lt;/ChapterId&gt;&lt;ChapterName&gt;Contingent liabilities and assets&lt;/ChapterName&gt;&lt;ChapterNoOfPages&gt;-1&lt;/ChapterNoOfPages&gt;&lt;ChapterVersion&gt;68&lt;/ChapterVersion&gt;&lt;/ChapterMetadata&gt;"/>
    <w:docVar w:name="DM_WB_C17155_METADATA" w:val="&lt;ChapterMetadata&gt;&lt;ChapterId&gt;17155&lt;/ChapterId&gt;&lt;ChapterName&gt;Other expenses and Research and Development costs&lt;/ChapterName&gt;&lt;ChapterNoOfPages&gt;-1&lt;/ChapterNoOfPages&gt;&lt;ChapterVersion&gt;45&lt;/ChapterVersion&gt;&lt;/ChapterMetadata&gt;"/>
    <w:docVar w:name="DM_WB_C17156_METADATA" w:val="&lt;ChapterMetadata&gt;&lt;ChapterId&gt;17156&lt;/ChapterId&gt;&lt;ChapterName&gt;Table of contents (2)&lt;/ChapterName&gt;&lt;ChapterNoOfPages&gt;-1&lt;/ChapterNoOfPages&gt;&lt;ChapterVersion&gt;1&lt;/ChapterVersion&gt;&lt;/ChapterMetadata&gt;"/>
    <w:docVar w:name="DM_WB_C17157_METADATA" w:val="&lt;ChapterMetadata&gt;&lt;ChapterId&gt;17157&lt;/ChapterId&gt;&lt;ChapterName&gt;Financial assets&lt;/ChapterName&gt;&lt;ChapterNoOfPages&gt;-1&lt;/ChapterNoOfPages&gt;&lt;ChapterVersion&gt;76&lt;/ChapterVersion&gt;&lt;/ChapterMetadata&gt;"/>
    <w:docVar w:name="DM_WB_C17158_METADATA" w:val="&lt;ChapterMetadata&gt;&lt;ChapterId&gt;17158&lt;/ChapterId&gt;&lt;ChapterName&gt;Balance sheet&lt;/ChapterName&gt;&lt;ChapterNoOfPages&gt;-1&lt;/ChapterNoOfPages&gt;&lt;ChapterVersion&gt;49&lt;/ChapterVersion&gt;&lt;/ChapterMetadata&gt;"/>
    <w:docVar w:name="DM_WB_C17161_METADATA" w:val="&lt;ChapterMetadata&gt;&lt;ChapterId&gt;17161&lt;/ChapterId&gt;&lt;ChapterName&gt;Staff and pension costs - Changes in employee benefits actuarial assumptions&lt;/ChapterName&gt;&lt;ChapterNoOfPages&gt;-1&lt;/ChapterNoOfPages&gt;&lt;ChapterVersion&gt;51&lt;/ChapterVersion&gt;&lt;/ChapterMetadata&gt;"/>
    <w:docVar w:name="DM_WB_C17162_METADATA" w:val="&lt;ChapterMetadata&gt;&lt;ChapterId&gt;17162&lt;/ChapterId&gt;&lt;ChapterName&gt;Intangible assets and PPE&lt;/ChapterName&gt;&lt;ChapterNoOfPages&gt;-1&lt;/ChapterNoOfPages&gt;&lt;ChapterVersion&gt;58&lt;/ChapterVersion&gt;&lt;/ChapterMetadata&gt;"/>
    <w:docVar w:name="DM_WB_C17163_METADATA" w:val="&lt;ChapterMetadata&gt;&lt;ChapterId&gt;17163&lt;/ChapterId&gt;&lt;ChapterName&gt;Related party disclosures&lt;/ChapterName&gt;&lt;ChapterNoOfPages&gt;-1&lt;/ChapterNoOfPages&gt;&lt;ChapterVersion&gt;57&lt;/ChapterVersion&gt;&lt;/ChapterMetadata&gt;"/>
    <w:docVar w:name="DM_WB_C17166_METADATA" w:val="&lt;ChapterMetadata&gt;&lt;ChapterId&gt;17166&lt;/ChapterId&gt;&lt;ChapterName&gt;Notes to the statement of financial performance&lt;/ChapterName&gt;&lt;ChapterNoOfPages&gt;-1&lt;/ChapterNoOfPages&gt;&lt;ChapterVersion&gt;1&lt;/ChapterVersion&gt;&lt;/ChapterMetadata&gt;"/>
    <w:docVar w:name="DM_WB_C17169_METADATA" w:val="&lt;ChapterMetadata&gt;&lt;ChapterId&gt;17169&lt;/ChapterId&gt;&lt;ChapterName&gt;Cover and first page&lt;/ChapterName&gt;&lt;ChapterNoOfPages&gt;-1&lt;/ChapterNoOfPages&gt;&lt;ChapterVersion&gt;3&lt;/ChapterVersion&gt;&lt;/ChapterMetadata&gt;"/>
    <w:docVar w:name="DM_WB_C17171_METADATA" w:val="&lt;ChapterMetadata&gt;&lt;ChapterId&gt;17171&lt;/ChapterId&gt;&lt;ChapterName&gt;Segment Report&lt;/ChapterName&gt;&lt;ChapterNoOfPages&gt;-1&lt;/ChapterNoOfPages&gt;&lt;ChapterVersion&gt;60&lt;/ChapterVersion&gt;&lt;/ChapterMetadata&gt;"/>
    <w:docVar w:name="DM_WB_C17172_METADATA" w:val="&lt;ChapterMetadata&gt;&lt;ChapterId&gt;17172&lt;/ChapterId&gt;&lt;ChapterName&gt;Financial risk management&lt;/ChapterName&gt;&lt;ChapterNoOfPages&gt;-1&lt;/ChapterNoOfPages&gt;&lt;ChapterVersion&gt;110&lt;/ChapterVersion&gt;&lt;/ChapterMetadata&gt;"/>
    <w:docVar w:name="DM_WB_C17174_METADATA" w:val="&lt;ChapterMetadata&gt;&lt;ChapterId&gt;17174&lt;/ChapterId&gt;&lt;ChapterName&gt;Shared Direct and Indirect management&lt;/ChapterName&gt;&lt;ChapterNoOfPages&gt;-1&lt;/ChapterNoOfPages&gt;&lt;ChapterVersion&gt;58&lt;/ChapterVersion&gt;&lt;/ChapterMetadata&gt;"/>
    <w:docVar w:name="DM_WB_C17175_METADATA" w:val="&lt;ChapterMetadata&gt;&lt;ChapterId&gt;17175&lt;/ChapterId&gt;&lt;ChapterName&gt;Table of contents (1)&lt;/ChapterName&gt;&lt;ChapterNoOfPages&gt;-1&lt;/ChapterNoOfPages&gt;&lt;ChapterVersion&gt;1&lt;/ChapterVersion&gt;&lt;/ChapterMetadata&gt;"/>
    <w:docVar w:name="DM_WB_C17183_METADATA" w:val="&lt;ChapterMetadata&gt;&lt;ChapterId&gt;17183&lt;/ChapterId&gt;&lt;ChapterName&gt;Cashflow statement&lt;/ChapterName&gt;&lt;ChapterNoOfPages&gt;-1&lt;/ChapterNoOfPages&gt;&lt;ChapterVersion&gt;50&lt;/ChapterVersion&gt;&lt;/ChapterMetadata&gt;"/>
    <w:docVar w:name="DM_WB_C17188_METADATA" w:val="&lt;ChapterMetadata&gt;&lt;ChapterId&gt;17188&lt;/ChapterId&gt;&lt;ChapterName&gt;Exchange receivables and non-exchange recoverables&lt;/ChapterName&gt;&lt;ChapterNoOfPages&gt;-1&lt;/ChapterNoOfPages&gt;&lt;ChapterVersion&gt;91&lt;/ChapterVersion&gt;&lt;/ChapterMetadata&gt;"/>
    <w:docVar w:name="DM_WB_C17190_METADATA" w:val="&lt;ChapterMetadata&gt;&lt;ChapterId&gt;17190&lt;/ChapterId&gt;&lt;ChapterName&gt;Pension and other employee benefits&lt;/ChapterName&gt;&lt;ChapterNoOfPages&gt;-1&lt;/ChapterNoOfPages&gt;&lt;ChapterVersion&gt;69&lt;/ChapterVersion&gt;&lt;/ChapterMetadata&gt;"/>
    <w:docVar w:name="DM_WB_C17192_METADATA" w:val="&lt;ChapterMetadata&gt;&lt;ChapterId&gt;17192&lt;/ChapterId&gt;&lt;ChapterName&gt;Revenue - Exchange and Non-exchange&lt;/ChapterName&gt;&lt;ChapterNoOfPages&gt;-1&lt;/ChapterNoOfPages&gt;&lt;ChapterVersion&gt;69&lt;/ChapterVersion&gt;&lt;/ChapterMetadata&gt;"/>
    <w:docVar w:name="DM_WB_C17193_METADATA" w:val="&lt;ChapterMetadata&gt;&lt;ChapterId&gt;17193&lt;/ChapterId&gt;&lt;ChapterName&gt;Accrued charges and deferred income&lt;/ChapterName&gt;&lt;ChapterNoOfPages&gt;-1&lt;/ChapterNoOfPages&gt;&lt;ChapterVersion&gt;56&lt;/ChapterVersion&gt;&lt;/ChapterMetadata&gt;"/>
    <w:docVar w:name="DM_WB_C17194_METADATA" w:val="&lt;ChapterMetadata&gt;&lt;ChapterId&gt;17194&lt;/ChapterId&gt;&lt;ChapterName&gt;Events after balance sheet date&lt;/ChapterName&gt;&lt;ChapterNoOfPages&gt;-1&lt;/ChapterNoOfPages&gt;&lt;ChapterVersion&gt;12&lt;/ChapterVersion&gt;&lt;/ChapterMetadata&gt;"/>
    <w:docVar w:name="DM_WB_C17199_METADATA" w:val="&lt;ChapterMetadata&gt;&lt;ChapterId&gt;17199&lt;/ChapterId&gt;&lt;ChapterName&gt;Notes to the balance sheet&lt;/ChapterName&gt;&lt;ChapterNoOfPages&gt;-1&lt;/ChapterNoOfPages&gt;&lt;ChapterVersion&gt;3&lt;/ChapterVersion&gt;&lt;/ChapterMetadata&gt;"/>
    <w:docVar w:name="DM_WB_C17203_METADATA" w:val="&lt;ChapterMetadata&gt;&lt;ChapterId&gt;17203&lt;/ChapterId&gt;&lt;ChapterName&gt;Table of Content 3&lt;/ChapterName&gt;&lt;ChapterNoOfPages&gt;-1&lt;/ChapterNoOfPages&gt;&lt;ChapterVersion&gt;1&lt;/ChapterVersion&gt;&lt;/ChapterMetadata&gt;"/>
    <w:docVar w:name="DM_WB_C17204_METADATA" w:val="&lt;ChapterMetadata&gt;&lt;ChapterId&gt;17204&lt;/ChapterId&gt;&lt;ChapterName&gt;Notes on the implementation of the budget MFF annual budget policy areas&lt;/ChapterName&gt;&lt;ChapterNoOfPages&gt;-1&lt;/ChapterNoOfPages&gt;&lt;ChapterVersion&gt;56&lt;/ChapterVersion&gt;&lt;/ChapterMetadata&gt;"/>
    <w:docVar w:name="DM_WB_C17214_METADATA" w:val="&lt;ChapterMetadata&gt;&lt;ChapterId&gt;17214&lt;/ChapterId&gt;&lt;ChapterName&gt;Budgetary implementation reports and explanatory notes&lt;/ChapterName&gt;&lt;ChapterNoOfPages&gt;-1&lt;/ChapterNoOfPages&gt;&lt;ChapterVersion&gt;2&lt;/ChapterVersion&gt;&lt;/ChapterMetadata&gt;"/>
    <w:docVar w:name="DM_WB_C17257_METADATA" w:val="&lt;ChapterMetadata&gt;&lt;ChapterId&gt;17257&lt;/ChapterId&gt;&lt;ChapterName&gt;Highlights EU&lt;/ChapterName&gt;&lt;ChapterNoOfPages&gt;-1&lt;/ChapterNoOfPages&gt;&lt;ChapterVersion&gt;15&lt;/ChapterVersion&gt;&lt;/ChapterMetadata&gt;"/>
    <w:docVar w:name="DM_WB_C17258_METADATA" w:val="&lt;ChapterMetadata&gt;&lt;ChapterId&gt;17258&lt;/ChapterId&gt;&lt;ChapterName&gt;Glossary EU&lt;/ChapterName&gt;&lt;ChapterNoOfPages&gt;-1&lt;/ChapterNoOfPages&gt;&lt;ChapterVersion&gt;5&lt;/ChapterVersion&gt;&lt;/ChapterMetadata&gt;"/>
    <w:docVar w:name="DM_WB_C17259_METADATA" w:val="&lt;ChapterMetadata&gt;&lt;ChapterId&gt;17259&lt;/ChapterId&gt;&lt;ChapterName&gt;Foreword&lt;/ChapterName&gt;&lt;ChapterNoOfPages&gt;-1&lt;/ChapterNoOfPages&gt;&lt;ChapterVersion&gt;6&lt;/ChapterVersion&gt;&lt;/ChapterMetadata&gt;"/>
    <w:docVar w:name="DM_WB_C17261_METADATA" w:val="&lt;ChapterMetadata&gt;&lt;ChapterId&gt;17261&lt;/ChapterId&gt;&lt;ChapterName&gt;Significant accounting policies&lt;/ChapterName&gt;&lt;ChapterNoOfPages&gt;-1&lt;/ChapterNoOfPages&gt;&lt;ChapterVersion&gt;68&lt;/ChapterVersion&gt;&lt;/ChapterMetadata&gt;"/>
    <w:docVar w:name="DM_WB_C17263_METADATA" w:val="&lt;ChapterMetadata&gt;&lt;ChapterId&gt;17263&lt;/ChapterId&gt;&lt;ChapterName&gt;Notes EU bugdet Revenue Expenditure of year&lt;/ChapterName&gt;&lt;ChapterNoOfPages&gt;-1&lt;/ChapterNoOfPages&gt;&lt;ChapterVersion&gt;7&lt;/ChapterVersion&gt;&lt;/ChapterMetadata&gt;"/>
    <w:docVar w:name="DM_WB_C17265_METADATA" w:val="&lt;ChapterMetadata&gt;&lt;ChapterId&gt;17265&lt;/ChapterId&gt;&lt;ChapterName&gt;EU Budget Result and Statements of Comparison&lt;/ChapterName&gt;&lt;ChapterNoOfPages&gt;-1&lt;/ChapterNoOfPages&gt;&lt;ChapterVersion&gt;56&lt;/ChapterVersion&gt;&lt;/ChapterMetadata&gt;"/>
    <w:docVar w:name="DM_WB_C17267_METADATA" w:val="&lt;ChapterMetadata&gt;&lt;ChapterId&gt;17267&lt;/ChapterId&gt;&lt;ChapterName&gt;List of abbreviations EU&lt;/ChapterName&gt;&lt;ChapterNoOfPages&gt;-1&lt;/ChapterNoOfPages&gt;&lt;ChapterVersion&gt;7&lt;/ChapterVersion&gt;&lt;/ChapterMetadata&gt;"/>
    <w:docVar w:name="DM_WB_C17268_METADATA" w:val="&lt;ChapterMetadata&gt;&lt;ChapterId&gt;17268&lt;/ChapterId&gt;&lt;ChapterName&gt;Implementation of EU budget expenditure&lt;/ChapterName&gt;&lt;ChapterNoOfPages&gt;-1&lt;/ChapterNoOfPages&gt;&lt;ChapterVersion&gt;58&lt;/ChapterVersion&gt;&lt;/ChapterMetadata&gt;"/>
    <w:docVar w:name="DM_WB_C17269_METADATA" w:val="&lt;ChapterMetadata&gt;&lt;ChapterId&gt;17269&lt;/ChapterId&gt;&lt;ChapterName&gt;Notes to the reconciliation of economic result with budget result&lt;/ChapterName&gt;&lt;ChapterNoOfPages&gt;-1&lt;/ChapterNoOfPages&gt;&lt;ChapterVersion&gt;55&lt;/ChapterVersion&gt;&lt;/ChapterMetadata&gt;"/>
    <w:docVar w:name="DM_WB_C17270_METADATA" w:val="&lt;ChapterMetadata&gt;&lt;ChapterId&gt;17270&lt;/ChapterId&gt;&lt;ChapterName&gt;Implementation of the agencies budget&lt;/ChapterName&gt;&lt;ChapterNoOfPages&gt;-1&lt;/ChapterNoOfPages&gt;&lt;ChapterVersion&gt;59&lt;/ChapterVersion&gt;&lt;/ChapterMetadata&gt;"/>
    <w:docVar w:name="DM_WB_C17271_METADATA" w:val="&lt;ChapterMetadata&gt;&lt;ChapterId&gt;17271&lt;/ChapterId&gt;&lt;ChapterName&gt;Implementation of EU budget revenue&lt;/ChapterName&gt;&lt;ChapterNoOfPages&gt;-1&lt;/ChapterNoOfPages&gt;&lt;ChapterVersion&gt;49&lt;/ChapterVersion&gt;&lt;/ChapterMetadata&gt;"/>
    <w:docVar w:name="DM_WB_C17272_METADATA" w:val="&lt;ChapterMetadata&gt;&lt;ChapterId&gt;17272&lt;/ChapterId&gt;&lt;ChapterName&gt;Implementation of the budget by institution&lt;/ChapterName&gt;&lt;ChapterNoOfPages&gt;-1&lt;/ChapterNoOfPages&gt;&lt;ChapterVersion&gt;55&lt;/ChapterVersion&gt;&lt;/ChapterMetadata&gt;"/>
    <w:docVar w:name="DM_WB_C17273_METADATA" w:val="&lt;ChapterMetadata&gt;&lt;ChapterId&gt;17273&lt;/ChapterId&gt;&lt;ChapterName&gt;Notes revenue general and calculation budget result&lt;/ChapterName&gt;&lt;ChapterNoOfPages&gt;-1&lt;/ChapterNoOfPages&gt;&lt;ChapterVersion&gt;7&lt;/ChapterVersion&gt;&lt;/ChapterMetadata&gt;"/>
    <w:docVar w:name="doc_tbl00002_1_1" w:val="|@|1|2057"/>
    <w:docVar w:name="doc_tbl00015_1_1" w:val="|@|1|2057"/>
    <w:docVar w:name="doc_tbl00033_1_1" w:val="|@|1|2057"/>
    <w:docVar w:name="doc_tbl00037_1_1" w:val="|@|1|2057"/>
    <w:docVar w:name="doc_tbl00072_1_1" w:val="|@|1|2057"/>
    <w:docVar w:name="doc_tbl00084_1_1" w:val="|@|1|2057"/>
    <w:docVar w:name="DocStatus" w:val="Green"/>
    <w:docVar w:name="LW_COVERPAGE_EXISTS" w:val="True"/>
    <w:docVar w:name="LW_COVERPAGE_GUID" w:val="5882C0E2-B9AF-4570-BEC0-4605E20AA262"/>
    <w:docVar w:name="LW_COVERPAGE_TYPE" w:val="1"/>
    <w:docVar w:name="LW_CROSSREFERENCE" w:val="&lt;UNUSED&gt;"/>
    <w:docVar w:name="LW_DocType" w:val="TEMPLATE_BEKOU_2014"/>
    <w:docVar w:name="LW_EMISSION" w:val="26.6.2020"/>
    <w:docVar w:name="LW_EMISSION_ISODATE" w:val="2020-06-26"/>
    <w:docVar w:name="LW_EMISSION_LOCATION" w:val="BRX"/>
    <w:docVar w:name="LW_EMISSION_PREFIX" w:val="Brussels, "/>
    <w:docVar w:name="LW_EMISSION_SUFFIX" w:val=" "/>
    <w:docVar w:name="LW_ID_DOCTYPE_NONLW" w:val="CP-040"/>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2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NSOLIDATED ANNUAL  ACCOUNTS OF THE EUROPEAN UNION FOR THE FINANCIAL YEAR 2019"/>
    <w:docVar w:name="LW_TYPE.DOC.CP" w:val="COMMUNICATION FROM THE COMMISSION TO THE EUROPEAN PARLIAMENT, THE COUNCIL AND THE COURT OF AUDITORS"/>
  </w:docVars>
  <w:rsids>
    <w:rsidRoot w:val="00135552"/>
    <w:rsid w:val="00135552"/>
    <w:rsid w:val="004C6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3F3F7E"/>
  <w15:docId w15:val="{73563678-AB34-44F4-AA23-F9367445D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lang w:val="fr-BE"/>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lang w:val="fr-BE"/>
    </w:rPr>
  </w:style>
  <w:style w:type="paragraph" w:customStyle="1" w:styleId="HEADER3PartBUGD">
    <w:name w:val="HEADER 3_Part BUGD"/>
    <w:basedOn w:val="Normal"/>
    <w:qFormat/>
    <w:pPr>
      <w:numPr>
        <w:ilvl w:val="2"/>
        <w:numId w:val="16"/>
      </w:numPr>
      <w:tabs>
        <w:tab w:val="left" w:pos="0"/>
      </w:tabs>
      <w:spacing w:before="360" w:after="360"/>
    </w:pPr>
    <w:rPr>
      <w:rFonts w:ascii="Verdana" w:hAnsi="Verdana"/>
      <w:color w:val="016794"/>
      <w:sz w:val="20"/>
      <w:szCs w:val="20"/>
      <w:lang w:val="fr-BE"/>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lang w:val="fr-BE"/>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bdr w:val="ni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styleId="ListParagraph">
    <w:name w:val="List Paragraph"/>
    <w:basedOn w:val="Normal"/>
    <w:uiPriority w:val="34"/>
    <w:qFormat/>
    <w:pPr>
      <w:ind w:left="720"/>
      <w:contextualSpacing/>
    </w:pPr>
  </w:style>
  <w:style w:type="paragraph" w:customStyle="1" w:styleId="Footnote">
    <w:name w:val="Footnote"/>
    <w:basedOn w:val="Normal"/>
    <w:pPr>
      <w:tabs>
        <w:tab w:val="left" w:pos="284"/>
      </w:tabs>
      <w:ind w:left="284" w:hanging="284"/>
      <w:jc w:val="both"/>
    </w:pPr>
    <w:rPr>
      <w:rFonts w:ascii="Verdana" w:hAnsi="Verdana"/>
      <w:sz w:val="16"/>
      <w:szCs w:val="20"/>
    </w:rPr>
  </w:style>
  <w:style w:type="paragraph" w:customStyle="1" w:styleId="DMETW17213BIPBS">
    <w:name w:val="DM_ETW_17213_BIP_BS"/>
    <w:rPr>
      <w:rFonts w:eastAsia="Calibri"/>
    </w:rPr>
  </w:style>
  <w:style w:type="paragraph" w:customStyle="1" w:styleId="DMETW17229BIPSOFP">
    <w:name w:val="DM_ETW_17229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7230BIPCF">
    <w:name w:val="DM_ETW_17230_BIP_CF"/>
    <w:rPr>
      <w:rFonts w:eastAsia="Calibri"/>
    </w:rPr>
  </w:style>
  <w:style w:type="paragraph" w:customStyle="1" w:styleId="DMETW17201BIPSCNA">
    <w:name w:val="DM_ETW_17201_BIP_SCNA"/>
    <w:rPr>
      <w:rFonts w:eastAsia="Calibri"/>
    </w:rPr>
  </w:style>
  <w:style w:type="paragraph" w:customStyle="1" w:styleId="DMETW17185BIPCURR">
    <w:name w:val="DM_ETW_17185_BIP_CURR"/>
    <w:rPr>
      <w:rFonts w:eastAsia="Calibri"/>
    </w:rPr>
  </w:style>
  <w:style w:type="paragraph" w:customStyle="1" w:styleId="DMETW17185BIPDR">
    <w:name w:val="DM_ETW_17185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7202BIPINFA">
    <w:name w:val="DM_ETW_17202_BIP_INFA"/>
    <w:rPr>
      <w:rFonts w:eastAsia="Calibri"/>
    </w:rPr>
  </w:style>
  <w:style w:type="paragraph" w:customStyle="1" w:styleId="DMETW17202BIPEUPPE">
    <w:name w:val="DM_ETW_17202_BIP_EUPPE"/>
    <w:rPr>
      <w:rFonts w:eastAsia="Calibri"/>
    </w:rPr>
  </w:style>
  <w:style w:type="paragraph" w:customStyle="1" w:styleId="DMETW16570BIPPARTASS1">
    <w:name w:val="DM_ETW_16570_BIP_PARTASS1"/>
    <w:rPr>
      <w:rFonts w:eastAsia="Calibri"/>
    </w:rPr>
  </w:style>
  <w:style w:type="paragraph" w:customStyle="1" w:styleId="DMETW16570BIPPARTASS2">
    <w:name w:val="DM_ETW_16570_BIP_PARTASS2"/>
    <w:rPr>
      <w:rFonts w:eastAsia="Calibri"/>
    </w:rPr>
  </w:style>
  <w:style w:type="paragraph" w:customStyle="1" w:styleId="DMETW16570BIPEIF2">
    <w:name w:val="DM_ETW_16570_BIP_EIF2"/>
    <w:rPr>
      <w:rFonts w:eastAsia="Calibri"/>
    </w:rPr>
  </w:style>
  <w:style w:type="paragraph" w:customStyle="1" w:styleId="DMETW16570BIPEIF1">
    <w:name w:val="DM_ETW_16570_BIP_EIF1"/>
    <w:rPr>
      <w:rFonts w:eastAsia="Calibri"/>
    </w:rPr>
  </w:style>
  <w:style w:type="paragraph" w:customStyle="1" w:styleId="DMETW17240BIPFINA">
    <w:name w:val="DM_ETW_17240_BIP_FINA"/>
    <w:rPr>
      <w:rFonts w:eastAsia="Calibri"/>
    </w:rPr>
  </w:style>
  <w:style w:type="paragraph" w:customStyle="1" w:styleId="DMETW17240BIPAFS">
    <w:name w:val="DM_ETW_17240_BIP_AFS"/>
    <w:rPr>
      <w:rFonts w:eastAsia="Calibri"/>
    </w:rPr>
  </w:style>
  <w:style w:type="paragraph" w:customStyle="1" w:styleId="DMETW17240BIPFAFVTSD">
    <w:name w:val="DM_ETW_17240_BIP_FAFVTSD"/>
    <w:rPr>
      <w:rFonts w:eastAsia="Calibri"/>
    </w:rPr>
  </w:style>
  <w:style w:type="paragraph" w:customStyle="1" w:styleId="DMETW17240BIPFVH">
    <w:name w:val="DM_ETW_17240_BIP_FVH"/>
    <w:rPr>
      <w:rFonts w:eastAsia="Calibri"/>
    </w:rPr>
  </w:style>
  <w:style w:type="paragraph" w:customStyle="1" w:styleId="DMETW16545BIPRECOFINA">
    <w:name w:val="DM_ETW_16545_BIP_RECOFINA"/>
    <w:rPr>
      <w:rFonts w:eastAsia="Calibri"/>
    </w:rPr>
  </w:style>
  <w:style w:type="paragraph" w:customStyle="1" w:styleId="DMETW17240BIPLO">
    <w:name w:val="DM_ETW_17240_BIP_LO"/>
    <w:rPr>
      <w:rFonts w:eastAsia="Calibri"/>
    </w:rPr>
  </w:style>
  <w:style w:type="paragraph" w:customStyle="1" w:styleId="DMETW17240BIPLGFBF">
    <w:name w:val="DM_ETW_17240_BIP_LGFBF"/>
    <w:rPr>
      <w:rFonts w:eastAsia="Calibri"/>
    </w:rPr>
  </w:style>
  <w:style w:type="paragraph" w:customStyle="1" w:styleId="DMETW17240BIPBORR2">
    <w:name w:val="DM_ETW_17240_BIP_BORR2"/>
    <w:rPr>
      <w:rFonts w:eastAsia="Calibri"/>
    </w:rPr>
  </w:style>
  <w:style w:type="paragraph" w:customStyle="1" w:styleId="DMETW17240BIPLOBUDG">
    <w:name w:val="DM_ETW_17240_BIP_LOBUDG"/>
    <w:rPr>
      <w:rFonts w:eastAsia="Calibri"/>
    </w:rPr>
  </w:style>
  <w:style w:type="paragraph" w:customStyle="1" w:styleId="DMETW17240BIPIMP">
    <w:name w:val="DM_ETW_17240_BIP_IMP"/>
    <w:rPr>
      <w:rFonts w:eastAsia="Calibri"/>
    </w:rPr>
  </w:style>
  <w:style w:type="paragraph" w:customStyle="1" w:styleId="DMETW17241BIPPF">
    <w:name w:val="DM_ETW_17241_BIP_PF"/>
    <w:rPr>
      <w:rFonts w:eastAsia="Calibri"/>
    </w:rPr>
  </w:style>
  <w:style w:type="paragraph" w:customStyle="1" w:styleId="DMETW17241BIPPFD">
    <w:name w:val="DM_ETW_17241_BIP_PFD"/>
    <w:rPr>
      <w:rFonts w:eastAsia="Calibri"/>
    </w:rPr>
  </w:style>
  <w:style w:type="paragraph" w:customStyle="1" w:styleId="DMETW16547BIPFEIAS">
    <w:name w:val="DM_ETW_16547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7217BIPERNER">
    <w:name w:val="DM_ETW_17217_BIP_ERNER"/>
    <w:rPr>
      <w:rFonts w:eastAsia="Calibri"/>
    </w:rPr>
  </w:style>
  <w:style w:type="paragraph" w:customStyle="1" w:styleId="DMETW17217BIPRNET">
    <w:name w:val="DM_ETW_17217_BIP_RNET"/>
    <w:rPr>
      <w:rFonts w:eastAsia="Calibri"/>
    </w:rPr>
  </w:style>
  <w:style w:type="paragraph" w:customStyle="1" w:styleId="DMETW17218BIPRMS">
    <w:name w:val="DM_ETW_17218_BIP_RMS"/>
    <w:rPr>
      <w:rFonts w:eastAsia="Calibri"/>
    </w:rPr>
  </w:style>
  <w:style w:type="paragraph" w:customStyle="1" w:styleId="DMETW17217BIPFINES">
    <w:name w:val="DM_ETW_17217_BIP_FINES"/>
    <w:rPr>
      <w:rFonts w:eastAsia="Calibri"/>
    </w:rPr>
  </w:style>
  <w:style w:type="paragraph" w:customStyle="1" w:styleId="DMETW17219BIPAIDC">
    <w:name w:val="DM_ETW_17219_BIP_AIDC"/>
    <w:rPr>
      <w:rFonts w:eastAsia="Calibri"/>
    </w:rPr>
  </w:style>
  <w:style w:type="paragraph" w:customStyle="1" w:styleId="DMETW17217BIPRET">
    <w:name w:val="DM_ETW_17217_BIP_RET"/>
    <w:rPr>
      <w:rFonts w:eastAsia="Calibri"/>
    </w:rPr>
  </w:style>
  <w:style w:type="paragraph" w:customStyle="1" w:styleId="DMETW17242BIPINV">
    <w:name w:val="DM_ETW_17242_BIP_INV"/>
    <w:rPr>
      <w:rFonts w:eastAsia="Calibri"/>
    </w:rPr>
  </w:style>
  <w:style w:type="paragraph" w:customStyle="1" w:styleId="DMETW17243BIPCCE">
    <w:name w:val="DM_ETW_17243_BIP_CCE"/>
    <w:rPr>
      <w:rFonts w:eastAsia="Calibri"/>
    </w:rPr>
  </w:style>
  <w:style w:type="paragraph" w:customStyle="1" w:styleId="DMETW17244BIPPENS1">
    <w:name w:val="DM_ETW_17244_BIP_PENS1"/>
    <w:rPr>
      <w:rFonts w:eastAsia="Calibri"/>
    </w:rPr>
  </w:style>
  <w:style w:type="paragraph" w:customStyle="1" w:styleId="DMETW17244BIPPENS2">
    <w:name w:val="DM_ETW_17244_BIP_PENS2"/>
    <w:rPr>
      <w:rFonts w:eastAsia="Calibri"/>
    </w:rPr>
  </w:style>
  <w:style w:type="paragraph" w:customStyle="1" w:styleId="DMETW17244BIPPENS3">
    <w:name w:val="DM_ETW_17244_BIP_PENS3"/>
    <w:rPr>
      <w:rFonts w:eastAsia="Calibri"/>
    </w:rPr>
  </w:style>
  <w:style w:type="paragraph" w:customStyle="1" w:styleId="DMETW17244BIPSPL">
    <w:name w:val="DM_ETW_17244_BIP_SPL"/>
    <w:rPr>
      <w:rFonts w:eastAsia="Calibri"/>
    </w:rPr>
  </w:style>
  <w:style w:type="paragraph" w:customStyle="1" w:styleId="DMETW17244BIPPENS6">
    <w:name w:val="DM_ETW_17244_BIP_PENS6"/>
    <w:rPr>
      <w:rFonts w:eastAsia="Calibri"/>
    </w:rPr>
  </w:style>
  <w:style w:type="paragraph" w:customStyle="1" w:styleId="DMETW17244BIPPENS7">
    <w:name w:val="DM_ETW_17244_BIP_PENS7"/>
    <w:rPr>
      <w:rFonts w:eastAsia="Calibri"/>
    </w:rPr>
  </w:style>
  <w:style w:type="paragraph" w:customStyle="1" w:styleId="DMETW17244BIPPENS8">
    <w:name w:val="DM_ETW_17244_BIP_PENS8"/>
    <w:rPr>
      <w:rFonts w:eastAsia="Calibri"/>
    </w:rPr>
  </w:style>
  <w:style w:type="paragraph" w:customStyle="1" w:styleId="DMETW17244BIPPENS9">
    <w:name w:val="DM_ETW_17244_BIP_PENS9"/>
    <w:rPr>
      <w:rFonts w:eastAsia="Calibri"/>
    </w:rPr>
  </w:style>
  <w:style w:type="paragraph" w:customStyle="1" w:styleId="DMETW17244BIPPENS10">
    <w:name w:val="DM_ETW_17244_BIP_PENS10"/>
    <w:rPr>
      <w:rFonts w:eastAsia="Calibri"/>
    </w:rPr>
  </w:style>
  <w:style w:type="paragraph" w:customStyle="1" w:styleId="DMETW17244BIPPENS11">
    <w:name w:val="DM_ETW_17244_BIP_PENS11"/>
    <w:rPr>
      <w:rFonts w:eastAsia="Calibri"/>
    </w:rPr>
  </w:style>
  <w:style w:type="paragraph" w:customStyle="1" w:styleId="DMETW17244BIPPENS12">
    <w:name w:val="DM_ETW_17244_BIP_PENS12"/>
    <w:rPr>
      <w:rFonts w:eastAsia="Calibri"/>
    </w:rPr>
  </w:style>
  <w:style w:type="paragraph" w:customStyle="1" w:styleId="DMETW17245BIPPROV">
    <w:name w:val="DM_ETW_17245_BIP_PROV"/>
    <w:rPr>
      <w:rFonts w:eastAsia="Calibri"/>
    </w:rPr>
  </w:style>
  <w:style w:type="paragraph" w:customStyle="1" w:styleId="DMETW17246BIPFINL">
    <w:name w:val="DM_ETW_17246_BIP_FINL"/>
    <w:rPr>
      <w:rFonts w:eastAsia="Calibri"/>
    </w:rPr>
  </w:style>
  <w:style w:type="paragraph" w:customStyle="1" w:styleId="DMETW17246BIPFLB">
    <w:name w:val="DM_ETW_17246_BIP_FLB"/>
    <w:rPr>
      <w:rFonts w:eastAsia="Calibri"/>
    </w:rPr>
  </w:style>
  <w:style w:type="paragraph" w:customStyle="1" w:styleId="DMETW17246BIPLGFBF">
    <w:name w:val="DM_ETW_17246_BIP_LGFBF"/>
    <w:rPr>
      <w:rFonts w:eastAsia="Calibri"/>
    </w:rPr>
  </w:style>
  <w:style w:type="paragraph" w:customStyle="1" w:styleId="DMETW17246BIPBORR3">
    <w:name w:val="DM_ETW_17246_BIP_BORR3"/>
    <w:rPr>
      <w:rFonts w:eastAsia="Calibri"/>
    </w:rPr>
  </w:style>
  <w:style w:type="paragraph" w:customStyle="1" w:styleId="DMETW17247BIPOFL">
    <w:name w:val="DM_ETW_17247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7248BIPFL">
    <w:name w:val="DM_ETW_17248_BIP_FL"/>
    <w:rPr>
      <w:rFonts w:eastAsia="Calibri"/>
    </w:rPr>
  </w:style>
  <w:style w:type="paragraph" w:customStyle="1" w:styleId="DMETW16552BIPNOTIONALFL">
    <w:name w:val="DM_ETW_16552_BIP_NOTIONALFL"/>
    <w:rPr>
      <w:rFonts w:eastAsia="Calibri"/>
    </w:rPr>
  </w:style>
  <w:style w:type="paragraph" w:customStyle="1" w:styleId="DMETW16552BIPFVH">
    <w:name w:val="DM_ETW_16552_BIP_FVH"/>
    <w:rPr>
      <w:rFonts w:eastAsia="Calibri"/>
    </w:rPr>
  </w:style>
  <w:style w:type="paragraph" w:customStyle="1" w:styleId="DMETW17220BIPPAYAB">
    <w:name w:val="DM_ETW_17220_BIP_PAYAB"/>
    <w:rPr>
      <w:rFonts w:eastAsia="Calibri"/>
    </w:rPr>
  </w:style>
  <w:style w:type="paragraph" w:customStyle="1" w:styleId="DMETW17249BIPACDI">
    <w:name w:val="DM_ETW_17249_BIP_ACDI"/>
    <w:rPr>
      <w:rFonts w:eastAsia="Calibri"/>
    </w:rPr>
  </w:style>
  <w:style w:type="paragraph" w:customStyle="1" w:styleId="DMETW17249BIPACDISPLIT">
    <w:name w:val="DM_ETW_17249_BIP_ACDISPLIT"/>
    <w:rPr>
      <w:rFonts w:eastAsia="Calibri"/>
    </w:rPr>
  </w:style>
  <w:style w:type="paragraph" w:customStyle="1" w:styleId="DMETW17250BIPRES">
    <w:name w:val="DM_ETW_17250_BIP_RES"/>
    <w:rPr>
      <w:rFonts w:eastAsia="Calibri"/>
    </w:rPr>
  </w:style>
  <w:style w:type="paragraph" w:customStyle="1" w:styleId="DMETW17250BIPFVMAFS">
    <w:name w:val="DM_ETW_17250_BIP_FVMAFS"/>
    <w:rPr>
      <w:rFonts w:eastAsia="Calibri"/>
    </w:rPr>
  </w:style>
  <w:style w:type="paragraph" w:customStyle="1" w:styleId="DMETW17250BIPMEMST1">
    <w:name w:val="DM_ETW_17250_BIP_MEMST1"/>
    <w:rPr>
      <w:rFonts w:eastAsia="Calibri"/>
    </w:rPr>
  </w:style>
  <w:style w:type="paragraph" w:customStyle="1" w:styleId="DMETW16562BIPTOR">
    <w:name w:val="DM_ETW_16562_BIP_TOR"/>
    <w:rPr>
      <w:rFonts w:eastAsia="Calibri"/>
    </w:rPr>
  </w:style>
  <w:style w:type="paragraph" w:customStyle="1" w:styleId="DMETW17252BIPRECOVEXP">
    <w:name w:val="DM_ETW_17252_BIP_RECOVEXP"/>
    <w:rPr>
      <w:rFonts w:eastAsia="Calibri"/>
    </w:rPr>
  </w:style>
  <w:style w:type="paragraph" w:customStyle="1" w:styleId="DMETW17221BIPONER">
    <w:name w:val="DM_ETW_17221_BIP_ONER"/>
    <w:rPr>
      <w:rFonts w:eastAsia="Calibri"/>
    </w:rPr>
  </w:style>
  <w:style w:type="paragraph" w:customStyle="1" w:styleId="DMETW17231BIPFINREV">
    <w:name w:val="DM_ETW_17231_BIP_FINREV"/>
    <w:rPr>
      <w:rFonts w:eastAsia="Calibri"/>
    </w:rPr>
  </w:style>
  <w:style w:type="paragraph" w:customStyle="1" w:styleId="DMETW17253BIPOER">
    <w:name w:val="DM_ETW_17253_BIP_OER"/>
    <w:rPr>
      <w:rFonts w:eastAsia="Calibri"/>
    </w:rPr>
  </w:style>
  <w:style w:type="paragraph" w:customStyle="1" w:styleId="DMETW16488BIPSM">
    <w:name w:val="DM_ETW_16488_BIP_SM"/>
    <w:rPr>
      <w:rFonts w:eastAsia="Calibri"/>
    </w:rPr>
  </w:style>
  <w:style w:type="paragraph" w:customStyle="1" w:styleId="DMETW17222BIPDM">
    <w:name w:val="DM_ETW_17222_BIP_DM"/>
    <w:rPr>
      <w:rFonts w:eastAsia="Calibri"/>
    </w:rPr>
  </w:style>
  <w:style w:type="paragraph" w:customStyle="1" w:styleId="DMETW17222BIPIM">
    <w:name w:val="DM_ETW_17222_BIP_IM"/>
    <w:rPr>
      <w:rFonts w:eastAsia="Calibri"/>
    </w:rPr>
  </w:style>
  <w:style w:type="paragraph" w:customStyle="1" w:styleId="DMETW17254BIPSPC">
    <w:name w:val="DM_ETW_17254_BIP_SPC"/>
    <w:rPr>
      <w:rFonts w:eastAsia="Calibri"/>
    </w:rPr>
  </w:style>
  <w:style w:type="paragraph" w:customStyle="1" w:styleId="DMETW17232BIPFINEXP">
    <w:name w:val="DM_ETW_17232_BIP_FINEXP"/>
    <w:rPr>
      <w:rFonts w:eastAsia="Calibri"/>
    </w:rPr>
  </w:style>
  <w:style w:type="paragraph" w:customStyle="1" w:styleId="DMETW17223BIPOE">
    <w:name w:val="DM_ETW_17223_BIP_OE"/>
    <w:rPr>
      <w:rFonts w:eastAsia="Calibri"/>
    </w:rPr>
  </w:style>
  <w:style w:type="paragraph" w:customStyle="1" w:styleId="DMETW17223BIPRD">
    <w:name w:val="DM_ETW_17223_BIP_RD"/>
    <w:rPr>
      <w:rFonts w:eastAsia="Calibri"/>
    </w:rPr>
  </w:style>
  <w:style w:type="paragraph" w:customStyle="1" w:styleId="DMETW17224BIPSEGREP">
    <w:name w:val="DM_ETW_17224_BIP_SEGREP"/>
    <w:rPr>
      <w:rFonts w:eastAsia="Calibri"/>
    </w:rPr>
  </w:style>
  <w:style w:type="paragraph" w:customStyle="1" w:styleId="DMETW16559BIPGUAR">
    <w:name w:val="DM_ETW_16559_BIP_GUAR"/>
    <w:rPr>
      <w:rFonts w:eastAsia="Calibri"/>
    </w:rPr>
  </w:style>
  <w:style w:type="paragraph" w:customStyle="1" w:styleId="DMETW16558BIPGUARFA">
    <w:name w:val="DM_ETW_16558_BIP_GUARFA"/>
    <w:rPr>
      <w:rFonts w:eastAsia="Calibri"/>
    </w:rPr>
  </w:style>
  <w:style w:type="paragraph" w:customStyle="1" w:styleId="DMETW16558BIPINSGUA">
    <w:name w:val="DM_ETW_16558_BIP_INSGUA"/>
    <w:rPr>
      <w:rFonts w:eastAsia="Calibri"/>
    </w:rPr>
  </w:style>
  <w:style w:type="paragraph" w:customStyle="1" w:styleId="DMETW17236BIPCL">
    <w:name w:val="DM_ETW_17236_BIP_CL"/>
    <w:rPr>
      <w:rFonts w:eastAsia="Calibri"/>
    </w:rPr>
  </w:style>
  <w:style w:type="paragraph" w:customStyle="1" w:styleId="Heading9pNormalLeft">
    <w:name w:val="Heading_9p_Normal_Left"/>
    <w:basedOn w:val="Heading9pNormalCentered"/>
    <w:qFormat/>
    <w:pPr>
      <w:jc w:val="left"/>
    </w:pPr>
  </w:style>
  <w:style w:type="paragraph" w:customStyle="1" w:styleId="DMETW17236BIPCA">
    <w:name w:val="DM_ETW_17236_BIP_CA"/>
    <w:rPr>
      <w:rFonts w:eastAsia="Calibri"/>
    </w:rPr>
  </w:style>
  <w:style w:type="paragraph" w:customStyle="1" w:styleId="DMETW17237BIPOBULEG">
    <w:name w:val="DM_ETW_17237_BIP_OBULEG"/>
    <w:rPr>
      <w:rFonts w:eastAsia="Calibri"/>
    </w:rPr>
  </w:style>
  <w:style w:type="paragraph" w:customStyle="1" w:styleId="DMETW17237BIPOCNYE">
    <w:name w:val="DM_ETW_17237_BIP_OCNYE"/>
    <w:rPr>
      <w:rFonts w:eastAsia="Calibri"/>
    </w:rPr>
  </w:style>
  <w:style w:type="paragraph" w:customStyle="1" w:styleId="DMETW16561BIPSTRUCAC">
    <w:name w:val="DM_ETW_16561_BIP_STRUCAC"/>
    <w:rPr>
      <w:rFonts w:eastAsia="Calibri"/>
    </w:rPr>
  </w:style>
  <w:style w:type="paragraph" w:customStyle="1" w:styleId="DMETW17237BIPLEGCOM">
    <w:name w:val="DM_ETW_17237_BIP_LEGCOM"/>
    <w:rPr>
      <w:rFonts w:eastAsia="Calibri"/>
    </w:rPr>
  </w:style>
  <w:style w:type="paragraph" w:customStyle="1" w:styleId="DMETW17233BIPPPERE">
    <w:name w:val="DM_ETW_17233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7225BIPCRCY">
    <w:name w:val="DM_ETW_17225_BIP_CRCY"/>
    <w:rPr>
      <w:rFonts w:eastAsia="Calibri"/>
    </w:rPr>
  </w:style>
  <w:style w:type="paragraph" w:customStyle="1" w:styleId="DMETW17225BIPCRPY">
    <w:name w:val="DM_ETW_17225_BIP_CRPY"/>
    <w:rPr>
      <w:rFonts w:eastAsia="Calibri"/>
    </w:rPr>
  </w:style>
  <w:style w:type="paragraph" w:customStyle="1" w:styleId="DMETW17225BIPSDS">
    <w:name w:val="DM_ETW_17225_BIP_SDS"/>
    <w:rPr>
      <w:rFonts w:eastAsia="Calibri"/>
    </w:rPr>
  </w:style>
  <w:style w:type="paragraph" w:customStyle="1" w:styleId="DMETW17225BIPNAS">
    <w:name w:val="DM_ETW_17225_BIP_NAS"/>
    <w:rPr>
      <w:rFonts w:eastAsia="Calibri"/>
    </w:rPr>
  </w:style>
  <w:style w:type="paragraph" w:customStyle="1" w:styleId="DMETW17225BIPSDW">
    <w:name w:val="DM_ETW_17225_BIP_SDW"/>
    <w:rPr>
      <w:rFonts w:eastAsia="Calibri"/>
    </w:rPr>
  </w:style>
  <w:style w:type="paragraph" w:customStyle="1" w:styleId="DMETW17225BIPNAW">
    <w:name w:val="DM_ETW_17225_BIP_NAW"/>
    <w:rPr>
      <w:rFonts w:eastAsia="Calibri"/>
    </w:rPr>
  </w:style>
  <w:style w:type="paragraph" w:customStyle="1" w:styleId="DMETW17226BIPIRR">
    <w:name w:val="DM_ETW_17226_BIP_IRR"/>
    <w:rPr>
      <w:rFonts w:eastAsia="Calibri"/>
    </w:rPr>
  </w:style>
  <w:style w:type="paragraph" w:customStyle="1" w:styleId="DMETW17227BIPCDTR">
    <w:name w:val="DM_ETW_17227_BIP_CDTR"/>
    <w:rPr>
      <w:rFonts w:eastAsia="Calibri"/>
    </w:rPr>
  </w:style>
  <w:style w:type="paragraph" w:customStyle="1" w:styleId="DMETW17227BIPFARCCY">
    <w:name w:val="DM_ETW_17227_BIP_FARCCY"/>
    <w:rPr>
      <w:rFonts w:eastAsia="Calibri"/>
    </w:rPr>
  </w:style>
  <w:style w:type="paragraph" w:customStyle="1" w:styleId="DMETW17227BIPFARCPY">
    <w:name w:val="DM_ETW_17227_BIP_FARCPY"/>
    <w:rPr>
      <w:rFonts w:eastAsia="Calibri"/>
    </w:rPr>
  </w:style>
  <w:style w:type="paragraph" w:customStyle="1" w:styleId="DMETW17228BIPLR">
    <w:name w:val="DM_ETW_17228_BIP_LR"/>
    <w:rPr>
      <w:rFonts w:eastAsia="Calibri"/>
    </w:rPr>
  </w:style>
  <w:style w:type="paragraph" w:customStyle="1" w:styleId="DMETW16539BIPFLA">
    <w:name w:val="DM_ETW_16539_BIP_FLA"/>
    <w:rPr>
      <w:rFonts w:eastAsia="Calibri"/>
    </w:rPr>
  </w:style>
  <w:style w:type="paragraph" w:customStyle="1" w:styleId="DMETW17208BIPKM">
    <w:name w:val="DM_ETW_17208_BIP_KM"/>
    <w:rPr>
      <w:rFonts w:eastAsia="Calibri"/>
    </w:rPr>
  </w:style>
  <w:style w:type="paragraph" w:customStyle="1" w:styleId="DMETW17209BIPCE">
    <w:name w:val="DM_ETW_17209_BIP_CE"/>
    <w:rPr>
      <w:rFonts w:eastAsia="Calibri"/>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lang w:eastAsia="en-GB"/>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7140BIPBudgetresult">
    <w:name w:val="DM_ETW_17140_BIP_Budget_result"/>
    <w:rPr>
      <w:rFonts w:eastAsia="Calibri"/>
    </w:rPr>
  </w:style>
  <w:style w:type="paragraph" w:customStyle="1" w:styleId="DMETW17140BIPStatementofcomparisonRevenue">
    <w:name w:val="DM_ETW_17140_BIP_Statement_of_comparison_Revenue"/>
    <w:rPr>
      <w:rFonts w:eastAsia="Calibri"/>
    </w:rPr>
  </w:style>
  <w:style w:type="paragraph" w:customStyle="1" w:styleId="DMETW17140BIPStatementofcomparisonCommitments">
    <w:name w:val="DM_ETW_17140_BIP_Statement_of_comparison_Commitments"/>
    <w:rPr>
      <w:rFonts w:eastAsia="Calibri"/>
    </w:rPr>
  </w:style>
  <w:style w:type="paragraph" w:customStyle="1" w:styleId="DMETW17140BIPStatementofcomparisonPayments">
    <w:name w:val="DM_ETW_17140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7108BIPReconciliation">
    <w:name w:val="DM_ETW_17108_BIP_Reconciliation"/>
    <w:rPr>
      <w:rFonts w:eastAsia="Calibri"/>
    </w:rPr>
  </w:style>
  <w:style w:type="paragraph" w:customStyle="1" w:styleId="DMETW17211BIPImplementationbudgetrevenue">
    <w:name w:val="DM_ETW_17211_BIP_Implementation_budget_revenue"/>
    <w:rPr>
      <w:rFonts w:eastAsia="Calibri"/>
    </w:rPr>
  </w:style>
  <w:style w:type="paragraph" w:customStyle="1" w:styleId="DMETW17212BIPMFF1BreakdownCommPaym">
    <w:name w:val="DM_ETW_17212_BIP_MFF_1_Breakdown_Comm_Paym"/>
    <w:rPr>
      <w:rFonts w:eastAsia="Calibri"/>
    </w:rPr>
  </w:style>
  <w:style w:type="paragraph" w:customStyle="1" w:styleId="DMETW17212BIPMFF2ImplementCommitments">
    <w:name w:val="DM_ETW_17212_BIP_MFF_2_Implement_Commitments"/>
    <w:rPr>
      <w:rFonts w:eastAsia="Calibri"/>
    </w:rPr>
  </w:style>
  <w:style w:type="paragraph" w:customStyle="1" w:styleId="DMETW17212BIPMFF3ImplementPayments">
    <w:name w:val="DM_ETW_17212_BIP_MFF_3_Implement_Payments"/>
    <w:rPr>
      <w:rFonts w:eastAsia="Calibri"/>
    </w:rPr>
  </w:style>
  <w:style w:type="paragraph" w:customStyle="1" w:styleId="DMETW17212BIPMFF4Commitmentsoustanding">
    <w:name w:val="DM_ETW_17212_BIP_MFF_4_Commitments_oustanding"/>
    <w:rPr>
      <w:rFonts w:eastAsia="Calibri"/>
    </w:rPr>
  </w:style>
  <w:style w:type="paragraph" w:customStyle="1" w:styleId="DMETW17212BIPMFF5RALYoO">
    <w:name w:val="DM_ETW_17212_BIP_MFF_5_RAL_YoO"/>
    <w:rPr>
      <w:rFonts w:eastAsia="Calibri"/>
    </w:rPr>
  </w:style>
  <w:style w:type="paragraph" w:customStyle="1" w:styleId="DMETW17212BIPDetailedMFF1Breakdown">
    <w:name w:val="DM_ETW_17212_BIP_DetailedMFF_1_Breakdown"/>
    <w:rPr>
      <w:rFonts w:eastAsia="Calibri"/>
    </w:rPr>
  </w:style>
  <w:style w:type="paragraph" w:customStyle="1" w:styleId="DMETW17212BIPDetailedMFF2ImplementCommitments">
    <w:name w:val="DM_ETW_17212_BIP_DetailedMFF_2_Implement_Commitments"/>
    <w:rPr>
      <w:rFonts w:eastAsia="Calibri"/>
    </w:rPr>
  </w:style>
  <w:style w:type="paragraph" w:customStyle="1" w:styleId="DMETW17212BIPDetailedMFF3ImplementPayments">
    <w:name w:val="DM_ETW_17212_BIP_DetailedMFF_3_Implement_Payments"/>
    <w:rPr>
      <w:rFonts w:eastAsia="Calibri"/>
    </w:rPr>
  </w:style>
  <w:style w:type="paragraph" w:customStyle="1" w:styleId="DMETW17212BIPDetailedMFF4Commitmentsoustanding">
    <w:name w:val="DM_ETW_17212_BIP_DetailedMFF_4_Commitments_oustanding"/>
    <w:rPr>
      <w:rFonts w:eastAsia="Calibri"/>
    </w:rPr>
  </w:style>
  <w:style w:type="paragraph" w:customStyle="1" w:styleId="DMETW17212BIPDetailedMFF5RALYoO">
    <w:name w:val="DM_ETW_17212_BIP_DetailedMFF_5_RAL_YoO"/>
    <w:rPr>
      <w:rFonts w:eastAsia="Calibri"/>
    </w:rPr>
  </w:style>
  <w:style w:type="paragraph" w:customStyle="1" w:styleId="DMETW17256BIPInstitutions1Revenue">
    <w:name w:val="DM_ETW_17256_BIP_Institutions_1_Revenue"/>
    <w:rPr>
      <w:rFonts w:eastAsia="Calibri"/>
    </w:rPr>
  </w:style>
  <w:style w:type="paragraph" w:customStyle="1" w:styleId="DMETW17256BIPInstitutions2Commitments">
    <w:name w:val="DM_ETW_17256_BIP_Institutions_2_Commitments"/>
    <w:rPr>
      <w:rFonts w:eastAsia="Calibri"/>
    </w:rPr>
  </w:style>
  <w:style w:type="paragraph" w:customStyle="1" w:styleId="DMETW17256BIPInstitutions3Payments">
    <w:name w:val="DM_ETW_17256_BIP_Institutions_3_Payments"/>
    <w:rPr>
      <w:rFonts w:eastAsia="Calibri"/>
    </w:rPr>
  </w:style>
  <w:style w:type="paragraph" w:customStyle="1" w:styleId="DMETW17256BIPAgencies1Revenue">
    <w:name w:val="DM_ETW_17256_BIP_Agencies_1_Revenue"/>
    <w:rPr>
      <w:rFonts w:eastAsia="Calibri"/>
    </w:rPr>
  </w:style>
  <w:style w:type="paragraph" w:customStyle="1" w:styleId="DMETW17256BIPAgencies2TypeofRevenue">
    <w:name w:val="DM_ETW_17256_BIP_Agencies_2_Type_of_Revenue"/>
    <w:rPr>
      <w:rFonts w:eastAsia="Calibri"/>
    </w:rPr>
  </w:style>
  <w:style w:type="paragraph" w:customStyle="1" w:styleId="DMETW17256BIPAgencies3CommitmentsPayments">
    <w:name w:val="DM_ETW_17256_BIP_Agencies_3_Commitments_Payments"/>
    <w:rPr>
      <w:rFonts w:eastAsia="Calibri"/>
    </w:rPr>
  </w:style>
  <w:style w:type="paragraph" w:customStyle="1" w:styleId="DMETW17256BIPAgencies4TypeofExpenditure">
    <w:name w:val="DM_ETW_17256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image" Target="media/image9.png"/><Relationship Id="rId21" Type="http://schemas.openxmlformats.org/officeDocument/2006/relationships/footer" Target="footer6.xml"/><Relationship Id="rId63" Type="http://schemas.openxmlformats.org/officeDocument/2006/relationships/header" Target="header24.xml"/><Relationship Id="rId159" Type="http://schemas.openxmlformats.org/officeDocument/2006/relationships/header" Target="header72.xml"/><Relationship Id="rId324" Type="http://schemas.openxmlformats.org/officeDocument/2006/relationships/header" Target="header151.xml"/><Relationship Id="rId366" Type="http://schemas.openxmlformats.org/officeDocument/2006/relationships/header" Target="header172.xml"/><Relationship Id="rId170" Type="http://schemas.openxmlformats.org/officeDocument/2006/relationships/footer" Target="footer77.xml"/><Relationship Id="rId226" Type="http://schemas.openxmlformats.org/officeDocument/2006/relationships/footer" Target="footer105.xml"/><Relationship Id="rId433" Type="http://schemas.openxmlformats.org/officeDocument/2006/relationships/theme" Target="theme/theme1.xml"/><Relationship Id="rId268" Type="http://schemas.openxmlformats.org/officeDocument/2006/relationships/footer" Target="footer126.xml"/><Relationship Id="rId32" Type="http://schemas.openxmlformats.org/officeDocument/2006/relationships/image" Target="media/image6.jpeg"/><Relationship Id="rId74" Type="http://schemas.openxmlformats.org/officeDocument/2006/relationships/footer" Target="footer29.xml"/><Relationship Id="rId128" Type="http://schemas.openxmlformats.org/officeDocument/2006/relationships/footer" Target="footer56.xml"/><Relationship Id="rId335" Type="http://schemas.openxmlformats.org/officeDocument/2006/relationships/footer" Target="footer156.xml"/><Relationship Id="rId377" Type="http://schemas.openxmlformats.org/officeDocument/2006/relationships/footer" Target="footer177.xml"/><Relationship Id="rId5" Type="http://schemas.openxmlformats.org/officeDocument/2006/relationships/settings" Target="settings.xml"/><Relationship Id="rId181" Type="http://schemas.openxmlformats.org/officeDocument/2006/relationships/footer" Target="footer82.xml"/><Relationship Id="rId237" Type="http://schemas.openxmlformats.org/officeDocument/2006/relationships/header" Target="header111.xml"/><Relationship Id="rId402" Type="http://schemas.openxmlformats.org/officeDocument/2006/relationships/header" Target="header190.xml"/><Relationship Id="rId279" Type="http://schemas.openxmlformats.org/officeDocument/2006/relationships/header" Target="header132.xml"/><Relationship Id="rId43" Type="http://schemas.openxmlformats.org/officeDocument/2006/relationships/footer" Target="footer13.xml"/><Relationship Id="rId139" Type="http://schemas.openxmlformats.org/officeDocument/2006/relationships/footer" Target="footer61.xml"/><Relationship Id="rId290" Type="http://schemas.openxmlformats.org/officeDocument/2006/relationships/footer" Target="footer137.xml"/><Relationship Id="rId304" Type="http://schemas.openxmlformats.org/officeDocument/2006/relationships/image" Target="media/image14.png"/><Relationship Id="rId346" Type="http://schemas.openxmlformats.org/officeDocument/2006/relationships/header" Target="header162.xml"/><Relationship Id="rId388" Type="http://schemas.openxmlformats.org/officeDocument/2006/relationships/header" Target="header183.xml"/><Relationship Id="rId85" Type="http://schemas.openxmlformats.org/officeDocument/2006/relationships/footer" Target="footer34.xml"/><Relationship Id="rId150" Type="http://schemas.openxmlformats.org/officeDocument/2006/relationships/header" Target="header68.xml"/><Relationship Id="rId192" Type="http://schemas.openxmlformats.org/officeDocument/2006/relationships/header" Target="header89.xml"/><Relationship Id="rId206" Type="http://schemas.openxmlformats.org/officeDocument/2006/relationships/footer" Target="footer95.xml"/><Relationship Id="rId413" Type="http://schemas.openxmlformats.org/officeDocument/2006/relationships/footer" Target="footer195.xml"/><Relationship Id="rId248" Type="http://schemas.openxmlformats.org/officeDocument/2006/relationships/footer" Target="footer116.xml"/><Relationship Id="rId269" Type="http://schemas.openxmlformats.org/officeDocument/2006/relationships/header" Target="header127.xml"/><Relationship Id="rId12" Type="http://schemas.openxmlformats.org/officeDocument/2006/relationships/footer" Target="footer1.xml"/><Relationship Id="rId33" Type="http://schemas.openxmlformats.org/officeDocument/2006/relationships/image" Target="media/image7.jpeg"/><Relationship Id="rId108" Type="http://schemas.openxmlformats.org/officeDocument/2006/relationships/header" Target="header47.xml"/><Relationship Id="rId129" Type="http://schemas.openxmlformats.org/officeDocument/2006/relationships/header" Target="header57.xml"/><Relationship Id="rId280" Type="http://schemas.openxmlformats.org/officeDocument/2006/relationships/footer" Target="footer132.xml"/><Relationship Id="rId315" Type="http://schemas.openxmlformats.org/officeDocument/2006/relationships/footer" Target="footer146.xml"/><Relationship Id="rId336" Type="http://schemas.openxmlformats.org/officeDocument/2006/relationships/header" Target="header157.xml"/><Relationship Id="rId357" Type="http://schemas.openxmlformats.org/officeDocument/2006/relationships/footer" Target="footer167.xml"/><Relationship Id="rId54" Type="http://schemas.openxmlformats.org/officeDocument/2006/relationships/header" Target="header20.xml"/><Relationship Id="rId75" Type="http://schemas.openxmlformats.org/officeDocument/2006/relationships/header" Target="header30.xml"/><Relationship Id="rId96" Type="http://schemas.openxmlformats.org/officeDocument/2006/relationships/header" Target="header41.xml"/><Relationship Id="rId140" Type="http://schemas.openxmlformats.org/officeDocument/2006/relationships/footer" Target="footer62.xml"/><Relationship Id="rId161" Type="http://schemas.openxmlformats.org/officeDocument/2006/relationships/header" Target="header73.xml"/><Relationship Id="rId182" Type="http://schemas.openxmlformats.org/officeDocument/2006/relationships/footer" Target="footer83.xml"/><Relationship Id="rId217" Type="http://schemas.openxmlformats.org/officeDocument/2006/relationships/footer" Target="footer100.xml"/><Relationship Id="rId378" Type="http://schemas.openxmlformats.org/officeDocument/2006/relationships/header" Target="header178.xml"/><Relationship Id="rId399" Type="http://schemas.openxmlformats.org/officeDocument/2006/relationships/footer" Target="footer188.xml"/><Relationship Id="rId403" Type="http://schemas.openxmlformats.org/officeDocument/2006/relationships/header" Target="header191.xml"/><Relationship Id="rId6" Type="http://schemas.openxmlformats.org/officeDocument/2006/relationships/webSettings" Target="webSettings.xml"/><Relationship Id="rId238" Type="http://schemas.openxmlformats.org/officeDocument/2006/relationships/footer" Target="footer111.xml"/><Relationship Id="rId259" Type="http://schemas.openxmlformats.org/officeDocument/2006/relationships/footer" Target="footer121.xml"/><Relationship Id="rId424" Type="http://schemas.openxmlformats.org/officeDocument/2006/relationships/header" Target="header201.xml"/><Relationship Id="rId23" Type="http://schemas.openxmlformats.org/officeDocument/2006/relationships/header" Target="header7.xml"/><Relationship Id="rId119" Type="http://schemas.openxmlformats.org/officeDocument/2006/relationships/header" Target="header52.xml"/><Relationship Id="rId270" Type="http://schemas.openxmlformats.org/officeDocument/2006/relationships/header" Target="header128.xml"/><Relationship Id="rId291" Type="http://schemas.openxmlformats.org/officeDocument/2006/relationships/header" Target="header138.xml"/><Relationship Id="rId305" Type="http://schemas.openxmlformats.org/officeDocument/2006/relationships/image" Target="media/image15.png"/><Relationship Id="rId326" Type="http://schemas.openxmlformats.org/officeDocument/2006/relationships/footer" Target="footer151.xml"/><Relationship Id="rId347" Type="http://schemas.openxmlformats.org/officeDocument/2006/relationships/footer" Target="footer162.xml"/><Relationship Id="rId44" Type="http://schemas.openxmlformats.org/officeDocument/2006/relationships/footer" Target="footer14.xml"/><Relationship Id="rId65" Type="http://schemas.openxmlformats.org/officeDocument/2006/relationships/header" Target="header25.xml"/><Relationship Id="rId86" Type="http://schemas.openxmlformats.org/officeDocument/2006/relationships/footer" Target="footer35.xml"/><Relationship Id="rId130" Type="http://schemas.openxmlformats.org/officeDocument/2006/relationships/footer" Target="footer57.xml"/><Relationship Id="rId151" Type="http://schemas.openxmlformats.org/officeDocument/2006/relationships/footer" Target="footer67.xml"/><Relationship Id="rId368" Type="http://schemas.openxmlformats.org/officeDocument/2006/relationships/footer" Target="footer172.xml"/><Relationship Id="rId389" Type="http://schemas.openxmlformats.org/officeDocument/2006/relationships/footer" Target="footer183.xml"/><Relationship Id="rId172" Type="http://schemas.openxmlformats.org/officeDocument/2006/relationships/footer" Target="footer78.xml"/><Relationship Id="rId193" Type="http://schemas.openxmlformats.org/officeDocument/2006/relationships/footer" Target="footer88.xml"/><Relationship Id="rId207" Type="http://schemas.openxmlformats.org/officeDocument/2006/relationships/header" Target="header96.xml"/><Relationship Id="rId228" Type="http://schemas.openxmlformats.org/officeDocument/2006/relationships/header" Target="header107.xml"/><Relationship Id="rId249" Type="http://schemas.openxmlformats.org/officeDocument/2006/relationships/header" Target="header117.xml"/><Relationship Id="rId414" Type="http://schemas.openxmlformats.org/officeDocument/2006/relationships/header" Target="header196.xml"/><Relationship Id="rId13" Type="http://schemas.openxmlformats.org/officeDocument/2006/relationships/footer" Target="footer2.xml"/><Relationship Id="rId109" Type="http://schemas.openxmlformats.org/officeDocument/2006/relationships/footer" Target="footer46.xml"/><Relationship Id="rId260" Type="http://schemas.openxmlformats.org/officeDocument/2006/relationships/footer" Target="footer122.xml"/><Relationship Id="rId281" Type="http://schemas.openxmlformats.org/officeDocument/2006/relationships/header" Target="header133.xml"/><Relationship Id="rId316" Type="http://schemas.openxmlformats.org/officeDocument/2006/relationships/header" Target="header147.xml"/><Relationship Id="rId337" Type="http://schemas.openxmlformats.org/officeDocument/2006/relationships/header" Target="header158.xml"/><Relationship Id="rId34" Type="http://schemas.openxmlformats.org/officeDocument/2006/relationships/image" Target="media/image8.jpeg"/><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20" Type="http://schemas.openxmlformats.org/officeDocument/2006/relationships/header" Target="header53.xml"/><Relationship Id="rId141" Type="http://schemas.openxmlformats.org/officeDocument/2006/relationships/header" Target="header63.xml"/><Relationship Id="rId358" Type="http://schemas.openxmlformats.org/officeDocument/2006/relationships/header" Target="header168.xml"/><Relationship Id="rId379" Type="http://schemas.openxmlformats.org/officeDocument/2006/relationships/header" Target="header179.xml"/><Relationship Id="rId7" Type="http://schemas.openxmlformats.org/officeDocument/2006/relationships/footnotes" Target="footnotes.xml"/><Relationship Id="rId162" Type="http://schemas.openxmlformats.org/officeDocument/2006/relationships/header" Target="header74.xml"/><Relationship Id="rId183" Type="http://schemas.openxmlformats.org/officeDocument/2006/relationships/header" Target="header84.xml"/><Relationship Id="rId218" Type="http://schemas.openxmlformats.org/officeDocument/2006/relationships/footer" Target="footer101.xml"/><Relationship Id="rId239" Type="http://schemas.openxmlformats.org/officeDocument/2006/relationships/header" Target="header112.xml"/><Relationship Id="rId390" Type="http://schemas.openxmlformats.org/officeDocument/2006/relationships/header" Target="header184.xml"/><Relationship Id="rId404" Type="http://schemas.openxmlformats.org/officeDocument/2006/relationships/footer" Target="footer190.xml"/><Relationship Id="rId425" Type="http://schemas.openxmlformats.org/officeDocument/2006/relationships/footer" Target="footer201.xml"/><Relationship Id="rId250" Type="http://schemas.openxmlformats.org/officeDocument/2006/relationships/footer" Target="footer117.xml"/><Relationship Id="rId271" Type="http://schemas.openxmlformats.org/officeDocument/2006/relationships/footer" Target="footer127.xml"/><Relationship Id="rId292" Type="http://schemas.openxmlformats.org/officeDocument/2006/relationships/footer" Target="footer138.xml"/><Relationship Id="rId306" Type="http://schemas.openxmlformats.org/officeDocument/2006/relationships/header" Target="header142.xml"/><Relationship Id="rId24" Type="http://schemas.openxmlformats.org/officeDocument/2006/relationships/header" Target="header8.xml"/><Relationship Id="rId45" Type="http://schemas.openxmlformats.org/officeDocument/2006/relationships/header" Target="header15.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47.xml"/><Relationship Id="rId131" Type="http://schemas.openxmlformats.org/officeDocument/2006/relationships/header" Target="header58.xml"/><Relationship Id="rId327" Type="http://schemas.openxmlformats.org/officeDocument/2006/relationships/footer" Target="footer152.xml"/><Relationship Id="rId348" Type="http://schemas.openxmlformats.org/officeDocument/2006/relationships/header" Target="header163.xml"/><Relationship Id="rId369" Type="http://schemas.openxmlformats.org/officeDocument/2006/relationships/footer" Target="footer173.xml"/><Relationship Id="rId152" Type="http://schemas.openxmlformats.org/officeDocument/2006/relationships/footer" Target="footer68.xml"/><Relationship Id="rId173" Type="http://schemas.openxmlformats.org/officeDocument/2006/relationships/header" Target="header79.xml"/><Relationship Id="rId194" Type="http://schemas.openxmlformats.org/officeDocument/2006/relationships/footer" Target="footer89.xml"/><Relationship Id="rId208" Type="http://schemas.openxmlformats.org/officeDocument/2006/relationships/footer" Target="footer96.xml"/><Relationship Id="rId229" Type="http://schemas.openxmlformats.org/officeDocument/2006/relationships/footer" Target="footer106.xml"/><Relationship Id="rId380" Type="http://schemas.openxmlformats.org/officeDocument/2006/relationships/footer" Target="footer178.xml"/><Relationship Id="rId415" Type="http://schemas.openxmlformats.org/officeDocument/2006/relationships/header" Target="header197.xml"/><Relationship Id="rId240" Type="http://schemas.openxmlformats.org/officeDocument/2006/relationships/header" Target="header113.xml"/><Relationship Id="rId261" Type="http://schemas.openxmlformats.org/officeDocument/2006/relationships/header" Target="header123.xml"/><Relationship Id="rId14" Type="http://schemas.openxmlformats.org/officeDocument/2006/relationships/header" Target="header3.xml"/><Relationship Id="rId35" Type="http://schemas.openxmlformats.org/officeDocument/2006/relationships/header" Target="header10.xml"/><Relationship Id="rId56" Type="http://schemas.openxmlformats.org/officeDocument/2006/relationships/footer" Target="footer20.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4.xml"/><Relationship Id="rId317" Type="http://schemas.openxmlformats.org/officeDocument/2006/relationships/footer" Target="footer147.xml"/><Relationship Id="rId338" Type="http://schemas.openxmlformats.org/officeDocument/2006/relationships/footer" Target="footer157.xml"/><Relationship Id="rId359" Type="http://schemas.openxmlformats.org/officeDocument/2006/relationships/footer" Target="footer168.xml"/><Relationship Id="rId8" Type="http://schemas.openxmlformats.org/officeDocument/2006/relationships/endnotes" Target="endnotes.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4.xml"/><Relationship Id="rId219" Type="http://schemas.openxmlformats.org/officeDocument/2006/relationships/header" Target="header102.xml"/><Relationship Id="rId370" Type="http://schemas.openxmlformats.org/officeDocument/2006/relationships/header" Target="header174.xml"/><Relationship Id="rId391" Type="http://schemas.openxmlformats.org/officeDocument/2006/relationships/header" Target="header185.xml"/><Relationship Id="rId405" Type="http://schemas.openxmlformats.org/officeDocument/2006/relationships/footer" Target="footer191.xml"/><Relationship Id="rId426" Type="http://schemas.openxmlformats.org/officeDocument/2006/relationships/header" Target="header202.xml"/><Relationship Id="rId230" Type="http://schemas.openxmlformats.org/officeDocument/2006/relationships/footer" Target="footer107.xml"/><Relationship Id="rId251" Type="http://schemas.openxmlformats.org/officeDocument/2006/relationships/header" Target="header118.xml"/><Relationship Id="rId25" Type="http://schemas.openxmlformats.org/officeDocument/2006/relationships/footer" Target="footer7.xml"/><Relationship Id="rId46" Type="http://schemas.openxmlformats.org/officeDocument/2006/relationships/footer" Target="footer15.xml"/><Relationship Id="rId67" Type="http://schemas.openxmlformats.org/officeDocument/2006/relationships/footer" Target="footer25.xml"/><Relationship Id="rId272" Type="http://schemas.openxmlformats.org/officeDocument/2006/relationships/footer" Target="footer128.xml"/><Relationship Id="rId293" Type="http://schemas.openxmlformats.org/officeDocument/2006/relationships/header" Target="header139.xml"/><Relationship Id="rId307" Type="http://schemas.openxmlformats.org/officeDocument/2006/relationships/header" Target="header143.xml"/><Relationship Id="rId328" Type="http://schemas.openxmlformats.org/officeDocument/2006/relationships/header" Target="header153.xml"/><Relationship Id="rId349" Type="http://schemas.openxmlformats.org/officeDocument/2006/relationships/header" Target="header164.xml"/><Relationship Id="rId88" Type="http://schemas.openxmlformats.org/officeDocument/2006/relationships/footer" Target="footer36.xml"/><Relationship Id="rId111" Type="http://schemas.openxmlformats.org/officeDocument/2006/relationships/header" Target="header48.xml"/><Relationship Id="rId132" Type="http://schemas.openxmlformats.org/officeDocument/2006/relationships/header" Target="header59.xml"/><Relationship Id="rId153" Type="http://schemas.openxmlformats.org/officeDocument/2006/relationships/header" Target="header69.xml"/><Relationship Id="rId174" Type="http://schemas.openxmlformats.org/officeDocument/2006/relationships/header" Target="header80.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header" Target="header169.xml"/><Relationship Id="rId381" Type="http://schemas.openxmlformats.org/officeDocument/2006/relationships/footer" Target="footer179.xml"/><Relationship Id="rId416" Type="http://schemas.openxmlformats.org/officeDocument/2006/relationships/footer" Target="footer196.xml"/><Relationship Id="rId220" Type="http://schemas.openxmlformats.org/officeDocument/2006/relationships/footer" Target="footer102.xml"/><Relationship Id="rId241" Type="http://schemas.openxmlformats.org/officeDocument/2006/relationships/footer" Target="footer112.xml"/><Relationship Id="rId15" Type="http://schemas.openxmlformats.org/officeDocument/2006/relationships/footer" Target="footer3.xml"/><Relationship Id="rId36" Type="http://schemas.openxmlformats.org/officeDocument/2006/relationships/header" Target="header11.xml"/><Relationship Id="rId57" Type="http://schemas.openxmlformats.org/officeDocument/2006/relationships/header" Target="header21.xml"/><Relationship Id="rId262" Type="http://schemas.openxmlformats.org/officeDocument/2006/relationships/footer" Target="footer123.xml"/><Relationship Id="rId283" Type="http://schemas.openxmlformats.org/officeDocument/2006/relationships/footer" Target="footer133.xml"/><Relationship Id="rId318" Type="http://schemas.openxmlformats.org/officeDocument/2006/relationships/header" Target="header148.xml"/><Relationship Id="rId339" Type="http://schemas.openxmlformats.org/officeDocument/2006/relationships/footer" Target="footer158.xml"/><Relationship Id="rId78" Type="http://schemas.openxmlformats.org/officeDocument/2006/relationships/header" Target="header32.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3.xml"/><Relationship Id="rId143" Type="http://schemas.openxmlformats.org/officeDocument/2006/relationships/header" Target="header64.xml"/><Relationship Id="rId164" Type="http://schemas.openxmlformats.org/officeDocument/2006/relationships/footer" Target="footer74.xml"/><Relationship Id="rId185" Type="http://schemas.openxmlformats.org/officeDocument/2006/relationships/header" Target="header85.xml"/><Relationship Id="rId350" Type="http://schemas.openxmlformats.org/officeDocument/2006/relationships/footer" Target="footer163.xml"/><Relationship Id="rId371" Type="http://schemas.openxmlformats.org/officeDocument/2006/relationships/footer" Target="footer174.xml"/><Relationship Id="rId406" Type="http://schemas.openxmlformats.org/officeDocument/2006/relationships/header" Target="header192.xml"/><Relationship Id="rId9" Type="http://schemas.openxmlformats.org/officeDocument/2006/relationships/image" Target="media/image1.emf"/><Relationship Id="rId210" Type="http://schemas.openxmlformats.org/officeDocument/2006/relationships/header" Target="header98.xml"/><Relationship Id="rId392" Type="http://schemas.openxmlformats.org/officeDocument/2006/relationships/footer" Target="footer184.xml"/><Relationship Id="rId427" Type="http://schemas.openxmlformats.org/officeDocument/2006/relationships/header" Target="header203.xml"/><Relationship Id="rId26" Type="http://schemas.openxmlformats.org/officeDocument/2006/relationships/footer" Target="footer8.xml"/><Relationship Id="rId231" Type="http://schemas.openxmlformats.org/officeDocument/2006/relationships/header" Target="header108.xml"/><Relationship Id="rId252" Type="http://schemas.openxmlformats.org/officeDocument/2006/relationships/header" Target="header119.xml"/><Relationship Id="rId273" Type="http://schemas.openxmlformats.org/officeDocument/2006/relationships/header" Target="header129.xml"/><Relationship Id="rId294" Type="http://schemas.openxmlformats.org/officeDocument/2006/relationships/header" Target="header140.xml"/><Relationship Id="rId308" Type="http://schemas.openxmlformats.org/officeDocument/2006/relationships/footer" Target="footer142.xml"/><Relationship Id="rId329" Type="http://schemas.openxmlformats.org/officeDocument/2006/relationships/footer" Target="footer153.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header" Target="header37.xml"/><Relationship Id="rId112" Type="http://schemas.openxmlformats.org/officeDocument/2006/relationships/footer" Target="footer48.xml"/><Relationship Id="rId133" Type="http://schemas.openxmlformats.org/officeDocument/2006/relationships/footer" Target="footer58.xml"/><Relationship Id="rId154" Type="http://schemas.openxmlformats.org/officeDocument/2006/relationships/footer" Target="footer69.xml"/><Relationship Id="rId175" Type="http://schemas.openxmlformats.org/officeDocument/2006/relationships/footer" Target="footer79.xml"/><Relationship Id="rId340" Type="http://schemas.openxmlformats.org/officeDocument/2006/relationships/header" Target="header159.xml"/><Relationship Id="rId361" Type="http://schemas.openxmlformats.org/officeDocument/2006/relationships/header" Target="header170.xml"/><Relationship Id="rId196" Type="http://schemas.openxmlformats.org/officeDocument/2006/relationships/footer" Target="footer90.xml"/><Relationship Id="rId200" Type="http://schemas.openxmlformats.org/officeDocument/2006/relationships/footer" Target="footer92.xml"/><Relationship Id="rId382" Type="http://schemas.openxmlformats.org/officeDocument/2006/relationships/header" Target="header180.xml"/><Relationship Id="rId417" Type="http://schemas.openxmlformats.org/officeDocument/2006/relationships/footer" Target="footer197.xml"/><Relationship Id="rId16" Type="http://schemas.openxmlformats.org/officeDocument/2006/relationships/header" Target="header4.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4.xml"/><Relationship Id="rId284" Type="http://schemas.openxmlformats.org/officeDocument/2006/relationships/footer" Target="footer134.xml"/><Relationship Id="rId319" Type="http://schemas.openxmlformats.org/officeDocument/2006/relationships/header" Target="header149.xml"/><Relationship Id="rId37" Type="http://schemas.openxmlformats.org/officeDocument/2006/relationships/footer" Target="footer10.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header" Target="header54.xml"/><Relationship Id="rId144" Type="http://schemas.openxmlformats.org/officeDocument/2006/relationships/header" Target="header65.xml"/><Relationship Id="rId330" Type="http://schemas.openxmlformats.org/officeDocument/2006/relationships/header" Target="header154.xml"/><Relationship Id="rId90" Type="http://schemas.openxmlformats.org/officeDocument/2006/relationships/header" Target="header38.xml"/><Relationship Id="rId165" Type="http://schemas.openxmlformats.org/officeDocument/2006/relationships/header" Target="header75.xml"/><Relationship Id="rId186" Type="http://schemas.openxmlformats.org/officeDocument/2006/relationships/header" Target="header86.xml"/><Relationship Id="rId351" Type="http://schemas.openxmlformats.org/officeDocument/2006/relationships/footer" Target="footer164.xml"/><Relationship Id="rId372" Type="http://schemas.openxmlformats.org/officeDocument/2006/relationships/header" Target="header175.xml"/><Relationship Id="rId393" Type="http://schemas.openxmlformats.org/officeDocument/2006/relationships/footer" Target="footer185.xml"/><Relationship Id="rId407" Type="http://schemas.openxmlformats.org/officeDocument/2006/relationships/footer" Target="footer192.xml"/><Relationship Id="rId428" Type="http://schemas.openxmlformats.org/officeDocument/2006/relationships/footer" Target="footer202.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footer" Target="footer118.xml"/><Relationship Id="rId274" Type="http://schemas.openxmlformats.org/officeDocument/2006/relationships/footer" Target="footer129.xml"/><Relationship Id="rId295" Type="http://schemas.openxmlformats.org/officeDocument/2006/relationships/footer" Target="footer139.xml"/><Relationship Id="rId309" Type="http://schemas.openxmlformats.org/officeDocument/2006/relationships/footer" Target="footer143.xml"/><Relationship Id="rId27" Type="http://schemas.openxmlformats.org/officeDocument/2006/relationships/header" Target="header9.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footer" Target="footer59.xml"/><Relationship Id="rId320" Type="http://schemas.openxmlformats.org/officeDocument/2006/relationships/footer" Target="footer148.xml"/><Relationship Id="rId80" Type="http://schemas.openxmlformats.org/officeDocument/2006/relationships/footer" Target="footer32.xml"/><Relationship Id="rId155" Type="http://schemas.openxmlformats.org/officeDocument/2006/relationships/header" Target="header70.xml"/><Relationship Id="rId176" Type="http://schemas.openxmlformats.org/officeDocument/2006/relationships/footer" Target="footer80.xml"/><Relationship Id="rId197" Type="http://schemas.openxmlformats.org/officeDocument/2006/relationships/header" Target="header91.xml"/><Relationship Id="rId341" Type="http://schemas.openxmlformats.org/officeDocument/2006/relationships/footer" Target="footer159.xml"/><Relationship Id="rId362" Type="http://schemas.openxmlformats.org/officeDocument/2006/relationships/footer" Target="footer169.xml"/><Relationship Id="rId383" Type="http://schemas.openxmlformats.org/officeDocument/2006/relationships/footer" Target="footer180.xml"/><Relationship Id="rId418" Type="http://schemas.openxmlformats.org/officeDocument/2006/relationships/header" Target="header198.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header" Target="header125.xml"/><Relationship Id="rId285" Type="http://schemas.openxmlformats.org/officeDocument/2006/relationships/header" Target="header135.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footer" Target="footer43.xml"/><Relationship Id="rId124" Type="http://schemas.openxmlformats.org/officeDocument/2006/relationships/footer" Target="footer54.xml"/><Relationship Id="rId310" Type="http://schemas.openxmlformats.org/officeDocument/2006/relationships/header" Target="header144.xml"/><Relationship Id="rId70" Type="http://schemas.openxmlformats.org/officeDocument/2006/relationships/footer" Target="footer27.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footer" Target="footer75.xml"/><Relationship Id="rId187" Type="http://schemas.openxmlformats.org/officeDocument/2006/relationships/footer" Target="footer85.xml"/><Relationship Id="rId331" Type="http://schemas.openxmlformats.org/officeDocument/2006/relationships/header" Target="header155.xml"/><Relationship Id="rId352" Type="http://schemas.openxmlformats.org/officeDocument/2006/relationships/header" Target="header165.xml"/><Relationship Id="rId373" Type="http://schemas.openxmlformats.org/officeDocument/2006/relationships/header" Target="header176.xml"/><Relationship Id="rId394" Type="http://schemas.openxmlformats.org/officeDocument/2006/relationships/header" Target="header186.xml"/><Relationship Id="rId408" Type="http://schemas.openxmlformats.org/officeDocument/2006/relationships/header" Target="header193.xml"/><Relationship Id="rId429" Type="http://schemas.openxmlformats.org/officeDocument/2006/relationships/footer" Target="footer203.xml"/><Relationship Id="rId1" Type="http://schemas.microsoft.com/office/2006/relationships/keyMapCustomizations" Target="customizations.xml"/><Relationship Id="rId212" Type="http://schemas.openxmlformats.org/officeDocument/2006/relationships/footer" Target="footer98.xml"/><Relationship Id="rId233" Type="http://schemas.openxmlformats.org/officeDocument/2006/relationships/header" Target="header109.xml"/><Relationship Id="rId254" Type="http://schemas.openxmlformats.org/officeDocument/2006/relationships/footer" Target="footer119.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header" Target="header130.xml"/><Relationship Id="rId296" Type="http://schemas.openxmlformats.org/officeDocument/2006/relationships/footer" Target="footer140.xml"/><Relationship Id="rId300" Type="http://schemas.openxmlformats.org/officeDocument/2006/relationships/image" Target="media/image10.png"/><Relationship Id="rId60" Type="http://schemas.openxmlformats.org/officeDocument/2006/relationships/header" Target="header23.xml"/><Relationship Id="rId81" Type="http://schemas.openxmlformats.org/officeDocument/2006/relationships/header" Target="header33.xml"/><Relationship Id="rId135" Type="http://schemas.openxmlformats.org/officeDocument/2006/relationships/header" Target="header60.xml"/><Relationship Id="rId156" Type="http://schemas.openxmlformats.org/officeDocument/2006/relationships/header" Target="header71.xml"/><Relationship Id="rId177" Type="http://schemas.openxmlformats.org/officeDocument/2006/relationships/header" Target="header81.xml"/><Relationship Id="rId198" Type="http://schemas.openxmlformats.org/officeDocument/2006/relationships/header" Target="header92.xml"/><Relationship Id="rId321" Type="http://schemas.openxmlformats.org/officeDocument/2006/relationships/footer" Target="footer149.xml"/><Relationship Id="rId342" Type="http://schemas.openxmlformats.org/officeDocument/2006/relationships/header" Target="header160.xml"/><Relationship Id="rId363" Type="http://schemas.openxmlformats.org/officeDocument/2006/relationships/footer" Target="footer170.xml"/><Relationship Id="rId384" Type="http://schemas.openxmlformats.org/officeDocument/2006/relationships/header" Target="header181.xml"/><Relationship Id="rId419" Type="http://schemas.openxmlformats.org/officeDocument/2006/relationships/footer" Target="footer198.xml"/><Relationship Id="rId202" Type="http://schemas.openxmlformats.org/officeDocument/2006/relationships/footer" Target="footer93.xml"/><Relationship Id="rId223" Type="http://schemas.openxmlformats.org/officeDocument/2006/relationships/footer" Target="footer103.xml"/><Relationship Id="rId244" Type="http://schemas.openxmlformats.org/officeDocument/2006/relationships/footer" Target="footer114.xml"/><Relationship Id="rId430" Type="http://schemas.openxmlformats.org/officeDocument/2006/relationships/header" Target="header204.xml"/><Relationship Id="rId18" Type="http://schemas.openxmlformats.org/officeDocument/2006/relationships/footer" Target="footer4.xml"/><Relationship Id="rId39" Type="http://schemas.openxmlformats.org/officeDocument/2006/relationships/header" Target="header12.xml"/><Relationship Id="rId265" Type="http://schemas.openxmlformats.org/officeDocument/2006/relationships/footer" Target="footer124.xml"/><Relationship Id="rId286" Type="http://schemas.openxmlformats.org/officeDocument/2006/relationships/footer" Target="footer135.xm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5.xml"/><Relationship Id="rId146" Type="http://schemas.openxmlformats.org/officeDocument/2006/relationships/footer" Target="footer65.xml"/><Relationship Id="rId167" Type="http://schemas.openxmlformats.org/officeDocument/2006/relationships/header" Target="header76.xml"/><Relationship Id="rId188" Type="http://schemas.openxmlformats.org/officeDocument/2006/relationships/footer" Target="footer86.xml"/><Relationship Id="rId311" Type="http://schemas.openxmlformats.org/officeDocument/2006/relationships/footer" Target="footer144.xml"/><Relationship Id="rId332" Type="http://schemas.openxmlformats.org/officeDocument/2006/relationships/footer" Target="footer154.xml"/><Relationship Id="rId353" Type="http://schemas.openxmlformats.org/officeDocument/2006/relationships/footer" Target="footer165.xml"/><Relationship Id="rId374" Type="http://schemas.openxmlformats.org/officeDocument/2006/relationships/footer" Target="footer175.xml"/><Relationship Id="rId395" Type="http://schemas.openxmlformats.org/officeDocument/2006/relationships/footer" Target="footer186.xml"/><Relationship Id="rId409" Type="http://schemas.openxmlformats.org/officeDocument/2006/relationships/header" Target="header194.xml"/><Relationship Id="rId71" Type="http://schemas.openxmlformats.org/officeDocument/2006/relationships/header" Target="header28.xml"/><Relationship Id="rId92" Type="http://schemas.openxmlformats.org/officeDocument/2006/relationships/footer" Target="footer38.xml"/><Relationship Id="rId213" Type="http://schemas.openxmlformats.org/officeDocument/2006/relationships/header" Target="header99.xml"/><Relationship Id="rId234" Type="http://schemas.openxmlformats.org/officeDocument/2006/relationships/header" Target="header110.xml"/><Relationship Id="rId420" Type="http://schemas.openxmlformats.org/officeDocument/2006/relationships/header" Target="header199.xml"/><Relationship Id="rId2" Type="http://schemas.openxmlformats.org/officeDocument/2006/relationships/customXml" Target="../customXml/item1.xml"/><Relationship Id="rId29" Type="http://schemas.openxmlformats.org/officeDocument/2006/relationships/image" Target="media/image3.png"/><Relationship Id="rId255" Type="http://schemas.openxmlformats.org/officeDocument/2006/relationships/header" Target="header120.xml"/><Relationship Id="rId276" Type="http://schemas.openxmlformats.org/officeDocument/2006/relationships/header" Target="header131.xml"/><Relationship Id="rId297" Type="http://schemas.openxmlformats.org/officeDocument/2006/relationships/header" Target="header141.xml"/><Relationship Id="rId40" Type="http://schemas.openxmlformats.org/officeDocument/2006/relationships/footer" Target="footer12.xml"/><Relationship Id="rId115" Type="http://schemas.openxmlformats.org/officeDocument/2006/relationships/footer" Target="footer49.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footer" Target="footer81.xml"/><Relationship Id="rId301" Type="http://schemas.openxmlformats.org/officeDocument/2006/relationships/image" Target="media/image11.png"/><Relationship Id="rId322" Type="http://schemas.openxmlformats.org/officeDocument/2006/relationships/header" Target="header150.xml"/><Relationship Id="rId343" Type="http://schemas.openxmlformats.org/officeDocument/2006/relationships/header" Target="header161.xml"/><Relationship Id="rId364" Type="http://schemas.openxmlformats.org/officeDocument/2006/relationships/header" Target="header171.xml"/><Relationship Id="rId61" Type="http://schemas.openxmlformats.org/officeDocument/2006/relationships/footer" Target="footer22.xml"/><Relationship Id="rId82" Type="http://schemas.openxmlformats.org/officeDocument/2006/relationships/footer" Target="footer33.xml"/><Relationship Id="rId199" Type="http://schemas.openxmlformats.org/officeDocument/2006/relationships/footer" Target="footer91.xml"/><Relationship Id="rId203" Type="http://schemas.openxmlformats.org/officeDocument/2006/relationships/header" Target="header94.xml"/><Relationship Id="rId385" Type="http://schemas.openxmlformats.org/officeDocument/2006/relationships/header" Target="header182.xml"/><Relationship Id="rId19" Type="http://schemas.openxmlformats.org/officeDocument/2006/relationships/footer" Target="footer5.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footer" Target="footer125.xml"/><Relationship Id="rId287" Type="http://schemas.openxmlformats.org/officeDocument/2006/relationships/header" Target="header136.xml"/><Relationship Id="rId410" Type="http://schemas.openxmlformats.org/officeDocument/2006/relationships/footer" Target="footer193.xml"/><Relationship Id="rId431" Type="http://schemas.openxmlformats.org/officeDocument/2006/relationships/footer" Target="footer204.xml"/><Relationship Id="rId30" Type="http://schemas.openxmlformats.org/officeDocument/2006/relationships/image" Target="media/image4.jpeg"/><Relationship Id="rId105" Type="http://schemas.openxmlformats.org/officeDocument/2006/relationships/header" Target="header45.xml"/><Relationship Id="rId126" Type="http://schemas.openxmlformats.org/officeDocument/2006/relationships/header" Target="header56.xml"/><Relationship Id="rId147" Type="http://schemas.openxmlformats.org/officeDocument/2006/relationships/header" Target="header66.xml"/><Relationship Id="rId168" Type="http://schemas.openxmlformats.org/officeDocument/2006/relationships/header" Target="header77.xml"/><Relationship Id="rId312" Type="http://schemas.openxmlformats.org/officeDocument/2006/relationships/header" Target="header145.xml"/><Relationship Id="rId333" Type="http://schemas.openxmlformats.org/officeDocument/2006/relationships/footer" Target="footer155.xml"/><Relationship Id="rId354" Type="http://schemas.openxmlformats.org/officeDocument/2006/relationships/header" Target="header166.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header" Target="header39.xml"/><Relationship Id="rId189" Type="http://schemas.openxmlformats.org/officeDocument/2006/relationships/header" Target="header87.xml"/><Relationship Id="rId375" Type="http://schemas.openxmlformats.org/officeDocument/2006/relationships/footer" Target="footer176.xml"/><Relationship Id="rId396" Type="http://schemas.openxmlformats.org/officeDocument/2006/relationships/header" Target="header187.xml"/><Relationship Id="rId3" Type="http://schemas.openxmlformats.org/officeDocument/2006/relationships/numbering" Target="numbering.xml"/><Relationship Id="rId214" Type="http://schemas.openxmlformats.org/officeDocument/2006/relationships/footer" Target="footer99.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footer" Target="footer130.xml"/><Relationship Id="rId298" Type="http://schemas.openxmlformats.org/officeDocument/2006/relationships/footer" Target="footer141.xml"/><Relationship Id="rId400" Type="http://schemas.openxmlformats.org/officeDocument/2006/relationships/header" Target="header189.xml"/><Relationship Id="rId421" Type="http://schemas.openxmlformats.org/officeDocument/2006/relationships/header" Target="header200.xml"/><Relationship Id="rId116" Type="http://schemas.openxmlformats.org/officeDocument/2006/relationships/footer" Target="footer50.xml"/><Relationship Id="rId137" Type="http://schemas.openxmlformats.org/officeDocument/2006/relationships/header" Target="header61.xml"/><Relationship Id="rId158" Type="http://schemas.openxmlformats.org/officeDocument/2006/relationships/footer" Target="footer71.xml"/><Relationship Id="rId302" Type="http://schemas.openxmlformats.org/officeDocument/2006/relationships/image" Target="media/image12.png"/><Relationship Id="rId323" Type="http://schemas.openxmlformats.org/officeDocument/2006/relationships/footer" Target="footer150.xml"/><Relationship Id="rId344" Type="http://schemas.openxmlformats.org/officeDocument/2006/relationships/footer" Target="footer160.xml"/><Relationship Id="rId20" Type="http://schemas.openxmlformats.org/officeDocument/2006/relationships/header" Target="header6.xml"/><Relationship Id="rId41" Type="http://schemas.openxmlformats.org/officeDocument/2006/relationships/header" Target="header13.xml"/><Relationship Id="rId62" Type="http://schemas.openxmlformats.org/officeDocument/2006/relationships/footer" Target="footer23.xml"/><Relationship Id="rId83" Type="http://schemas.openxmlformats.org/officeDocument/2006/relationships/header" Target="header34.xml"/><Relationship Id="rId179" Type="http://schemas.openxmlformats.org/officeDocument/2006/relationships/header" Target="header82.xml"/><Relationship Id="rId365" Type="http://schemas.openxmlformats.org/officeDocument/2006/relationships/footer" Target="footer171.xml"/><Relationship Id="rId386" Type="http://schemas.openxmlformats.org/officeDocument/2006/relationships/footer" Target="footer181.xml"/><Relationship Id="rId190" Type="http://schemas.openxmlformats.org/officeDocument/2006/relationships/footer" Target="footer87.xml"/><Relationship Id="rId204" Type="http://schemas.openxmlformats.org/officeDocument/2006/relationships/header" Target="header95.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header" Target="header126.xml"/><Relationship Id="rId288" Type="http://schemas.openxmlformats.org/officeDocument/2006/relationships/header" Target="header137.xml"/><Relationship Id="rId411" Type="http://schemas.openxmlformats.org/officeDocument/2006/relationships/footer" Target="footer194.xml"/><Relationship Id="rId432" Type="http://schemas.openxmlformats.org/officeDocument/2006/relationships/fontTable" Target="fontTable.xml"/><Relationship Id="rId106" Type="http://schemas.openxmlformats.org/officeDocument/2006/relationships/footer" Target="footer45.xml"/><Relationship Id="rId127" Type="http://schemas.openxmlformats.org/officeDocument/2006/relationships/footer" Target="footer55.xml"/><Relationship Id="rId313" Type="http://schemas.openxmlformats.org/officeDocument/2006/relationships/header" Target="header146.xm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footer" Target="footer18.xml"/><Relationship Id="rId73" Type="http://schemas.openxmlformats.org/officeDocument/2006/relationships/footer" Target="footer28.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footer" Target="footer76.xml"/><Relationship Id="rId334" Type="http://schemas.openxmlformats.org/officeDocument/2006/relationships/header" Target="header156.xml"/><Relationship Id="rId355" Type="http://schemas.openxmlformats.org/officeDocument/2006/relationships/header" Target="header167.xml"/><Relationship Id="rId376" Type="http://schemas.openxmlformats.org/officeDocument/2006/relationships/header" Target="header177.xml"/><Relationship Id="rId397" Type="http://schemas.openxmlformats.org/officeDocument/2006/relationships/header" Target="header188.xml"/><Relationship Id="rId4" Type="http://schemas.openxmlformats.org/officeDocument/2006/relationships/styles" Target="styles.xml"/><Relationship Id="rId180" Type="http://schemas.openxmlformats.org/officeDocument/2006/relationships/header" Target="header83.xml"/><Relationship Id="rId215" Type="http://schemas.openxmlformats.org/officeDocument/2006/relationships/header" Target="header100.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footer" Target="footer131.xml"/><Relationship Id="rId401" Type="http://schemas.openxmlformats.org/officeDocument/2006/relationships/footer" Target="footer189.xml"/><Relationship Id="rId422" Type="http://schemas.openxmlformats.org/officeDocument/2006/relationships/footer" Target="footer199.xml"/><Relationship Id="rId303" Type="http://schemas.openxmlformats.org/officeDocument/2006/relationships/image" Target="media/image13.png"/><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1.xml"/><Relationship Id="rId387" Type="http://schemas.openxmlformats.org/officeDocument/2006/relationships/footer" Target="footer182.xml"/><Relationship Id="rId191" Type="http://schemas.openxmlformats.org/officeDocument/2006/relationships/header" Target="header88.xml"/><Relationship Id="rId205" Type="http://schemas.openxmlformats.org/officeDocument/2006/relationships/footer" Target="footer94.xml"/><Relationship Id="rId247" Type="http://schemas.openxmlformats.org/officeDocument/2006/relationships/footer" Target="footer115.xml"/><Relationship Id="rId412" Type="http://schemas.openxmlformats.org/officeDocument/2006/relationships/header" Target="header195.xml"/><Relationship Id="rId107" Type="http://schemas.openxmlformats.org/officeDocument/2006/relationships/header" Target="header46.xml"/><Relationship Id="rId289" Type="http://schemas.openxmlformats.org/officeDocument/2006/relationships/footer" Target="footer136.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footer" Target="footer145.xml"/><Relationship Id="rId356" Type="http://schemas.openxmlformats.org/officeDocument/2006/relationships/footer" Target="footer166.xml"/><Relationship Id="rId398" Type="http://schemas.openxmlformats.org/officeDocument/2006/relationships/footer" Target="footer187.xml"/><Relationship Id="rId95" Type="http://schemas.openxmlformats.org/officeDocument/2006/relationships/header" Target="header40.xml"/><Relationship Id="rId160" Type="http://schemas.openxmlformats.org/officeDocument/2006/relationships/footer" Target="footer72.xml"/><Relationship Id="rId216" Type="http://schemas.openxmlformats.org/officeDocument/2006/relationships/header" Target="header101.xml"/><Relationship Id="rId423" Type="http://schemas.openxmlformats.org/officeDocument/2006/relationships/footer" Target="footer200.xml"/><Relationship Id="rId258" Type="http://schemas.openxmlformats.org/officeDocument/2006/relationships/header" Target="header122.xml"/><Relationship Id="rId22" Type="http://schemas.openxmlformats.org/officeDocument/2006/relationships/image" Target="media/image2.png"/><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2.xml"/><Relationship Id="rId367" Type="http://schemas.openxmlformats.org/officeDocument/2006/relationships/header" Target="header173.xml"/><Relationship Id="rId171" Type="http://schemas.openxmlformats.org/officeDocument/2006/relationships/header" Target="header78.xml"/><Relationship Id="rId227" Type="http://schemas.openxmlformats.org/officeDocument/2006/relationships/header" Target="header10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file_import/streamlining-strengthening-corporate-governance-european-commission_en.pdf" TargetMode="External"/><Relationship Id="rId2" Type="http://schemas.openxmlformats.org/officeDocument/2006/relationships/hyperlink" Target="https://ec.europa.eu/info/publications/governance-in-the-commission_en" TargetMode="External"/><Relationship Id="rId1" Type="http://schemas.openxmlformats.org/officeDocument/2006/relationships/hyperlink" Target="https://ec.europa.eu/info/sites/info/files/c_2017_6915_fin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88C5-2175-40B4-A388-9A25F5B17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170</Pages>
  <Words>67310</Words>
  <Characters>342612</Characters>
  <Application>Microsoft Office Word</Application>
  <DocSecurity>0</DocSecurity>
  <Lines>20153</Lines>
  <Paragraphs>15182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KONONIUK Agnieszka (SG)</cp:lastModifiedBy>
  <cp:revision>20</cp:revision>
  <dcterms:created xsi:type="dcterms:W3CDTF">2020-06-18T12:43:00Z</dcterms:created>
  <dcterms:modified xsi:type="dcterms:W3CDTF">2020-06-26T15:04:00Z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XgoAAB+LCAAAAAAABAA1louRAzEIQ1sy+F+P++8hemIzc5lLdjEfIYSj93fiZcaLkS/jvN1ethd9vDjt3a0X+039auvFmi9kEOO+nPof98Xtb+nf1qsjk37f0Vu/yRc+qY9Mhp6ul+Od865+Hn1fjhlNlhFPQXPKz5Drg89b3/t0Ive8/lI/MvTBWGdyEOGWn+iOmFSw9HxM57l1bOjVkDll3O+/kkxl0CZVx8JKQBwVRCLdcUK+OLzWEx7hqqm</vt:lpwstr>
  </property>
  <property fmtid="{D5CDD505-2E9C-101B-9397-08002B2CF9AE}" pid="10" name="frecMETA01">
    <vt:lpwstr>L4+N1BX2qM98ej1SbMOOVvOpX3jqhIF2PwtgKxEw5vs2g5lTMPA878pY3ShTEGAihvn1EGB3S6fWVCPGoaBQ4SmFSTiz522Fw3UZhfZwoPVlUo/yHPRFXpmvjGsf3FXJUrzZ114WlSADydg58kw6oiYMUgE6mtEwVqxCD/vc0P8T4r88UWrBiK+mUV3mOoOEU6qTUNRmFEGumHI3Rc0qgi9t/6ogcuS8pCAbdMWfkEWDJL6uDOqTy1LHxhYa931</vt:lpwstr>
  </property>
  <property fmtid="{D5CDD505-2E9C-101B-9397-08002B2CF9AE}" pid="11" name="frecMETA02">
    <vt:lpwstr>clenqRSBQ1S4TGR5BF2hRVqHbI8UTKFKNzgOip760b5vxQWqDRmzmd6dlQw+GF2rYP1IffdkFDzI/pbsRl8PQobeypYDiewFZW0RQhXKXpdCevTSGqgg4CQ7AftyzATLbtQCEB4I5RqLhzmG26G85CfgQc3IC1vNjEkJFO48jVCTNoybQLIOrYwKRnriCIA0HozyzyC4hp7gIlEyorWBD4Bh4Iznkmc5G8OUKGHt0NcoAATVXgMac8qaUGEA5Cg</vt:lpwstr>
  </property>
  <property fmtid="{D5CDD505-2E9C-101B-9397-08002B2CF9AE}" pid="12" name="frecMETA03">
    <vt:lpwstr>wKoKxl9TVIWKPcTEcrspXEp3ina3GYmMrWPXewaTaEKz+VXqTFcZKxCb69AJmqUuAG7kNjd+hRQ5hhMxSnFFJQ6wBMRuzlNsF4mtacUEEBzGwQr24eMOkz1CPQqgbkAWDge1A6eCQtiO9Pp4SdvnfVUyKAXE5QcMVDFvv7NEhaQcRK4lU6pLmqfZlzU6KoVq7TRA04ctdQTAse6kUCwFRoM0T+KYTROaQb6M00X7O3C4qjKS4yN8XL797YH265a</vt:lpwstr>
  </property>
  <property fmtid="{D5CDD505-2E9C-101B-9397-08002B2CF9AE}" pid="13" name="frecMETA04">
    <vt:lpwstr>OJA7EPcsRVCXa2t51g9YeGxgxuh/0XYCsFrl7LKJguk0o8++oCLvoGUgz7R7AkMiRJR20XaybNsJQVZ+9lqgx1QRVOLSWsWEMZwSJ52HoGL4umdL57oJ7oXxtX94hVCzlxijJ87fT+R2uXPLChkKbejypxkeRHczSi0wnOVpfTRAlZgTEm+1FzIt+dGiCPFfqJ6LWaPlISgh30jQ+NbldleRTwKcElVPnzyx5dmgCCftOp+sdDOtkK4RnqdGNQ0</vt:lpwstr>
  </property>
  <property fmtid="{D5CDD505-2E9C-101B-9397-08002B2CF9AE}" pid="14" name="frecMETA05">
    <vt:lpwstr>d86e6BNz8OiBTlDp8vbActBKJ+zz4F87EqtXMk81UFTz5YaEBoiJAo2KkhAWMY+rxuzAKBoiLC9RUiRYU317g3nE7XA1zQ8e+a8iqy0nUZceXEdXAkJO2otEotr4+sxaP+boqV3judk4kMbwYEqFiaIHH5M3aPBnePhB57eK18Q3f2bz3l/ds9pqBXavaT7/LDgvPl4FbBxlmLX7LRF1zEB3fDzTcvuiNWpfuS/cNBMKVFrCTPats7R+/feQaXg</vt:lpwstr>
  </property>
  <property fmtid="{D5CDD505-2E9C-101B-9397-08002B2CF9AE}" pid="15" name="frecMETA06">
    <vt:lpwstr>oAAA==</vt:lpwstr>
  </property>
  <property fmtid="{D5CDD505-2E9C-101B-9397-08002B2CF9AE}" pid="16" name="PeriodId">
    <vt:i4>10</vt:i4>
  </property>
  <property fmtid="{D5CDD505-2E9C-101B-9397-08002B2CF9AE}" pid="17" name="PeriodName">
    <vt:lpwstr>2019 Annual Accounts</vt:lpwstr>
  </property>
  <property fmtid="{D5CDD505-2E9C-101B-9397-08002B2CF9AE}" pid="18" name="ReportId">
    <vt:i4>178</vt:i4>
  </property>
  <property fmtid="{D5CDD505-2E9C-101B-9397-08002B2CF9AE}" pid="19" name="ReportName">
    <vt:lpwstr>EU Annual Accounts</vt:lpwstr>
  </property>
  <property fmtid="{D5CDD505-2E9C-101B-9397-08002B2CF9AE}" pid="20" name="TemplateId">
    <vt:i4>337</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7.0.1, Build 20190916</vt:lpwstr>
  </property>
  <property fmtid="{D5CDD505-2E9C-101B-9397-08002B2CF9AE}" pid="28" name="Created using">
    <vt:lpwstr>LW 7.0, Build 20190717</vt:lpwstr>
  </property>
</Properties>
</file>