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A9B68D2-D751-4A55-A3F4-2B07440EB263" style="width:450.75pt;height:420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240"/>
        <w:jc w:val="center"/>
        <w:rPr>
          <w:b/>
          <w:noProof/>
          <w:u w:val="single"/>
        </w:rPr>
      </w:pPr>
      <w:bookmarkStart w:id="1" w:name="_GoBack"/>
      <w:bookmarkEnd w:id="1"/>
      <w:r>
        <w:rPr>
          <w:b/>
          <w:noProof/>
          <w:u w:val="single"/>
        </w:rPr>
        <w:lastRenderedPageBreak/>
        <w:t>ANNEXE 1</w:t>
      </w:r>
    </w:p>
    <w:p>
      <w:pPr>
        <w:spacing w:after="240"/>
        <w:jc w:val="center"/>
        <w:rPr>
          <w:b/>
          <w:noProof/>
        </w:rPr>
      </w:pPr>
      <w:r>
        <w:rPr>
          <w:b/>
          <w:noProof/>
        </w:rPr>
        <w:t>Nombre d’avis reçus par la Commission en 2019 par parlement national/chambre nationale (dialogue politique et mécanisme de contrôle de la subsidiarité)</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9"/>
        <w:gridCol w:w="3609"/>
        <w:gridCol w:w="1660"/>
        <w:gridCol w:w="2364"/>
      </w:tblGrid>
      <w:tr>
        <w:trPr>
          <w:cantSplit/>
          <w:tblHeader/>
        </w:trPr>
        <w:tc>
          <w:tcPr>
            <w:tcW w:w="1909" w:type="dxa"/>
            <w:shd w:val="clear" w:color="auto" w:fill="auto"/>
            <w:vAlign w:val="center"/>
          </w:tcPr>
          <w:p>
            <w:pPr>
              <w:spacing w:before="60" w:after="60"/>
              <w:jc w:val="center"/>
              <w:rPr>
                <w:b/>
                <w:bCs/>
                <w:noProof/>
                <w:color w:val="000000"/>
                <w:sz w:val="20"/>
              </w:rPr>
            </w:pPr>
            <w:r>
              <w:rPr>
                <w:b/>
                <w:bCs/>
                <w:noProof/>
                <w:color w:val="000000"/>
                <w:sz w:val="20"/>
              </w:rPr>
              <w:t>État membre</w:t>
            </w:r>
          </w:p>
        </w:tc>
        <w:tc>
          <w:tcPr>
            <w:tcW w:w="3609" w:type="dxa"/>
            <w:shd w:val="clear" w:color="auto" w:fill="auto"/>
            <w:vAlign w:val="center"/>
          </w:tcPr>
          <w:p>
            <w:pPr>
              <w:spacing w:before="60" w:after="60"/>
              <w:jc w:val="center"/>
              <w:rPr>
                <w:b/>
                <w:bCs/>
                <w:noProof/>
                <w:color w:val="000000"/>
                <w:sz w:val="20"/>
              </w:rPr>
            </w:pPr>
            <w:r>
              <w:rPr>
                <w:b/>
                <w:bCs/>
                <w:noProof/>
                <w:color w:val="000000"/>
                <w:sz w:val="20"/>
              </w:rPr>
              <w:t>Chambre</w:t>
            </w:r>
          </w:p>
        </w:tc>
        <w:tc>
          <w:tcPr>
            <w:tcW w:w="1660" w:type="dxa"/>
            <w:shd w:val="clear" w:color="auto" w:fill="auto"/>
            <w:vAlign w:val="center"/>
          </w:tcPr>
          <w:p>
            <w:pPr>
              <w:spacing w:before="60" w:after="60"/>
              <w:jc w:val="center"/>
              <w:rPr>
                <w:b/>
                <w:bCs/>
                <w:noProof/>
                <w:color w:val="000000"/>
                <w:sz w:val="20"/>
              </w:rPr>
            </w:pPr>
            <w:r>
              <w:rPr>
                <w:b/>
                <w:bCs/>
                <w:noProof/>
                <w:color w:val="000000"/>
                <w:sz w:val="20"/>
              </w:rPr>
              <w:t>Nombre</w:t>
            </w:r>
            <w:r>
              <w:rPr>
                <w:b/>
                <w:bCs/>
                <w:noProof/>
                <w:color w:val="000000"/>
                <w:sz w:val="20"/>
              </w:rPr>
              <w:br/>
              <w:t>total</w:t>
            </w:r>
            <w:r>
              <w:rPr>
                <w:b/>
                <w:bCs/>
                <w:noProof/>
                <w:color w:val="000000"/>
                <w:sz w:val="20"/>
              </w:rPr>
              <w:br/>
            </w:r>
            <w:r>
              <w:rPr>
                <w:b/>
                <w:bCs/>
                <w:noProof/>
                <w:sz w:val="20"/>
              </w:rPr>
              <w:t>d’avis</w:t>
            </w:r>
            <w:r>
              <w:rPr>
                <w:rStyle w:val="FootnoteReference"/>
                <w:noProof/>
                <w:sz w:val="20"/>
              </w:rPr>
              <w:footnoteReference w:id="1"/>
            </w:r>
          </w:p>
        </w:tc>
        <w:tc>
          <w:tcPr>
            <w:tcW w:w="2364" w:type="dxa"/>
            <w:shd w:val="clear" w:color="auto" w:fill="auto"/>
            <w:vAlign w:val="center"/>
          </w:tcPr>
          <w:p>
            <w:pPr>
              <w:spacing w:before="60" w:after="60"/>
              <w:jc w:val="center"/>
              <w:rPr>
                <w:b/>
                <w:bCs/>
                <w:noProof/>
                <w:color w:val="000000"/>
                <w:sz w:val="20"/>
              </w:rPr>
            </w:pPr>
            <w:r>
              <w:rPr>
                <w:b/>
                <w:bCs/>
                <w:noProof/>
                <w:color w:val="000000"/>
                <w:sz w:val="20"/>
              </w:rPr>
              <w:t>Dont</w:t>
            </w:r>
            <w:r>
              <w:rPr>
                <w:b/>
                <w:bCs/>
                <w:noProof/>
                <w:color w:val="000000"/>
                <w:sz w:val="20"/>
              </w:rPr>
              <w:br/>
              <w:t>avis motivés</w:t>
            </w:r>
            <w:r>
              <w:rPr>
                <w:b/>
                <w:bCs/>
                <w:noProof/>
                <w:color w:val="000000"/>
                <w:sz w:val="20"/>
              </w:rPr>
              <w:br/>
            </w:r>
            <w:r>
              <w:rPr>
                <w:b/>
                <w:noProof/>
                <w:sz w:val="20"/>
              </w:rPr>
              <w:t>(protocole nº 2)</w:t>
            </w:r>
          </w:p>
        </w:tc>
      </w:tr>
      <w:tr>
        <w:trPr>
          <w:cantSplit/>
        </w:trPr>
        <w:tc>
          <w:tcPr>
            <w:tcW w:w="1909" w:type="dxa"/>
            <w:shd w:val="clear" w:color="auto" w:fill="auto"/>
            <w:vAlign w:val="center"/>
          </w:tcPr>
          <w:p>
            <w:pPr>
              <w:jc w:val="center"/>
              <w:rPr>
                <w:noProof/>
                <w:color w:val="000000"/>
                <w:sz w:val="20"/>
              </w:rPr>
            </w:pPr>
            <w:r>
              <w:rPr>
                <w:noProof/>
                <w:color w:val="000000"/>
                <w:sz w:val="20"/>
              </w:rPr>
              <w:t>République tchèque</w:t>
            </w:r>
          </w:p>
        </w:tc>
        <w:tc>
          <w:tcPr>
            <w:tcW w:w="3609" w:type="dxa"/>
            <w:shd w:val="clear" w:color="auto" w:fill="auto"/>
            <w:vAlign w:val="center"/>
          </w:tcPr>
          <w:p>
            <w:pPr>
              <w:jc w:val="center"/>
              <w:rPr>
                <w:i/>
                <w:iCs/>
                <w:noProof/>
                <w:color w:val="000000"/>
                <w:sz w:val="20"/>
              </w:rPr>
            </w:pPr>
            <w:r>
              <w:rPr>
                <w:i/>
                <w:iCs/>
                <w:noProof/>
                <w:color w:val="000000"/>
                <w:sz w:val="20"/>
              </w:rPr>
              <w:t>Sénat</w:t>
            </w:r>
          </w:p>
        </w:tc>
        <w:tc>
          <w:tcPr>
            <w:tcW w:w="1660" w:type="dxa"/>
            <w:shd w:val="clear" w:color="auto" w:fill="auto"/>
            <w:vAlign w:val="center"/>
          </w:tcPr>
          <w:p>
            <w:pPr>
              <w:jc w:val="center"/>
              <w:rPr>
                <w:noProof/>
                <w:color w:val="000000"/>
                <w:sz w:val="20"/>
              </w:rPr>
            </w:pPr>
            <w:r>
              <w:rPr>
                <w:noProof/>
                <w:color w:val="000000"/>
                <w:sz w:val="20"/>
              </w:rPr>
              <w:t>21</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Roumanie</w:t>
            </w:r>
          </w:p>
        </w:tc>
        <w:tc>
          <w:tcPr>
            <w:tcW w:w="3609" w:type="dxa"/>
            <w:shd w:val="clear" w:color="auto" w:fill="auto"/>
            <w:vAlign w:val="center"/>
          </w:tcPr>
          <w:p>
            <w:pPr>
              <w:jc w:val="center"/>
              <w:rPr>
                <w:i/>
                <w:iCs/>
                <w:noProof/>
                <w:color w:val="000000"/>
                <w:sz w:val="20"/>
              </w:rPr>
            </w:pPr>
            <w:r>
              <w:rPr>
                <w:i/>
                <w:iCs/>
                <w:noProof/>
                <w:color w:val="000000"/>
                <w:sz w:val="20"/>
              </w:rPr>
              <w:t>Camera Deputaților</w:t>
            </w:r>
          </w:p>
        </w:tc>
        <w:tc>
          <w:tcPr>
            <w:tcW w:w="1660" w:type="dxa"/>
            <w:shd w:val="clear" w:color="auto" w:fill="auto"/>
            <w:vAlign w:val="center"/>
          </w:tcPr>
          <w:p>
            <w:pPr>
              <w:jc w:val="center"/>
              <w:rPr>
                <w:noProof/>
                <w:color w:val="000000"/>
                <w:sz w:val="20"/>
              </w:rPr>
            </w:pPr>
            <w:r>
              <w:rPr>
                <w:noProof/>
                <w:color w:val="000000"/>
                <w:sz w:val="20"/>
              </w:rPr>
              <w:t>15</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Portugal</w:t>
            </w:r>
          </w:p>
        </w:tc>
        <w:tc>
          <w:tcPr>
            <w:tcW w:w="3609" w:type="dxa"/>
            <w:shd w:val="clear" w:color="auto" w:fill="auto"/>
            <w:vAlign w:val="center"/>
          </w:tcPr>
          <w:p>
            <w:pPr>
              <w:jc w:val="center"/>
              <w:rPr>
                <w:i/>
                <w:iCs/>
                <w:noProof/>
                <w:color w:val="000000"/>
                <w:sz w:val="20"/>
              </w:rPr>
            </w:pPr>
            <w:r>
              <w:rPr>
                <w:i/>
                <w:iCs/>
                <w:noProof/>
                <w:color w:val="000000"/>
                <w:sz w:val="20"/>
              </w:rPr>
              <w:t>Assembleia da Republica</w:t>
            </w:r>
          </w:p>
        </w:tc>
        <w:tc>
          <w:tcPr>
            <w:tcW w:w="1660" w:type="dxa"/>
            <w:shd w:val="clear" w:color="auto" w:fill="auto"/>
            <w:vAlign w:val="center"/>
          </w:tcPr>
          <w:p>
            <w:pPr>
              <w:jc w:val="center"/>
              <w:rPr>
                <w:noProof/>
                <w:color w:val="000000"/>
                <w:sz w:val="20"/>
              </w:rPr>
            </w:pPr>
            <w:r>
              <w:rPr>
                <w:noProof/>
                <w:color w:val="000000"/>
                <w:sz w:val="20"/>
              </w:rPr>
              <w:t>14</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République tchèque</w:t>
            </w:r>
          </w:p>
        </w:tc>
        <w:tc>
          <w:tcPr>
            <w:tcW w:w="3609" w:type="dxa"/>
            <w:shd w:val="clear" w:color="auto" w:fill="auto"/>
            <w:vAlign w:val="center"/>
          </w:tcPr>
          <w:p>
            <w:pPr>
              <w:jc w:val="center"/>
              <w:rPr>
                <w:i/>
                <w:iCs/>
                <w:noProof/>
                <w:color w:val="000000"/>
                <w:sz w:val="20"/>
              </w:rPr>
            </w:pPr>
            <w:r>
              <w:rPr>
                <w:i/>
                <w:iCs/>
                <w:noProof/>
                <w:color w:val="000000"/>
                <w:sz w:val="20"/>
              </w:rPr>
              <w:t>Poslanecká sněmovna</w:t>
            </w:r>
          </w:p>
        </w:tc>
        <w:tc>
          <w:tcPr>
            <w:tcW w:w="1660" w:type="dxa"/>
            <w:shd w:val="clear" w:color="auto" w:fill="auto"/>
            <w:vAlign w:val="center"/>
          </w:tcPr>
          <w:p>
            <w:pPr>
              <w:jc w:val="center"/>
              <w:rPr>
                <w:noProof/>
                <w:color w:val="000000"/>
                <w:sz w:val="20"/>
              </w:rPr>
            </w:pPr>
            <w:r>
              <w:rPr>
                <w:noProof/>
                <w:color w:val="000000"/>
                <w:sz w:val="20"/>
              </w:rPr>
              <w:t>13</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France</w:t>
            </w:r>
          </w:p>
        </w:tc>
        <w:tc>
          <w:tcPr>
            <w:tcW w:w="3609" w:type="dxa"/>
            <w:shd w:val="clear" w:color="auto" w:fill="auto"/>
            <w:vAlign w:val="center"/>
          </w:tcPr>
          <w:p>
            <w:pPr>
              <w:jc w:val="center"/>
              <w:rPr>
                <w:i/>
                <w:iCs/>
                <w:noProof/>
                <w:color w:val="000000"/>
                <w:sz w:val="20"/>
              </w:rPr>
            </w:pPr>
            <w:r>
              <w:rPr>
                <w:noProof/>
                <w:color w:val="000000"/>
                <w:sz w:val="20"/>
              </w:rPr>
              <w:t>Sénat</w:t>
            </w:r>
          </w:p>
        </w:tc>
        <w:tc>
          <w:tcPr>
            <w:tcW w:w="1660" w:type="dxa"/>
            <w:shd w:val="clear" w:color="auto" w:fill="auto"/>
            <w:vAlign w:val="center"/>
          </w:tcPr>
          <w:p>
            <w:pPr>
              <w:jc w:val="center"/>
              <w:rPr>
                <w:noProof/>
                <w:color w:val="000000"/>
                <w:sz w:val="20"/>
              </w:rPr>
            </w:pPr>
            <w:r>
              <w:rPr>
                <w:noProof/>
                <w:color w:val="000000"/>
                <w:sz w:val="20"/>
              </w:rPr>
              <w:t>12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Allemagne</w:t>
            </w:r>
          </w:p>
        </w:tc>
        <w:tc>
          <w:tcPr>
            <w:tcW w:w="3609" w:type="dxa"/>
            <w:shd w:val="clear" w:color="auto" w:fill="auto"/>
            <w:vAlign w:val="center"/>
          </w:tcPr>
          <w:p>
            <w:pPr>
              <w:jc w:val="center"/>
              <w:rPr>
                <w:i/>
                <w:iCs/>
                <w:noProof/>
                <w:color w:val="000000"/>
                <w:sz w:val="20"/>
              </w:rPr>
            </w:pPr>
            <w:r>
              <w:rPr>
                <w:i/>
                <w:iCs/>
                <w:noProof/>
                <w:color w:val="000000"/>
                <w:sz w:val="20"/>
              </w:rPr>
              <w:t>Bundesrat</w:t>
            </w:r>
          </w:p>
        </w:tc>
        <w:tc>
          <w:tcPr>
            <w:tcW w:w="1660" w:type="dxa"/>
            <w:shd w:val="clear" w:color="auto" w:fill="auto"/>
            <w:vAlign w:val="center"/>
          </w:tcPr>
          <w:p>
            <w:pPr>
              <w:jc w:val="center"/>
              <w:rPr>
                <w:noProof/>
                <w:color w:val="000000"/>
                <w:sz w:val="20"/>
              </w:rPr>
            </w:pPr>
            <w:r>
              <w:rPr>
                <w:noProof/>
                <w:color w:val="000000"/>
                <w:sz w:val="20"/>
              </w:rPr>
              <w:t>11</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Espagne</w:t>
            </w:r>
          </w:p>
        </w:tc>
        <w:tc>
          <w:tcPr>
            <w:tcW w:w="3609" w:type="dxa"/>
            <w:shd w:val="clear" w:color="auto" w:fill="auto"/>
            <w:vAlign w:val="center"/>
          </w:tcPr>
          <w:p>
            <w:pPr>
              <w:jc w:val="center"/>
              <w:rPr>
                <w:noProof/>
                <w:color w:val="000000"/>
                <w:sz w:val="20"/>
              </w:rPr>
            </w:pPr>
            <w:r>
              <w:rPr>
                <w:i/>
                <w:iCs/>
                <w:noProof/>
                <w:color w:val="000000"/>
                <w:sz w:val="20"/>
              </w:rPr>
              <w:t>Las Cortes Generales:</w:t>
            </w:r>
            <w:r>
              <w:rPr>
                <w:noProof/>
                <w:color w:val="000000"/>
                <w:sz w:val="20"/>
              </w:rPr>
              <w:cr/>
            </w:r>
            <w:r>
              <w:rPr>
                <w:noProof/>
                <w:color w:val="000000"/>
                <w:sz w:val="20"/>
              </w:rPr>
              <w:br/>
            </w:r>
            <w:r>
              <w:rPr>
                <w:i/>
                <w:iCs/>
                <w:noProof/>
                <w:color w:val="000000"/>
                <w:sz w:val="20"/>
              </w:rPr>
              <w:t>Senado de España</w:t>
            </w:r>
            <w:r>
              <w:rPr>
                <w:noProof/>
                <w:color w:val="000000"/>
                <w:sz w:val="20"/>
              </w:rPr>
              <w:t xml:space="preserve"> et</w:t>
            </w:r>
            <w:r>
              <w:rPr>
                <w:noProof/>
                <w:color w:val="000000"/>
                <w:sz w:val="20"/>
              </w:rPr>
              <w:cr/>
            </w:r>
            <w:r>
              <w:rPr>
                <w:noProof/>
                <w:color w:val="000000"/>
                <w:sz w:val="20"/>
              </w:rPr>
              <w:br/>
            </w:r>
            <w:r>
              <w:rPr>
                <w:i/>
                <w:iCs/>
                <w:noProof/>
                <w:color w:val="000000"/>
                <w:sz w:val="20"/>
              </w:rPr>
              <w:t>Congreso de los Diputados</w:t>
            </w:r>
          </w:p>
        </w:tc>
        <w:tc>
          <w:tcPr>
            <w:tcW w:w="1660" w:type="dxa"/>
            <w:shd w:val="clear" w:color="auto" w:fill="auto"/>
            <w:vAlign w:val="center"/>
          </w:tcPr>
          <w:p>
            <w:pPr>
              <w:jc w:val="center"/>
              <w:rPr>
                <w:noProof/>
                <w:color w:val="000000"/>
                <w:sz w:val="20"/>
              </w:rPr>
            </w:pPr>
            <w:r>
              <w:rPr>
                <w:noProof/>
                <w:color w:val="000000"/>
                <w:sz w:val="20"/>
              </w:rPr>
              <w:t>8</w:t>
            </w:r>
            <w:r>
              <w:rPr>
                <w:rStyle w:val="FootnoteReference"/>
                <w:noProof/>
                <w:color w:val="000000"/>
                <w:sz w:val="20"/>
              </w:rPr>
              <w:footnoteReference w:id="2"/>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Royaume-Uni</w:t>
            </w:r>
          </w:p>
        </w:tc>
        <w:tc>
          <w:tcPr>
            <w:tcW w:w="3609" w:type="dxa"/>
            <w:shd w:val="clear" w:color="auto" w:fill="auto"/>
            <w:vAlign w:val="center"/>
          </w:tcPr>
          <w:p>
            <w:pPr>
              <w:jc w:val="center"/>
              <w:rPr>
                <w:iCs/>
                <w:noProof/>
                <w:color w:val="000000"/>
                <w:sz w:val="20"/>
              </w:rPr>
            </w:pPr>
            <w:r>
              <w:rPr>
                <w:i/>
                <w:iCs/>
                <w:noProof/>
                <w:color w:val="000000"/>
                <w:sz w:val="20"/>
              </w:rPr>
              <w:t>House of Lords</w:t>
            </w:r>
          </w:p>
        </w:tc>
        <w:tc>
          <w:tcPr>
            <w:tcW w:w="1660" w:type="dxa"/>
            <w:shd w:val="clear" w:color="auto" w:fill="auto"/>
            <w:vAlign w:val="center"/>
          </w:tcPr>
          <w:p>
            <w:pPr>
              <w:jc w:val="center"/>
              <w:rPr>
                <w:noProof/>
                <w:color w:val="000000"/>
                <w:sz w:val="20"/>
              </w:rPr>
            </w:pPr>
            <w:r>
              <w:rPr>
                <w:noProof/>
                <w:color w:val="000000"/>
                <w:sz w:val="20"/>
              </w:rPr>
              <w:t>8</w:t>
            </w:r>
            <w:r>
              <w:rPr>
                <w:rStyle w:val="FootnoteReference"/>
                <w:noProof/>
                <w:color w:val="000000"/>
                <w:sz w:val="20"/>
              </w:rPr>
              <w:footnoteReference w:id="3"/>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Italie</w:t>
            </w:r>
          </w:p>
        </w:tc>
        <w:tc>
          <w:tcPr>
            <w:tcW w:w="3609" w:type="dxa"/>
            <w:shd w:val="clear" w:color="auto" w:fill="auto"/>
            <w:vAlign w:val="center"/>
          </w:tcPr>
          <w:p>
            <w:pPr>
              <w:jc w:val="center"/>
              <w:rPr>
                <w:i/>
                <w:iCs/>
                <w:noProof/>
                <w:color w:val="000000"/>
                <w:sz w:val="20"/>
              </w:rPr>
            </w:pPr>
            <w:r>
              <w:rPr>
                <w:i/>
                <w:iCs/>
                <w:noProof/>
                <w:color w:val="000000"/>
                <w:sz w:val="20"/>
              </w:rPr>
              <w:t>Senato della Repubblica</w:t>
            </w:r>
          </w:p>
        </w:tc>
        <w:tc>
          <w:tcPr>
            <w:tcW w:w="1660" w:type="dxa"/>
            <w:shd w:val="clear" w:color="auto" w:fill="auto"/>
            <w:vAlign w:val="center"/>
          </w:tcPr>
          <w:p>
            <w:pPr>
              <w:jc w:val="center"/>
              <w:rPr>
                <w:noProof/>
                <w:color w:val="000000"/>
                <w:sz w:val="20"/>
              </w:rPr>
            </w:pPr>
            <w:r>
              <w:rPr>
                <w:noProof/>
                <w:color w:val="000000"/>
                <w:sz w:val="20"/>
              </w:rPr>
              <w:t>7</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Roumanie</w:t>
            </w:r>
          </w:p>
        </w:tc>
        <w:tc>
          <w:tcPr>
            <w:tcW w:w="3609" w:type="dxa"/>
            <w:shd w:val="clear" w:color="auto" w:fill="auto"/>
            <w:vAlign w:val="center"/>
          </w:tcPr>
          <w:p>
            <w:pPr>
              <w:jc w:val="center"/>
              <w:rPr>
                <w:i/>
                <w:iCs/>
                <w:noProof/>
                <w:color w:val="000000"/>
                <w:sz w:val="20"/>
              </w:rPr>
            </w:pPr>
            <w:r>
              <w:rPr>
                <w:i/>
                <w:iCs/>
                <w:noProof/>
                <w:color w:val="000000"/>
                <w:sz w:val="20"/>
              </w:rPr>
              <w:t>Senatul</w:t>
            </w:r>
          </w:p>
        </w:tc>
        <w:tc>
          <w:tcPr>
            <w:tcW w:w="1660" w:type="dxa"/>
            <w:shd w:val="clear" w:color="auto" w:fill="auto"/>
            <w:vAlign w:val="center"/>
          </w:tcPr>
          <w:p>
            <w:pPr>
              <w:jc w:val="center"/>
              <w:rPr>
                <w:noProof/>
                <w:color w:val="000000"/>
                <w:sz w:val="20"/>
              </w:rPr>
            </w:pPr>
            <w:r>
              <w:rPr>
                <w:noProof/>
                <w:color w:val="000000"/>
                <w:sz w:val="20"/>
              </w:rPr>
              <w:t>7</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Suède</w:t>
            </w:r>
          </w:p>
        </w:tc>
        <w:tc>
          <w:tcPr>
            <w:tcW w:w="3609" w:type="dxa"/>
            <w:shd w:val="clear" w:color="auto" w:fill="auto"/>
            <w:vAlign w:val="center"/>
          </w:tcPr>
          <w:p>
            <w:pPr>
              <w:jc w:val="center"/>
              <w:rPr>
                <w:noProof/>
                <w:color w:val="000000"/>
                <w:sz w:val="20"/>
              </w:rPr>
            </w:pPr>
            <w:r>
              <w:rPr>
                <w:i/>
                <w:iCs/>
                <w:noProof/>
                <w:color w:val="000000"/>
                <w:sz w:val="20"/>
              </w:rPr>
              <w:t>Riksdag</w:t>
            </w:r>
          </w:p>
        </w:tc>
        <w:tc>
          <w:tcPr>
            <w:tcW w:w="1660" w:type="dxa"/>
            <w:shd w:val="clear" w:color="auto" w:fill="auto"/>
            <w:vAlign w:val="center"/>
          </w:tcPr>
          <w:p>
            <w:pPr>
              <w:jc w:val="center"/>
              <w:rPr>
                <w:noProof/>
                <w:color w:val="000000"/>
                <w:sz w:val="20"/>
              </w:rPr>
            </w:pPr>
            <w:r>
              <w:rPr>
                <w:noProof/>
                <w:color w:val="000000"/>
                <w:sz w:val="20"/>
              </w:rPr>
              <w:t>7</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France</w:t>
            </w:r>
          </w:p>
        </w:tc>
        <w:tc>
          <w:tcPr>
            <w:tcW w:w="3609" w:type="dxa"/>
            <w:shd w:val="clear" w:color="auto" w:fill="auto"/>
            <w:vAlign w:val="center"/>
          </w:tcPr>
          <w:p>
            <w:pPr>
              <w:jc w:val="center"/>
              <w:rPr>
                <w:i/>
                <w:iCs/>
                <w:noProof/>
                <w:color w:val="000000"/>
                <w:sz w:val="20"/>
              </w:rPr>
            </w:pPr>
            <w:r>
              <w:rPr>
                <w:noProof/>
                <w:color w:val="000000"/>
                <w:sz w:val="20"/>
              </w:rPr>
              <w:t>Assemblée nationale</w:t>
            </w:r>
          </w:p>
        </w:tc>
        <w:tc>
          <w:tcPr>
            <w:tcW w:w="1660" w:type="dxa"/>
            <w:shd w:val="clear" w:color="auto" w:fill="auto"/>
            <w:vAlign w:val="center"/>
          </w:tcPr>
          <w:p>
            <w:pPr>
              <w:jc w:val="center"/>
              <w:rPr>
                <w:noProof/>
                <w:color w:val="000000"/>
                <w:sz w:val="20"/>
              </w:rPr>
            </w:pPr>
            <w:r>
              <w:rPr>
                <w:noProof/>
                <w:color w:val="000000"/>
                <w:sz w:val="20"/>
              </w:rPr>
              <w:t>6</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Pays-Bas</w:t>
            </w:r>
          </w:p>
        </w:tc>
        <w:tc>
          <w:tcPr>
            <w:tcW w:w="3609" w:type="dxa"/>
            <w:shd w:val="clear" w:color="auto" w:fill="auto"/>
            <w:vAlign w:val="center"/>
          </w:tcPr>
          <w:p>
            <w:pPr>
              <w:jc w:val="center"/>
              <w:rPr>
                <w:i/>
                <w:iCs/>
                <w:noProof/>
                <w:color w:val="000000"/>
                <w:sz w:val="20"/>
              </w:rPr>
            </w:pPr>
            <w:r>
              <w:rPr>
                <w:i/>
                <w:iCs/>
                <w:noProof/>
                <w:color w:val="000000"/>
                <w:sz w:val="20"/>
              </w:rPr>
              <w:t>Eerste Kamer</w:t>
            </w:r>
          </w:p>
        </w:tc>
        <w:tc>
          <w:tcPr>
            <w:tcW w:w="1660" w:type="dxa"/>
            <w:shd w:val="clear" w:color="auto" w:fill="auto"/>
            <w:vAlign w:val="center"/>
          </w:tcPr>
          <w:p>
            <w:pPr>
              <w:jc w:val="center"/>
              <w:rPr>
                <w:noProof/>
                <w:color w:val="000000"/>
                <w:sz w:val="20"/>
              </w:rPr>
            </w:pPr>
            <w:r>
              <w:rPr>
                <w:noProof/>
                <w:color w:val="000000"/>
                <w:sz w:val="20"/>
              </w:rPr>
              <w:t>6</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Hongrie</w:t>
            </w:r>
          </w:p>
        </w:tc>
        <w:tc>
          <w:tcPr>
            <w:tcW w:w="3609" w:type="dxa"/>
            <w:shd w:val="clear" w:color="auto" w:fill="auto"/>
            <w:vAlign w:val="center"/>
          </w:tcPr>
          <w:p>
            <w:pPr>
              <w:jc w:val="center"/>
              <w:rPr>
                <w:i/>
                <w:iCs/>
                <w:noProof/>
                <w:color w:val="000000"/>
                <w:sz w:val="20"/>
              </w:rPr>
            </w:pPr>
            <w:r>
              <w:rPr>
                <w:i/>
                <w:iCs/>
                <w:noProof/>
                <w:color w:val="000000"/>
                <w:sz w:val="20"/>
              </w:rPr>
              <w:t>Országgyűlés</w:t>
            </w:r>
          </w:p>
        </w:tc>
        <w:tc>
          <w:tcPr>
            <w:tcW w:w="1660" w:type="dxa"/>
            <w:shd w:val="clear" w:color="auto" w:fill="auto"/>
            <w:vAlign w:val="center"/>
          </w:tcPr>
          <w:p>
            <w:pPr>
              <w:jc w:val="center"/>
              <w:rPr>
                <w:noProof/>
                <w:color w:val="000000"/>
                <w:sz w:val="20"/>
              </w:rPr>
            </w:pPr>
            <w:r>
              <w:rPr>
                <w:noProof/>
                <w:color w:val="000000"/>
                <w:sz w:val="20"/>
              </w:rPr>
              <w:t>5</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Italie</w:t>
            </w:r>
          </w:p>
        </w:tc>
        <w:tc>
          <w:tcPr>
            <w:tcW w:w="3609" w:type="dxa"/>
            <w:shd w:val="clear" w:color="auto" w:fill="auto"/>
            <w:vAlign w:val="center"/>
          </w:tcPr>
          <w:p>
            <w:pPr>
              <w:jc w:val="center"/>
              <w:rPr>
                <w:i/>
                <w:iCs/>
                <w:noProof/>
                <w:color w:val="000000"/>
                <w:sz w:val="20"/>
              </w:rPr>
            </w:pPr>
            <w:r>
              <w:rPr>
                <w:i/>
                <w:iCs/>
                <w:noProof/>
                <w:color w:val="000000"/>
                <w:sz w:val="20"/>
              </w:rPr>
              <w:t xml:space="preserve">Camera dei Deputati </w:t>
            </w:r>
          </w:p>
        </w:tc>
        <w:tc>
          <w:tcPr>
            <w:tcW w:w="1660" w:type="dxa"/>
            <w:shd w:val="clear" w:color="auto" w:fill="auto"/>
            <w:vAlign w:val="center"/>
          </w:tcPr>
          <w:p>
            <w:pPr>
              <w:jc w:val="center"/>
              <w:rPr>
                <w:noProof/>
                <w:color w:val="000000"/>
                <w:sz w:val="20"/>
              </w:rPr>
            </w:pPr>
            <w:r>
              <w:rPr>
                <w:noProof/>
                <w:color w:val="000000"/>
                <w:sz w:val="20"/>
              </w:rPr>
              <w:t>4</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Lituanie</w:t>
            </w:r>
          </w:p>
        </w:tc>
        <w:tc>
          <w:tcPr>
            <w:tcW w:w="3609" w:type="dxa"/>
            <w:shd w:val="clear" w:color="auto" w:fill="auto"/>
            <w:vAlign w:val="center"/>
          </w:tcPr>
          <w:p>
            <w:pPr>
              <w:jc w:val="center"/>
              <w:rPr>
                <w:i/>
                <w:iCs/>
                <w:noProof/>
                <w:color w:val="000000"/>
                <w:sz w:val="20"/>
              </w:rPr>
            </w:pPr>
            <w:r>
              <w:rPr>
                <w:i/>
                <w:iCs/>
                <w:noProof/>
                <w:color w:val="000000"/>
                <w:sz w:val="20"/>
              </w:rPr>
              <w:t>Seimas</w:t>
            </w:r>
          </w:p>
        </w:tc>
        <w:tc>
          <w:tcPr>
            <w:tcW w:w="1660" w:type="dxa"/>
            <w:shd w:val="clear" w:color="auto" w:fill="auto"/>
            <w:vAlign w:val="center"/>
          </w:tcPr>
          <w:p>
            <w:pPr>
              <w:jc w:val="center"/>
              <w:rPr>
                <w:noProof/>
                <w:color w:val="000000"/>
                <w:sz w:val="20"/>
              </w:rPr>
            </w:pPr>
            <w:r>
              <w:rPr>
                <w:noProof/>
                <w:color w:val="000000"/>
                <w:sz w:val="20"/>
              </w:rPr>
              <w:t>3</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Slovaquie</w:t>
            </w:r>
          </w:p>
        </w:tc>
        <w:tc>
          <w:tcPr>
            <w:tcW w:w="3609" w:type="dxa"/>
            <w:shd w:val="clear" w:color="auto" w:fill="auto"/>
            <w:vAlign w:val="center"/>
          </w:tcPr>
          <w:p>
            <w:pPr>
              <w:jc w:val="center"/>
              <w:rPr>
                <w:i/>
                <w:iCs/>
                <w:noProof/>
                <w:color w:val="000000"/>
                <w:sz w:val="20"/>
              </w:rPr>
            </w:pPr>
            <w:r>
              <w:rPr>
                <w:i/>
                <w:iCs/>
                <w:noProof/>
                <w:color w:val="000000"/>
                <w:sz w:val="20"/>
              </w:rPr>
              <w:t>Národná rada</w:t>
            </w:r>
          </w:p>
        </w:tc>
        <w:tc>
          <w:tcPr>
            <w:tcW w:w="1660" w:type="dxa"/>
            <w:shd w:val="clear" w:color="auto" w:fill="auto"/>
            <w:vAlign w:val="center"/>
          </w:tcPr>
          <w:p>
            <w:pPr>
              <w:jc w:val="center"/>
              <w:rPr>
                <w:noProof/>
                <w:color w:val="000000"/>
                <w:sz w:val="20"/>
              </w:rPr>
            </w:pPr>
            <w:r>
              <w:rPr>
                <w:noProof/>
                <w:color w:val="000000"/>
                <w:sz w:val="20"/>
              </w:rPr>
              <w:t>3</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Malte</w:t>
            </w:r>
          </w:p>
        </w:tc>
        <w:tc>
          <w:tcPr>
            <w:tcW w:w="3609" w:type="dxa"/>
            <w:shd w:val="clear" w:color="auto" w:fill="auto"/>
            <w:vAlign w:val="center"/>
          </w:tcPr>
          <w:p>
            <w:pPr>
              <w:jc w:val="center"/>
              <w:rPr>
                <w:i/>
                <w:iCs/>
                <w:noProof/>
                <w:color w:val="000000"/>
                <w:sz w:val="20"/>
              </w:rPr>
            </w:pPr>
            <w:r>
              <w:rPr>
                <w:i/>
                <w:iCs/>
                <w:noProof/>
                <w:color w:val="000000"/>
                <w:sz w:val="20"/>
              </w:rPr>
              <w:t>Kamra tad-Deputati</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Pays-Bas</w:t>
            </w:r>
          </w:p>
        </w:tc>
        <w:tc>
          <w:tcPr>
            <w:tcW w:w="3609" w:type="dxa"/>
            <w:shd w:val="clear" w:color="auto" w:fill="auto"/>
            <w:vAlign w:val="center"/>
          </w:tcPr>
          <w:p>
            <w:pPr>
              <w:jc w:val="center"/>
              <w:rPr>
                <w:i/>
                <w:iCs/>
                <w:noProof/>
                <w:color w:val="000000"/>
                <w:sz w:val="20"/>
              </w:rPr>
            </w:pPr>
            <w:r>
              <w:rPr>
                <w:i/>
                <w:iCs/>
                <w:noProof/>
                <w:color w:val="000000"/>
                <w:sz w:val="20"/>
              </w:rPr>
              <w:t>Tweede Kamer</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Pologne</w:t>
            </w:r>
          </w:p>
        </w:tc>
        <w:tc>
          <w:tcPr>
            <w:tcW w:w="3609" w:type="dxa"/>
            <w:shd w:val="clear" w:color="auto" w:fill="auto"/>
            <w:vAlign w:val="center"/>
          </w:tcPr>
          <w:p>
            <w:pPr>
              <w:jc w:val="center"/>
              <w:rPr>
                <w:i/>
                <w:iCs/>
                <w:noProof/>
                <w:color w:val="000000"/>
                <w:sz w:val="20"/>
              </w:rPr>
            </w:pPr>
            <w:r>
              <w:rPr>
                <w:i/>
                <w:iCs/>
                <w:noProof/>
                <w:color w:val="000000"/>
                <w:sz w:val="20"/>
              </w:rPr>
              <w:t>Sejm Rzeczypospolitej Polskiej</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Pologne</w:t>
            </w:r>
          </w:p>
        </w:tc>
        <w:tc>
          <w:tcPr>
            <w:tcW w:w="3609" w:type="dxa"/>
            <w:shd w:val="clear" w:color="auto" w:fill="auto"/>
            <w:vAlign w:val="center"/>
          </w:tcPr>
          <w:p>
            <w:pPr>
              <w:jc w:val="center"/>
              <w:rPr>
                <w:i/>
                <w:iCs/>
                <w:noProof/>
                <w:color w:val="000000"/>
                <w:sz w:val="20"/>
              </w:rPr>
            </w:pPr>
            <w:r>
              <w:rPr>
                <w:i/>
                <w:iCs/>
                <w:noProof/>
                <w:color w:val="000000"/>
                <w:sz w:val="20"/>
              </w:rPr>
              <w:t>Senat Rzeczypospolitej Polskiej</w:t>
            </w:r>
          </w:p>
        </w:tc>
        <w:tc>
          <w:tcPr>
            <w:tcW w:w="1660" w:type="dxa"/>
            <w:shd w:val="clear" w:color="auto" w:fill="auto"/>
            <w:vAlign w:val="center"/>
          </w:tcPr>
          <w:p>
            <w:pPr>
              <w:jc w:val="center"/>
              <w:rPr>
                <w:noProof/>
                <w:color w:val="000000"/>
                <w:sz w:val="20"/>
              </w:rPr>
            </w:pPr>
            <w:r>
              <w:rPr>
                <w:noProof/>
                <w:color w:val="000000"/>
                <w:sz w:val="20"/>
              </w:rPr>
              <w:t>2</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Belgique</w:t>
            </w:r>
          </w:p>
        </w:tc>
        <w:tc>
          <w:tcPr>
            <w:tcW w:w="3609" w:type="dxa"/>
            <w:shd w:val="clear" w:color="auto" w:fill="auto"/>
            <w:vAlign w:val="center"/>
          </w:tcPr>
          <w:p>
            <w:pPr>
              <w:jc w:val="center"/>
              <w:rPr>
                <w:i/>
                <w:iCs/>
                <w:noProof/>
                <w:color w:val="000000"/>
                <w:sz w:val="20"/>
              </w:rPr>
            </w:pPr>
            <w:r>
              <w:rPr>
                <w:noProof/>
                <w:color w:val="000000"/>
                <w:sz w:val="20"/>
              </w:rPr>
              <w:t>Sénat de Belgique</w:t>
            </w:r>
            <w:r>
              <w:rPr>
                <w:i/>
                <w:iCs/>
                <w:noProof/>
                <w:color w:val="000000"/>
                <w:sz w:val="20"/>
              </w:rPr>
              <w:t xml:space="preserve"> / Belgische Senaat</w:t>
            </w:r>
          </w:p>
        </w:tc>
        <w:tc>
          <w:tcPr>
            <w:tcW w:w="1660" w:type="dxa"/>
            <w:shd w:val="clear" w:color="auto" w:fill="auto"/>
            <w:vAlign w:val="center"/>
          </w:tcPr>
          <w:p>
            <w:pPr>
              <w:jc w:val="center"/>
              <w:rPr>
                <w:noProof/>
                <w:color w:val="000000"/>
                <w:sz w:val="20"/>
              </w:rPr>
            </w:pPr>
            <w:r>
              <w:rPr>
                <w:noProof/>
                <w:color w:val="000000"/>
                <w:sz w:val="20"/>
              </w:rPr>
              <w:t>1</w:t>
            </w:r>
          </w:p>
        </w:tc>
        <w:tc>
          <w:tcPr>
            <w:tcW w:w="2364" w:type="dxa"/>
            <w:shd w:val="clear" w:color="auto" w:fill="auto"/>
            <w:vAlign w:val="center"/>
          </w:tcPr>
          <w:p>
            <w:pPr>
              <w:jc w:val="center"/>
              <w:rPr>
                <w:noProof/>
                <w:color w:val="000000"/>
                <w:sz w:val="20"/>
              </w:rPr>
            </w:pPr>
            <w:r>
              <w:rPr>
                <w:noProof/>
                <w:color w:val="000000"/>
                <w:sz w:val="20"/>
              </w:rPr>
              <w:t>0</w:t>
            </w:r>
          </w:p>
        </w:tc>
      </w:tr>
      <w:tr>
        <w:trPr>
          <w:cantSplit/>
          <w:trHeight w:val="775"/>
        </w:trPr>
        <w:tc>
          <w:tcPr>
            <w:tcW w:w="1909" w:type="dxa"/>
            <w:shd w:val="clear" w:color="auto" w:fill="auto"/>
            <w:vAlign w:val="center"/>
          </w:tcPr>
          <w:p>
            <w:pPr>
              <w:jc w:val="center"/>
              <w:rPr>
                <w:noProof/>
                <w:color w:val="000000"/>
                <w:sz w:val="20"/>
              </w:rPr>
            </w:pPr>
            <w:r>
              <w:rPr>
                <w:noProof/>
                <w:color w:val="000000"/>
                <w:sz w:val="20"/>
              </w:rPr>
              <w:t>Belgique</w:t>
            </w:r>
          </w:p>
        </w:tc>
        <w:tc>
          <w:tcPr>
            <w:tcW w:w="3609" w:type="dxa"/>
            <w:shd w:val="clear" w:color="auto" w:fill="auto"/>
            <w:vAlign w:val="center"/>
          </w:tcPr>
          <w:p>
            <w:pPr>
              <w:jc w:val="center"/>
              <w:rPr>
                <w:i/>
                <w:iCs/>
                <w:noProof/>
                <w:color w:val="000000"/>
                <w:sz w:val="20"/>
              </w:rPr>
            </w:pPr>
            <w:r>
              <w:rPr>
                <w:noProof/>
                <w:color w:val="000000"/>
                <w:sz w:val="20"/>
              </w:rPr>
              <w:t>Chambre des Représentants de Belgique</w:t>
            </w:r>
            <w:r>
              <w:rPr>
                <w:i/>
                <w:iCs/>
                <w:noProof/>
                <w:color w:val="000000"/>
                <w:sz w:val="20"/>
              </w:rPr>
              <w:t xml:space="preserve"> / Belgische Kamer van volksvertegenwoordigers</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Bulgarie</w:t>
            </w:r>
          </w:p>
        </w:tc>
        <w:tc>
          <w:tcPr>
            <w:tcW w:w="3609" w:type="dxa"/>
            <w:shd w:val="clear" w:color="auto" w:fill="auto"/>
            <w:vAlign w:val="center"/>
          </w:tcPr>
          <w:p>
            <w:pPr>
              <w:jc w:val="center"/>
              <w:rPr>
                <w:i/>
                <w:iCs/>
                <w:noProof/>
                <w:color w:val="000000"/>
                <w:sz w:val="20"/>
              </w:rPr>
            </w:pPr>
            <w:r>
              <w:rPr>
                <w:i/>
                <w:iCs/>
                <w:noProof/>
                <w:color w:val="000000"/>
                <w:sz w:val="20"/>
              </w:rPr>
              <w:t>Narodno Sabranie</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Danemark</w:t>
            </w:r>
          </w:p>
        </w:tc>
        <w:tc>
          <w:tcPr>
            <w:tcW w:w="3609" w:type="dxa"/>
            <w:shd w:val="clear" w:color="auto" w:fill="auto"/>
            <w:vAlign w:val="center"/>
          </w:tcPr>
          <w:p>
            <w:pPr>
              <w:jc w:val="center"/>
              <w:rPr>
                <w:i/>
                <w:iCs/>
                <w:noProof/>
                <w:color w:val="000000"/>
                <w:sz w:val="20"/>
              </w:rPr>
            </w:pPr>
            <w:r>
              <w:rPr>
                <w:i/>
                <w:iCs/>
                <w:noProof/>
                <w:color w:val="000000"/>
                <w:sz w:val="20"/>
              </w:rPr>
              <w:t>Folketing</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Allemagne</w:t>
            </w:r>
          </w:p>
        </w:tc>
        <w:tc>
          <w:tcPr>
            <w:tcW w:w="3609" w:type="dxa"/>
            <w:shd w:val="clear" w:color="auto" w:fill="auto"/>
            <w:vAlign w:val="center"/>
          </w:tcPr>
          <w:p>
            <w:pPr>
              <w:jc w:val="center"/>
              <w:rPr>
                <w:i/>
                <w:iCs/>
                <w:noProof/>
                <w:color w:val="000000"/>
                <w:sz w:val="20"/>
              </w:rPr>
            </w:pPr>
            <w:r>
              <w:rPr>
                <w:i/>
                <w:iCs/>
                <w:noProof/>
                <w:color w:val="000000"/>
                <w:sz w:val="20"/>
              </w:rPr>
              <w:t>Bundestag</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Estonie</w:t>
            </w:r>
          </w:p>
        </w:tc>
        <w:tc>
          <w:tcPr>
            <w:tcW w:w="3609" w:type="dxa"/>
            <w:shd w:val="clear" w:color="auto" w:fill="auto"/>
            <w:vAlign w:val="center"/>
          </w:tcPr>
          <w:p>
            <w:pPr>
              <w:jc w:val="center"/>
              <w:rPr>
                <w:i/>
                <w:iCs/>
                <w:noProof/>
                <w:color w:val="000000"/>
                <w:sz w:val="20"/>
              </w:rPr>
            </w:pPr>
            <w:r>
              <w:rPr>
                <w:i/>
                <w:iCs/>
                <w:noProof/>
                <w:color w:val="000000"/>
                <w:sz w:val="20"/>
              </w:rPr>
              <w:t>Riigikogu</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Irlande</w:t>
            </w:r>
          </w:p>
        </w:tc>
        <w:tc>
          <w:tcPr>
            <w:tcW w:w="3609" w:type="dxa"/>
            <w:shd w:val="clear" w:color="auto" w:fill="auto"/>
            <w:vAlign w:val="center"/>
          </w:tcPr>
          <w:p>
            <w:pPr>
              <w:jc w:val="center"/>
              <w:rPr>
                <w:noProof/>
                <w:color w:val="000000"/>
                <w:sz w:val="20"/>
              </w:rPr>
            </w:pPr>
            <w:r>
              <w:rPr>
                <w:noProof/>
                <w:color w:val="000000"/>
                <w:sz w:val="20"/>
              </w:rPr>
              <w:t>Chambres de l’</w:t>
            </w:r>
            <w:r>
              <w:rPr>
                <w:i/>
                <w:iCs/>
                <w:noProof/>
                <w:color w:val="000000"/>
                <w:sz w:val="20"/>
              </w:rPr>
              <w:t>Oireachtas</w:t>
            </w:r>
            <w:r>
              <w:rPr>
                <w:noProof/>
                <w:color w:val="000000"/>
                <w:sz w:val="20"/>
              </w:rPr>
              <w:t>:</w:t>
            </w:r>
            <w:r>
              <w:rPr>
                <w:noProof/>
                <w:color w:val="000000"/>
                <w:sz w:val="20"/>
              </w:rPr>
              <w:cr/>
            </w:r>
            <w:r>
              <w:rPr>
                <w:noProof/>
                <w:color w:val="000000"/>
                <w:sz w:val="20"/>
              </w:rPr>
              <w:br/>
            </w:r>
            <w:r>
              <w:rPr>
                <w:i/>
                <w:iCs/>
                <w:noProof/>
                <w:color w:val="000000"/>
                <w:sz w:val="20"/>
              </w:rPr>
              <w:t>Dáil</w:t>
            </w:r>
            <w:r>
              <w:rPr>
                <w:noProof/>
                <w:color w:val="000000"/>
                <w:sz w:val="20"/>
              </w:rPr>
              <w:t xml:space="preserve"> et </w:t>
            </w:r>
            <w:r>
              <w:rPr>
                <w:i/>
                <w:iCs/>
                <w:noProof/>
                <w:color w:val="000000"/>
                <w:sz w:val="20"/>
              </w:rPr>
              <w:t xml:space="preserve">Seanad Éireann </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Grèce</w:t>
            </w:r>
          </w:p>
        </w:tc>
        <w:tc>
          <w:tcPr>
            <w:tcW w:w="3609" w:type="dxa"/>
            <w:shd w:val="clear" w:color="auto" w:fill="auto"/>
            <w:vAlign w:val="center"/>
          </w:tcPr>
          <w:p>
            <w:pPr>
              <w:jc w:val="center"/>
              <w:rPr>
                <w:i/>
                <w:iCs/>
                <w:noProof/>
                <w:color w:val="000000"/>
                <w:sz w:val="20"/>
              </w:rPr>
            </w:pPr>
            <w:r>
              <w:rPr>
                <w:i/>
                <w:iCs/>
                <w:noProof/>
                <w:color w:val="000000"/>
                <w:sz w:val="20"/>
              </w:rPr>
              <w:t>Vouli ton Ellinon</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Croatie</w:t>
            </w:r>
          </w:p>
        </w:tc>
        <w:tc>
          <w:tcPr>
            <w:tcW w:w="3609" w:type="dxa"/>
            <w:shd w:val="clear" w:color="auto" w:fill="auto"/>
            <w:vAlign w:val="center"/>
          </w:tcPr>
          <w:p>
            <w:pPr>
              <w:jc w:val="center"/>
              <w:rPr>
                <w:i/>
                <w:iCs/>
                <w:noProof/>
                <w:color w:val="000000"/>
                <w:sz w:val="20"/>
              </w:rPr>
            </w:pPr>
            <w:r>
              <w:rPr>
                <w:i/>
                <w:iCs/>
                <w:noProof/>
                <w:color w:val="000000"/>
                <w:sz w:val="20"/>
              </w:rPr>
              <w:t xml:space="preserve">Hrvatski Sabor </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Chypre</w:t>
            </w:r>
          </w:p>
        </w:tc>
        <w:tc>
          <w:tcPr>
            <w:tcW w:w="3609" w:type="dxa"/>
            <w:shd w:val="clear" w:color="auto" w:fill="auto"/>
            <w:vAlign w:val="center"/>
          </w:tcPr>
          <w:p>
            <w:pPr>
              <w:jc w:val="center"/>
              <w:rPr>
                <w:i/>
                <w:iCs/>
                <w:noProof/>
                <w:color w:val="000000"/>
                <w:sz w:val="20"/>
              </w:rPr>
            </w:pPr>
            <w:r>
              <w:rPr>
                <w:i/>
                <w:iCs/>
                <w:noProof/>
                <w:color w:val="000000"/>
                <w:sz w:val="20"/>
              </w:rPr>
              <w:t xml:space="preserve">Vouli ton Antiprosopon </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Lettonie</w:t>
            </w:r>
          </w:p>
        </w:tc>
        <w:tc>
          <w:tcPr>
            <w:tcW w:w="3609" w:type="dxa"/>
            <w:shd w:val="clear" w:color="auto" w:fill="auto"/>
            <w:vAlign w:val="center"/>
          </w:tcPr>
          <w:p>
            <w:pPr>
              <w:jc w:val="center"/>
              <w:rPr>
                <w:i/>
                <w:iCs/>
                <w:noProof/>
                <w:color w:val="000000"/>
                <w:sz w:val="20"/>
              </w:rPr>
            </w:pPr>
            <w:r>
              <w:rPr>
                <w:i/>
                <w:iCs/>
                <w:noProof/>
                <w:color w:val="000000"/>
                <w:sz w:val="20"/>
              </w:rPr>
              <w:t>Saeima</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Luxembourg</w:t>
            </w:r>
          </w:p>
        </w:tc>
        <w:tc>
          <w:tcPr>
            <w:tcW w:w="3609" w:type="dxa"/>
            <w:shd w:val="clear" w:color="auto" w:fill="auto"/>
            <w:vAlign w:val="center"/>
          </w:tcPr>
          <w:p>
            <w:pPr>
              <w:jc w:val="center"/>
              <w:rPr>
                <w:i/>
                <w:iCs/>
                <w:noProof/>
                <w:color w:val="000000"/>
                <w:sz w:val="20"/>
              </w:rPr>
            </w:pPr>
            <w:r>
              <w:rPr>
                <w:noProof/>
                <w:color w:val="000000"/>
                <w:sz w:val="20"/>
              </w:rPr>
              <w:t>Chambre des Députés</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Autriche</w:t>
            </w:r>
          </w:p>
        </w:tc>
        <w:tc>
          <w:tcPr>
            <w:tcW w:w="3609" w:type="dxa"/>
            <w:shd w:val="clear" w:color="auto" w:fill="auto"/>
            <w:vAlign w:val="center"/>
          </w:tcPr>
          <w:p>
            <w:pPr>
              <w:jc w:val="center"/>
              <w:rPr>
                <w:i/>
                <w:iCs/>
                <w:noProof/>
                <w:color w:val="000000"/>
                <w:sz w:val="20"/>
              </w:rPr>
            </w:pPr>
            <w:r>
              <w:rPr>
                <w:i/>
                <w:iCs/>
                <w:noProof/>
                <w:color w:val="000000"/>
                <w:sz w:val="20"/>
              </w:rPr>
              <w:t>Bundesrat</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Autriche</w:t>
            </w:r>
          </w:p>
        </w:tc>
        <w:tc>
          <w:tcPr>
            <w:tcW w:w="3609" w:type="dxa"/>
            <w:shd w:val="clear" w:color="auto" w:fill="auto"/>
            <w:vAlign w:val="center"/>
          </w:tcPr>
          <w:p>
            <w:pPr>
              <w:jc w:val="center"/>
              <w:rPr>
                <w:i/>
                <w:iCs/>
                <w:noProof/>
                <w:color w:val="000000"/>
                <w:sz w:val="20"/>
              </w:rPr>
            </w:pPr>
            <w:r>
              <w:rPr>
                <w:i/>
                <w:iCs/>
                <w:noProof/>
                <w:color w:val="000000"/>
                <w:sz w:val="20"/>
              </w:rPr>
              <w:t>Nationalrat</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Slovénie</w:t>
            </w:r>
          </w:p>
        </w:tc>
        <w:tc>
          <w:tcPr>
            <w:tcW w:w="3609" w:type="dxa"/>
            <w:shd w:val="clear" w:color="auto" w:fill="auto"/>
            <w:vAlign w:val="center"/>
          </w:tcPr>
          <w:p>
            <w:pPr>
              <w:jc w:val="center"/>
              <w:rPr>
                <w:i/>
                <w:iCs/>
                <w:noProof/>
                <w:color w:val="000000"/>
                <w:sz w:val="20"/>
              </w:rPr>
            </w:pPr>
            <w:r>
              <w:rPr>
                <w:i/>
                <w:iCs/>
                <w:noProof/>
                <w:color w:val="000000"/>
                <w:sz w:val="20"/>
              </w:rPr>
              <w:t>Državni svet</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Slovénie</w:t>
            </w:r>
          </w:p>
        </w:tc>
        <w:tc>
          <w:tcPr>
            <w:tcW w:w="3609" w:type="dxa"/>
            <w:shd w:val="clear" w:color="auto" w:fill="auto"/>
            <w:vAlign w:val="center"/>
          </w:tcPr>
          <w:p>
            <w:pPr>
              <w:jc w:val="center"/>
              <w:rPr>
                <w:i/>
                <w:iCs/>
                <w:noProof/>
                <w:color w:val="000000"/>
                <w:sz w:val="20"/>
              </w:rPr>
            </w:pPr>
            <w:r>
              <w:rPr>
                <w:i/>
                <w:iCs/>
                <w:noProof/>
                <w:color w:val="000000"/>
                <w:sz w:val="20"/>
              </w:rPr>
              <w:t>Državni zbor</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Finlande</w:t>
            </w:r>
          </w:p>
        </w:tc>
        <w:tc>
          <w:tcPr>
            <w:tcW w:w="3609" w:type="dxa"/>
            <w:shd w:val="clear" w:color="auto" w:fill="auto"/>
            <w:vAlign w:val="center"/>
          </w:tcPr>
          <w:p>
            <w:pPr>
              <w:jc w:val="center"/>
              <w:rPr>
                <w:i/>
                <w:iCs/>
                <w:noProof/>
                <w:color w:val="000000"/>
                <w:sz w:val="20"/>
              </w:rPr>
            </w:pPr>
            <w:r>
              <w:rPr>
                <w:i/>
                <w:iCs/>
                <w:noProof/>
                <w:color w:val="000000"/>
                <w:sz w:val="20"/>
              </w:rPr>
              <w:t>Eduskunta</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1909" w:type="dxa"/>
            <w:shd w:val="clear" w:color="auto" w:fill="auto"/>
            <w:vAlign w:val="center"/>
          </w:tcPr>
          <w:p>
            <w:pPr>
              <w:jc w:val="center"/>
              <w:rPr>
                <w:noProof/>
                <w:color w:val="000000"/>
                <w:sz w:val="20"/>
              </w:rPr>
            </w:pPr>
            <w:r>
              <w:rPr>
                <w:noProof/>
                <w:color w:val="000000"/>
                <w:sz w:val="20"/>
              </w:rPr>
              <w:t>Royaume-Uni</w:t>
            </w:r>
          </w:p>
        </w:tc>
        <w:tc>
          <w:tcPr>
            <w:tcW w:w="3609" w:type="dxa"/>
            <w:shd w:val="clear" w:color="auto" w:fill="auto"/>
            <w:vAlign w:val="center"/>
          </w:tcPr>
          <w:p>
            <w:pPr>
              <w:jc w:val="center"/>
              <w:rPr>
                <w:noProof/>
                <w:color w:val="000000"/>
                <w:sz w:val="20"/>
              </w:rPr>
            </w:pPr>
            <w:r>
              <w:rPr>
                <w:i/>
                <w:iCs/>
                <w:noProof/>
                <w:color w:val="000000"/>
                <w:sz w:val="20"/>
              </w:rPr>
              <w:t>House of Commons</w:t>
            </w:r>
          </w:p>
        </w:tc>
        <w:tc>
          <w:tcPr>
            <w:tcW w:w="1660" w:type="dxa"/>
            <w:shd w:val="clear" w:color="auto" w:fill="auto"/>
            <w:vAlign w:val="center"/>
          </w:tcPr>
          <w:p>
            <w:pPr>
              <w:jc w:val="center"/>
              <w:rPr>
                <w:noProof/>
                <w:color w:val="000000"/>
                <w:sz w:val="20"/>
              </w:rPr>
            </w:pPr>
            <w:r>
              <w:rPr>
                <w:noProof/>
                <w:color w:val="000000"/>
                <w:sz w:val="20"/>
              </w:rPr>
              <w:t>0</w:t>
            </w:r>
          </w:p>
        </w:tc>
        <w:tc>
          <w:tcPr>
            <w:tcW w:w="2364" w:type="dxa"/>
            <w:shd w:val="clear" w:color="auto" w:fill="auto"/>
            <w:vAlign w:val="center"/>
          </w:tcPr>
          <w:p>
            <w:pPr>
              <w:jc w:val="center"/>
              <w:rPr>
                <w:noProof/>
                <w:color w:val="000000"/>
                <w:sz w:val="20"/>
              </w:rPr>
            </w:pPr>
            <w:r>
              <w:rPr>
                <w:noProof/>
                <w:color w:val="000000"/>
                <w:sz w:val="20"/>
              </w:rPr>
              <w:t>0</w:t>
            </w:r>
          </w:p>
        </w:tc>
      </w:tr>
      <w:tr>
        <w:trPr>
          <w:cantSplit/>
        </w:trPr>
        <w:tc>
          <w:tcPr>
            <w:tcW w:w="5518" w:type="dxa"/>
            <w:gridSpan w:val="2"/>
            <w:shd w:val="clear" w:color="auto" w:fill="auto"/>
            <w:vAlign w:val="center"/>
          </w:tcPr>
          <w:p>
            <w:pPr>
              <w:jc w:val="center"/>
              <w:rPr>
                <w:b/>
                <w:noProof/>
                <w:sz w:val="20"/>
              </w:rPr>
            </w:pPr>
            <w:r>
              <w:rPr>
                <w:b/>
                <w:noProof/>
                <w:sz w:val="20"/>
              </w:rPr>
              <w:t>TOTAL</w:t>
            </w:r>
          </w:p>
        </w:tc>
        <w:tc>
          <w:tcPr>
            <w:tcW w:w="1660" w:type="dxa"/>
            <w:shd w:val="clear" w:color="auto" w:fill="auto"/>
          </w:tcPr>
          <w:p>
            <w:pPr>
              <w:jc w:val="center"/>
              <w:rPr>
                <w:b/>
                <w:noProof/>
                <w:sz w:val="20"/>
              </w:rPr>
            </w:pPr>
            <w:r>
              <w:rPr>
                <w:b/>
                <w:noProof/>
                <w:sz w:val="20"/>
              </w:rPr>
              <w:t>159</w:t>
            </w:r>
          </w:p>
        </w:tc>
        <w:tc>
          <w:tcPr>
            <w:tcW w:w="2364" w:type="dxa"/>
            <w:shd w:val="clear" w:color="auto" w:fill="auto"/>
          </w:tcPr>
          <w:p>
            <w:pPr>
              <w:jc w:val="center"/>
              <w:rPr>
                <w:b/>
                <w:noProof/>
                <w:sz w:val="20"/>
              </w:rPr>
            </w:pPr>
            <w:r>
              <w:rPr>
                <w:b/>
                <w:noProof/>
                <w:sz w:val="20"/>
              </w:rPr>
              <w:t>0</w:t>
            </w:r>
          </w:p>
        </w:tc>
      </w:tr>
    </w:tbl>
    <w:p>
      <w:pPr>
        <w:rPr>
          <w:b/>
          <w:noProof/>
          <w:u w:val="single"/>
        </w:rPr>
      </w:pPr>
    </w:p>
    <w:p>
      <w:pPr>
        <w:jc w:val="left"/>
        <w:rPr>
          <w:b/>
          <w:noProof/>
          <w:u w:val="single"/>
        </w:rPr>
      </w:pPr>
      <w:r>
        <w:rPr>
          <w:noProof/>
        </w:rPr>
        <w:br w:type="page"/>
      </w:r>
    </w:p>
    <w:p>
      <w:pPr>
        <w:spacing w:after="240"/>
        <w:jc w:val="center"/>
        <w:rPr>
          <w:b/>
          <w:noProof/>
          <w:u w:val="single"/>
        </w:rPr>
      </w:pPr>
      <w:r>
        <w:rPr>
          <w:b/>
          <w:noProof/>
          <w:u w:val="single"/>
        </w:rPr>
        <w:t>ANNEXE 2</w:t>
      </w:r>
    </w:p>
    <w:p>
      <w:pPr>
        <w:spacing w:after="240"/>
        <w:jc w:val="center"/>
        <w:rPr>
          <w:b/>
          <w:noProof/>
        </w:rPr>
      </w:pPr>
      <w:r>
        <w:rPr>
          <w:b/>
          <w:bCs/>
          <w:noProof/>
        </w:rPr>
        <w:t>Documents de la Commission à l’origine du plus grand nombre d’avis</w:t>
      </w:r>
      <w:r>
        <w:rPr>
          <w:rStyle w:val="FootnoteReference"/>
          <w:noProof/>
        </w:rPr>
        <w:footnoteReference w:id="4"/>
      </w:r>
      <w:r>
        <w:rPr>
          <w:b/>
          <w:bCs/>
          <w:noProof/>
        </w:rPr>
        <w:t xml:space="preserve"> reçus par la Commission en 2019 (dialogue politique et mécanisme de contrôle de la subsidiarité)</w:t>
      </w:r>
      <w:r>
        <w:rPr>
          <w:b/>
          <w:noProof/>
        </w:rPr>
        <w:t xml:space="preserve"> </w:t>
      </w:r>
    </w:p>
    <w:tbl>
      <w:tblPr>
        <w:tblW w:w="9679" w:type="dxa"/>
        <w:tblInd w:w="-34" w:type="dxa"/>
        <w:tblCellMar>
          <w:top w:w="57" w:type="dxa"/>
          <w:left w:w="57" w:type="dxa"/>
          <w:bottom w:w="57" w:type="dxa"/>
          <w:right w:w="57" w:type="dxa"/>
        </w:tblCellMar>
        <w:tblLook w:val="04A0" w:firstRow="1" w:lastRow="0" w:firstColumn="1" w:lastColumn="0" w:noHBand="0" w:noVBand="1"/>
      </w:tblPr>
      <w:tblGrid>
        <w:gridCol w:w="534"/>
        <w:gridCol w:w="1883"/>
        <w:gridCol w:w="4195"/>
        <w:gridCol w:w="1312"/>
        <w:gridCol w:w="1755"/>
      </w:tblGrid>
      <w:tr>
        <w:trPr>
          <w:cantSplit/>
          <w:tblHeader/>
        </w:trPr>
        <w:tc>
          <w:tcPr>
            <w:tcW w:w="534" w:type="dxa"/>
            <w:tcBorders>
              <w:top w:val="single" w:sz="4" w:space="0" w:color="auto"/>
              <w:left w:val="single" w:sz="4" w:space="0" w:color="auto"/>
              <w:bottom w:val="single" w:sz="4" w:space="0" w:color="auto"/>
            </w:tcBorders>
            <w:shd w:val="clear" w:color="auto" w:fill="auto"/>
            <w:noWrap/>
            <w:vAlign w:val="center"/>
            <w:hideMark/>
          </w:tcPr>
          <w:p>
            <w:pPr>
              <w:jc w:val="center"/>
              <w:rPr>
                <w:noProof/>
                <w:color w:val="000000"/>
                <w:sz w:val="22"/>
                <w:szCs w:val="22"/>
                <w:lang w:eastAsia="en-GB"/>
              </w:rPr>
            </w:pPr>
          </w:p>
        </w:tc>
        <w:tc>
          <w:tcPr>
            <w:tcW w:w="1883" w:type="dxa"/>
            <w:tcBorders>
              <w:top w:val="single" w:sz="4" w:space="0" w:color="auto"/>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Document</w:t>
            </w:r>
            <w:r>
              <w:rPr>
                <w:b/>
                <w:bCs/>
                <w:noProof/>
                <w:color w:val="000000"/>
                <w:sz w:val="22"/>
                <w:szCs w:val="22"/>
              </w:rPr>
              <w:br/>
              <w:t>de la Commission</w:t>
            </w:r>
          </w:p>
        </w:tc>
        <w:tc>
          <w:tcPr>
            <w:tcW w:w="419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Intitulé</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Nombre</w:t>
            </w:r>
            <w:r>
              <w:rPr>
                <w:b/>
                <w:bCs/>
                <w:noProof/>
                <w:color w:val="000000"/>
                <w:sz w:val="22"/>
                <w:szCs w:val="22"/>
              </w:rPr>
              <w:br/>
              <w:t>total</w:t>
            </w:r>
            <w:r>
              <w:rPr>
                <w:b/>
                <w:bCs/>
                <w:noProof/>
                <w:color w:val="000000"/>
                <w:sz w:val="22"/>
                <w:szCs w:val="22"/>
              </w:rPr>
              <w:br/>
              <w:t>d’avis</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Dont</w:t>
            </w:r>
            <w:r>
              <w:rPr>
                <w:b/>
                <w:bCs/>
                <w:noProof/>
                <w:color w:val="000000"/>
                <w:sz w:val="22"/>
                <w:szCs w:val="22"/>
              </w:rPr>
              <w:br/>
              <w:t>avis</w:t>
            </w:r>
            <w:r>
              <w:rPr>
                <w:b/>
                <w:bCs/>
                <w:noProof/>
                <w:color w:val="000000"/>
                <w:sz w:val="22"/>
                <w:szCs w:val="22"/>
              </w:rPr>
              <w:br/>
              <w:t>motivés</w:t>
            </w:r>
            <w:r>
              <w:rPr>
                <w:b/>
                <w:bCs/>
                <w:noProof/>
                <w:color w:val="000000"/>
                <w:sz w:val="22"/>
                <w:szCs w:val="22"/>
              </w:rPr>
              <w:br/>
              <w:t>(protocole nº 2)</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1</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COM(2018) 703</w:t>
            </w:r>
          </w:p>
        </w:tc>
        <w:tc>
          <w:tcPr>
            <w:tcW w:w="4195" w:type="dxa"/>
            <w:tcBorders>
              <w:top w:val="single" w:sz="4" w:space="0" w:color="auto"/>
              <w:left w:val="nil"/>
              <w:bottom w:val="single" w:sz="4" w:space="0" w:color="auto"/>
              <w:right w:val="single" w:sz="4" w:space="0" w:color="auto"/>
            </w:tcBorders>
            <w:shd w:val="clear" w:color="auto" w:fill="auto"/>
            <w:hideMark/>
          </w:tcPr>
          <w:p>
            <w:pPr>
              <w:rPr>
                <w:noProof/>
                <w:color w:val="000000"/>
                <w:sz w:val="22"/>
                <w:szCs w:val="22"/>
              </w:rPr>
            </w:pPr>
            <w:r>
              <w:rPr>
                <w:rStyle w:val="iceouttxt38"/>
                <w:noProof/>
                <w:color w:val="494949"/>
                <w:sz w:val="22"/>
                <w:szCs w:val="22"/>
              </w:rPr>
              <w:t>Communication au Parlement européen, au Conseil européen, au Conseil, au Comité économique et social européen et au Comité des régions «Les principes de subsidiarité et de proportionnalité: renforcer leur rôle dans l’élaboration des politiques de l’Union»</w:t>
            </w:r>
          </w:p>
        </w:tc>
        <w:tc>
          <w:tcPr>
            <w:tcW w:w="1312"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szCs w:val="22"/>
              </w:rPr>
              <w:t>6</w:t>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szCs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2</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szCs w:val="22"/>
              </w:rPr>
              <w:t>COM(2019) 22</w:t>
            </w:r>
          </w:p>
        </w:tc>
        <w:tc>
          <w:tcPr>
            <w:tcW w:w="4195" w:type="dxa"/>
            <w:tcBorders>
              <w:top w:val="single" w:sz="4" w:space="0" w:color="auto"/>
              <w:left w:val="nil"/>
              <w:bottom w:val="single" w:sz="4" w:space="0" w:color="auto"/>
              <w:right w:val="single" w:sz="4" w:space="0" w:color="auto"/>
            </w:tcBorders>
            <w:shd w:val="clear" w:color="auto" w:fill="auto"/>
          </w:tcPr>
          <w:p>
            <w:pPr>
              <w:rPr>
                <w:noProof/>
                <w:color w:val="000000"/>
                <w:sz w:val="22"/>
                <w:szCs w:val="22"/>
              </w:rPr>
            </w:pPr>
            <w:r>
              <w:rPr>
                <w:rStyle w:val="iceouttxt38"/>
                <w:noProof/>
                <w:color w:val="494949"/>
                <w:sz w:val="22"/>
                <w:szCs w:val="22"/>
              </w:rPr>
              <w:t>Document de réflexion «Vers une Europe durable à l’horizon 2030»</w:t>
            </w:r>
          </w:p>
        </w:tc>
        <w:tc>
          <w:tcPr>
            <w:tcW w:w="1312"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5</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3</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szCs w:val="22"/>
              </w:rPr>
              <w:t>COM(2018) 800</w:t>
            </w:r>
          </w:p>
        </w:tc>
        <w:tc>
          <w:tcPr>
            <w:tcW w:w="4195" w:type="dxa"/>
            <w:tcBorders>
              <w:top w:val="single" w:sz="4" w:space="0" w:color="auto"/>
              <w:left w:val="nil"/>
              <w:bottom w:val="single" w:sz="4" w:space="0" w:color="auto"/>
              <w:right w:val="single" w:sz="4" w:space="0" w:color="auto"/>
            </w:tcBorders>
            <w:shd w:val="clear" w:color="auto" w:fill="auto"/>
          </w:tcPr>
          <w:p>
            <w:pPr>
              <w:rPr>
                <w:noProof/>
                <w:color w:val="000000"/>
                <w:sz w:val="22"/>
                <w:szCs w:val="22"/>
              </w:rPr>
            </w:pPr>
            <w:r>
              <w:rPr>
                <w:rStyle w:val="iceouttxt38"/>
                <w:noProof/>
                <w:color w:val="494949"/>
                <w:sz w:val="22"/>
                <w:szCs w:val="22"/>
              </w:rPr>
              <w:t>Communication au Parlement européen, au Conseil, au Comité économique et social européen et au Comité des régions «Programme de travail de la Commission pour 2019 – Tenir nos engagements et préparer l’avenir»</w:t>
            </w:r>
          </w:p>
        </w:tc>
        <w:tc>
          <w:tcPr>
            <w:tcW w:w="1312"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4</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szCs w:val="22"/>
              </w:rPr>
              <w:t>4</w:t>
            </w:r>
          </w:p>
        </w:tc>
        <w:tc>
          <w:tcPr>
            <w:tcW w:w="1883" w:type="dxa"/>
            <w:tcBorders>
              <w:top w:val="single" w:sz="4" w:space="0" w:color="auto"/>
              <w:left w:val="nil"/>
              <w:bottom w:val="single" w:sz="4" w:space="0" w:color="auto"/>
              <w:right w:val="single" w:sz="4" w:space="0" w:color="auto"/>
            </w:tcBorders>
            <w:shd w:val="clear" w:color="auto" w:fill="auto"/>
            <w:noWrap/>
          </w:tcPr>
          <w:p>
            <w:pPr>
              <w:jc w:val="left"/>
              <w:rPr>
                <w:noProof/>
                <w:color w:val="000000"/>
                <w:sz w:val="22"/>
                <w:szCs w:val="22"/>
              </w:rPr>
            </w:pPr>
            <w:r>
              <w:rPr>
                <w:noProof/>
                <w:color w:val="000000"/>
                <w:sz w:val="22"/>
                <w:szCs w:val="22"/>
              </w:rPr>
              <w:t>COM(2019) 8</w:t>
            </w:r>
          </w:p>
        </w:tc>
        <w:tc>
          <w:tcPr>
            <w:tcW w:w="4195" w:type="dxa"/>
            <w:tcBorders>
              <w:top w:val="single" w:sz="4" w:space="0" w:color="auto"/>
              <w:left w:val="nil"/>
              <w:bottom w:val="single" w:sz="4" w:space="0" w:color="auto"/>
              <w:right w:val="single" w:sz="4" w:space="0" w:color="auto"/>
            </w:tcBorders>
            <w:shd w:val="clear" w:color="auto" w:fill="auto"/>
          </w:tcPr>
          <w:p>
            <w:pPr>
              <w:rPr>
                <w:noProof/>
                <w:color w:val="000000"/>
                <w:sz w:val="22"/>
                <w:szCs w:val="22"/>
              </w:rPr>
            </w:pPr>
            <w:r>
              <w:rPr>
                <w:rStyle w:val="iceouttxt38"/>
                <w:noProof/>
                <w:color w:val="494949"/>
                <w:sz w:val="22"/>
                <w:szCs w:val="22"/>
              </w:rPr>
              <w:t>Communication au Parlement européen, au Conseil européen et au Conseil «Vers un processus décisionnel plus efficace et plus démocratique en matière de politique fiscale dans l’Union»</w:t>
            </w:r>
          </w:p>
        </w:tc>
        <w:tc>
          <w:tcPr>
            <w:tcW w:w="1312"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4</w:t>
            </w:r>
          </w:p>
        </w:tc>
        <w:tc>
          <w:tcPr>
            <w:tcW w:w="1755" w:type="dxa"/>
            <w:tcBorders>
              <w:top w:val="single" w:sz="4" w:space="0" w:color="auto"/>
              <w:left w:val="nil"/>
              <w:bottom w:val="single" w:sz="4" w:space="0" w:color="auto"/>
              <w:right w:val="single" w:sz="4" w:space="0" w:color="auto"/>
            </w:tcBorders>
            <w:shd w:val="clear" w:color="auto" w:fill="auto"/>
            <w:noWrap/>
          </w:tcPr>
          <w:p>
            <w:pPr>
              <w:jc w:val="center"/>
              <w:rPr>
                <w:noProof/>
                <w:color w:val="000000"/>
                <w:sz w:val="22"/>
                <w:szCs w:val="22"/>
              </w:rPr>
            </w:pPr>
            <w:r>
              <w:rPr>
                <w:noProof/>
                <w:color w:val="000000"/>
                <w:sz w:val="22"/>
                <w:szCs w:val="22"/>
              </w:rPr>
              <w:t>0</w:t>
            </w:r>
          </w:p>
        </w:tc>
      </w:tr>
      <w:tr>
        <w:trPr>
          <w:cantSplit/>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5</w:t>
            </w:r>
          </w:p>
        </w:tc>
        <w:tc>
          <w:tcPr>
            <w:tcW w:w="1883" w:type="dxa"/>
            <w:tcBorders>
              <w:top w:val="single" w:sz="4" w:space="0" w:color="auto"/>
              <w:left w:val="nil"/>
              <w:bottom w:val="single" w:sz="4" w:space="0" w:color="auto"/>
              <w:right w:val="single" w:sz="4" w:space="0" w:color="auto"/>
            </w:tcBorders>
            <w:shd w:val="clear" w:color="auto" w:fill="auto"/>
            <w:noWrap/>
            <w:hideMark/>
          </w:tcPr>
          <w:p>
            <w:pPr>
              <w:jc w:val="left"/>
              <w:rPr>
                <w:noProof/>
                <w:color w:val="000000"/>
                <w:sz w:val="22"/>
                <w:szCs w:val="22"/>
              </w:rPr>
            </w:pPr>
            <w:r>
              <w:rPr>
                <w:noProof/>
                <w:color w:val="000000"/>
                <w:sz w:val="22"/>
                <w:szCs w:val="22"/>
              </w:rPr>
              <w:t>COM(2019) 163</w:t>
            </w:r>
          </w:p>
        </w:tc>
        <w:tc>
          <w:tcPr>
            <w:tcW w:w="4195" w:type="dxa"/>
            <w:tcBorders>
              <w:top w:val="single" w:sz="4" w:space="0" w:color="auto"/>
              <w:left w:val="nil"/>
              <w:bottom w:val="single" w:sz="4" w:space="0" w:color="auto"/>
              <w:right w:val="single" w:sz="4" w:space="0" w:color="auto"/>
            </w:tcBorders>
            <w:shd w:val="clear" w:color="auto" w:fill="auto"/>
            <w:hideMark/>
          </w:tcPr>
          <w:p>
            <w:pPr>
              <w:rPr>
                <w:noProof/>
                <w:color w:val="000000"/>
                <w:sz w:val="22"/>
                <w:szCs w:val="22"/>
              </w:rPr>
            </w:pPr>
            <w:r>
              <w:rPr>
                <w:rStyle w:val="iceouttxt38"/>
                <w:noProof/>
                <w:color w:val="494949"/>
                <w:sz w:val="22"/>
                <w:szCs w:val="22"/>
              </w:rPr>
              <w:t>Communication au Parlement européen, au Conseil européen et au Conseil «Poursuivre le renforcement de l’état de droit au sein de l’Union – État des lieux et prochaines étapes envisageables»</w:t>
            </w:r>
          </w:p>
        </w:tc>
        <w:tc>
          <w:tcPr>
            <w:tcW w:w="1312"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szCs w:val="22"/>
              </w:rPr>
              <w:t>4</w:t>
            </w:r>
          </w:p>
        </w:tc>
        <w:tc>
          <w:tcPr>
            <w:tcW w:w="1755" w:type="dxa"/>
            <w:tcBorders>
              <w:top w:val="single" w:sz="4" w:space="0" w:color="auto"/>
              <w:left w:val="nil"/>
              <w:bottom w:val="single" w:sz="4" w:space="0" w:color="auto"/>
              <w:right w:val="single" w:sz="4" w:space="0" w:color="auto"/>
            </w:tcBorders>
            <w:shd w:val="clear" w:color="auto" w:fill="auto"/>
            <w:noWrap/>
            <w:hideMark/>
          </w:tcPr>
          <w:p>
            <w:pPr>
              <w:jc w:val="center"/>
              <w:rPr>
                <w:noProof/>
                <w:color w:val="000000"/>
                <w:sz w:val="22"/>
                <w:szCs w:val="22"/>
              </w:rPr>
            </w:pPr>
            <w:r>
              <w:rPr>
                <w:noProof/>
                <w:color w:val="000000"/>
                <w:sz w:val="22"/>
                <w:szCs w:val="22"/>
              </w:rPr>
              <w:t>0</w:t>
            </w:r>
          </w:p>
        </w:tc>
      </w:tr>
    </w:tbl>
    <w:p>
      <w:pPr>
        <w:rPr>
          <w:b/>
          <w:noProof/>
        </w:rPr>
      </w:pPr>
    </w:p>
    <w:sectPr>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134" w:right="1440" w:bottom="1134" w:left="1440" w:header="425"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38148"/>
      <w:docPartObj>
        <w:docPartGallery w:val="Page Numbers (Bottom of Page)"/>
        <w:docPartUnique/>
      </w:docPartObj>
    </w:sdtPr>
    <w:sdtEndPr>
      <w:rPr>
        <w:noProof/>
      </w:rPr>
    </w:sdtEndPr>
    <w:sdtContent>
      <w:p>
        <w:pPr>
          <w:pStyle w:val="Footer"/>
          <w:jc w:val="cente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pPr>
      <w:r>
        <w:rPr>
          <w:rStyle w:val="FootnoteReference"/>
        </w:rPr>
        <w:footnoteRef/>
      </w:r>
      <w:r>
        <w:t xml:space="preserve"> </w:t>
      </w:r>
      <w:r>
        <w:tab/>
        <w:t>Ce nombre inclut à la fois les avis formulés dans le cadre du «dialogue politique» et les avis motivés reçus des parlements nationaux.</w:t>
      </w:r>
    </w:p>
  </w:footnote>
  <w:footnote w:id="2">
    <w:p>
      <w:pPr>
        <w:pStyle w:val="FootnoteText"/>
        <w:ind w:left="284" w:hanging="284"/>
      </w:pPr>
      <w:r>
        <w:rPr>
          <w:rStyle w:val="FootnoteReference"/>
        </w:rPr>
        <w:footnoteRef/>
      </w:r>
      <w:r>
        <w:t xml:space="preserve"> </w:t>
      </w:r>
      <w:r>
        <w:tab/>
        <w:t>Les huit avis étaient des avis conjoints des deux chambres.</w:t>
      </w:r>
    </w:p>
  </w:footnote>
  <w:footnote w:id="3">
    <w:p>
      <w:pPr>
        <w:pStyle w:val="FootnoteText"/>
        <w:ind w:left="284" w:hanging="284"/>
      </w:pPr>
      <w:r>
        <w:rPr>
          <w:rStyle w:val="FootnoteReference"/>
        </w:rPr>
        <w:footnoteRef/>
      </w:r>
      <w:r>
        <w:t xml:space="preserve"> </w:t>
      </w:r>
      <w:r>
        <w:tab/>
        <w:t xml:space="preserve">Aucune réponse de la Commission n’était attendue pour ces avis. </w:t>
      </w:r>
    </w:p>
  </w:footnote>
  <w:footnote w:id="4">
    <w:p>
      <w:pPr>
        <w:pStyle w:val="FootnoteText"/>
        <w:tabs>
          <w:tab w:val="left" w:pos="284"/>
        </w:tabs>
        <w:ind w:left="284" w:hanging="284"/>
      </w:pPr>
      <w:r>
        <w:rPr>
          <w:rStyle w:val="FootnoteReference"/>
        </w:rPr>
        <w:footnoteRef/>
      </w:r>
      <w:r>
        <w:t xml:space="preserve"> </w:t>
      </w:r>
      <w:r>
        <w:tab/>
        <w:t xml:space="preserve">Le tableau classe tous les documents de la Commission pour lesquels au moins </w:t>
      </w:r>
      <w:r>
        <w:rPr>
          <w:u w:val="single"/>
        </w:rPr>
        <w:t>quatre</w:t>
      </w:r>
      <w:r>
        <w:t xml:space="preserve"> avis ont été reçus. Dans certains cas, l’avis concernait également d’autres documents de la Commission. Il convient de noter qu’aucune proposition législative n’a atteint ce seuil de quatre avis en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2"/>
    <w:docVar w:name="LW_ANNEX_UNIQUE" w:val="0"/>
    <w:docVar w:name="LW_CORRIGENDUM" w:val="&lt;UNUSED&gt;"/>
    <w:docVar w:name="LW_COVERPAGE_EXISTS" w:val="True"/>
    <w:docVar w:name="LW_COVERPAGE_GUID" w:val="8A9B68D2-D751-4A55-A3F4-2B07440EB263"/>
    <w:docVar w:name="LW_COVERPAGE_TYPE" w:val="1"/>
    <w:docVar w:name="LW_CROSSREFERENCE" w:val="&lt;UNUSED&gt;"/>
    <w:docVar w:name="LW_DocType" w:val="REP"/>
    <w:docVar w:name="LW_EMISSION" w:val="30.6.2020"/>
    <w:docVar w:name="LW_EMISSION_ISODATE" w:val="2020-06-30"/>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Bold&gt;RAPPORT ANNUEL 2019&lt;/FMT&gt;&lt;FMT:Font=Calibri&gt; &lt;/FMT&gt;_x000b_&lt;FMT:Bold&gt;SUR L\u8217?APPLICATION DES PRINCIPES DE SUBSIDIARITÉ ET DE PROPORTIONNALITÉ ET SUR LES RELATIONS AVEC LES PARLEMENTS NATIONAUX&lt;/FMT&gt;_x000b_"/>
    <w:docVar w:name="LW_PART_NBR" w:val="&lt;UNUSED&gt;"/>
    <w:docVar w:name="LW_PART_NBR_TOTAL" w:val="&lt;UNUSED&gt;"/>
    <w:docVar w:name="LW_REF.INST.NEW" w:val="COM"/>
    <w:docVar w:name="LW_REF.INST.NEW_ADOPTED" w:val="final"/>
    <w:docVar w:name="LW_REF.INST.NEW_TEXT" w:val="(2020)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iceouttxt38">
    <w:name w:val="iceouttxt38"/>
    <w:basedOn w:val="DefaultParagraphFont"/>
    <w:rPr>
      <w:sz w:val="24"/>
      <w:szCs w:val="24"/>
      <w:bdr w:val="none" w:sz="0" w:space="0" w:color="auto" w:frame="1"/>
      <w:vertAlign w:val="base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SecurityMarking">
    <w:name w:val="SecurityMarking"/>
    <w:basedOn w:val="Normal"/>
    <w:pPr>
      <w:spacing w:line="276" w:lineRule="auto"/>
      <w:ind w:left="5103"/>
      <w:jc w:val="left"/>
    </w:pPr>
    <w:rPr>
      <w:rFonts w:eastAsiaTheme="minorHAnsi"/>
      <w:sz w:val="28"/>
      <w:szCs w:val="22"/>
    </w:rPr>
  </w:style>
  <w:style w:type="paragraph" w:customStyle="1" w:styleId="DateMarking">
    <w:name w:val="DateMarking"/>
    <w:basedOn w:val="Normal"/>
    <w:pPr>
      <w:spacing w:line="276" w:lineRule="auto"/>
      <w:ind w:left="5103"/>
      <w:jc w:val="left"/>
    </w:pPr>
    <w:rPr>
      <w:rFonts w:eastAsiaTheme="minorHAnsi"/>
      <w:i/>
      <w:sz w:val="28"/>
      <w:szCs w:val="22"/>
    </w:rPr>
  </w:style>
  <w:style w:type="paragraph" w:customStyle="1" w:styleId="ReleasableTo">
    <w:name w:val="ReleasableTo"/>
    <w:basedOn w:val="Normal"/>
    <w:pPr>
      <w:spacing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iceouttxt38">
    <w:name w:val="iceouttxt38"/>
    <w:basedOn w:val="DefaultParagraphFont"/>
    <w:rPr>
      <w:sz w:val="24"/>
      <w:szCs w:val="24"/>
      <w:bdr w:val="none" w:sz="0" w:space="0" w:color="auto" w:frame="1"/>
      <w:vertAlign w:val="base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SecurityMarking">
    <w:name w:val="SecurityMarking"/>
    <w:basedOn w:val="Normal"/>
    <w:pPr>
      <w:spacing w:line="276" w:lineRule="auto"/>
      <w:ind w:left="5103"/>
      <w:jc w:val="left"/>
    </w:pPr>
    <w:rPr>
      <w:rFonts w:eastAsiaTheme="minorHAnsi"/>
      <w:sz w:val="28"/>
      <w:szCs w:val="22"/>
    </w:rPr>
  </w:style>
  <w:style w:type="paragraph" w:customStyle="1" w:styleId="DateMarking">
    <w:name w:val="DateMarking"/>
    <w:basedOn w:val="Normal"/>
    <w:pPr>
      <w:spacing w:line="276" w:lineRule="auto"/>
      <w:ind w:left="5103"/>
      <w:jc w:val="left"/>
    </w:pPr>
    <w:rPr>
      <w:rFonts w:eastAsiaTheme="minorHAnsi"/>
      <w:i/>
      <w:sz w:val="28"/>
      <w:szCs w:val="22"/>
    </w:rPr>
  </w:style>
  <w:style w:type="paragraph" w:customStyle="1" w:styleId="ReleasableTo">
    <w:name w:val="ReleasableTo"/>
    <w:basedOn w:val="Normal"/>
    <w:pPr>
      <w:spacing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ProductCustomizationId/>
  <Created>
    <Version>4.6</Version>
    <Date>2018-08-29T12:28:07</Date>
    <Language>EN</Language>
  </Created>
  <Edited>
    <Version>10.0.40769.0</Version>
    <Date>2020-06-15T14:41:06</Date>
  </Edited>
  <DocumentModel>
    <Id>6cbda13a-4db2-46c6-876a-ef72275827ef</Id>
    <Name>Report</Name>
  </DocumentModel>
  <DocumentDate/>
  <DocumentVersion/>
  <CompatibilityMode>Eurolook4X</CompatibilityMode>
  <Address/>
</EurolookProperti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85D78C-AD8C-44D8-9F36-C303026A0844}">
  <ds:schemaRefs/>
</ds:datastoreItem>
</file>

<file path=customXml/itemProps2.xml><?xml version="1.0" encoding="utf-8"?>
<ds:datastoreItem xmlns:ds="http://schemas.openxmlformats.org/officeDocument/2006/customXml" ds:itemID="{E0D61C8E-61D8-48E1-A8A1-D7C9F052D3FF}">
  <ds:schemaRefs/>
</ds:datastoreItem>
</file>

<file path=customXml/itemProps3.xml><?xml version="1.0" encoding="utf-8"?>
<ds:datastoreItem xmlns:ds="http://schemas.openxmlformats.org/officeDocument/2006/customXml" ds:itemID="{749A81CD-47B2-43EE-A84B-07911B2F577B}">
  <ds:schemaRefs/>
</ds:datastoreItem>
</file>

<file path=customXml/itemProps4.xml><?xml version="1.0" encoding="utf-8"?>
<ds:datastoreItem xmlns:ds="http://schemas.openxmlformats.org/officeDocument/2006/customXml" ds:itemID="{9D835E48-FE15-4599-BA1B-CA0BC8D8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465</Words>
  <Characters>2395</Characters>
  <Application>Microsoft Office Word</Application>
  <DocSecurity>0</DocSecurity>
  <PresentationFormat>Microsoft Word 14.0</PresentationFormat>
  <Lines>266</Lines>
  <Paragraphs>238</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XXXXXXX</dc:creator>
  <cp:keywords>EL4</cp:keywords>
  <cp:lastModifiedBy>DIGIT/C6</cp:lastModifiedBy>
  <cp:revision>15</cp:revision>
  <cp:lastPrinted>2020-02-19T06:37:00Z</cp:lastPrinted>
  <dcterms:created xsi:type="dcterms:W3CDTF">2020-02-28T10:53:00Z</dcterms:created>
  <dcterms:modified xsi:type="dcterms:W3CDTF">2020-06-25T19:38:00Z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DocStatus">
    <vt:lpwstr>Green</vt:lpwstr>
  </property>
  <property fmtid="{D5CDD505-2E9C-101B-9397-08002B2CF9AE}" pid="12" name="CPTemplateID">
    <vt:lpwstr>CP-039</vt:lpwstr>
  </property>
  <property fmtid="{D5CDD505-2E9C-101B-9397-08002B2CF9AE}" pid="13" name="_LW_INVALIDATED__LW_INVALIDATED__LW_INVALIDATED__LW_INVALIDATED__LW_INVALIDATED__LW_INVALIDATED_TemplateVersion">
    <vt:lpwstr>4.6.5.0000</vt:lpwstr>
  </property>
  <property fmtid="{D5CDD505-2E9C-101B-9397-08002B2CF9AE}" pid="14" name="_LW_INVALIDATED__LW_INVALIDATED__LW_INVALIDATED__LW_INVALIDATED__LW_INVALIDATED__LW_INVALIDATED_EurolookVersion">
    <vt:lpwstr>4.6</vt:lpwstr>
  </property>
  <property fmtid="{D5CDD505-2E9C-101B-9397-08002B2CF9AE}" pid="15" name="_LW_INVALIDATED__LW_INVALIDATED__LW_INVALIDATED__LW_INVALIDATED__LW_INVALIDATED__LW_INVALIDATED_DocID_EU">
    <vt:lpwstr> </vt:lpwstr>
  </property>
  <property fmtid="{D5CDD505-2E9C-101B-9397-08002B2CF9AE}" pid="16" name="_LW_INVALIDATED__LW_INVALIDATED__LW_INVALIDATED__LW_INVALIDATED__LW_INVALIDATED__LW_INVALIDATED_ELDocType">
    <vt:lpwstr>rep.dot</vt:lpwstr>
  </property>
  <property fmtid="{D5CDD505-2E9C-101B-9397-08002B2CF9AE}" pid="17" name="_LW_INVALIDATED__LW_INVALIDATED__LW_INVALIDATED__LW_INVALIDATED__LW_INVALIDATED__LW_INVALIDATED_Formatting">
    <vt:lpwstr>4.1</vt:lpwstr>
  </property>
  <property fmtid="{D5CDD505-2E9C-101B-9397-08002B2CF9AE}" pid="18" name="_LW_INVALIDATED__LW_INVALIDATED__LW_INVALIDATED__LW_INVALIDATED__LW_INVALIDATED__LW_INVALIDATED_EL_Author">
    <vt:lpwstr>Christine Therace</vt:lpwstr>
  </property>
  <property fmtid="{D5CDD505-2E9C-101B-9397-08002B2CF9AE}" pid="19" name="_LW_INVALIDATED__LW_INVALIDATED__LW_INVALIDATED__LW_INVALIDATED__LW_INVALIDATED__LW_INVALIDATED_Type">
    <vt:lpwstr>Eurolook Report</vt:lpwstr>
  </property>
  <property fmtid="{D5CDD505-2E9C-101B-9397-08002B2CF9AE}" pid="20" name="_LW_INVALIDATED__LW_INVALIDATED__LW_INVALIDATED__LW_INVALIDATED__LW_INVALIDATED__LW_INVALIDATED_EL_Language">
    <vt:lpwstr>EN</vt:lpwstr>
  </property>
</Properties>
</file>