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0871030-D6EA-45E1-A705-837C4849D1F3" style="width:450.75pt;height:452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b/>
          <w:i/>
          <w:noProof/>
        </w:rPr>
      </w:pPr>
      <w:r>
        <w:rPr>
          <w:b/>
          <w:noProof/>
        </w:rPr>
        <w:t>ПРОЕКТ</w:t>
      </w:r>
    </w:p>
    <w:p>
      <w:pPr>
        <w:jc w:val="center"/>
        <w:rPr>
          <w:b/>
          <w:i/>
          <w:noProof/>
        </w:rPr>
      </w:pPr>
      <w:r>
        <w:rPr>
          <w:b/>
          <w:noProof/>
        </w:rPr>
        <w:t>РЕШЕНИЕ № XX/2020 НА КОМИТЕТА ПО ТЪРГОВИЯТА, СЪЗДАДЕН С ВРЕМЕННОТО СПОРАЗУМЕНИЕ ЗА ПАРТНЬОРСТВО МЕЖДУ ЕВРОПЕЙСКАТА ОБЩНОСТ, ОТ ЕДНА СТРАНА, И ДЪРЖАВИТЕ ОТ ТИХООКЕАНСКИЯ БАСЕЙН, ОТ ДРУГА СТРАНА</w:t>
      </w:r>
    </w:p>
    <w:p>
      <w:pPr>
        <w:jc w:val="center"/>
        <w:rPr>
          <w:b/>
          <w:i/>
          <w:noProof/>
        </w:rPr>
      </w:pPr>
      <w:r>
        <w:rPr>
          <w:b/>
          <w:noProof/>
        </w:rPr>
        <w:t>от […] година</w:t>
      </w:r>
    </w:p>
    <w:p>
      <w:pPr>
        <w:jc w:val="center"/>
        <w:rPr>
          <w:b/>
          <w:i/>
          <w:noProof/>
        </w:rPr>
      </w:pPr>
      <w:r>
        <w:rPr>
          <w:b/>
          <w:noProof/>
        </w:rPr>
        <w:t>по отношение на изменението на Споразумението, необходимо с цел да бъде взето предвид присъединяването на Независимата държава Самоа</w:t>
      </w:r>
    </w:p>
    <w:p>
      <w:pPr>
        <w:rPr>
          <w:i/>
          <w:noProof/>
        </w:rPr>
      </w:pPr>
      <w:r>
        <w:rPr>
          <w:noProof/>
        </w:rPr>
        <w:t>КОМИТЕТЪТ ПО ТЪРГОВИЯТА,</w:t>
      </w:r>
    </w:p>
    <w:p>
      <w:pPr>
        <w:rPr>
          <w:i/>
          <w:noProof/>
        </w:rPr>
      </w:pPr>
      <w:r>
        <w:rPr>
          <w:noProof/>
        </w:rPr>
        <w:t>като взе предвид Временното споразумение за партньорство между Европейската общност, от една страна, и държавите от Тихоокеанския басейн, от друга страна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(„Споразумението“), с което се установява рамка за споразумение за икономическо партньорство, подписано в Лондон на 30 юли 2009 г., и по-специално членове 13 и 68 от него,</w:t>
      </w:r>
    </w:p>
    <w:p>
      <w:pPr>
        <w:rPr>
          <w:i/>
          <w:noProof/>
        </w:rPr>
      </w:pPr>
      <w:r>
        <w:rPr>
          <w:noProof/>
        </w:rPr>
        <w:t>като има предвид, че:</w:t>
      </w:r>
    </w:p>
    <w:p>
      <w:pPr>
        <w:pStyle w:val="Point0number"/>
        <w:numPr>
          <w:ilvl w:val="0"/>
          <w:numId w:val="23"/>
        </w:numPr>
        <w:rPr>
          <w:noProof/>
        </w:rPr>
      </w:pPr>
      <w:r>
        <w:rPr>
          <w:noProof/>
        </w:rPr>
        <w:t>На 5 февруари 2018 г. Независимата държава Самоа подаде до договарящите страни искане за присъединяване, придружено от предложение за достъп до пазара в съответствие с член ХХIV от ГАТТ от 1994 г. Самоа се присъедини към Споразумението на 21 декември 2018 г. и го прилага временно от 31 декември 2018 г.</w:t>
      </w:r>
    </w:p>
    <w:p>
      <w:pPr>
        <w:pStyle w:val="Point0number"/>
        <w:rPr>
          <w:noProof/>
        </w:rPr>
      </w:pPr>
      <w:r>
        <w:rPr>
          <w:noProof/>
        </w:rPr>
        <w:t>В член 68 от Споразумението се предвижда, че Комитетът по търговията разглежда всички въпроси, необходими за прилагането му.</w:t>
      </w:r>
    </w:p>
    <w:p>
      <w:pPr>
        <w:pStyle w:val="Point0number"/>
        <w:rPr>
          <w:noProof/>
        </w:rPr>
      </w:pPr>
      <w:r>
        <w:rPr>
          <w:noProof/>
        </w:rPr>
        <w:t>На седмото си заседание, проведено на 3 и 4 октомври 2019 г., Комитетът по търговията в рамките на СИП прие препоръка към страните по Споразумението, в която, наред с друго, се препоръчва то да бъде изменено, за да бъде взето предвид присъединяването на Независимата държава Самоа. Сред поисканите промени фигурира включването на предложението на Самоа за достъп до пазара в приложение II към Споразумението.</w:t>
      </w:r>
    </w:p>
    <w:p>
      <w:pPr>
        <w:pStyle w:val="Point0number"/>
        <w:rPr>
          <w:noProof/>
        </w:rPr>
      </w:pPr>
      <w:r>
        <w:rPr>
          <w:noProof/>
        </w:rPr>
        <w:t>В член 13 от Споразумението се предвижда че при наличие на съгласие Комитетът по търговията може да измени приложение ІІ по начин, който сметне за целесъобразен.</w:t>
      </w:r>
    </w:p>
    <w:p>
      <w:pPr>
        <w:rPr>
          <w:i/>
          <w:noProof/>
        </w:rPr>
      </w:pPr>
      <w:r>
        <w:rPr>
          <w:noProof/>
        </w:rPr>
        <w:t>ПРИЕ НАСТОЯЩОТО РЕШЕНИЕ:</w:t>
      </w:r>
    </w:p>
    <w:p>
      <w:pPr>
        <w:rPr>
          <w:i/>
          <w:noProof/>
        </w:rPr>
      </w:pPr>
      <w:r>
        <w:rPr>
          <w:noProof/>
        </w:rPr>
        <w:t>Текстът на договореното предложение за достъп до пазара на Независимата държава Самоа, поместен в приложението към настоящото решение, се включва в приложение II към Споразумението.</w:t>
      </w:r>
    </w:p>
    <w:p>
      <w:pPr>
        <w:rPr>
          <w:noProof/>
        </w:rPr>
      </w:pPr>
      <w:r>
        <w:rPr>
          <w:noProof/>
        </w:rPr>
        <w:t>Съставено в Брюксел на […] година.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>
        <w:tc>
          <w:tcPr>
            <w:tcW w:w="9213" w:type="dxa"/>
            <w:gridSpan w:val="2"/>
          </w:tcPr>
          <w:p>
            <w:pPr>
              <w:pStyle w:val="Personnequisigne"/>
              <w:spacing w:after="240"/>
              <w:jc w:val="center"/>
              <w:rPr>
                <w:noProof/>
              </w:rPr>
            </w:pPr>
            <w:r>
              <w:rPr>
                <w:noProof/>
              </w:rPr>
              <w:t>За Комитета по търговията</w:t>
            </w:r>
          </w:p>
        </w:tc>
      </w:tr>
      <w:tr>
        <w:tc>
          <w:tcPr>
            <w:tcW w:w="4606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От името на Съюза</w:t>
            </w:r>
          </w:p>
        </w:tc>
        <w:tc>
          <w:tcPr>
            <w:tcW w:w="4607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От името на държавите от Тихоокеанския басейн</w:t>
            </w:r>
          </w:p>
        </w:tc>
      </w:tr>
    </w:tbl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ПРИЛОЖЕНИЕ</w:t>
      </w:r>
    </w:p>
    <w:p>
      <w:pPr>
        <w:jc w:val="center"/>
        <w:rPr>
          <w:i/>
          <w:noProof/>
        </w:rPr>
      </w:pPr>
      <w:r>
        <w:rPr>
          <w:i/>
          <w:noProof/>
        </w:rPr>
        <w:t>МИТА, ПРИЛОЖИМИ КЪМ ВНОСА В НЕЗАВИСИМАТА ДЪРЖАВА САМОА (ОВ L 333, 28.12.2018 г., стр. 1)</w:t>
      </w:r>
    </w:p>
    <w:p>
      <w:pPr>
        <w:rPr>
          <w:noProof/>
        </w:rPr>
      </w:pPr>
      <w:hyperlink r:id="rId18" w:history="1">
        <w:r>
          <w:rPr>
            <w:rStyle w:val="Hyperlink"/>
            <w:noProof/>
          </w:rPr>
          <w:t>https://eur-lex.europa.eu/legal-content/BG/TXT/HTML/?uri=OJ:L:2018:333:FULL&amp;from=EN</w:t>
        </w:r>
      </w:hyperlink>
      <w:r>
        <w:rPr>
          <w:noProof/>
        </w:rPr>
        <w:t xml:space="preserve"> 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2009/729/ЕО от 13 юли 2009 г. за подписване и временно прилагане на Временното споразумение за партньорство между Европейската общност, от една страна, и държавите от Тихоокеанския басейн, от друга страна (ОВ L 272, 16.10.2009 г., стр.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18E88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8B06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1EB6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61AF8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A4263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E5A60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694FC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3ECAD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24 09:09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0871030-D6EA-45E1-A705-837C4849D1F3"/>
    <w:docVar w:name="LW_COVERPAGE_TYPE" w:val="1"/>
    <w:docVar w:name="LW_CROSSREFERENCE" w:val="&lt;UNUSED&gt;"/>
    <w:docVar w:name="LW_DocType" w:val="ANNEX"/>
    <w:docVar w:name="LW_EMISSION" w:val="1.7.2020"/>
    <w:docVar w:name="LW_EMISSION_ISODATE" w:val="2020-07-0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90?\u1098?\u1088?\u1075?\u1086?\u1074?\u1080?\u1103?\u1090?\u1072?, \u1089?\u1098?\u1079?\u1076?\u1072?\u1076?\u1077?\u1085? \u1089?\u1098?\u1075?\u1083?\u1072?\u1089?\u1085?\u1086? \u1042?\u1088?\u1077?\u1084?\u1077?\u1085?\u1085?\u1086?\u1090?\u1086? \u1089?\u1087?\u1086?\u1088?\u1072?\u1079?\u1091?\u1084?\u1077?\u1085?\u1080?\u1077? \u1079?\u1072? \u1087?\u1072?\u1088?\u1090?\u1085?\u1100?\u1086?\u1088?\u1089?\u1090?\u1074?\u1086? \u1084?\u1077?\u1078?\u1076?\u1091? \u1045?\u1074?\u1088?\u1086?\u1087?\u1077?\u1081?\u1089?\u1082?\u1072?\u1090?\u1072? \u1086?\u1073?\u1097?\u1085?\u1086?\u1089?\u1090?, \u1086?\u1090? \u1077?\u1076?\u1085?\u1072? \u1089?\u1090?\u1088?\u1072?\u1085?\u1072?, \u1080? \u1076?\u1098?\u1088?\u1078?\u1072?\u1074?\u1080?\u1090?\u1077? \u1086?\u1090? \u1058?\u1080?\u1093?\u1086?\u1086?\u1082?\u1077?\u1072?\u1085?\u1089?\u1082?\u1080?\u1103? \u1073?\u1072?\u1089?\u1077?\u1081?\u1085?, \u1086?\u1090? \u1076?\u1088?\u1091?\u1075?\u1072? \u1089?\u1090?\u1088?\u1072?\u1085?\u1072?, \u1087?\u1086? \u1086?\u1090?\u1085?\u1086?\u1096?\u1077?\u1085?\u1080?\u1077? \u1085?\u1072? \u1080?\u1079?\u1084?\u1077?\u1085?\u1077?\u1085?\u1080?\u1077?\u1090?\u1086? \u1085?\u1072? \u1057?\u1087?\u1086?\u1088?\u1072?\u1079?\u1091?\u1084?\u1077?\u1085?\u1080?\u1077?\u1090?\u1086?, \u1085?\u1077?\u1086?\u1073?\u1093?\u1086?\u1076?\u1080?\u1084?\u1086? \u1089? \u1094?\u1077?\u1083? \u1076?\u1072? \u1073?\u1098?\u1076?\u1077? \u1074?\u1079?\u1077?\u1090?\u1086? \u1087?\u1088?\u1077?\u1076?\u1074?\u1080?\u1076? \u1087?\u1088?\u1080?\u1089?\u1098?\u1077?\u1076?\u1080?\u1085?\u1103?\u1074?\u1072?\u1085?\u1077?\u1090?\u1086? \u1085?\u1072? \u1053?\u1077?\u1079?\u1072?\u1074?\u1080?\u1089?\u1080?\u1084?\u1072?\u1090?\u1072? \u1076?\u1098?\u1088?\u1078?\u1072?\u1074?\u1072? \u1057?\u1072?\u1084?\u1086?\u1072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90?\u1098?\u1088?\u1075?\u1086?\u1074?\u1080?\u1103?\u1090?\u1072?, \u1089?\u1098?\u1079?\u1076?\u1072?\u1076?\u1077?\u1085? \u1089?\u1098?\u1075?\u1083?\u1072?\u1089?\u1085?\u1086? \u1042?\u1088?\u1077?\u1084?\u1077?\u1085?\u1085?\u1086?\u1090?\u1086? \u1089?\u1087?\u1086?\u1088?\u1072?\u1079?\u1091?\u1084?\u1077?\u1085?\u1080?\u1077? \u1079?\u1072? \u1087?\u1072?\u1088?\u1090?\u1085?\u1100?\u1086?\u1088?\u1089?\u1090?\u1074?\u1086? \u1084?\u1077?\u1078?\u1076?\u1091? \u1045?\u1074?\u1088?\u1086?\u1087?\u1077?\u1081?\u1089?\u1082?\u1072?\u1090?\u1072? \u1086?\u1073?\u1097?\u1085?\u1086?\u1089?\u1090?, \u1086?\u1090? \u1077?\u1076?\u1085?\u1072? \u1089?\u1090?\u1088?\u1072?\u1085?\u1072?, \u1080? \u1076?\u1098?\u1088?\u1078?\u1072?\u1074?\u1080?\u1090?\u1077? \u1086?\u1090? \u1058?\u1080?\u1093?\u1086?\u1086?\u1082?\u1077?\u1072?\u1085?\u1089?\u1082?\u1080?\u1103? \u1073?\u1072?\u1089?\u1077?\u1081?\u1085?, \u1086?\u1090? \u1076?\u1088?\u1091?\u1075?\u1072? \u1089?\u1090?\u1088?\u1072?\u1085?\u1072?, \u1087?\u1086? \u1086?\u1090?\u1085?\u1086?\u1096?\u1077?\u1085?\u1080?\u1077? \u1085?\u1072? \u1080?\u1079?\u1084?\u1077?\u1085?\u1077?\u1085?\u1080?\u1077?\u1090?\u1086? \u1085?\u1072? \u1057?\u1087?\u1086?\u1088?\u1072?\u1079?\u1091?\u1084?\u1077?\u1085?\u1080?\u1077?\u1090?\u1086?, \u1085?\u1077?\u1086?\u1073?\u1093?\u1086?\u1076?\u1080?\u1084?\u1086? \u1089? \u1094?\u1077?\u1083? \u1076?\u1072? \u1073?\u1098?\u1076?\u1077? \u1074?\u1079?\u1077?\u1090?\u1086? \u1087?\u1088?\u1077?\u1076?\u1074?\u1080?\u1076? \u1087?\u1088?\u1080?\u1089?\u1098?\u1077?\u1076?\u1080?\u1085?\u1103?\u1074?\u1072?\u1085?\u1077?\u1090?\u1086? \u1085?\u1072? \u1053?\u1077?\u1079?\u1072?\u1074?\u1080?\u1089?\u1080?\u1084?\u1072?\u1090?\u1072? \u1076?\u1098?\u1088?\u1078?\u1072?\u1074?\u1072? \u1057?\u1072?\u1084?\u1086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20) 27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_x000b_"/>
    <w:docVar w:name="LW_TYPEACTEPRINCIPAL.CP" w:val="\u1055?\u1088?\u1077?\u1076?\u1083?\u1086?\u1078?\u1077?\u1085?\u1080?\u1077? \u1079?\u1072? \u1056?\u1077?\u1096?\u1077?\u1085?\u1080?\u1077? \u1085?\u1072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ur-lex.europa.eu/legal-content/BG/TXT/HTML/?uri=OJ:L:2018:333:FULL&amp;from=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52B5-BAAB-43C3-8A8F-CF044EC7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347</Words>
  <Characters>2008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dcterms:created xsi:type="dcterms:W3CDTF">2020-06-14T21:02:00Z</dcterms:created>
  <dcterms:modified xsi:type="dcterms:W3CDTF">2020-06-24T07:09:00Z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