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CBB8530-0089-4AB4-BBF4-CA7CF06B1339" style="width:450.35pt;height:406.8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Предмет на предложението</w:t>
      </w:r>
    </w:p>
    <w:p>
      <w:pPr>
        <w:rPr>
          <w:rFonts w:eastAsia="Arial Unicode MS"/>
          <w:noProof/>
        </w:rPr>
      </w:pPr>
      <w:r>
        <w:rPr>
          <w:noProof/>
        </w:rPr>
        <w:t>Настоящото предложение се отнася до решението за установяване на позицията, която трябва да се заеме от името на Съюза в рамките на Комитета по търговията, създаден съгласно Временното споразумение за партньорство между Европейската общност, от една страна, и държавите от Тихоокеанския басейн, от друга страна, по отношение на изменението на Споразумението, необходимо с цел да бъде взето предвид присъединяването на Независимата държава Самоа към него.</w:t>
      </w:r>
    </w:p>
    <w:p>
      <w:pPr>
        <w:pStyle w:val="ManualHeading1"/>
        <w:rPr>
          <w:noProof/>
        </w:rPr>
      </w:pPr>
      <w:r>
        <w:rPr>
          <w:noProof/>
        </w:rPr>
        <w:t>2.</w:t>
      </w:r>
      <w:r>
        <w:rPr>
          <w:noProof/>
        </w:rPr>
        <w:tab/>
        <w:t>Контекст на предложението</w:t>
      </w:r>
    </w:p>
    <w:p>
      <w:pPr>
        <w:pStyle w:val="ManualHeading2"/>
        <w:rPr>
          <w:noProof/>
        </w:rPr>
      </w:pPr>
      <w:r>
        <w:rPr>
          <w:noProof/>
        </w:rPr>
        <w:t>2.1.</w:t>
      </w:r>
      <w:r>
        <w:rPr>
          <w:noProof/>
        </w:rPr>
        <w:tab/>
        <w:t>Основания и цели на предложението</w:t>
      </w:r>
    </w:p>
    <w:p>
      <w:pPr>
        <w:rPr>
          <w:noProof/>
          <w:color w:val="000000"/>
          <w:szCs w:val="20"/>
        </w:rPr>
      </w:pPr>
      <w:r>
        <w:rPr>
          <w:noProof/>
          <w:color w:val="000000"/>
          <w:szCs w:val="20"/>
        </w:rPr>
        <w:t>На 12 юни 2002 г. Съветът упълномощи Комисията да започне преговори за споразумения за икономическо партньорство (СИП) с държавите от АКТБ.</w:t>
      </w:r>
    </w:p>
    <w:p>
      <w:pPr>
        <w:rPr>
          <w:rFonts w:eastAsia="Arial Unicode MS"/>
          <w:noProof/>
        </w:rPr>
      </w:pPr>
      <w:r>
        <w:rPr>
          <w:noProof/>
        </w:rPr>
        <w:t>На 30 юли 2009 г. Съюзът подписа Временното споразумение за партньорство между Европейската общност, от една страна, и държавите от Тихоокеанския басейн, от друга страна („Споразумението“), с което се установява рамка за Споразумение за икономическо партньорство</w:t>
      </w:r>
      <w:r>
        <w:rPr>
          <w:rStyle w:val="FootnoteReference"/>
          <w:noProof/>
        </w:rPr>
        <w:footnoteReference w:id="1"/>
      </w:r>
      <w:r>
        <w:rPr>
          <w:noProof/>
        </w:rPr>
        <w:t>. Споразумението има за цел:</w:t>
      </w:r>
    </w:p>
    <w:p>
      <w:pPr>
        <w:pStyle w:val="Point0"/>
        <w:rPr>
          <w:noProof/>
        </w:rPr>
      </w:pPr>
      <w:r>
        <w:rPr>
          <w:noProof/>
        </w:rPr>
        <w:t>а)</w:t>
      </w:r>
      <w:r>
        <w:rPr>
          <w:noProof/>
        </w:rPr>
        <w:tab/>
        <w:t>да позволи на държавите от Тихоокеанския басейн да започнат да използват подобрения достъп до пазара, предложен от ЕС;</w:t>
      </w:r>
    </w:p>
    <w:p>
      <w:pPr>
        <w:pStyle w:val="Point0"/>
        <w:rPr>
          <w:noProof/>
        </w:rPr>
      </w:pPr>
      <w:r>
        <w:rPr>
          <w:noProof/>
        </w:rPr>
        <w:t>б)</w:t>
      </w:r>
      <w:r>
        <w:rPr>
          <w:noProof/>
        </w:rPr>
        <w:tab/>
        <w:t>да насърчи устойчивото развитие и постепенното интегриране на държавите от Тихоокеанския басейн в световната икономика;</w:t>
      </w:r>
    </w:p>
    <w:p>
      <w:pPr>
        <w:pStyle w:val="Point0"/>
        <w:rPr>
          <w:noProof/>
        </w:rPr>
      </w:pPr>
      <w:r>
        <w:rPr>
          <w:noProof/>
        </w:rPr>
        <w:t>в)</w:t>
      </w:r>
      <w:r>
        <w:rPr>
          <w:noProof/>
        </w:rPr>
        <w:tab/>
        <w:t>да създаде зона за свободна търговия между страните на основата на взаимния интерес и да изпълни тази цел чрез поетапна либерализация на търговията по начин, съответстващ на приложимите правила на СТО и принципа на асиметричния подход, пропорционално на специфичните нужди и ограниченията по отношение на капацитета на държавите от Тихоокеанския басейн, що се отнася до равнището на ангажиментите по настоящото споразумение и до предвидения в него график за изпълнението им;</w:t>
      </w:r>
    </w:p>
    <w:p>
      <w:pPr>
        <w:pStyle w:val="Point0"/>
        <w:rPr>
          <w:noProof/>
        </w:rPr>
      </w:pPr>
      <w:r>
        <w:rPr>
          <w:noProof/>
        </w:rPr>
        <w:t>г)</w:t>
      </w:r>
      <w:r>
        <w:rPr>
          <w:noProof/>
        </w:rPr>
        <w:tab/>
        <w:t>да установи подходящите процедури за уреждане на спорове; както и</w:t>
      </w:r>
    </w:p>
    <w:p>
      <w:pPr>
        <w:pStyle w:val="Point0"/>
        <w:rPr>
          <w:noProof/>
        </w:rPr>
      </w:pPr>
      <w:r>
        <w:rPr>
          <w:noProof/>
        </w:rPr>
        <w:t>д)</w:t>
      </w:r>
      <w:r>
        <w:rPr>
          <w:noProof/>
        </w:rPr>
        <w:tab/>
        <w:t>да установи подходящите институционални договорености.</w:t>
      </w:r>
    </w:p>
    <w:p>
      <w:pPr>
        <w:rPr>
          <w:noProof/>
        </w:rPr>
      </w:pPr>
      <w:r>
        <w:rPr>
          <w:noProof/>
        </w:rPr>
        <w:t>Папуа-Нова Гвинея и Република Фиджи временно прилагат Споразумението съответно от 20 декември 2009 г. и 28 юли 2014 г.</w:t>
      </w:r>
    </w:p>
    <w:p>
      <w:pPr>
        <w:rPr>
          <w:noProof/>
          <w:color w:val="000000"/>
          <w:szCs w:val="20"/>
        </w:rPr>
      </w:pPr>
      <w:r>
        <w:rPr>
          <w:noProof/>
          <w:color w:val="000000"/>
          <w:szCs w:val="20"/>
        </w:rPr>
        <w:t>В член 80 от него се предвижда, че други тихоокеански острови могат да се присъединят към Споразумението, като подадат предложение за достъп до пазара в съответствие с член ХХIV от ГАТТ от 1994 г. Съответно Независимата държава Самоа се присъедини към Споразумението на 21 декември 2018 г.</w:t>
      </w:r>
      <w:r>
        <w:rPr>
          <w:rStyle w:val="FootnoteReference"/>
          <w:noProof/>
          <w:color w:val="000000"/>
          <w:szCs w:val="20"/>
        </w:rPr>
        <w:footnoteReference w:id="2"/>
      </w:r>
      <w:r>
        <w:rPr>
          <w:noProof/>
          <w:color w:val="000000"/>
          <w:szCs w:val="20"/>
        </w:rPr>
        <w:t xml:space="preserve"> и го прилага временно от 31 декември 2018 г. В ход са процедурите за присъединяване на Соломоновите острови и Кралство Тонга, които изразиха интерес да се присъединят към Споразумението.</w:t>
      </w:r>
    </w:p>
    <w:p>
      <w:pPr>
        <w:rPr>
          <w:rFonts w:eastAsia="Arial Unicode MS"/>
          <w:noProof/>
        </w:rPr>
      </w:pPr>
      <w:r>
        <w:rPr>
          <w:noProof/>
          <w:color w:val="000000"/>
          <w:szCs w:val="20"/>
        </w:rPr>
        <w:lastRenderedPageBreak/>
        <w:t>Вследствие присъединяването на</w:t>
      </w:r>
      <w:r>
        <w:rPr>
          <w:noProof/>
        </w:rPr>
        <w:t xml:space="preserve"> Независимата държава Самоа към Споразумението е необходимо в него да бъдат внесени технически изменения с оглед на включването на нейното предложение за достъп до пазара в приложение II към Споразумението.</w:t>
      </w:r>
    </w:p>
    <w:p>
      <w:pPr>
        <w:pStyle w:val="ManualHeading2"/>
        <w:rPr>
          <w:noProof/>
        </w:rPr>
      </w:pPr>
      <w:r>
        <w:rPr>
          <w:noProof/>
        </w:rPr>
        <w:t>2.2.</w:t>
      </w:r>
      <w:r>
        <w:rPr>
          <w:noProof/>
        </w:rPr>
        <w:tab/>
        <w:t>Комитетът по търговията в рамките на СИП</w:t>
      </w:r>
    </w:p>
    <w:p>
      <w:pPr>
        <w:rPr>
          <w:rFonts w:eastAsia="Arial Unicode MS"/>
          <w:noProof/>
        </w:rPr>
      </w:pPr>
      <w:r>
        <w:rPr>
          <w:noProof/>
        </w:rPr>
        <w:t>С член 68 от СИП се създава Комитет по търговията, който се състои от представители на страните (ЕС и държавите от Тихоокеанския басейн).</w:t>
      </w:r>
    </w:p>
    <w:p>
      <w:pPr>
        <w:rPr>
          <w:rFonts w:eastAsia="Arial Unicode MS"/>
          <w:noProof/>
        </w:rPr>
      </w:pPr>
      <w:r>
        <w:rPr>
          <w:noProof/>
        </w:rPr>
        <w:t>Комитетът по търговията разглежда всички въпроси, необходими за прилагането на Споразумението. При изпълнението на функциите си Комитетът по търговията може:</w:t>
      </w:r>
    </w:p>
    <w:p>
      <w:pPr>
        <w:pStyle w:val="Point0"/>
        <w:rPr>
          <w:noProof/>
        </w:rPr>
      </w:pPr>
      <w:r>
        <w:rPr>
          <w:noProof/>
        </w:rPr>
        <w:t>а)</w:t>
      </w:r>
      <w:r>
        <w:rPr>
          <w:noProof/>
        </w:rPr>
        <w:tab/>
        <w:t>да създава всякакви специални комитети или органи, необходими за прилагането на Споразумението;</w:t>
      </w:r>
    </w:p>
    <w:p>
      <w:pPr>
        <w:pStyle w:val="Point0"/>
        <w:rPr>
          <w:noProof/>
        </w:rPr>
      </w:pPr>
      <w:r>
        <w:rPr>
          <w:noProof/>
        </w:rPr>
        <w:t>б)</w:t>
      </w:r>
      <w:r>
        <w:rPr>
          <w:noProof/>
        </w:rPr>
        <w:tab/>
        <w:t>да заседава по всяко време, за което страните са постигнали съгласие;</w:t>
      </w:r>
    </w:p>
    <w:p>
      <w:pPr>
        <w:pStyle w:val="Point0"/>
        <w:rPr>
          <w:noProof/>
        </w:rPr>
      </w:pPr>
      <w:r>
        <w:rPr>
          <w:noProof/>
        </w:rPr>
        <w:t>в)</w:t>
      </w:r>
      <w:r>
        <w:rPr>
          <w:noProof/>
        </w:rPr>
        <w:tab/>
        <w:t>да разглежда всякакви въпроси, попадащи в приложното поле на Споразумението, и да предприема подходящи действия при изпълнението на функциите си; както и</w:t>
      </w:r>
    </w:p>
    <w:p>
      <w:pPr>
        <w:pStyle w:val="Point0"/>
        <w:rPr>
          <w:rFonts w:eastAsia="Arial Unicode MS"/>
          <w:noProof/>
        </w:rPr>
      </w:pPr>
      <w:r>
        <w:rPr>
          <w:noProof/>
        </w:rPr>
        <w:t>г)</w:t>
      </w:r>
      <w:r>
        <w:rPr>
          <w:noProof/>
        </w:rPr>
        <w:tab/>
        <w:t>да взема решения или да отправя препоръки в случаите, предвидени в Споразумението.</w:t>
      </w:r>
    </w:p>
    <w:p>
      <w:pPr>
        <w:pStyle w:val="ManualHeading2"/>
        <w:rPr>
          <w:noProof/>
        </w:rPr>
      </w:pPr>
      <w:r>
        <w:rPr>
          <w:noProof/>
        </w:rPr>
        <w:t>2.3.</w:t>
      </w:r>
      <w:r>
        <w:rPr>
          <w:noProof/>
        </w:rPr>
        <w:tab/>
        <w:t>Предвиденото решение на Комитета по търговията в рамките на СИП</w:t>
      </w:r>
    </w:p>
    <w:p>
      <w:pPr>
        <w:rPr>
          <w:rFonts w:eastAsia="Arial Unicode MS"/>
          <w:noProof/>
        </w:rPr>
      </w:pPr>
      <w:r>
        <w:rPr>
          <w:noProof/>
        </w:rPr>
        <w:t>На седмото си заседание, проведено на 3 и 4 октомври 2019 г., Комитетът по търговията в рамките на СИП прие препоръка към страните по Споразумението, в която, наред с друго, се препоръчва то да бъде изменено, за да бъде взето предвид присъединяването на Независимата държава Самоа. Сред поисканите промени фигурира включването на предложението на Самоа за достъп до пазара в приложение II към Споразумението.</w:t>
      </w:r>
    </w:p>
    <w:p>
      <w:pPr>
        <w:rPr>
          <w:rFonts w:eastAsia="Arial Unicode MS"/>
          <w:noProof/>
        </w:rPr>
      </w:pPr>
      <w:r>
        <w:rPr>
          <w:noProof/>
        </w:rPr>
        <w:t>В член 13 от Споразумението се предвижда, че при наличие на съгласие Комитетът по търговията може да измени приложение ІІ по начин, който сметне за целесъобразен.</w:t>
      </w:r>
    </w:p>
    <w:p>
      <w:pPr>
        <w:rPr>
          <w:noProof/>
        </w:rPr>
      </w:pPr>
      <w:r>
        <w:rPr>
          <w:noProof/>
        </w:rPr>
        <w:t>Съответно, по време на осмото си заседание на XX XX XX година, Комитетът по търговията в рамките на СИП трябва да приеме решение, с което да внесе необходимите технически изменения в Споразумението с цел да бъде взето предвид присъединяването на Независимата държава Самоа.</w:t>
      </w:r>
    </w:p>
    <w:p>
      <w:pPr>
        <w:pStyle w:val="ManualHeading1"/>
        <w:rPr>
          <w:noProof/>
        </w:rPr>
      </w:pPr>
      <w:r>
        <w:rPr>
          <w:noProof/>
        </w:rPr>
        <w:t>3.</w:t>
      </w:r>
      <w:r>
        <w:rPr>
          <w:noProof/>
        </w:rPr>
        <w:tab/>
        <w:t>Позиция, която трябва да се заеме от името на Съюза</w:t>
      </w:r>
    </w:p>
    <w:p>
      <w:pPr>
        <w:rPr>
          <w:rFonts w:eastAsia="Arial Unicode MS"/>
          <w:noProof/>
        </w:rPr>
      </w:pPr>
      <w:r>
        <w:rPr>
          <w:noProof/>
        </w:rPr>
        <w:t>С предложението за решение на Съвета се установява позицията, която трябва да се заеме от името на Съюза във връзка с приемането на предложеното изменение на Споразумението, за да се вземе предвид скорошното присъединяване на Независимата държава Самоа.</w:t>
      </w:r>
    </w:p>
    <w:p>
      <w:pPr>
        <w:rPr>
          <w:rFonts w:eastAsia="Arial Unicode MS"/>
          <w:noProof/>
        </w:rPr>
      </w:pPr>
      <w:r>
        <w:rPr>
          <w:noProof/>
        </w:rPr>
        <w:t>Тази позиция трябва да се основава на проекта на решение на Комитета по търговията относно изменението на Споразумението, приложен към проекта на решение на Съвета.</w:t>
      </w:r>
    </w:p>
    <w:p>
      <w:pPr>
        <w:rPr>
          <w:rFonts w:eastAsia="Arial Unicode MS"/>
          <w:noProof/>
        </w:rPr>
      </w:pPr>
      <w:r>
        <w:rPr>
          <w:noProof/>
        </w:rPr>
        <w:t>Предметът на предвидената препоръка се отнася до търговската политика — област, в която Съюзът разполага с изключителна външна компетентност по силата на член 3, параграф 2 от ДФЕС.</w:t>
      </w:r>
    </w:p>
    <w:p>
      <w:pPr>
        <w:pStyle w:val="ManualHeading1"/>
        <w:rPr>
          <w:noProof/>
        </w:rPr>
      </w:pPr>
      <w:r>
        <w:rPr>
          <w:noProof/>
        </w:rPr>
        <w:lastRenderedPageBreak/>
        <w:t>4.</w:t>
      </w:r>
      <w:r>
        <w:rPr>
          <w:noProof/>
        </w:rPr>
        <w:tab/>
        <w:t>Правно основание</w:t>
      </w:r>
    </w:p>
    <w:p>
      <w:pPr>
        <w:pStyle w:val="ManualHeading2"/>
        <w:rPr>
          <w:noProof/>
        </w:rPr>
      </w:pPr>
      <w:r>
        <w:rPr>
          <w:noProof/>
        </w:rPr>
        <w:t>4.1.</w:t>
      </w:r>
      <w:r>
        <w:rPr>
          <w:noProof/>
        </w:rPr>
        <w:tab/>
        <w:t>Процесуалноправно основание</w:t>
      </w:r>
    </w:p>
    <w:p>
      <w:pPr>
        <w:pStyle w:val="ManualHeading3"/>
        <w:rPr>
          <w:noProof/>
        </w:rPr>
      </w:pPr>
      <w:r>
        <w:rPr>
          <w:noProof/>
        </w:rPr>
        <w:t>4.1.1.</w:t>
      </w:r>
      <w:r>
        <w:rPr>
          <w:noProof/>
        </w:rPr>
        <w:tab/>
        <w:t>Принципи</w:t>
      </w:r>
    </w:p>
    <w:p>
      <w:pPr>
        <w:rPr>
          <w:rFonts w:eastAsia="Times New Roman"/>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rFonts w:eastAsia="Times New Roman"/>
          <w:noProof/>
        </w:rPr>
      </w:pPr>
      <w:r>
        <w:rPr>
          <w:noProof/>
        </w:rPr>
        <w:t>Понятието „актове с правно действие“ включва актове с правно действие по силата на нормите на международното право, които уреждат съответния орган. То включва и инструменти,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p>
    <w:p>
      <w:pPr>
        <w:pStyle w:val="ManualHeading3"/>
        <w:rPr>
          <w:noProof/>
        </w:rPr>
      </w:pPr>
      <w:r>
        <w:rPr>
          <w:noProof/>
        </w:rPr>
        <w:t>4.1.2.</w:t>
      </w:r>
      <w:r>
        <w:rPr>
          <w:noProof/>
        </w:rPr>
        <w:tab/>
        <w:t>Приложение в конкретния случай</w:t>
      </w:r>
    </w:p>
    <w:p>
      <w:pPr>
        <w:rPr>
          <w:rFonts w:eastAsia="Times New Roman"/>
          <w:noProof/>
        </w:rPr>
      </w:pPr>
      <w:r>
        <w:rPr>
          <w:noProof/>
        </w:rPr>
        <w:t>Комитетът по търговията е орган, създаден по силата на Споразумението за икономическо партньорство.</w:t>
      </w:r>
    </w:p>
    <w:p>
      <w:pPr>
        <w:rPr>
          <w:rFonts w:eastAsia="Times New Roman"/>
          <w:noProof/>
        </w:rPr>
      </w:pPr>
      <w:r>
        <w:rPr>
          <w:noProof/>
        </w:rPr>
        <w:t>Изменението, което трябва да приеме Комитетът по търговията, поражда правни последици. След като бъде прието, предвиденото изменение ще бъде обвързващо съгласно международното право в съответствие с член 13 от Споразумението.</w:t>
      </w:r>
    </w:p>
    <w:p>
      <w:pPr>
        <w:rPr>
          <w:rFonts w:eastAsia="Times New Roman"/>
          <w:noProof/>
        </w:rPr>
      </w:pPr>
      <w:r>
        <w:rPr>
          <w:noProof/>
        </w:rPr>
        <w:t>Предвиденото изменение не допълва, нито изменя институционалната рамка на Споразумението.</w:t>
      </w:r>
    </w:p>
    <w:p>
      <w:pPr>
        <w:rPr>
          <w:rFonts w:eastAsia="Times New Roman"/>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rPr>
          <w:noProof/>
        </w:rPr>
        <w:t>4.2.</w:t>
      </w:r>
      <w:r>
        <w:rPr>
          <w:noProof/>
        </w:rPr>
        <w:tab/>
        <w:t>Материалноправно основание</w:t>
      </w:r>
    </w:p>
    <w:p>
      <w:pPr>
        <w:pStyle w:val="ManualHeading3"/>
        <w:rPr>
          <w:noProof/>
        </w:rPr>
      </w:pPr>
      <w:r>
        <w:rPr>
          <w:noProof/>
        </w:rPr>
        <w:t>4.2.1.</w:t>
      </w:r>
      <w:r>
        <w:rPr>
          <w:noProof/>
        </w:rPr>
        <w:tab/>
        <w:t>Принципи</w:t>
      </w:r>
    </w:p>
    <w:p>
      <w:pPr>
        <w:rPr>
          <w:rFonts w:eastAsia="Times New Roman"/>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предвидената препоръка, във връзка с която се заема позиция от името на Съюза. Ако предвидената препоръка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rPr>
          <w:noProof/>
        </w:rPr>
        <w:t>4.2.2.</w:t>
      </w:r>
      <w:r>
        <w:rPr>
          <w:noProof/>
        </w:rPr>
        <w:tab/>
        <w:t>Приложение в конкретния случай</w:t>
      </w:r>
    </w:p>
    <w:p>
      <w:pPr>
        <w:rPr>
          <w:rFonts w:eastAsia="Times New Roman"/>
          <w:noProof/>
        </w:rPr>
      </w:pPr>
      <w:r>
        <w:rPr>
          <w:noProof/>
        </w:rPr>
        <w:t>Целта и съдържанието на предвидената препоръка са свързани с общата търговска политика.</w:t>
      </w:r>
    </w:p>
    <w:p>
      <w:pPr>
        <w:rPr>
          <w:rFonts w:eastAsia="Times New Roman"/>
          <w:noProof/>
        </w:rPr>
      </w:pPr>
      <w:r>
        <w:rPr>
          <w:noProof/>
        </w:rPr>
        <w:t>Поради това материалноправното основание за предложеното решение е член 207, параграф 4, първа алинея от ДФЕС.</w:t>
      </w:r>
    </w:p>
    <w:p>
      <w:pPr>
        <w:pStyle w:val="ManualHeading2"/>
        <w:rPr>
          <w:noProof/>
        </w:rPr>
      </w:pPr>
      <w:r>
        <w:rPr>
          <w:noProof/>
        </w:rPr>
        <w:t>4.3.</w:t>
      </w:r>
      <w:r>
        <w:rPr>
          <w:noProof/>
        </w:rPr>
        <w:tab/>
        <w:t>Заключение</w:t>
      </w:r>
    </w:p>
    <w:p>
      <w:pPr>
        <w:rPr>
          <w:rFonts w:eastAsia="Times New Roman"/>
          <w:noProof/>
        </w:rPr>
      </w:pPr>
      <w:r>
        <w:rPr>
          <w:noProof/>
        </w:rPr>
        <w:t>Правното основание за предложеното решение следва да бъде член 207, параграф 4, първа алинея от ДФЕС във връзка с член 218, параграф 9 от него.</w:t>
      </w:r>
    </w:p>
    <w:p>
      <w:pPr>
        <w:pStyle w:val="ManualHeading1"/>
        <w:rPr>
          <w:noProof/>
        </w:rPr>
      </w:pPr>
      <w:r>
        <w:rPr>
          <w:noProof/>
        </w:rPr>
        <w:lastRenderedPageBreak/>
        <w:t>5.</w:t>
      </w:r>
      <w:r>
        <w:rPr>
          <w:noProof/>
        </w:rPr>
        <w:tab/>
        <w:t>Публикуване на предвидената препоръка</w:t>
      </w:r>
    </w:p>
    <w:p>
      <w:pPr>
        <w:rPr>
          <w:noProof/>
        </w:rPr>
      </w:pPr>
      <w:r>
        <w:rPr>
          <w:noProof/>
        </w:rPr>
        <w:t xml:space="preserve">Тъй като в резултат на решението на Комитета по търговията ще се измени Споразумението за икономическо партньорство, е целесъобразно след приемането му това решение да бъде публикувано в </w:t>
      </w:r>
      <w:r>
        <w:rPr>
          <w:i/>
          <w:noProof/>
        </w:rPr>
        <w:t>Официален вестник на Европейския съюз</w:t>
      </w:r>
      <w:r>
        <w:rPr>
          <w:noProof/>
        </w:rPr>
        <w: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2020/0131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Комитета по търговията, създаден съгласно Временното споразумение за партньорство между Европейската общност, от една страна, и държавите от Тихоокеанския басейн, от друга страна, по отношение на изменението на Споразумението, необходимо с цел да бъде взето предвид присъединяването на Независимата държава Самоа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4, първа алинея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На 30 юли 2009 г. Съюзът подписа Временното споразумение за партньорство между Европейската общност, от една страна, и държавите от Тихоокеанския басейн, от друга страна</w:t>
      </w:r>
      <w:r>
        <w:rPr>
          <w:rStyle w:val="FootnoteReference"/>
          <w:noProof/>
        </w:rPr>
        <w:footnoteReference w:id="3"/>
      </w:r>
      <w:r>
        <w:rPr>
          <w:noProof/>
        </w:rPr>
        <w:t xml:space="preserve"> („Споразумението“), с което се установява рамка за Споразумение за икономическо партньорство. Споразумението се прилага временно от Папуа-Нова Гвинея и от Република Фиджи съответно от 20 декември 2009 г. и 28 юли 2014 г.</w:t>
      </w:r>
    </w:p>
    <w:p>
      <w:pPr>
        <w:pStyle w:val="ManualConsidrant"/>
        <w:rPr>
          <w:noProof/>
        </w:rPr>
      </w:pPr>
      <w:r>
        <w:t>(2)</w:t>
      </w:r>
      <w:r>
        <w:tab/>
      </w:r>
      <w:r>
        <w:rPr>
          <w:noProof/>
        </w:rPr>
        <w:t>В член 80 от него се предвижда, че други тихоокеански острови могат да се присъединят към Споразумението, като подадат предложение за достъп до пазара в съответствие с член ХХIV от ГАТТ от 1994 г. Съответно Независимата държава Самоа се присъедини към Споразумението на 21 декември 2018 г.</w:t>
      </w:r>
      <w:r>
        <w:rPr>
          <w:rStyle w:val="FootnoteReference"/>
          <w:noProof/>
          <w:color w:val="000000"/>
          <w:szCs w:val="20"/>
        </w:rPr>
        <w:footnoteReference w:id="4"/>
      </w:r>
      <w:r>
        <w:rPr>
          <w:noProof/>
        </w:rPr>
        <w:t xml:space="preserve"> и го прилага временно от 31 декември 2018 г.</w:t>
      </w:r>
    </w:p>
    <w:p>
      <w:pPr>
        <w:pStyle w:val="ManualConsidrant"/>
        <w:rPr>
          <w:noProof/>
        </w:rPr>
      </w:pPr>
      <w:r>
        <w:t>(3)</w:t>
      </w:r>
      <w:r>
        <w:tab/>
      </w:r>
      <w:r>
        <w:rPr>
          <w:noProof/>
        </w:rPr>
        <w:t>В член 68 от Споразумението се предвижда, че Комитетът по търговията разглежда всички въпроси, необходими за прилагането му.</w:t>
      </w:r>
    </w:p>
    <w:p>
      <w:pPr>
        <w:pStyle w:val="ManualConsidrant"/>
        <w:rPr>
          <w:noProof/>
        </w:rPr>
      </w:pPr>
      <w:r>
        <w:t>(4)</w:t>
      </w:r>
      <w:r>
        <w:tab/>
      </w:r>
      <w:r>
        <w:rPr>
          <w:noProof/>
        </w:rPr>
        <w:t>На седмото си заседание, проведено на 3 и 4 октомври 2019 г., Комитетът по търговията в рамките на СИП прие препоръка към страните по Споразумението, в която, наред с друго, се препоръчва то да бъде изменено с цел да бъде взето предвид присъединяването на Независимата държава Самоа. Сред поисканите промени фигурира включването на предложението на Самоа за достъп до пазара в приложение II към Споразумението.</w:t>
      </w:r>
    </w:p>
    <w:p>
      <w:pPr>
        <w:pStyle w:val="ManualConsidrant"/>
        <w:rPr>
          <w:noProof/>
        </w:rPr>
      </w:pPr>
      <w:r>
        <w:t>(5)</w:t>
      </w:r>
      <w:r>
        <w:tab/>
      </w:r>
      <w:r>
        <w:rPr>
          <w:noProof/>
        </w:rPr>
        <w:t>В член 13 от Споразумението се предвижда, че при наличие на съгласие Комитетът по търговията може да измени приложение ІІ по начин, който сметне за целесъобразен.</w:t>
      </w:r>
    </w:p>
    <w:p>
      <w:pPr>
        <w:pStyle w:val="ManualConsidrant"/>
        <w:rPr>
          <w:noProof/>
        </w:rPr>
      </w:pPr>
      <w:r>
        <w:lastRenderedPageBreak/>
        <w:t>(6)</w:t>
      </w:r>
      <w:r>
        <w:tab/>
      </w:r>
      <w:r>
        <w:rPr>
          <w:noProof/>
        </w:rPr>
        <w:t>По време на осмото си заседание, което ще се проведе на XX XX 2020 г., Комитетът по търговията ще има възможността, в съответствие с член 13 от Споразумението, да направи техническо изменение в него, необходимо с цел да бъде взето предвид присъединяването на Независимата държава Самоа.</w:t>
      </w:r>
    </w:p>
    <w:p>
      <w:pPr>
        <w:pStyle w:val="ManualConsidrant"/>
        <w:rPr>
          <w:noProof/>
        </w:rPr>
      </w:pPr>
      <w:r>
        <w:t>(7)</w:t>
      </w:r>
      <w:r>
        <w:tab/>
      </w:r>
      <w:r>
        <w:rPr>
          <w:noProof/>
        </w:rPr>
        <w:t>Съюзът следва да определи позицията, която трябва да се заеме в рамките на осмото заседание на Комитета по търговията по отношение на предвиденото решение.</w:t>
      </w:r>
    </w:p>
    <w:p>
      <w:pPr>
        <w:pStyle w:val="ManualConsidrant"/>
        <w:rPr>
          <w:noProof/>
        </w:rPr>
      </w:pPr>
      <w:r>
        <w:t>(8)</w:t>
      </w:r>
      <w:r>
        <w:tab/>
      </w:r>
      <w:r>
        <w:rPr>
          <w:noProof/>
        </w:rPr>
        <w:t>Следователно позицията на Съюза в рамките на осмото заседание на Комитета по търговията следва да се основава на приложения проект на решение,</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името на Съюза на осмото заседание на Комитета по търговията, по отношение на изменението на Временното споразумение за партньорство между Европейската общност, от една страна, и държавите от Тихоокеанския басейн, от друга страна, необходимо с цел да бъде взето предвид присъединяването на Независимата държава Самоа, се основава на проекта на решение на Комитета по търговията, приложен към настоящото решение.</w:t>
      </w:r>
    </w:p>
    <w:p>
      <w:pPr>
        <w:pStyle w:val="Titrearticle"/>
        <w:rPr>
          <w:noProof/>
        </w:rPr>
      </w:pPr>
      <w:r>
        <w:rPr>
          <w:noProof/>
        </w:rPr>
        <w:t>Член 2</w:t>
      </w:r>
    </w:p>
    <w:p>
      <w:pPr>
        <w:rPr>
          <w:noProof/>
        </w:rPr>
      </w:pPr>
      <w:r>
        <w:rPr>
          <w:noProof/>
        </w:rPr>
        <w:t xml:space="preserve">След приемането му решението на Комитета по търговията се публикува в </w:t>
      </w:r>
      <w:r>
        <w:rPr>
          <w:i/>
          <w:noProof/>
        </w:rPr>
        <w:t>Официален вестник на Европейския съюз</w:t>
      </w:r>
      <w:r>
        <w:rPr>
          <w:noProof/>
        </w:rPr>
        <w:t>.</w:t>
      </w:r>
    </w:p>
    <w:p>
      <w:pPr>
        <w:pStyle w:val="Titrearticle"/>
        <w:rPr>
          <w:noProof/>
        </w:rPr>
      </w:pPr>
      <w:r>
        <w:rPr>
          <w:noProof/>
        </w:rPr>
        <w:t>Член 3</w:t>
      </w:r>
    </w:p>
    <w:p>
      <w:pPr>
        <w:rPr>
          <w:noProof/>
        </w:rPr>
      </w:pPr>
      <w:r>
        <w:rPr>
          <w:noProof/>
        </w:rPr>
        <w:t>Настоящото решение влиза в сила в деня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на Съвета от 13 юли 2009 г. за подписване и временно прилагане на Временното споразумение за партньорство между Европейската общност, от една страна, и държавите от Тихоокеанския басейн, от друга страна (ОВ L 272, 16.10.2009 г., стр. 1).</w:t>
      </w:r>
    </w:p>
  </w:footnote>
  <w:footnote w:id="2">
    <w:p>
      <w:pPr>
        <w:pStyle w:val="FootnoteText"/>
      </w:pPr>
      <w:r>
        <w:rPr>
          <w:rStyle w:val="FootnoteReference"/>
        </w:rPr>
        <w:footnoteRef/>
      </w:r>
      <w:r>
        <w:tab/>
        <w:t>ОВ L 333, 28.12.2018 г., стр. 1.</w:t>
      </w:r>
    </w:p>
  </w:footnote>
  <w:footnote w:id="3">
    <w:p>
      <w:pPr>
        <w:pStyle w:val="FootnoteText"/>
      </w:pPr>
      <w:r>
        <w:rPr>
          <w:rStyle w:val="FootnoteReference"/>
        </w:rPr>
        <w:footnoteRef/>
      </w:r>
      <w:r>
        <w:tab/>
        <w:t>Решение на Съвета 2009/729/ЕО от 13 юли 2009 г. за подписване и временно прилагане на Временното споразумение за партньорство между Европейската общност, от една страна, и държавите от Тихоокеанския басейн, от друга страна (ОВ L 272, 16.10.2009 г., стр. 1).</w:t>
      </w:r>
    </w:p>
  </w:footnote>
  <w:footnote w:id="4">
    <w:p>
      <w:pPr>
        <w:pStyle w:val="FootnoteText"/>
      </w:pPr>
      <w:r>
        <w:rPr>
          <w:rStyle w:val="FootnoteReference"/>
        </w:rPr>
        <w:footnoteRef/>
      </w:r>
      <w:r>
        <w:tab/>
        <w:t>OB L 333, 28.12.2018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03E5D0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C1C3CF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EF68D66"/>
    <w:lvl w:ilvl="0">
      <w:start w:val="1"/>
      <w:numFmt w:val="decimal"/>
      <w:pStyle w:val="ListNumber2"/>
      <w:lvlText w:val="%1."/>
      <w:lvlJc w:val="left"/>
      <w:pPr>
        <w:tabs>
          <w:tab w:val="num" w:pos="643"/>
        </w:tabs>
        <w:ind w:left="643" w:hanging="360"/>
      </w:pPr>
    </w:lvl>
  </w:abstractNum>
  <w:abstractNum w:abstractNumId="3">
    <w:nsid w:val="FFFFFF81"/>
    <w:multiLevelType w:val="singleLevel"/>
    <w:tmpl w:val="B04CFE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A28E1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B7C575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50A92A8"/>
    <w:lvl w:ilvl="0">
      <w:start w:val="1"/>
      <w:numFmt w:val="decimal"/>
      <w:pStyle w:val="ListNumber"/>
      <w:lvlText w:val="%1."/>
      <w:lvlJc w:val="left"/>
      <w:pPr>
        <w:tabs>
          <w:tab w:val="num" w:pos="360"/>
        </w:tabs>
        <w:ind w:left="360" w:hanging="360"/>
      </w:pPr>
    </w:lvl>
  </w:abstractNum>
  <w:abstractNum w:abstractNumId="7">
    <w:nsid w:val="FFFFFF89"/>
    <w:multiLevelType w:val="singleLevel"/>
    <w:tmpl w:val="44889D4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6-24 09:08:4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CBB8530-0089-4AB4-BBF4-CA7CF06B1339"/>
    <w:docVar w:name="LW_COVERPAGE_TYPE" w:val="1"/>
    <w:docVar w:name="LW_CROSSREFERENCE" w:val="&lt;UNUSED&gt;"/>
    <w:docVar w:name="LW_DocType" w:val="COM"/>
    <w:docVar w:name="LW_EMISSION" w:val="1.7.2020"/>
    <w:docVar w:name="LW_EMISSION_ISODATE" w:val="2020-07-01"/>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31"/>
    <w:docVar w:name="LW_REF.II.NEW.CP_YEAR" w:val="2020"/>
    <w:docVar w:name="LW_REF.INST.NEW" w:val="COM"/>
    <w:docVar w:name="LW_REF.INST.NEW_ADOPTED" w:val="final"/>
    <w:docVar w:name="LW_REF.INST.NEW_TEXT" w:val="(2020) 27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4?\u1080?\u1090?\u1077?\u1090?\u1072? \u1087?\u1086? \u1090?\u1098?\u1088?\u1075?\u1086?\u1074?\u1080?\u1103?\u1090?\u1072?, \u1089?\u1098?\u1079?\u1076?\u1072?\u1076?\u1077?\u1085? \u1089?\u1098?\u1075?\u1083?\u1072?\u1089?\u1085?\u1086? \u1042?\u1088?\u1077?\u1084?\u1077?\u1085?\u1085?\u1086?\u1090?\u1086? \u1089?\u1087?\u1086?\u1088?\u1072?\u1079?\u1091?\u1084?\u1077?\u1085?\u1080?\u1077? \u1079?\u1072? \u1087?\u1072?\u1088?\u1090?\u1085?\u1100?\u1086?\u1088?\u1089?\u1090?\u1074?\u1086? \u1084?\u1077?\u1078?\u1076?\u1091? \u1045?\u1074?\u1088?\u1086?\u1087?\u1077?\u1081?\u1089?\u1082?\u1072?\u1090?\u1072? \u1086?\u1073?\u1097?\u1085?\u1086?\u1089?\u1090?, \u1086?\u1090? \u1077?\u1076?\u1085?\u1072? \u1089?\u1090?\u1088?\u1072?\u1085?\u1072?, \u1080? \u1076?\u1098?\u1088?\u1078?\u1072?\u1074?\u1080?\u1090?\u1077? \u1086?\u1090? \u1058?\u1080?\u1093?\u1086?\u1086?\u1082?\u1077?\u1072?\u1085?\u1089?\u1082?\u1080?\u1103? \u1073?\u1072?\u1089?\u1077?\u1081?\u1085?, \u1086?\u1090? \u1076?\u1088?\u1091?\u1075?\u1072? \u1089?\u1090?\u1088?\u1072?\u1085?\u1072?, \u1087?\u1086? \u1086?\u1090?\u1085?\u1086?\u1096?\u1077?\u1085?\u1080?\u1077? \u1085?\u1072? \u1080?\u1079?\u1084?\u1077?\u1085?\u1077?\u1085?\u1080?\u1077?\u1090?\u1086? \u1085?\u1072? \u1057?\u1087?\u1086?\u1088?\u1072?\u1079?\u1091?\u1084?\u1077?\u1085?\u1080?\u1077?\u1090?\u1086?, \u1085?\u1077?\u1086?\u1073?\u1093?\u1086?\u1076?\u1080?\u1084?\u1086? \u1089? \u1094?\u1077?\u1083? \u1076?\u1072? \u1073?\u1098?\u1076?\u1077? \u1074?\u1079?\u1077?\u1090?\u1086? \u1087?\u1088?\u1077?\u1076?\u1074?\u1080?\u1076? \u1087?\u1088?\u1080?\u1089?\u1098?\u1077?\u1076?\u1080?\u1085?\u1103?\u1074?\u1072?\u1085?\u1077?\u1090?\u1086? \u1085?\u1072? \u1053?\u1077?\u1079?\u1072?\u1074?\u1080?\u1089?\u1080?\u1084?\u1072?\u1090?\u1072? \u1076?\u1098?\u1088?\u1078?\u1072?\u1074?\u1072? \u1057?\u1072?\u1084?\u1086?\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38FC699-8F48-4F51-962D-55B737701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1675</Words>
  <Characters>9501</Characters>
  <Application>Microsoft Office Word</Application>
  <DocSecurity>0</DocSecurity>
  <Lines>186</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19</cp:revision>
  <dcterms:created xsi:type="dcterms:W3CDTF">2020-06-16T09:35:00Z</dcterms:created>
  <dcterms:modified xsi:type="dcterms:W3CDTF">2020-06-24T07:08:00Z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