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56026166"/>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C4918C19-2208-4392-9F85-414A2E1D0547" style="width:450.7pt;height:306.7pt">
            <v:imagedata r:id="rId12" o:title=""/>
          </v:shape>
        </w:pict>
      </w:r>
    </w:p>
    <w:bookmarkEnd w:id="1"/>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fmt="numberInDash" w:start="1"/>
          <w:cols w:space="720"/>
          <w:docGrid w:linePitch="326"/>
        </w:sectPr>
      </w:pPr>
    </w:p>
    <w:p>
      <w:pPr>
        <w:pStyle w:val="Heading1"/>
        <w:numPr>
          <w:ilvl w:val="0"/>
          <w:numId w:val="21"/>
        </w:numPr>
        <w:tabs>
          <w:tab w:val="left" w:pos="720"/>
        </w:tabs>
        <w:spacing w:before="0" w:after="120" w:line="276" w:lineRule="auto"/>
        <w:rPr>
          <w:noProof/>
        </w:rPr>
      </w:pPr>
      <w:bookmarkStart w:id="2" w:name="_Toc494974436"/>
      <w:bookmarkStart w:id="3" w:name="_Toc524523057"/>
      <w:bookmarkStart w:id="4" w:name="_GoBack"/>
      <w:bookmarkEnd w:id="0"/>
      <w:bookmarkEnd w:id="4"/>
      <w:r>
        <w:rPr>
          <w:noProof/>
        </w:rPr>
        <w:lastRenderedPageBreak/>
        <w:t>Въведение</w:t>
      </w:r>
      <w:bookmarkEnd w:id="2"/>
      <w:bookmarkEnd w:id="3"/>
    </w:p>
    <w:p>
      <w:pPr>
        <w:spacing w:after="120" w:line="276" w:lineRule="auto"/>
        <w:jc w:val="both"/>
        <w:rPr>
          <w:noProof/>
          <w:highlight w:val="yellow"/>
        </w:rPr>
      </w:pPr>
      <w:r>
        <w:rPr>
          <w:noProof/>
        </w:rPr>
        <w:t>Настоящият доклад предоставя дългосрочна прогноза за бъдещите входящи и изходящи парични потоци, обхващаща следващите пет години (2021—2025 г.), както се изисква в член 247, параграф 1, буква в) от Финансовия регламент</w:t>
      </w:r>
      <w:r>
        <w:rPr>
          <w:rStyle w:val="FootnoteReference"/>
          <w:noProof/>
        </w:rPr>
        <w:footnoteReference w:id="2"/>
      </w:r>
      <w:r>
        <w:rPr>
          <w:noProof/>
        </w:rPr>
        <w:t xml:space="preserve">. В анализа се вземат предвид принципите и условията, посочени в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w:t>
      </w:r>
      <w:r>
        <w:rPr>
          <w:rStyle w:val="FootnoteReference"/>
          <w:noProof/>
          <w:lang w:eastAsia="ko-KR"/>
        </w:rPr>
        <w:footnoteReference w:id="3"/>
      </w:r>
      <w:r>
        <w:rPr>
          <w:noProof/>
        </w:rPr>
        <w:t xml:space="preserve"> (наричано по-нататък „Споразумението за оттегляне“).</w:t>
      </w:r>
    </w:p>
    <w:p>
      <w:pPr>
        <w:spacing w:after="120" w:line="276" w:lineRule="auto"/>
        <w:jc w:val="both"/>
        <w:rPr>
          <w:noProof/>
        </w:rPr>
      </w:pPr>
      <w:r>
        <w:rPr>
          <w:noProof/>
        </w:rPr>
        <w:t>Социално-икономическите обстоятелства в ЕС значително се влошиха в резултат на пандемията от COVID-19. Поради това, на 27 май 2020 г.</w:t>
      </w:r>
      <w:r>
        <w:rPr>
          <w:rStyle w:val="FootnoteReference"/>
          <w:noProof/>
        </w:rPr>
        <w:footnoteReference w:id="4"/>
      </w:r>
      <w:r>
        <w:rPr>
          <w:noProof/>
        </w:rPr>
        <w:t xml:space="preserve"> Комисията представи преразгледано предложение за подсилена многогодишна финансова рамка (МФР) за периода 2021—2027 г. и амбициозен план за възстановяване. В настоящия прогнозен доклад се предоставя оценка на изходящите парични потоци, свързани с разходите под таваните, определени в следващата многогодишна финансова рамка и съответните входящи парични потоци, свързани с приходите през следващите пет години въз основа на преразгледаното предложение за МФР от май 2020 г. </w:t>
      </w:r>
    </w:p>
    <w:p>
      <w:pPr>
        <w:spacing w:after="120" w:line="276" w:lineRule="auto"/>
        <w:jc w:val="both"/>
        <w:rPr>
          <w:noProof/>
        </w:rPr>
      </w:pPr>
      <w:r>
        <w:rPr>
          <w:noProof/>
        </w:rPr>
        <w:t>В сравнение с прогнозата от миналата година</w:t>
      </w:r>
      <w:r>
        <w:rPr>
          <w:rStyle w:val="FootnoteReference"/>
          <w:noProof/>
        </w:rPr>
        <w:footnoteReference w:id="5"/>
      </w:r>
      <w:r>
        <w:rPr>
          <w:noProof/>
        </w:rPr>
        <w:t>, която обхващаше периода 2020—2024 г., настоящата нова прогноза включва една допълнителна година (2025 г.). Прогнозите за плащанията по поетите задължения по текущата финансова рамка са актуализирани с цел да се вземат предвид действителните резултати от изпълнението за 2019 г., бюджетът за 2020 г. с коригиращите бюджети № 1</w:t>
      </w:r>
      <w:r>
        <w:rPr>
          <w:rStyle w:val="FootnoteReference"/>
          <w:noProof/>
        </w:rPr>
        <w:t xml:space="preserve"> </w:t>
      </w:r>
      <w:r>
        <w:rPr>
          <w:noProof/>
        </w:rPr>
        <w:t>и № 2 и проектите за коригиращи бюджети № 3—6</w:t>
      </w:r>
      <w:r>
        <w:rPr>
          <w:rStyle w:val="FootnoteReference"/>
          <w:noProof/>
        </w:rPr>
        <w:footnoteReference w:id="6"/>
      </w:r>
      <w:r>
        <w:rPr>
          <w:noProof/>
        </w:rPr>
        <w:t>и проектобюджетът за 2021 г.</w:t>
      </w:r>
      <w:r>
        <w:rPr>
          <w:rStyle w:val="FootnoteReference"/>
          <w:noProof/>
        </w:rPr>
        <w:footnoteReference w:id="7"/>
      </w:r>
    </w:p>
    <w:p>
      <w:pPr>
        <w:spacing w:after="120" w:line="276" w:lineRule="auto"/>
        <w:jc w:val="both"/>
        <w:rPr>
          <w:noProof/>
        </w:rPr>
      </w:pPr>
      <w:r>
        <w:rPr>
          <w:noProof/>
        </w:rPr>
        <w:t>Като се има предвид, че преговорите за многогодишната финансова рамка за периода 2021—2027 г. все още продължават, плащанията във връзка с поетите задължения за периода след 2021 г. са в съответствие с параметрите, произтичащи от състоянието на преговорите и от предложението на Комисията за бъдещия финансов период, преразгледано тази година.</w:t>
      </w:r>
    </w:p>
    <w:p>
      <w:pPr>
        <w:pStyle w:val="Heading1"/>
        <w:numPr>
          <w:ilvl w:val="0"/>
          <w:numId w:val="21"/>
        </w:numPr>
        <w:tabs>
          <w:tab w:val="left" w:pos="720"/>
        </w:tabs>
        <w:spacing w:before="0" w:after="120" w:line="276" w:lineRule="auto"/>
        <w:rPr>
          <w:noProof/>
        </w:rPr>
      </w:pPr>
      <w:bookmarkStart w:id="5" w:name="_Toc494974438"/>
      <w:bookmarkStart w:id="6" w:name="_Toc524523058"/>
      <w:r>
        <w:rPr>
          <w:noProof/>
        </w:rPr>
        <w:t>Резултати от прогнозата</w:t>
      </w:r>
      <w:bookmarkEnd w:id="5"/>
      <w:bookmarkEnd w:id="6"/>
    </w:p>
    <w:p>
      <w:pPr>
        <w:spacing w:after="120" w:line="276" w:lineRule="auto"/>
        <w:jc w:val="both"/>
        <w:rPr>
          <w:noProof/>
        </w:rPr>
      </w:pPr>
      <w:r>
        <w:rPr>
          <w:noProof/>
        </w:rPr>
        <w:t>Общо взето, през първите пет години от следващата финансова рамка се очаква плащанията да достигнат 866 милиарда евро. Тази сума не се разпределя равномерно през годините, а следва очаквания ход на: 1) постепенното въвеждане на плащания за новите разходни програми (около 67 % от общите плащания за петте години) и 2) плащанията за неизпълнените поети задължения от периода 2014—2020 г. (останалите 33 % от плащанията).</w:t>
      </w:r>
    </w:p>
    <w:p>
      <w:pPr>
        <w:pStyle w:val="Heading2"/>
        <w:keepNext w:val="0"/>
        <w:numPr>
          <w:ilvl w:val="1"/>
          <w:numId w:val="21"/>
        </w:numPr>
        <w:tabs>
          <w:tab w:val="left" w:pos="720"/>
        </w:tabs>
        <w:spacing w:after="120" w:line="276" w:lineRule="auto"/>
        <w:ind w:left="788" w:hanging="431"/>
        <w:rPr>
          <w:noProof/>
        </w:rPr>
      </w:pPr>
      <w:r>
        <w:rPr>
          <w:noProof/>
        </w:rPr>
        <w:lastRenderedPageBreak/>
        <w:t xml:space="preserve"> </w:t>
      </w:r>
      <w:bookmarkStart w:id="7" w:name="_Toc524523059"/>
      <w:r>
        <w:rPr>
          <w:noProof/>
        </w:rPr>
        <w:t>Плащания</w:t>
      </w:r>
      <w:bookmarkEnd w:id="7"/>
      <w:r>
        <w:rPr>
          <w:noProof/>
        </w:rPr>
        <w:t xml:space="preserve"> във връзка с нови поети задължения</w:t>
      </w:r>
    </w:p>
    <w:p>
      <w:pPr>
        <w:spacing w:after="120" w:line="276" w:lineRule="auto"/>
        <w:jc w:val="both"/>
        <w:rPr>
          <w:noProof/>
        </w:rPr>
      </w:pPr>
      <w:r>
        <w:rPr>
          <w:noProof/>
        </w:rPr>
        <w:t xml:space="preserve">Прогнозните плащания във връзка с поетите задължения, които ще бъдат извършени в периода 2021—2025 г., са приведени в съответствие със сумите по програма и по година, както са представени в предложението на Комисията за следващата многогодишна финансова рамка от 27 май 2020 г. Основните свързани с прогнозата допускания остават в съответствие с тези от доклада за предходната година и предложението на Комисията за многогодишната финансова рамка от 2 май 2018 г. Напредъкът в преговорите за следващото поколение разходи е отразен в рамките на възможното (вж. подробностите в раздел 3. Свързани с прогнозата допускания). </w:t>
      </w:r>
    </w:p>
    <w:p>
      <w:pPr>
        <w:spacing w:after="120" w:line="276" w:lineRule="auto"/>
        <w:jc w:val="both"/>
        <w:rPr>
          <w:noProof/>
        </w:rPr>
      </w:pPr>
      <w:r>
        <w:rPr>
          <w:noProof/>
        </w:rPr>
        <w:t xml:space="preserve">Такъв е случаят по-специално при преговорите относно Регламента за общоприложимите разпоредби, с който се определя скоростта на изпълнение на политиката на сближаване — областта на най-големите разходи, която използва диференцирани бюджетни кредити. Промените в условията за изпълнение на фондовете в областта на политиката на сближаване (напр. правило за отмяна на бюджетни кредити, проценти на предварително финансиране, уравняване на сметките по предварителното финансиране, процент на приспадане) в сравнение с допусканията, използвани в настоящата прогноза, ще повлияят значително на очакваното ниво на плащанията за целия бюджет на ЕС. </w:t>
      </w:r>
    </w:p>
    <w:p>
      <w:pPr>
        <w:spacing w:after="120" w:line="276" w:lineRule="auto"/>
        <w:jc w:val="both"/>
        <w:rPr>
          <w:noProof/>
        </w:rPr>
      </w:pPr>
      <w:r>
        <w:rPr>
          <w:noProof/>
        </w:rPr>
        <w:t>Съответно по-точна актуализация на прогнозата ще бъде възможна едва след приключването на преговорите относно следващата финансова рамка и придружаващото я специфично законодателство по сектори.</w:t>
      </w:r>
    </w:p>
    <w:p>
      <w:pPr>
        <w:pStyle w:val="Heading2"/>
        <w:keepNext w:val="0"/>
        <w:numPr>
          <w:ilvl w:val="1"/>
          <w:numId w:val="21"/>
        </w:numPr>
        <w:tabs>
          <w:tab w:val="left" w:pos="720"/>
        </w:tabs>
        <w:spacing w:after="120" w:line="276" w:lineRule="auto"/>
        <w:ind w:left="788" w:hanging="431"/>
        <w:rPr>
          <w:noProof/>
        </w:rPr>
      </w:pPr>
      <w:r>
        <w:rPr>
          <w:noProof/>
        </w:rPr>
        <w:t xml:space="preserve"> Плащания по задължения, поети преди 2021 г.</w:t>
      </w:r>
    </w:p>
    <w:p>
      <w:pPr>
        <w:spacing w:after="120" w:line="276" w:lineRule="auto"/>
        <w:jc w:val="both"/>
        <w:rPr>
          <w:noProof/>
        </w:rPr>
      </w:pPr>
      <w:r>
        <w:rPr>
          <w:noProof/>
        </w:rPr>
        <w:t>Прогнозата на Комисията за плащанията, произтичащи от текущи поети задължения (включително тези, които предстои да бъдат поети през 2020 г.), отчита предложенията за мобилизиране на бюджета на ЕС за 2020 г. в отговор на пандемията от COVID-19. Оценките за периода 2021—2025 г. включват плащанията, произтичащи от подсилването на програмите през 2020 г., както е предвидено в пакетите за инвестиционни инициативи в отговор на коронавируса (ИИОК и ИИОК+) и проект на коригиращ бюджет № 6. Някои от тези предложения предполагат съсредоточаване на плащанията през предходните години, докато други може да изискват допълнителни суми, които не са прогнозирани по-рано.</w:t>
      </w:r>
    </w:p>
    <w:p>
      <w:pPr>
        <w:spacing w:after="120" w:line="276" w:lineRule="auto"/>
        <w:jc w:val="both"/>
        <w:rPr>
          <w:noProof/>
        </w:rPr>
      </w:pPr>
      <w:r>
        <w:rPr>
          <w:noProof/>
        </w:rPr>
        <w:t xml:space="preserve">По-специално се предвижда Инвестиционната инициатива в отговор на коронавируса и Инвестиционната инициатива в отговор на коронавируса + (ИИОК и ИИОК+) да ускорят прилагането на политиката на сближаване, като по този начин увеличат нуждите от плащания през 2020 г. и 2021 г. и доведат до по-малки нужди от плащания през 2024 г. и 2025 г. Въз основа на предложението за еднократно подпомагане на доходите на земеделските стопани нуждите от плащания в рамките на програмите за развитие на селските райони за периода 2014—2020 г. също ще се увеличат през 2021 г. със съответното намаление през 2024 г. </w:t>
      </w:r>
    </w:p>
    <w:p>
      <w:pPr>
        <w:spacing w:after="120" w:line="276" w:lineRule="auto"/>
        <w:jc w:val="both"/>
        <w:rPr>
          <w:noProof/>
        </w:rPr>
      </w:pPr>
      <w:r>
        <w:rPr>
          <w:noProof/>
        </w:rPr>
        <w:t xml:space="preserve">Мерките в отговор на COVID-19, предложени при преразглеждането на Регламента за многогодишната финансова рамка за годините 2014—2020 г. и в свързания проект за коригиращ бюджет № 6, ще доведат до допълнителни поети задължения в размер на 11,5 милиарда евро и 6,5 милиарда евро за плащания през 2020 г. Оставащите 5 милиарда евро, </w:t>
      </w:r>
      <w:r>
        <w:rPr>
          <w:noProof/>
        </w:rPr>
        <w:lastRenderedPageBreak/>
        <w:t xml:space="preserve">произтичащи от това предложение (2,5 милиарда евро по линия на REACT-EU и 2,5 милиарда евро по линия на новия прозорец за подкрепа на платежоспособността в рамките на Европейския фонд за стратегически инвестиции), ще бъдат изплатени през 2021—2025 г., което ще увеличи нуждите от плащания в сравнение с миналогодишната прогноза. </w:t>
      </w:r>
    </w:p>
    <w:p>
      <w:pPr>
        <w:spacing w:after="120" w:line="276" w:lineRule="auto"/>
        <w:jc w:val="both"/>
        <w:rPr>
          <w:noProof/>
        </w:rPr>
      </w:pPr>
      <w:r>
        <w:rPr>
          <w:noProof/>
        </w:rPr>
        <w:t>Всички отклонения в приетите суми за горепосочените предложения на Комисията, в съчетание с промени в условията за изпълнение на фондовете в областта на политиката на сближаване, могат да окажат въздействие върху нуждите от плащане и ще трябва да бъдат взети предвид при преговорите за определяне на таваните на плащанията за следващата финансова рамка.</w:t>
      </w:r>
    </w:p>
    <w:p>
      <w:pPr>
        <w:pStyle w:val="Heading2"/>
        <w:keepNext w:val="0"/>
        <w:numPr>
          <w:ilvl w:val="1"/>
          <w:numId w:val="21"/>
        </w:numPr>
        <w:tabs>
          <w:tab w:val="left" w:pos="720"/>
        </w:tabs>
        <w:spacing w:after="120" w:line="276" w:lineRule="auto"/>
        <w:rPr>
          <w:noProof/>
        </w:rPr>
      </w:pPr>
      <w:r>
        <w:rPr>
          <w:noProof/>
        </w:rPr>
        <w:t xml:space="preserve"> Плащания през 2021 г.</w:t>
      </w:r>
    </w:p>
    <w:p>
      <w:pPr>
        <w:spacing w:after="120" w:line="276" w:lineRule="auto"/>
        <w:jc w:val="both"/>
        <w:rPr>
          <w:noProof/>
        </w:rPr>
      </w:pPr>
      <w:r>
        <w:rPr>
          <w:noProof/>
        </w:rPr>
        <w:t>Нивото на плащанията през 2021 г. е от особено значение. Настоящият доклад е изцяло в съответствие с предложението за проектобюджета за 2021 г., което се основава на параметрите на предложенията на Комисията, по-специално по отношение на процентите на предварително финансиране за фондовете в областта на политиката на сближаване за периода 2014—2020 г. (1 % предварително финансиране) и за 2021—2027 г. (0,5 % предварително финансиране). Увеличението на тези проценти ще има незабавен ефект върху нуждите от плащане през 2021 г. Забавянето на началото на програмите за периода 2021—2027 г. може да доведе до отлагане за 2022 г. на част от предварителното финансиране във връзка с новата политика на сближаване.</w:t>
      </w:r>
    </w:p>
    <w:p>
      <w:pPr>
        <w:pStyle w:val="Heading2"/>
        <w:keepNext w:val="0"/>
        <w:numPr>
          <w:ilvl w:val="2"/>
          <w:numId w:val="21"/>
        </w:numPr>
        <w:tabs>
          <w:tab w:val="left" w:pos="720"/>
        </w:tabs>
        <w:spacing w:after="120" w:line="276" w:lineRule="auto"/>
        <w:rPr>
          <w:noProof/>
        </w:rPr>
      </w:pPr>
      <w:bookmarkStart w:id="8" w:name="_Toc524523063"/>
      <w:r>
        <w:rPr>
          <w:noProof/>
        </w:rPr>
        <w:t>Отмяна на бюджетни кредити</w:t>
      </w:r>
      <w:bookmarkEnd w:id="8"/>
    </w:p>
    <w:p>
      <w:pPr>
        <w:snapToGrid w:val="0"/>
        <w:spacing w:after="120" w:line="276" w:lineRule="auto"/>
        <w:jc w:val="both"/>
        <w:rPr>
          <w:noProof/>
          <w:color w:val="000000"/>
        </w:rPr>
      </w:pPr>
      <w:r>
        <w:rPr>
          <w:noProof/>
        </w:rPr>
        <w:t xml:space="preserve">Общият размер на прогнозата за отменените бюджетни кредити за периода 2021—2025 г. възлиза на 9 милиарда евро, изцяло свързани с програмите за периода 2014—2020 г. и по-ранни периоди. </w:t>
      </w:r>
      <w:r>
        <w:rPr>
          <w:noProof/>
          <w:color w:val="000000"/>
        </w:rPr>
        <w:t>Не се очаква отмяна на бюджетни кредити за поетите задължения, предложени за финансовата рамка за 2021—2027 г.</w:t>
      </w:r>
    </w:p>
    <w:p>
      <w:pPr>
        <w:snapToGrid w:val="0"/>
        <w:spacing w:after="120" w:line="276" w:lineRule="auto"/>
        <w:jc w:val="both"/>
        <w:rPr>
          <w:noProof/>
          <w:color w:val="000000"/>
        </w:rPr>
      </w:pPr>
      <w:r>
        <w:rPr>
          <w:noProof/>
          <w:color w:val="000000"/>
        </w:rPr>
        <w:t xml:space="preserve">Равнищата на отмяна на бюджетни кредити варират между отделните функции, тъй като прогнозата взема под внимание отменените вече бюджетни кредити и бюджетните кредити, набелязани за отмяна до момента на изготвянето на проектобюджета за 2021 г. По принцип прогнозата за отменените бюджетни кредити се прави за целия програмен период. Тъй като за повечето програми и действия няма автоматично правило за отмяна на бюджетни кредити, всяка годишна разбивка на отменените бюджетни кредити ще бъде силно спекулативна. За да се изчисли размерът на отменените бюджетни кредити до 2025 г., прогнозираните отменени бюджетни кредити са разбити пропорционално на свързаните с тях годишни плащания. </w:t>
      </w:r>
    </w:p>
    <w:p>
      <w:pPr>
        <w:snapToGrid w:val="0"/>
        <w:spacing w:after="120" w:line="276" w:lineRule="auto"/>
        <w:jc w:val="both"/>
        <w:rPr>
          <w:noProof/>
          <w:color w:val="000000"/>
        </w:rPr>
      </w:pPr>
      <w:r>
        <w:rPr>
          <w:noProof/>
          <w:color w:val="000000"/>
        </w:rPr>
        <w:t xml:space="preserve">Направена е конкретна прогноза за европейските структурни и инвестиционни фондове (ЕСИ фондовете) за периода 2014—2020 г., като в нея се отчита опитът от приключването на програмите за периода 2007—2013 г. Прогнозата за отмяната на бюджетни кредити ще бъде актуализирана, когато започнат първите приключвания на програмите за периода 2014—2020 г. По-ниско действително ниво на отмяна на бюджетни кредити ще доведе до по-големи нужди от плащане. Точната година на отмяна на бюджетни кредити зависи от конкретните дати за приключване на всяка национална програма. Като се имат предвид правилата за отмяна на бюджетни кредити n+ 3, е вероятно отменените бюджетни кредити </w:t>
      </w:r>
      <w:r>
        <w:rPr>
          <w:noProof/>
          <w:color w:val="000000"/>
        </w:rPr>
        <w:lastRenderedPageBreak/>
        <w:t xml:space="preserve">да бъдат разпределени през периода 2024—2026 г. Тъй като в обхвата на настоящия доклад попада само периода 2024 – 2025 г., временното предположение е, , че приблизително две трети от очакваните отменени бюджетни кредити на ЕСИ фондовете за периода 2014 – 2020 г. ще попаднат в този период. </w:t>
      </w:r>
    </w:p>
    <w:p>
      <w:pPr>
        <w:snapToGrid w:val="0"/>
        <w:spacing w:after="120" w:line="276" w:lineRule="auto"/>
        <w:jc w:val="both"/>
        <w:rPr>
          <w:noProof/>
          <w:color w:val="000000"/>
        </w:rPr>
      </w:pPr>
      <w:r>
        <w:rPr>
          <w:noProof/>
          <w:color w:val="000000"/>
        </w:rPr>
        <w:t xml:space="preserve">В сравнение с миналогодишния доклад петгодишната прогноза за отменени бюджетни кредити нараства с около 1 милиард евро. Това е комбинираният ефект от по-високата прогноза за отмяна на бюджетни кредити за програми по функции 1б и 2 за периода 2014—2020 г. (увеличение с 2,5 милиарда евро) и намаленията в останалите позиции (намаление с 1,5 милиарда евро). </w:t>
      </w:r>
    </w:p>
    <w:p>
      <w:pPr>
        <w:snapToGrid w:val="0"/>
        <w:spacing w:after="120" w:line="276" w:lineRule="auto"/>
        <w:jc w:val="both"/>
        <w:rPr>
          <w:noProof/>
          <w:color w:val="000000"/>
        </w:rPr>
      </w:pPr>
      <w:r>
        <w:rPr>
          <w:noProof/>
          <w:color w:val="000000"/>
        </w:rPr>
        <w:t xml:space="preserve">Повишението за функция 1б за периода 2014-2020 г. се дължи на механичния ефект от включването на допълнителна година (2025 г.), която не беше обхваната в миналогодишния доклад. По същия начин се очаква отмяната на бюджетни кредити по функция 2 за периода 2014—2020 г. да се състои най-късно до 2025 г., тъй като се предвижда дотогава да бъде извършено съответното плащане за приключване. </w:t>
      </w:r>
    </w:p>
    <w:p>
      <w:pPr>
        <w:snapToGrid w:val="0"/>
        <w:spacing w:after="120" w:line="276" w:lineRule="auto"/>
        <w:jc w:val="both"/>
        <w:rPr>
          <w:noProof/>
          <w:color w:val="000000"/>
        </w:rPr>
      </w:pPr>
      <w:r>
        <w:rPr>
          <w:noProof/>
          <w:color w:val="000000"/>
        </w:rPr>
        <w:t xml:space="preserve">За програмите по функции 1а, 3 и 4 за периода 2014—2020 г. намалението е комбиниран ефект от актуализирането на допусканията за бъдещи години в съответствие с проектобюджета за 2021 г. и от промяната на отчетния период с една година. През 2019 г. са отменени бюджетни кредити за 1,3 милиарда евро по тези три функции във връзка с програми преди 2014 г. и тази сума вече не е включена в настоящата прогноза. </w:t>
      </w:r>
    </w:p>
    <w:p>
      <w:pPr>
        <w:pStyle w:val="Heading2"/>
        <w:keepNext w:val="0"/>
        <w:numPr>
          <w:ilvl w:val="2"/>
          <w:numId w:val="21"/>
        </w:numPr>
        <w:tabs>
          <w:tab w:val="left" w:pos="720"/>
        </w:tabs>
        <w:spacing w:after="120" w:line="276" w:lineRule="auto"/>
        <w:rPr>
          <w:noProof/>
        </w:rPr>
      </w:pPr>
      <w:bookmarkStart w:id="9" w:name="_Toc524523064"/>
      <w:r>
        <w:rPr>
          <w:noProof/>
        </w:rPr>
        <w:t>Промяна на равнището на неизпълнените поети задължения</w:t>
      </w:r>
      <w:bookmarkEnd w:id="9"/>
    </w:p>
    <w:p>
      <w:pPr>
        <w:spacing w:after="120" w:line="276" w:lineRule="auto"/>
        <w:jc w:val="both"/>
        <w:rPr>
          <w:noProof/>
        </w:rPr>
      </w:pPr>
      <w:r>
        <w:rPr>
          <w:noProof/>
        </w:rPr>
        <w:t xml:space="preserve">Натрупването на неизпълнени поети задължения (или RAL — „reste à liquider“) е естествена последица от изпълнението на бюджета на ЕС с диференцирани бюджетни кредити и номинално нарастващия обем на бюджета на ЕС с течение на времето. Очаква се в началото на отчетния период RAL да достигне около 308 милиарда евро. За сравнение, прогнозата за RAL към края на 2020 г. в миналогодишния доклад беше 303 милиарда евро. </w:t>
      </w:r>
    </w:p>
    <w:p>
      <w:pPr>
        <w:spacing w:after="120" w:line="276" w:lineRule="auto"/>
        <w:jc w:val="both"/>
        <w:rPr>
          <w:noProof/>
        </w:rPr>
      </w:pPr>
      <w:r>
        <w:rPr>
          <w:noProof/>
        </w:rPr>
        <w:t>Тази промяна в прогнозата за RAL е резултат от няколко елемента. В края на 2019 г. действителните RAL възлизат на 294 милиарда евро</w:t>
      </w:r>
      <w:r>
        <w:rPr>
          <w:rStyle w:val="FootnoteReference"/>
          <w:noProof/>
        </w:rPr>
        <w:footnoteReference w:id="8"/>
      </w:r>
      <w:r>
        <w:rPr>
          <w:noProof/>
        </w:rPr>
        <w:t>. Към днешна дата поетите задължения по бюджета за 2020 г., включително подпомагането, предложено в проект на коригиращ бюджет № 6, възлизат на 184 милиарда евро, а плащанията са в размер на 161,5 милиарда евро. Това ще доведе до допълнителни RAL в размер на 22 милиарда евро, генерирани през 2020 г. Като се има предвид прогнозираното ускоряване на политиката на сближаване, предизвикано от инициативите ИИОК и ИИОК+, през 2020 г. могат да възникнат допълнителни нужди от плащания в размер на 8—10 милиарда евро. За целите на изчисляването на RAL в края на годината се приема, че по-късно през 2020 г. в бюджета ще бъде предвидена допълнителна сума в размер на около 8 милиарда евро под формата на плащания. Действителната допълнителна необходимост обаче може да бъде количествено определена само след представянето на собствени прогнози на държавите членки за изпълнението на оперативните им програми по линия на ЕСИ фондовете до 31 юли 2020 г.</w:t>
      </w:r>
    </w:p>
    <w:p>
      <w:pPr>
        <w:spacing w:after="120" w:line="276" w:lineRule="auto"/>
        <w:jc w:val="both"/>
        <w:rPr>
          <w:noProof/>
        </w:rPr>
      </w:pPr>
      <w:r>
        <w:rPr>
          <w:noProof/>
        </w:rPr>
        <w:t xml:space="preserve">В края на 2025 г. се очаква нивото на RAL да бъде около 292 милиарда евро, което води до номинален спад от 5 % през петте анализирани години. Годишното изменение на обема на RAL не е равномерно и той се изменя в зависимост от съотношението на годишните плащания към годишните поети задължения. Въз основа на предложението на Комисията за многогодишната финансова рамка за периода 2021—2027 г. таванът на плащанията за периода 2021—2025 г. ще бъде малко по-висок от тавана на поетите задължения. Това е резултат от ускоряване на плащанията през първите години от новия програмен период като част от подкрепата от бюджета на ЕС в отговор на COVID-19. Не се очаква намаляване на нуждите от плащания през периода 2023—2025 г. главно </w:t>
      </w:r>
      <w:r>
        <w:rPr>
          <w:noProof/>
          <w:color w:val="000000"/>
        </w:rPr>
        <w:t>поради комбинацията от първата цел за автоматична отмяна на бюджетни кредити за новите програми по Регламента за общоприложимите разпоредби и целта за отмяна n+3 за последния транш от ЕСИ фондовете за периода 2014—2020 г. и приключването на тези програми</w:t>
      </w:r>
      <w:r>
        <w:rPr>
          <w:noProof/>
        </w:rPr>
        <w:t xml:space="preserve">. Като цяло плащанията за петте години, обхванати от доклада, ще надхвърлят равнището на поетите задължения с около 6,6 милиарда евро. В комбинация с предвижданите отменени поети задължения през същия период това ще обърне тенденцията на нарастване на RAL. </w:t>
      </w:r>
    </w:p>
    <w:p>
      <w:pPr>
        <w:pStyle w:val="Heading2"/>
        <w:keepNext w:val="0"/>
        <w:numPr>
          <w:ilvl w:val="1"/>
          <w:numId w:val="21"/>
        </w:numPr>
        <w:tabs>
          <w:tab w:val="left" w:pos="720"/>
        </w:tabs>
        <w:spacing w:after="120" w:line="276" w:lineRule="auto"/>
        <w:ind w:left="788" w:hanging="431"/>
        <w:rPr>
          <w:noProof/>
        </w:rPr>
      </w:pPr>
      <w:r>
        <w:rPr>
          <w:noProof/>
        </w:rPr>
        <w:t xml:space="preserve"> </w:t>
      </w:r>
      <w:bookmarkStart w:id="10" w:name="_Toc524523065"/>
      <w:r>
        <w:rPr>
          <w:noProof/>
        </w:rPr>
        <w:t>Приходи</w:t>
      </w:r>
      <w:bookmarkEnd w:id="10"/>
    </w:p>
    <w:p>
      <w:pPr>
        <w:spacing w:after="120" w:line="276" w:lineRule="auto"/>
        <w:jc w:val="both"/>
        <w:rPr>
          <w:noProof/>
        </w:rPr>
      </w:pPr>
      <w:r>
        <w:rPr>
          <w:noProof/>
        </w:rPr>
        <w:t>Бюджетът на ЕС се финансира от собствени ресурси и други приходи. Общият размер на собствените ресурси, необходими за финансиране на бюджета, се определя, като от общия размер на разходите се извади общият размер на другите приходи. В съответствие с това прогнозата за приходите в бюджета на ЕС за периода 2021—2025 г. се основава на принципа, че разходите трябва да съответстват на приходите; следователно общият размер на приходите трябва да е равен на общия размер на разходите.</w:t>
      </w:r>
    </w:p>
    <w:p>
      <w:pPr>
        <w:spacing w:after="120" w:line="276" w:lineRule="auto"/>
        <w:jc w:val="both"/>
        <w:rPr>
          <w:noProof/>
        </w:rPr>
      </w:pPr>
      <w:r>
        <w:rPr>
          <w:noProof/>
        </w:rPr>
        <w:t>Считано от 2021 г., в съответствие със Споразумението за оттегляне (част V) Обединеното кралство ще направи вноска в бюджета на ЕС във връзка с неизпълнените поети задължения по МФР за периода 2014—2020 г. и предишните финансови перспективи (RAL към края на 2020 г.), както и за пенсионните задължения и другите компоненти на уреждането на финансовите отношения. Вноската на Обединеното кралство ще съответства на неговия дял във финансирането на тези задължения. Тя ще представлява „други приходи“ за бюджета на ЕС, които не са собствен ресурс на Съюза.</w:t>
      </w:r>
    </w:p>
    <w:p>
      <w:pPr>
        <w:spacing w:after="120" w:line="276" w:lineRule="auto"/>
        <w:jc w:val="both"/>
        <w:rPr>
          <w:noProof/>
        </w:rPr>
      </w:pPr>
      <w:r>
        <w:rPr>
          <w:noProof/>
        </w:rPr>
        <w:t xml:space="preserve">Общите собствени ресурси на ЕС за дадена година не могат да надхвърлят тавана на собствените ресурси. Комисията предложи този таван да бъде увеличен до 1,40 % от брутния национален доход на държавите членки на ЕС, считано от 1 януари 2021 г., за да се осигури механично намаляване на номиналната сума на собствените ресурси, която съответства на сегашния таван от 1,20 % от БНД на Съюза поради оттеглянето на Обединеното кралство и на икономическия спад в резултат на пандемията от COVID-19. До влизането в сила на новото решение за собствените ресурси, ще продължи да се прилага сегашният таван. </w:t>
      </w:r>
    </w:p>
    <w:p>
      <w:pPr>
        <w:spacing w:after="120" w:line="276" w:lineRule="auto"/>
        <w:jc w:val="both"/>
        <w:rPr>
          <w:noProof/>
        </w:rPr>
      </w:pPr>
      <w:r>
        <w:rPr>
          <w:noProof/>
        </w:rPr>
        <w:t>В номинално изражение през 2021 г. 1,20 % от брутния национален доход на ЕС възлиза на 168 милиарда евро. Това равнище ще остави марж от едва 2,4 милиарда евро между тавана на собствените ресурси и предложения таван на плащанията. По правни причини таванът на бюджетните кредити за плащания на многогодишната финансова рамка не може да надвишава тавана на собствените ресурси, а принципът на добро финансово управление изисква допълнително запазване на буфера за безопасност. Комисията предложи да се увеличи таванът на собствените ресурси за следващия период до 1,40 % от брутния национален доход на ЕС и е от съществено значение до края на 2020 г. новото решение за собствените ресурси да бъде прието и одобрено от държавите членки в съответствие с техните конституционни изисквания. Докато новият таван на собствените ресурси не влезе официално в сила, таванът на плащанията за 2021 г. ще трябва да е съобразен с настоящите ограничения.</w:t>
      </w:r>
    </w:p>
    <w:p>
      <w:pPr>
        <w:spacing w:after="120" w:line="276" w:lineRule="auto"/>
        <w:jc w:val="both"/>
        <w:rPr>
          <w:noProof/>
        </w:rPr>
      </w:pPr>
      <w:r>
        <w:rPr>
          <w:noProof/>
        </w:rPr>
        <w:t xml:space="preserve">Действителните нужди от собствени ресурси обаче се определят от планираните плащания след приспадане на очакваните други приходи, а не от тавана на плащанията на многогодишната финансова рамка. За 2021 г. собствените ресурси, необходими за финансирането на бюджета, се оценяват на 155 милиарда евро. Това ще остави </w:t>
      </w:r>
      <w:r>
        <w:rPr>
          <w:i/>
          <w:iCs/>
          <w:noProof/>
        </w:rPr>
        <w:t>de facto</w:t>
      </w:r>
      <w:r>
        <w:rPr>
          <w:noProof/>
        </w:rPr>
        <w:t xml:space="preserve"> марж от 13 милиарда евро под сегашния таван на собствените ресурси от 1,20 % от брутния национален доход за покриване на условните задължения на ЕС и други непредвидени нужди.</w:t>
      </w:r>
      <w:bookmarkStart w:id="11" w:name="_Toc524523066"/>
    </w:p>
    <w:p>
      <w:pPr>
        <w:pStyle w:val="Heading1"/>
        <w:numPr>
          <w:ilvl w:val="0"/>
          <w:numId w:val="21"/>
        </w:numPr>
        <w:tabs>
          <w:tab w:val="left" w:pos="720"/>
        </w:tabs>
        <w:spacing w:before="0" w:after="120" w:line="276" w:lineRule="auto"/>
        <w:rPr>
          <w:noProof/>
        </w:rPr>
      </w:pPr>
      <w:r>
        <w:rPr>
          <w:noProof/>
        </w:rPr>
        <w:t xml:space="preserve">Свързани с прогнозата допускания </w:t>
      </w:r>
      <w:bookmarkEnd w:id="11"/>
    </w:p>
    <w:p>
      <w:pPr>
        <w:pStyle w:val="Heading2"/>
        <w:keepNext w:val="0"/>
        <w:numPr>
          <w:ilvl w:val="1"/>
          <w:numId w:val="21"/>
        </w:numPr>
        <w:tabs>
          <w:tab w:val="left" w:pos="720"/>
        </w:tabs>
        <w:spacing w:after="120" w:line="276" w:lineRule="auto"/>
        <w:ind w:left="788" w:hanging="431"/>
        <w:rPr>
          <w:noProof/>
        </w:rPr>
      </w:pPr>
      <w:bookmarkStart w:id="12" w:name="_Toc494974439"/>
      <w:r>
        <w:rPr>
          <w:noProof/>
        </w:rPr>
        <w:t xml:space="preserve"> </w:t>
      </w:r>
      <w:bookmarkStart w:id="13" w:name="_Toc524523068"/>
      <w:r>
        <w:rPr>
          <w:noProof/>
        </w:rPr>
        <w:t>Конкретни допускания по основни разходни елементи</w:t>
      </w:r>
      <w:bookmarkEnd w:id="13"/>
      <w:r>
        <w:rPr>
          <w:noProof/>
        </w:rPr>
        <w:t xml:space="preserve"> </w:t>
      </w:r>
      <w:bookmarkEnd w:id="12"/>
    </w:p>
    <w:p>
      <w:pPr>
        <w:pStyle w:val="Heading2"/>
        <w:keepNext w:val="0"/>
        <w:numPr>
          <w:ilvl w:val="2"/>
          <w:numId w:val="21"/>
        </w:numPr>
        <w:tabs>
          <w:tab w:val="left" w:pos="720"/>
        </w:tabs>
        <w:spacing w:after="120" w:line="276" w:lineRule="auto"/>
        <w:rPr>
          <w:noProof/>
        </w:rPr>
      </w:pPr>
      <w:bookmarkStart w:id="14" w:name="_Toc494974440"/>
      <w:bookmarkStart w:id="15" w:name="_Toc524523069"/>
      <w:r>
        <w:rPr>
          <w:noProof/>
        </w:rPr>
        <w:t>ЕСИ фондове за периода 2014—2020 г.</w:t>
      </w:r>
      <w:bookmarkEnd w:id="14"/>
      <w:bookmarkEnd w:id="15"/>
      <w:r>
        <w:rPr>
          <w:noProof/>
        </w:rPr>
        <w:t xml:space="preserve"> и фондове в областта на политиката на сближаване за периода 2021—2027 г.</w:t>
      </w:r>
    </w:p>
    <w:p>
      <w:pPr>
        <w:pStyle w:val="Text1"/>
        <w:spacing w:after="120" w:line="276" w:lineRule="auto"/>
        <w:ind w:left="0"/>
        <w:rPr>
          <w:noProof/>
        </w:rPr>
      </w:pPr>
      <w:r>
        <w:rPr>
          <w:noProof/>
        </w:rPr>
        <w:t>Прогнозата за плащанията за ЕСИ фондовете за периода 2014—2020 г. се основава на предишния опит с представените искания за междинни плащания като процент от общия финансов пакет. За всеки от фондовете се използват специфични профили на плащанията. Освен това е отчетено и отражението върху плащанията в резултат на предложенията за отговор на коронавируса (вж. точка 2.2. Плащания по задължения, поети преди 2021 г.).</w:t>
      </w:r>
    </w:p>
    <w:p>
      <w:pPr>
        <w:pStyle w:val="Text1"/>
        <w:spacing w:after="120" w:line="276" w:lineRule="auto"/>
        <w:ind w:left="0"/>
        <w:rPr>
          <w:noProof/>
        </w:rPr>
      </w:pPr>
      <w:r>
        <w:rPr>
          <w:noProof/>
        </w:rPr>
        <w:t xml:space="preserve">За фондовете в областта на политиката на сближаване за периода 2021—2027 г. предвижданите плащания зависят от допусканията, които стоят зад ключовите параметри за изпълнението на политиката, които понастоящем са част от преговорите относно следващата многогодишна финансова рамка. Настоящата прогноза се основава на параметрите, произтичащи от последното състояние на преговорите </w:t>
      </w:r>
      <w:r>
        <w:rPr>
          <w:noProof/>
          <w:color w:val="000000"/>
        </w:rPr>
        <w:t>(0,5 % предварително финансиране за всяка година от 2021 г. до 2026 г., уравнено при приключване на програмите, процент на приспадане в размер на 5 %, липса на резерв за изпълнение). Профилите на исканията за междинни плащания бяха изчислени, така че да отразяват постепенното въвеждане на правилото n+ 2 за отмяна на бюджетни кредити, изменено, за да се даде възможност за някои изключения за първите траншове на поети бюджетни задължения. По-нататъшните промени в тези параметри по време на текущите преговори ще окажат въздействие върху плащанията във връзка с фондовете в областта на политиката на сближаване за периода 2021—2027 г.</w:t>
      </w:r>
    </w:p>
    <w:p>
      <w:pPr>
        <w:pStyle w:val="Heading2"/>
        <w:keepNext w:val="0"/>
        <w:numPr>
          <w:ilvl w:val="2"/>
          <w:numId w:val="21"/>
        </w:numPr>
        <w:tabs>
          <w:tab w:val="left" w:pos="720"/>
        </w:tabs>
        <w:spacing w:after="120" w:line="276" w:lineRule="auto"/>
        <w:rPr>
          <w:noProof/>
        </w:rPr>
      </w:pPr>
      <w:bookmarkStart w:id="16" w:name="_Toc494974442"/>
      <w:bookmarkStart w:id="17" w:name="_Toc524523070"/>
      <w:r>
        <w:rPr>
          <w:noProof/>
        </w:rPr>
        <w:t>Директни плащания и пазарни мерки</w:t>
      </w:r>
      <w:bookmarkEnd w:id="16"/>
      <w:bookmarkEnd w:id="17"/>
      <w:r>
        <w:rPr>
          <w:noProof/>
        </w:rPr>
        <w:t xml:space="preserve"> в рамките на общата селскостопанска политика</w:t>
      </w:r>
    </w:p>
    <w:p>
      <w:pPr>
        <w:pStyle w:val="Text1"/>
        <w:spacing w:after="120" w:line="276" w:lineRule="auto"/>
        <w:ind w:left="0"/>
        <w:rPr>
          <w:noProof/>
        </w:rPr>
      </w:pPr>
      <w:r>
        <w:rPr>
          <w:noProof/>
        </w:rPr>
        <w:t>Що се отнася до бюджетните кредити за Европейския фонд за гарантиране на земеделието, те са предимно едногодишни и повечето от тях, свързани с директните плащания за селскостопанските производители, обикновено се възстановяват на държавите членки през първите месеци на бюджетната година.</w:t>
      </w:r>
    </w:p>
    <w:p>
      <w:pPr>
        <w:pStyle w:val="Text1"/>
        <w:spacing w:after="120" w:line="276" w:lineRule="auto"/>
        <w:ind w:left="0"/>
        <w:rPr>
          <w:noProof/>
        </w:rPr>
      </w:pPr>
      <w:r>
        <w:rPr>
          <w:noProof/>
        </w:rPr>
        <w:t>За развитието на селските райони предложението за еднократно подпомагане на доходите на земеделските стопани в контекста на отговора на ЕС на COVID-19 беше отчетено чрез извършване на авансови плащания до 2021 г.</w:t>
      </w:r>
    </w:p>
    <w:p>
      <w:pPr>
        <w:pStyle w:val="Heading2"/>
        <w:numPr>
          <w:ilvl w:val="2"/>
          <w:numId w:val="2"/>
        </w:numPr>
        <w:spacing w:after="120" w:line="276" w:lineRule="auto"/>
        <w:rPr>
          <w:noProof/>
        </w:rPr>
      </w:pPr>
      <w:r>
        <w:rPr>
          <w:noProof/>
        </w:rPr>
        <w:t>Други програми и фондове</w:t>
      </w:r>
    </w:p>
    <w:p>
      <w:pPr>
        <w:spacing w:after="120" w:line="276" w:lineRule="auto"/>
        <w:jc w:val="both"/>
        <w:rPr>
          <w:noProof/>
        </w:rPr>
      </w:pPr>
      <w:r>
        <w:rPr>
          <w:noProof/>
        </w:rPr>
        <w:t xml:space="preserve">За всички други разходни пера (напр. научни изследвания и иновации, широкомащабни инфраструктурни проекти, вътрешни и външни политики) прогнозите за плащанията по поетите задължения, разрешени при настоящата финансова рамка, се основават на проектобюджета за 2021 г. и придружаващите го графици за плащания по отделни бюджетни редове. </w:t>
      </w:r>
    </w:p>
    <w:p>
      <w:pPr>
        <w:spacing w:after="120" w:line="276" w:lineRule="auto"/>
        <w:jc w:val="both"/>
        <w:rPr>
          <w:noProof/>
          <w:color w:val="000000"/>
        </w:rPr>
      </w:pPr>
      <w:r>
        <w:rPr>
          <w:noProof/>
          <w:color w:val="000000"/>
        </w:rPr>
        <w:t xml:space="preserve">Няма промяна в допусканията, използвани за оценка на плащанията, необходими за новото поколение програми за разходи в сравнение с миналогодишната прогноза. Годишните нужди от плащания са изчислени, като се използват статистически данни за действителното изпълнение през последните 10 години на съответните текущи програми и свързаните с тях предходни програми за периода 2007—2013 г. За програмите без предходни програми прогнозата за плащанията се основава на изпълнението на подобен вид дейности, адаптирано в съответствие със специфичните елементи на новите програми. При все това за прогнозата за тази година бюджетните кредити за поети задължения за всяка програма, въз основа на които се прогнозират плащанията, са актуализирани, за да отразят преразгледаното предложение на Комисията за следващата многогодишна финансова рамка. </w:t>
      </w:r>
    </w:p>
    <w:p>
      <w:pPr>
        <w:pStyle w:val="Heading2"/>
        <w:numPr>
          <w:ilvl w:val="2"/>
          <w:numId w:val="2"/>
        </w:numPr>
        <w:spacing w:after="120" w:line="276" w:lineRule="auto"/>
        <w:ind w:left="1225" w:hanging="505"/>
        <w:rPr>
          <w:noProof/>
        </w:rPr>
      </w:pPr>
      <w:r>
        <w:rPr>
          <w:noProof/>
        </w:rPr>
        <w:t>Администрация</w:t>
      </w:r>
    </w:p>
    <w:p>
      <w:pPr>
        <w:spacing w:after="120" w:line="276" w:lineRule="auto"/>
        <w:jc w:val="both"/>
        <w:rPr>
          <w:noProof/>
        </w:rPr>
      </w:pPr>
      <w:r>
        <w:rPr>
          <w:noProof/>
        </w:rPr>
        <w:t>Административните разходи (функция 7 за периода 2021—2027 г.) се основават на едногодишни бюджетни кредити; предложените тавани на разходите за функция 7 през 2021—2025 г. са изцяло преобразувани в плащания.</w:t>
      </w:r>
    </w:p>
    <w:p>
      <w:pPr>
        <w:spacing w:after="120" w:line="276" w:lineRule="auto"/>
        <w:jc w:val="both"/>
        <w:rPr>
          <w:noProof/>
        </w:rPr>
      </w:pPr>
      <w:r>
        <w:rPr>
          <w:noProof/>
        </w:rPr>
        <w:t>Същото важи и за субсидиите за децентрализираните агенции, които се финансират извън административната функция.</w:t>
      </w:r>
    </w:p>
    <w:p>
      <w:pPr>
        <w:pStyle w:val="Heading2"/>
        <w:keepNext w:val="0"/>
        <w:numPr>
          <w:ilvl w:val="1"/>
          <w:numId w:val="2"/>
        </w:numPr>
        <w:spacing w:after="120" w:line="276" w:lineRule="auto"/>
        <w:rPr>
          <w:noProof/>
        </w:rPr>
      </w:pPr>
      <w:bookmarkStart w:id="18" w:name="_Toc524523072"/>
      <w:bookmarkStart w:id="19" w:name="_Toc494974450"/>
      <w:r>
        <w:rPr>
          <w:noProof/>
        </w:rPr>
        <w:t>Допускания за прогнозирането на приходите</w:t>
      </w:r>
      <w:bookmarkEnd w:id="18"/>
    </w:p>
    <w:p>
      <w:pPr>
        <w:pStyle w:val="Heading2"/>
        <w:numPr>
          <w:ilvl w:val="2"/>
          <w:numId w:val="2"/>
        </w:numPr>
        <w:spacing w:after="120" w:line="276" w:lineRule="auto"/>
        <w:ind w:left="1225" w:hanging="505"/>
        <w:rPr>
          <w:noProof/>
        </w:rPr>
      </w:pPr>
      <w:r>
        <w:rPr>
          <w:noProof/>
        </w:rPr>
        <w:t>Приложимо законодателство</w:t>
      </w:r>
    </w:p>
    <w:p>
      <w:pPr>
        <w:spacing w:after="120" w:line="276" w:lineRule="auto"/>
        <w:jc w:val="both"/>
        <w:rPr>
          <w:noProof/>
        </w:rPr>
      </w:pPr>
      <w:r>
        <w:rPr>
          <w:noProof/>
        </w:rPr>
        <w:t>Комисията предложи нови правила за собствените ресурси на Съюза чрез своето предложение за решение на Съвета от 2018 г. относно системата на собствените ресурси</w:t>
      </w:r>
      <w:r>
        <w:rPr>
          <w:rStyle w:val="FootnoteReference"/>
          <w:noProof/>
        </w:rPr>
        <w:footnoteReference w:id="9"/>
      </w:r>
      <w:r>
        <w:rPr>
          <w:noProof/>
        </w:rPr>
        <w:t>. Приемането на новото решение изисква единодушно съгласие на всички държави членки и одобрение съгласно националните конституционни изисквания. След влизането в сила на новото решение то ще се прилага от 1 януари 2021 г. Ако датата на влизане в сила е след януари 2021 г., решението ще се прилага с обратно действие. Поради тази причина, представената в настоящия доклад прогноза за приходите се основава на параметрите на предложението на Комисията от 2020 г. за новото решение на Съвета относно системата на собствените ресурси за всички години от отчетния период (2021—2025 г.). От друга страна, проектобюджетът за 2021 г. отразява параметрите на действащото в момента решение за собствените ресурси</w:t>
      </w:r>
      <w:r>
        <w:rPr>
          <w:rStyle w:val="FootnoteReference"/>
          <w:noProof/>
        </w:rPr>
        <w:footnoteReference w:id="10"/>
      </w:r>
      <w:r>
        <w:rPr>
          <w:noProof/>
        </w:rPr>
        <w:t xml:space="preserve"> от 2014 г.</w:t>
      </w:r>
    </w:p>
    <w:p>
      <w:pPr>
        <w:pStyle w:val="Heading2"/>
        <w:numPr>
          <w:ilvl w:val="2"/>
          <w:numId w:val="2"/>
        </w:numPr>
        <w:spacing w:after="120" w:line="276" w:lineRule="auto"/>
        <w:ind w:left="1225" w:hanging="505"/>
        <w:rPr>
          <w:noProof/>
        </w:rPr>
      </w:pPr>
      <w:r>
        <w:rPr>
          <w:noProof/>
        </w:rPr>
        <w:t>Традиционни собствени ресурси</w:t>
      </w:r>
    </w:p>
    <w:p>
      <w:pPr>
        <w:spacing w:after="120" w:line="276" w:lineRule="auto"/>
        <w:jc w:val="both"/>
        <w:rPr>
          <w:noProof/>
        </w:rPr>
      </w:pPr>
      <w:r>
        <w:rPr>
          <w:noProof/>
        </w:rPr>
        <w:t>Предвижда се митата да нараснат през периода 2022—2025 г. със същия процент като номиналния брутен национален доход на всяка държава членка, като се започне от нивото на брутните мита, предвидени за бюджета за 2021 г.</w:t>
      </w:r>
      <w:r>
        <w:rPr>
          <w:rStyle w:val="FootnoteReference"/>
          <w:noProof/>
        </w:rPr>
        <w:footnoteReference w:id="11"/>
      </w:r>
    </w:p>
    <w:p>
      <w:pPr>
        <w:spacing w:after="120" w:line="276" w:lineRule="auto"/>
        <w:jc w:val="both"/>
        <w:rPr>
          <w:noProof/>
        </w:rPr>
      </w:pPr>
      <w:r>
        <w:rPr>
          <w:noProof/>
        </w:rPr>
        <w:t>Поради изчислените в настоящия доклад приходи се допуска, че 10 % от митата ще бъдат приспаднати от държавите членки като разходи по събирането, както е в предложението на Комисията за решение на Съвета относно системата на собствените ресурси</w:t>
      </w:r>
      <w:r>
        <w:rPr>
          <w:rStyle w:val="FootnoteReference"/>
          <w:noProof/>
        </w:rPr>
        <w:footnoteReference w:id="12"/>
      </w:r>
      <w:r>
        <w:rPr>
          <w:noProof/>
        </w:rPr>
        <w:t>. За справка, текущата ставка е 20 %. Новата ставка е предмет на преговори в рамките на пакета за многогодишна финансова рамка за периода 2021—2027 г. Потенциалното увеличение на процента на приспадане над предвиденото в предложението на Комисията ще намали равнището на традиционните собствени ресурси, което ще трябва да бъде компенсирано с по-високи национални вноски.</w:t>
      </w:r>
    </w:p>
    <w:p>
      <w:pPr>
        <w:pStyle w:val="Heading2"/>
        <w:numPr>
          <w:ilvl w:val="2"/>
          <w:numId w:val="2"/>
        </w:numPr>
        <w:spacing w:after="120" w:line="276" w:lineRule="auto"/>
        <w:rPr>
          <w:noProof/>
        </w:rPr>
      </w:pPr>
      <w:r>
        <w:rPr>
          <w:noProof/>
        </w:rPr>
        <w:t>Национални вноски и приходи от нови собствени ресурси</w:t>
      </w:r>
    </w:p>
    <w:p>
      <w:pPr>
        <w:spacing w:after="120" w:line="276" w:lineRule="auto"/>
        <w:jc w:val="both"/>
        <w:rPr>
          <w:noProof/>
        </w:rPr>
      </w:pPr>
      <w:r>
        <w:rPr>
          <w:noProof/>
        </w:rPr>
        <w:t>Националните вноски (под формата на собствен ресурс на база на брутния национален доход и собствен ресурс на база на ДДС) и потенциални нови собствени ресурси запълват недостига на средства, за да балансират приходите с прогнозните разходи.</w:t>
      </w:r>
    </w:p>
    <w:p>
      <w:pPr>
        <w:spacing w:after="120" w:line="276" w:lineRule="auto"/>
        <w:jc w:val="both"/>
        <w:rPr>
          <w:noProof/>
        </w:rPr>
      </w:pPr>
      <w:r>
        <w:rPr>
          <w:noProof/>
        </w:rPr>
        <w:t>През май 2018 г. Комисията предложи източниците на приходи да бъдат разнообразени с набор от нови собствени ресурси, които ще допринесат за постигане на приоритетите на ЕС, като изменението на климата, кръговата икономика и справедливото данъчно облагане. Този набор включва приходи, свързани със схемата за търговия с емисии, национална вноска, изчислена на основата на нерециклираните отпадъци от пластмасови опаковки, и ресурс на базата на обща консолидирана основа за облагане с корпоративен данък. Освен това Комисията обяви, че ще предложи и допълнителни нови собствени ресурси на по-късен етап през периода 2021—2027 г.</w:t>
      </w:r>
      <w:r>
        <w:rPr>
          <w:rStyle w:val="FootnoteReference"/>
          <w:noProof/>
        </w:rPr>
        <w:footnoteReference w:id="13"/>
      </w:r>
    </w:p>
    <w:p>
      <w:pPr>
        <w:spacing w:after="120" w:line="276" w:lineRule="auto"/>
        <w:jc w:val="both"/>
        <w:rPr>
          <w:noProof/>
        </w:rPr>
      </w:pPr>
      <w:r>
        <w:rPr>
          <w:noProof/>
        </w:rPr>
        <w:t>Точният размер на националните вноски и приходите от нови собствени ресурси ще станат известни едва когато държавите членки са постигнали съгласие за следващите дългосрочен бюджет и система на собствените ресурси.</w:t>
      </w:r>
    </w:p>
    <w:p>
      <w:pPr>
        <w:pStyle w:val="Heading2"/>
        <w:numPr>
          <w:ilvl w:val="2"/>
          <w:numId w:val="2"/>
        </w:numPr>
        <w:spacing w:after="120" w:line="276" w:lineRule="auto"/>
        <w:rPr>
          <w:noProof/>
        </w:rPr>
      </w:pPr>
      <w:r>
        <w:rPr>
          <w:noProof/>
        </w:rPr>
        <w:t>Други приходи</w:t>
      </w:r>
    </w:p>
    <w:p>
      <w:pPr>
        <w:spacing w:after="120" w:line="276" w:lineRule="auto"/>
        <w:jc w:val="both"/>
        <w:rPr>
          <w:noProof/>
        </w:rPr>
      </w:pPr>
      <w:r>
        <w:rPr>
          <w:noProof/>
        </w:rPr>
        <w:t>Другите приходи в бюджета на ЕС традиционно включват вноските на персонала, приходите от административната дейност на институциите, вноските и възстановените суми във връзка със споразумения и програми на Съюза, лихвите по просрочени плащания и глобите, приходите от операции по получаване и отпускане на заеми и разните приходи — както и излишъците от предходните години. Предвид присъщата им нестабилност, повечето от тези компоненти са трудни за прогнозиране. Поради това се приема, че разглежданата сума в бюджета за 2020 г. (т.е. 2 милиарда евро) остава номинално постоянна през периода, обхванат от доклада (2021—2025 г.).</w:t>
      </w:r>
    </w:p>
    <w:p>
      <w:pPr>
        <w:spacing w:after="120" w:line="276" w:lineRule="auto"/>
        <w:jc w:val="both"/>
        <w:rPr>
          <w:noProof/>
        </w:rPr>
      </w:pPr>
      <w:r>
        <w:rPr>
          <w:noProof/>
        </w:rPr>
        <w:t>Считано от 2021 г. нататък, в допълнение към горепосочените позиции другите приходи в бюджета на ЕС ще включват и вноската на Обединеното кралство, произтичаща от Споразумението за оттегляне, във връзка с неизпълнените поети задължения (RAL) и пенсионните задължения, както и други компоненти на уреждането на финансовите отношения, според случая</w:t>
      </w:r>
      <w:r>
        <w:rPr>
          <w:rStyle w:val="FootnoteReference"/>
          <w:noProof/>
          <w:lang w:eastAsia="ko-KR"/>
        </w:rPr>
        <w:footnoteReference w:id="14"/>
      </w:r>
      <w:r>
        <w:rPr>
          <w:noProof/>
        </w:rPr>
        <w:t>. За 2021 г. предложеното финансиране на проектобюджета за 2021 г. отразява вноската на Обединеното кралство.</w:t>
      </w:r>
    </w:p>
    <w:p>
      <w:pPr>
        <w:spacing w:after="120" w:line="276" w:lineRule="auto"/>
        <w:jc w:val="both"/>
        <w:rPr>
          <w:noProof/>
        </w:rPr>
      </w:pPr>
      <w:r>
        <w:rPr>
          <w:noProof/>
        </w:rPr>
        <w:t>Вноската на Обединеното кралство във връзка с неизпълнените поети задължения по МФР за периода 2014—2020 г. и предишните финансови перспективи</w:t>
      </w:r>
      <w:r>
        <w:rPr>
          <w:rStyle w:val="FootnoteReference"/>
          <w:noProof/>
          <w:lang w:eastAsia="ko-KR"/>
        </w:rPr>
        <w:footnoteReference w:id="15"/>
      </w:r>
      <w:r>
        <w:rPr>
          <w:noProof/>
        </w:rPr>
        <w:t xml:space="preserve"> се установява чрез прилагане на временния дял на Обединеното кралство, определен</w:t>
      </w:r>
      <w:r>
        <w:rPr>
          <w:rStyle w:val="FootnoteReference"/>
          <w:noProof/>
          <w:lang w:eastAsia="ko-KR"/>
        </w:rPr>
        <w:footnoteReference w:id="16"/>
      </w:r>
      <w:r>
        <w:rPr>
          <w:noProof/>
        </w:rPr>
        <w:t xml:space="preserve"> като съотношението между собствените ресурси, които трябва да бъдат предоставени от Обединеното кралство за периода 2014—2020 г., и ресурсите, предоставени през този период от всички държави членки и Обединеното кралство, към прогнозното равнище на плащанията за RAL за всяка от годините в периода 2021—2025 г. Годишната вноска на Обединеното кралство се прави с оглед на условията за плащане, определени в член 148 от Споразумението за оттегляне.</w:t>
      </w:r>
    </w:p>
    <w:p>
      <w:pPr>
        <w:spacing w:after="120" w:line="276" w:lineRule="auto"/>
        <w:jc w:val="both"/>
        <w:rPr>
          <w:noProof/>
        </w:rPr>
      </w:pPr>
      <w:r>
        <w:rPr>
          <w:noProof/>
        </w:rPr>
        <w:t>Що се отнася до плащанията във връзка с пенсионните задължения, не може да бъде прогнозирана сума, тъй като вноската ще се определя ежегодно въз основа на действителните бенефициери, натрупаните права след приключване на трудовите правоотношения и други специфични елементи, предвидени в член 142 от проекта на Споразумението за оттегляне. Изключение е пенсионното задължение, посочено в член 142, параграф 5, чието количество е определено условно и което е включено във вноската на Обединеното кралство за периода 2021—2025 г.</w:t>
      </w:r>
    </w:p>
    <w:p>
      <w:pPr>
        <w:pStyle w:val="Heading1"/>
        <w:numPr>
          <w:ilvl w:val="0"/>
          <w:numId w:val="21"/>
        </w:numPr>
        <w:tabs>
          <w:tab w:val="left" w:pos="720"/>
        </w:tabs>
        <w:spacing w:before="0" w:after="120" w:line="276" w:lineRule="auto"/>
        <w:rPr>
          <w:noProof/>
        </w:rPr>
      </w:pPr>
      <w:bookmarkStart w:id="20" w:name="_Toc524523073"/>
      <w:bookmarkEnd w:id="19"/>
      <w:r>
        <w:rPr>
          <w:noProof/>
        </w:rPr>
        <w:t>Заключения</w:t>
      </w:r>
      <w:bookmarkEnd w:id="20"/>
    </w:p>
    <w:p>
      <w:pPr>
        <w:spacing w:after="120" w:line="276" w:lineRule="auto"/>
        <w:jc w:val="both"/>
        <w:rPr>
          <w:noProof/>
        </w:rPr>
      </w:pPr>
      <w:r>
        <w:rPr>
          <w:noProof/>
        </w:rPr>
        <w:t xml:space="preserve">В доклада за прогнозите от тази година са обхванати първите пет години от следващата многогодишна финансова рамка, по която преговорите все още продължават. Следователно прогнозата за плащанията се основава на преразгледаното предложение на Комисията за следващата финансова рамка от май 2020 г., както и на подпомагането на програмите през 2020 г., както е предвидено в инвестиционните инициативи в отговор на коронавируса (ИИОК и ИИОК+), в коригиращите бюджети № 1 и № 2 и проекта за коригиращ бюджет № 6. </w:t>
      </w:r>
    </w:p>
    <w:p>
      <w:pPr>
        <w:spacing w:after="120" w:line="276" w:lineRule="auto"/>
        <w:jc w:val="both"/>
        <w:rPr>
          <w:noProof/>
        </w:rPr>
      </w:pPr>
      <w:r>
        <w:rPr>
          <w:noProof/>
        </w:rPr>
        <w:t xml:space="preserve">Въз основа на тези предложения плащането през първите години на новия програмен период ще се увеличи в сравнение с прогнозите за миналата година и ще достигне ниво над предложените тавани за поети задължения. Това ще позволи обръщане на тенденцията на нарастващи неизпълнени поети задължения (RAL). Въз основа на предложенията на Комисията RAL ще намалеят с 5 % до края на 2025 г. </w:t>
      </w:r>
    </w:p>
    <w:p>
      <w:pPr>
        <w:spacing w:after="120" w:line="276" w:lineRule="auto"/>
        <w:jc w:val="both"/>
        <w:rPr>
          <w:noProof/>
        </w:rPr>
      </w:pPr>
      <w:r>
        <w:rPr>
          <w:noProof/>
        </w:rPr>
        <w:t>Особено внимание следва да се обърне на плащанията през 2021 г. Увеличаването на процентите на предварително финансиране в рамките на политиката на сближаване ще има незабавен ефект върху нуждите от плащане. Въпреки това, докато сегашният таван на собствените ресурси от 1,20 % от брутния национален доход не бъде официално заменен от новия таван, няма да има основание за повишаване на тавана на плащанията за 2021 г. извън предложението на Комисията и следователно прякото въздействие ще се изразява в необичайно забавяне на плащанията.</w:t>
      </w:r>
    </w:p>
    <w:p>
      <w:pPr>
        <w:spacing w:after="120" w:line="276" w:lineRule="auto"/>
        <w:jc w:val="both"/>
        <w:rPr>
          <w:noProof/>
        </w:rPr>
      </w:pPr>
    </w:p>
    <w:p>
      <w:pPr>
        <w:jc w:val="right"/>
        <w:rPr>
          <w:noProof/>
        </w:rPr>
      </w:pPr>
      <w:r>
        <w:rPr>
          <w:noProof/>
        </w:rPr>
        <w:br w:type="page"/>
      </w:r>
      <w:bookmarkStart w:id="21" w:name="_Toc524523074"/>
      <w:r>
        <w:rPr>
          <w:b/>
          <w:noProof/>
          <w:sz w:val="20"/>
          <w:szCs w:val="20"/>
        </w:rPr>
        <w:t>Приложение</w:t>
      </w:r>
      <w:bookmarkEnd w:id="21"/>
      <w:r>
        <w:rPr>
          <w:b/>
          <w:noProof/>
          <w:sz w:val="20"/>
          <w:szCs w:val="20"/>
        </w:rPr>
        <w:t xml:space="preserve"> 1</w:t>
      </w:r>
    </w:p>
    <w:p>
      <w:pPr>
        <w:pStyle w:val="Caption"/>
        <w:keepNext/>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 Дългосрочна прогноза за бъдещите входящи и изходящи парични потоци на бюджета на ЕС за периода 2021—2025 г. </w:t>
      </w:r>
    </w:p>
    <w:tbl>
      <w:tblPr>
        <w:tblW w:w="17513" w:type="dxa"/>
        <w:tblInd w:w="-459" w:type="dxa"/>
        <w:tblLook w:val="04A0" w:firstRow="1" w:lastRow="0" w:firstColumn="1" w:lastColumn="0" w:noHBand="0" w:noVBand="1"/>
      </w:tblPr>
      <w:tblGrid>
        <w:gridCol w:w="4649"/>
        <w:gridCol w:w="57"/>
        <w:gridCol w:w="1256"/>
        <w:gridCol w:w="60"/>
        <w:gridCol w:w="1193"/>
        <w:gridCol w:w="57"/>
        <w:gridCol w:w="1162"/>
        <w:gridCol w:w="31"/>
        <w:gridCol w:w="57"/>
        <w:gridCol w:w="1193"/>
        <w:gridCol w:w="57"/>
        <w:gridCol w:w="159"/>
        <w:gridCol w:w="1034"/>
        <w:gridCol w:w="57"/>
        <w:gridCol w:w="50"/>
        <w:gridCol w:w="453"/>
        <w:gridCol w:w="1656"/>
        <w:gridCol w:w="1656"/>
        <w:gridCol w:w="1656"/>
        <w:gridCol w:w="1020"/>
      </w:tblGrid>
      <w:tr>
        <w:trPr>
          <w:gridAfter w:val="5"/>
          <w:wAfter w:w="6441" w:type="dxa"/>
          <w:trHeight w:val="20"/>
        </w:trPr>
        <w:tc>
          <w:tcPr>
            <w:tcW w:w="4649" w:type="dxa"/>
            <w:tcBorders>
              <w:top w:val="nil"/>
              <w:left w:val="nil"/>
              <w:bottom w:val="nil"/>
              <w:right w:val="nil"/>
            </w:tcBorders>
            <w:shd w:val="clear" w:color="auto" w:fill="auto"/>
            <w:noWrap/>
            <w:vAlign w:val="center"/>
            <w:hideMark/>
          </w:tcPr>
          <w:p>
            <w:pPr>
              <w:rPr>
                <w:i/>
                <w:iCs/>
                <w:noProof/>
                <w:color w:val="000000"/>
                <w:sz w:val="20"/>
                <w:szCs w:val="20"/>
              </w:rPr>
            </w:pPr>
            <w:bookmarkStart w:id="22" w:name="RANGE!C2:J46"/>
            <w:r>
              <w:rPr>
                <w:i/>
                <w:iCs/>
                <w:noProof/>
                <w:color w:val="000000"/>
                <w:sz w:val="20"/>
                <w:szCs w:val="20"/>
              </w:rPr>
              <w:t>В милиарди евро по текущи цени</w:t>
            </w:r>
            <w:bookmarkEnd w:id="22"/>
          </w:p>
        </w:tc>
        <w:tc>
          <w:tcPr>
            <w:tcW w:w="6423" w:type="dxa"/>
            <w:gridSpan w:val="14"/>
            <w:tcBorders>
              <w:top w:val="nil"/>
              <w:left w:val="nil"/>
              <w:bottom w:val="nil"/>
              <w:right w:val="nil"/>
            </w:tcBorders>
            <w:shd w:val="clear" w:color="auto" w:fill="auto"/>
            <w:noWrap/>
            <w:vAlign w:val="center"/>
            <w:hideMark/>
          </w:tcPr>
          <w:p>
            <w:pPr>
              <w:jc w:val="center"/>
              <w:rPr>
                <w:b/>
                <w:bCs/>
                <w:noProof/>
                <w:color w:val="000000"/>
                <w:sz w:val="20"/>
                <w:szCs w:val="20"/>
              </w:rPr>
            </w:pPr>
            <w:r>
              <w:rPr>
                <w:b/>
                <w:bCs/>
                <w:noProof/>
                <w:color w:val="000000"/>
                <w:sz w:val="20"/>
                <w:szCs w:val="20"/>
              </w:rPr>
              <w:t xml:space="preserve">Предложение на Комисията за МФР за 2021—2027 г. </w:t>
            </w:r>
          </w:p>
        </w:tc>
      </w:tr>
      <w:tr>
        <w:trPr>
          <w:gridAfter w:val="7"/>
          <w:wAfter w:w="6548" w:type="dxa"/>
          <w:trHeight w:val="20"/>
        </w:trPr>
        <w:tc>
          <w:tcPr>
            <w:tcW w:w="4649" w:type="dxa"/>
            <w:tcBorders>
              <w:top w:val="nil"/>
              <w:left w:val="nil"/>
              <w:bottom w:val="dotted" w:sz="4" w:space="0" w:color="auto"/>
              <w:right w:val="nil"/>
            </w:tcBorders>
            <w:shd w:val="clear" w:color="auto" w:fill="auto"/>
            <w:noWrap/>
            <w:vAlign w:val="center"/>
            <w:hideMark/>
          </w:tcPr>
          <w:p>
            <w:pPr>
              <w:rPr>
                <w:i/>
                <w:iCs/>
                <w:noProof/>
                <w:color w:val="000000"/>
                <w:sz w:val="20"/>
                <w:szCs w:val="20"/>
              </w:rPr>
            </w:pPr>
            <w:r>
              <w:rPr>
                <w:i/>
                <w:iCs/>
                <w:noProof/>
                <w:color w:val="000000"/>
                <w:sz w:val="20"/>
                <w:szCs w:val="20"/>
              </w:rPr>
              <w:t xml:space="preserve"> </w:t>
            </w:r>
          </w:p>
        </w:tc>
        <w:tc>
          <w:tcPr>
            <w:tcW w:w="1313" w:type="dxa"/>
            <w:gridSpan w:val="2"/>
            <w:tcBorders>
              <w:top w:val="nil"/>
              <w:left w:val="nil"/>
              <w:bottom w:val="dotted" w:sz="4" w:space="0" w:color="auto"/>
              <w:right w:val="nil"/>
            </w:tcBorders>
            <w:shd w:val="clear" w:color="auto" w:fill="auto"/>
            <w:noWrap/>
            <w:vAlign w:val="center"/>
            <w:hideMark/>
          </w:tcPr>
          <w:p>
            <w:pPr>
              <w:jc w:val="center"/>
              <w:rPr>
                <w:b/>
                <w:bCs/>
                <w:noProof/>
                <w:color w:val="000000"/>
                <w:spacing w:val="-6"/>
                <w:sz w:val="20"/>
                <w:szCs w:val="20"/>
              </w:rPr>
            </w:pPr>
            <w:r>
              <w:rPr>
                <w:b/>
                <w:bCs/>
                <w:noProof/>
                <w:color w:val="000000"/>
                <w:spacing w:val="-6"/>
                <w:sz w:val="20"/>
                <w:szCs w:val="20"/>
              </w:rPr>
              <w:t>ПБ за 2021 г.</w:t>
            </w:r>
          </w:p>
        </w:tc>
        <w:tc>
          <w:tcPr>
            <w:tcW w:w="1253" w:type="dxa"/>
            <w:gridSpan w:val="2"/>
            <w:tcBorders>
              <w:top w:val="nil"/>
              <w:left w:val="nil"/>
              <w:bottom w:val="dotted" w:sz="4" w:space="0" w:color="auto"/>
              <w:right w:val="nil"/>
            </w:tcBorders>
            <w:shd w:val="clear" w:color="auto" w:fill="auto"/>
            <w:noWrap/>
            <w:vAlign w:val="center"/>
            <w:hideMark/>
          </w:tcPr>
          <w:p>
            <w:pPr>
              <w:jc w:val="center"/>
              <w:rPr>
                <w:b/>
                <w:bCs/>
                <w:noProof/>
                <w:color w:val="000000"/>
                <w:sz w:val="20"/>
                <w:szCs w:val="20"/>
              </w:rPr>
            </w:pPr>
            <w:r>
              <w:rPr>
                <w:b/>
                <w:bCs/>
                <w:noProof/>
                <w:color w:val="000000"/>
                <w:sz w:val="20"/>
                <w:szCs w:val="20"/>
              </w:rPr>
              <w:t>2022 г.</w:t>
            </w:r>
          </w:p>
        </w:tc>
        <w:tc>
          <w:tcPr>
            <w:tcW w:w="1250" w:type="dxa"/>
            <w:gridSpan w:val="3"/>
            <w:tcBorders>
              <w:top w:val="nil"/>
              <w:left w:val="nil"/>
              <w:bottom w:val="dotted" w:sz="4" w:space="0" w:color="auto"/>
              <w:right w:val="nil"/>
            </w:tcBorders>
            <w:shd w:val="clear" w:color="auto" w:fill="auto"/>
            <w:noWrap/>
            <w:vAlign w:val="center"/>
            <w:hideMark/>
          </w:tcPr>
          <w:p>
            <w:pPr>
              <w:jc w:val="center"/>
              <w:rPr>
                <w:b/>
                <w:bCs/>
                <w:noProof/>
                <w:color w:val="000000"/>
                <w:sz w:val="20"/>
                <w:szCs w:val="20"/>
              </w:rPr>
            </w:pPr>
            <w:r>
              <w:rPr>
                <w:b/>
                <w:bCs/>
                <w:noProof/>
                <w:color w:val="000000"/>
                <w:sz w:val="20"/>
                <w:szCs w:val="20"/>
              </w:rPr>
              <w:t>2023 г.</w:t>
            </w:r>
          </w:p>
        </w:tc>
        <w:tc>
          <w:tcPr>
            <w:tcW w:w="1250" w:type="dxa"/>
            <w:gridSpan w:val="2"/>
            <w:tcBorders>
              <w:top w:val="nil"/>
              <w:left w:val="nil"/>
              <w:bottom w:val="dotted" w:sz="4" w:space="0" w:color="auto"/>
              <w:right w:val="nil"/>
            </w:tcBorders>
            <w:shd w:val="clear" w:color="auto" w:fill="auto"/>
            <w:noWrap/>
            <w:vAlign w:val="center"/>
            <w:hideMark/>
          </w:tcPr>
          <w:p>
            <w:pPr>
              <w:jc w:val="center"/>
              <w:rPr>
                <w:b/>
                <w:bCs/>
                <w:noProof/>
                <w:color w:val="000000"/>
                <w:sz w:val="20"/>
                <w:szCs w:val="20"/>
              </w:rPr>
            </w:pPr>
            <w:r>
              <w:rPr>
                <w:b/>
                <w:bCs/>
                <w:noProof/>
                <w:color w:val="000000"/>
                <w:sz w:val="20"/>
                <w:szCs w:val="20"/>
              </w:rPr>
              <w:t>2024 г.</w:t>
            </w:r>
          </w:p>
        </w:tc>
        <w:tc>
          <w:tcPr>
            <w:tcW w:w="1250" w:type="dxa"/>
            <w:gridSpan w:val="3"/>
            <w:tcBorders>
              <w:top w:val="nil"/>
              <w:left w:val="nil"/>
              <w:bottom w:val="dotted" w:sz="4" w:space="0" w:color="auto"/>
              <w:right w:val="nil"/>
            </w:tcBorders>
            <w:shd w:val="clear" w:color="auto" w:fill="auto"/>
            <w:noWrap/>
            <w:vAlign w:val="center"/>
            <w:hideMark/>
          </w:tcPr>
          <w:p>
            <w:pPr>
              <w:jc w:val="center"/>
              <w:rPr>
                <w:b/>
                <w:bCs/>
                <w:noProof/>
                <w:color w:val="000000"/>
                <w:sz w:val="20"/>
                <w:szCs w:val="20"/>
              </w:rPr>
            </w:pPr>
            <w:r>
              <w:rPr>
                <w:b/>
                <w:bCs/>
                <w:noProof/>
                <w:color w:val="000000"/>
                <w:sz w:val="20"/>
                <w:szCs w:val="20"/>
              </w:rPr>
              <w:t>2025 г.</w:t>
            </w:r>
          </w:p>
        </w:tc>
      </w:tr>
      <w:tr>
        <w:trPr>
          <w:gridAfter w:val="6"/>
          <w:wAfter w:w="6491" w:type="dxa"/>
          <w:trHeight w:val="320"/>
        </w:trPr>
        <w:tc>
          <w:tcPr>
            <w:tcW w:w="4706" w:type="dxa"/>
            <w:gridSpan w:val="2"/>
            <w:tcBorders>
              <w:top w:val="dotted" w:sz="4" w:space="0" w:color="auto"/>
              <w:left w:val="nil"/>
              <w:bottom w:val="dotted" w:sz="4" w:space="0" w:color="auto"/>
              <w:right w:val="nil"/>
            </w:tcBorders>
            <w:shd w:val="clear" w:color="auto" w:fill="CCFFCC"/>
            <w:noWrap/>
            <w:vAlign w:val="center"/>
            <w:hideMark/>
          </w:tcPr>
          <w:p>
            <w:pPr>
              <w:rPr>
                <w:b/>
                <w:bCs/>
                <w:noProof/>
                <w:color w:val="000000"/>
                <w:sz w:val="20"/>
                <w:szCs w:val="20"/>
              </w:rPr>
            </w:pPr>
            <w:r>
              <w:rPr>
                <w:b/>
                <w:bCs/>
                <w:noProof/>
                <w:color w:val="000000"/>
                <w:sz w:val="20"/>
                <w:szCs w:val="20"/>
              </w:rPr>
              <w:t>ИЗХОДЯЩИ ПОТОЦИ</w:t>
            </w:r>
          </w:p>
        </w:tc>
        <w:tc>
          <w:tcPr>
            <w:tcW w:w="1316" w:type="dxa"/>
            <w:gridSpan w:val="2"/>
            <w:tcBorders>
              <w:top w:val="dotted" w:sz="4" w:space="0" w:color="auto"/>
              <w:left w:val="nil"/>
              <w:bottom w:val="dotted" w:sz="4" w:space="0" w:color="auto"/>
              <w:right w:val="nil"/>
            </w:tcBorders>
            <w:shd w:val="clear" w:color="auto" w:fill="CCFFCC"/>
            <w:noWrap/>
            <w:vAlign w:val="center"/>
            <w:hideMark/>
          </w:tcPr>
          <w:p>
            <w:pPr>
              <w:jc w:val="center"/>
              <w:rPr>
                <w:b/>
                <w:bCs/>
                <w:noProof/>
                <w:color w:val="000000"/>
                <w:sz w:val="20"/>
                <w:szCs w:val="20"/>
              </w:rPr>
            </w:pPr>
            <w:r>
              <w:rPr>
                <w:b/>
                <w:bCs/>
                <w:noProof/>
                <w:color w:val="000000"/>
                <w:sz w:val="20"/>
                <w:szCs w:val="20"/>
              </w:rPr>
              <w:t xml:space="preserve"> </w:t>
            </w:r>
          </w:p>
        </w:tc>
        <w:tc>
          <w:tcPr>
            <w:tcW w:w="1250" w:type="dxa"/>
            <w:gridSpan w:val="2"/>
            <w:tcBorders>
              <w:top w:val="dotted" w:sz="4" w:space="0" w:color="auto"/>
              <w:left w:val="nil"/>
              <w:bottom w:val="dotted" w:sz="4" w:space="0" w:color="auto"/>
              <w:right w:val="nil"/>
            </w:tcBorders>
            <w:shd w:val="clear" w:color="auto" w:fill="CCFFCC"/>
            <w:noWrap/>
            <w:vAlign w:val="center"/>
            <w:hideMark/>
          </w:tcPr>
          <w:p>
            <w:pPr>
              <w:jc w:val="center"/>
              <w:rPr>
                <w:b/>
                <w:bCs/>
                <w:noProof/>
                <w:color w:val="000000"/>
                <w:sz w:val="20"/>
                <w:szCs w:val="20"/>
              </w:rPr>
            </w:pPr>
            <w:r>
              <w:rPr>
                <w:b/>
                <w:bCs/>
                <w:noProof/>
                <w:color w:val="000000"/>
                <w:sz w:val="20"/>
                <w:szCs w:val="20"/>
              </w:rPr>
              <w:t xml:space="preserve"> </w:t>
            </w:r>
          </w:p>
        </w:tc>
        <w:tc>
          <w:tcPr>
            <w:tcW w:w="1250" w:type="dxa"/>
            <w:gridSpan w:val="3"/>
            <w:tcBorders>
              <w:top w:val="dotted" w:sz="4" w:space="0" w:color="auto"/>
              <w:left w:val="nil"/>
              <w:bottom w:val="dotted" w:sz="4" w:space="0" w:color="auto"/>
              <w:right w:val="nil"/>
            </w:tcBorders>
            <w:shd w:val="clear" w:color="auto" w:fill="CCFFCC"/>
            <w:noWrap/>
            <w:vAlign w:val="center"/>
            <w:hideMark/>
          </w:tcPr>
          <w:p>
            <w:pPr>
              <w:jc w:val="center"/>
              <w:rPr>
                <w:b/>
                <w:bCs/>
                <w:noProof/>
                <w:color w:val="000000"/>
                <w:sz w:val="20"/>
                <w:szCs w:val="20"/>
              </w:rPr>
            </w:pPr>
            <w:r>
              <w:rPr>
                <w:b/>
                <w:bCs/>
                <w:noProof/>
                <w:color w:val="000000"/>
                <w:sz w:val="20"/>
                <w:szCs w:val="20"/>
              </w:rPr>
              <w:t xml:space="preserve"> </w:t>
            </w:r>
          </w:p>
        </w:tc>
        <w:tc>
          <w:tcPr>
            <w:tcW w:w="1250" w:type="dxa"/>
            <w:gridSpan w:val="2"/>
            <w:tcBorders>
              <w:top w:val="dotted" w:sz="4" w:space="0" w:color="auto"/>
              <w:left w:val="nil"/>
              <w:bottom w:val="dotted" w:sz="4" w:space="0" w:color="auto"/>
              <w:right w:val="nil"/>
            </w:tcBorders>
            <w:shd w:val="clear" w:color="auto" w:fill="CCFFCC"/>
            <w:noWrap/>
            <w:vAlign w:val="center"/>
            <w:hideMark/>
          </w:tcPr>
          <w:p>
            <w:pPr>
              <w:jc w:val="center"/>
              <w:rPr>
                <w:b/>
                <w:bCs/>
                <w:noProof/>
                <w:color w:val="000000"/>
                <w:sz w:val="20"/>
                <w:szCs w:val="20"/>
              </w:rPr>
            </w:pPr>
            <w:r>
              <w:rPr>
                <w:b/>
                <w:bCs/>
                <w:noProof/>
                <w:color w:val="000000"/>
                <w:sz w:val="20"/>
                <w:szCs w:val="20"/>
              </w:rPr>
              <w:t xml:space="preserve"> </w:t>
            </w:r>
          </w:p>
        </w:tc>
        <w:tc>
          <w:tcPr>
            <w:tcW w:w="1250" w:type="dxa"/>
            <w:gridSpan w:val="3"/>
            <w:tcBorders>
              <w:top w:val="dotted" w:sz="4" w:space="0" w:color="auto"/>
              <w:left w:val="nil"/>
              <w:bottom w:val="dotted" w:sz="4" w:space="0" w:color="auto"/>
              <w:right w:val="nil"/>
            </w:tcBorders>
            <w:shd w:val="clear" w:color="auto" w:fill="CCFFCC"/>
            <w:noWrap/>
            <w:vAlign w:val="center"/>
            <w:hideMark/>
          </w:tcPr>
          <w:p>
            <w:pPr>
              <w:jc w:val="center"/>
              <w:rPr>
                <w:b/>
                <w:bCs/>
                <w:noProof/>
                <w:color w:val="000000"/>
                <w:sz w:val="20"/>
                <w:szCs w:val="20"/>
              </w:rPr>
            </w:pPr>
            <w:r>
              <w:rPr>
                <w:b/>
                <w:bCs/>
                <w:noProof/>
                <w:color w:val="000000"/>
                <w:sz w:val="20"/>
                <w:szCs w:val="20"/>
              </w:rPr>
              <w:t xml:space="preserve"> </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i/>
                <w:iCs/>
                <w:noProof/>
                <w:color w:val="215967"/>
                <w:sz w:val="20"/>
                <w:szCs w:val="20"/>
              </w:rPr>
            </w:pPr>
            <w:r>
              <w:rPr>
                <w:i/>
                <w:iCs/>
                <w:noProof/>
                <w:color w:val="215967"/>
                <w:sz w:val="20"/>
                <w:szCs w:val="20"/>
              </w:rPr>
              <w:t>Таван на поетите задължения</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164,9</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167,1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171,8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176,1</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215967"/>
                <w:sz w:val="20"/>
                <w:szCs w:val="20"/>
              </w:rPr>
            </w:pPr>
            <w:r>
              <w:rPr>
                <w:i/>
                <w:iCs/>
                <w:noProof/>
                <w:color w:val="215967"/>
                <w:sz w:val="20"/>
                <w:szCs w:val="20"/>
              </w:rPr>
              <w:t>181,4</w:t>
            </w:r>
          </w:p>
        </w:tc>
      </w:tr>
      <w:tr>
        <w:trPr>
          <w:gridAfter w:val="6"/>
          <w:wAfter w:w="6491" w:type="dxa"/>
          <w:trHeight w:val="30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i/>
                <w:iCs/>
                <w:noProof/>
                <w:color w:val="215967"/>
                <w:sz w:val="20"/>
                <w:szCs w:val="20"/>
              </w:rPr>
            </w:pPr>
            <w:r>
              <w:rPr>
                <w:i/>
                <w:iCs/>
                <w:noProof/>
                <w:color w:val="215967"/>
                <w:sz w:val="20"/>
                <w:szCs w:val="20"/>
              </w:rPr>
              <w:t>Таван на плащанията</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165,6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170,1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174,5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178,0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215967"/>
                <w:sz w:val="20"/>
                <w:szCs w:val="20"/>
              </w:rPr>
            </w:pPr>
            <w:r>
              <w:rPr>
                <w:i/>
                <w:iCs/>
                <w:noProof/>
                <w:color w:val="215967"/>
                <w:sz w:val="20"/>
                <w:szCs w:val="20"/>
              </w:rPr>
              <w:t>181,6</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Бюджетни кредити за поети задължения</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163,1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167,1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171,8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176,1</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181,4</w:t>
            </w:r>
          </w:p>
        </w:tc>
      </w:tr>
      <w:tr>
        <w:trPr>
          <w:gridAfter w:val="6"/>
          <w:wAfter w:w="6491" w:type="dxa"/>
          <w:trHeight w:val="30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Бюджетни кредити за плащания</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161,8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170,1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174,5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178,0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181,6</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pacing w:val="-10"/>
                <w:sz w:val="20"/>
                <w:szCs w:val="20"/>
              </w:rPr>
            </w:pPr>
            <w:r>
              <w:rPr>
                <w:b/>
                <w:bCs/>
                <w:noProof/>
                <w:color w:val="000000"/>
                <w:spacing w:val="-10"/>
                <w:sz w:val="20"/>
                <w:szCs w:val="20"/>
              </w:rPr>
              <w:t>от които плащания по задължения, поети преди 2021 г.</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97,2</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82,3</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52,0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32,6</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18,4</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 Единен пазар, иновации и цифрова сфера</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13,4</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8,8</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6,4</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4,6</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3,8</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 xml:space="preserve">2. Сближаване и ценности </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57,5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49,9</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28,7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22,4</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10,7</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от които 2a. Икономическо, социално и териториално сближаване</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56,6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49,3</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28,4</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22,3</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10,7</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3. Природни ресурси и околна среда</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15,9</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14,2</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9,0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1,0</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От които: разходи, свързани с пазара и преки плащания</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0,0</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 Миграция и управление на границите</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1,0</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0,3</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0,1</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 Устойчивост, сигурност и отбрана</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1,3</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0,7</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0,2</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0,1</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6. Съседните региони и светът</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7,6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7,7</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6,7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4,2</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2,6</w:t>
            </w:r>
          </w:p>
        </w:tc>
      </w:tr>
      <w:tr>
        <w:trPr>
          <w:gridAfter w:val="6"/>
          <w:wAfter w:w="6491" w:type="dxa"/>
          <w:trHeight w:val="30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7. Европейска публична администрация</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0,0</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0,0</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от които плащания по задължения, поети през периода 2021—2025 г.*</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64,7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87,8</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122,5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145,4</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163,2</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 Единен пазар, иновации и цифрова сфера</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4,2</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12,4</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14,7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17,0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18,5</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 xml:space="preserve">2. Сближаване и ценности </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7,2</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28,7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42,7</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55,5</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от които 2a. Икономическо, социално и териториално сближаване</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2,5</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22,8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35,0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46,8</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3. Природни ресурси и околна среда</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40,4</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47,1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54,5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56,6</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56,9</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От които: разходи, свързани с пазара и преки плащания</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40,1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41,1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41,5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41,9</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41,7</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 Миграция и управление на границите</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1,2</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2,8</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3,4</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3,7</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4,2</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 Устойчивост, сигурност и отбрана</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1,3</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1,9</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2,4</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6. Съседните региони и светът</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5,7</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8,0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11,4</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13,2</w:t>
            </w:r>
          </w:p>
        </w:tc>
      </w:tr>
      <w:tr>
        <w:trPr>
          <w:gridAfter w:val="6"/>
          <w:wAfter w:w="6491" w:type="dxa"/>
          <w:trHeight w:val="300"/>
        </w:trPr>
        <w:tc>
          <w:tcPr>
            <w:tcW w:w="4706" w:type="dxa"/>
            <w:gridSpan w:val="2"/>
            <w:tcBorders>
              <w:top w:val="dotted" w:sz="4" w:space="0" w:color="auto"/>
              <w:left w:val="nil"/>
              <w:bottom w:val="dotted" w:sz="4" w:space="0" w:color="auto"/>
              <w:right w:val="dotted" w:sz="4" w:space="0" w:color="auto"/>
            </w:tcBorders>
            <w:noWrap/>
            <w:vAlign w:val="center"/>
            <w:hideMark/>
          </w:tcPr>
          <w:p>
            <w:pPr>
              <w:jc w:val="right"/>
              <w:rPr>
                <w:i/>
                <w:iCs/>
                <w:noProof/>
                <w:color w:val="000000"/>
                <w:sz w:val="20"/>
                <w:szCs w:val="20"/>
              </w:rPr>
            </w:pPr>
            <w:r>
              <w:rPr>
                <w:i/>
                <w:iCs/>
                <w:noProof/>
                <w:color w:val="000000"/>
                <w:sz w:val="20"/>
                <w:szCs w:val="20"/>
              </w:rPr>
              <w:t>7. Европейска публична администрация</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10,4</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11,2</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11,7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12,1</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12,4</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noProof/>
                <w:color w:val="000000"/>
                <w:sz w:val="20"/>
                <w:szCs w:val="20"/>
              </w:rPr>
            </w:pPr>
            <w:r>
              <w:rPr>
                <w:noProof/>
                <w:color w:val="000000"/>
                <w:sz w:val="20"/>
                <w:szCs w:val="20"/>
              </w:rPr>
              <w:t>Други специални инструменти**</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p.m.</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p.m.</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p.m.</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p.m.</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Общо бюджетни кредити за плащания, включително специалните инструменти</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163,5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170,1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174,5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178,0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181,6</w:t>
            </w:r>
          </w:p>
        </w:tc>
      </w:tr>
      <w:tr>
        <w:trPr>
          <w:gridAfter w:val="6"/>
          <w:wAfter w:w="6491" w:type="dxa"/>
          <w:trHeight w:val="150"/>
        </w:trPr>
        <w:tc>
          <w:tcPr>
            <w:tcW w:w="4706" w:type="dxa"/>
            <w:gridSpan w:val="2"/>
            <w:tcBorders>
              <w:top w:val="dotted" w:sz="4" w:space="0" w:color="auto"/>
              <w:left w:val="nil"/>
              <w:bottom w:val="dotted" w:sz="4" w:space="0" w:color="auto"/>
              <w:right w:val="nil"/>
            </w:tcBorders>
            <w:shd w:val="clear" w:color="auto" w:fill="auto"/>
            <w:noWrap/>
            <w:vAlign w:val="center"/>
            <w:hideMark/>
          </w:tcPr>
          <w:p>
            <w:pPr>
              <w:jc w:val="right"/>
              <w:rPr>
                <w:b/>
                <w:bCs/>
                <w:noProof/>
                <w:color w:val="000000"/>
                <w:sz w:val="20"/>
                <w:szCs w:val="20"/>
              </w:rPr>
            </w:pPr>
          </w:p>
        </w:tc>
        <w:tc>
          <w:tcPr>
            <w:tcW w:w="1316" w:type="dxa"/>
            <w:gridSpan w:val="2"/>
            <w:tcBorders>
              <w:top w:val="dotted" w:sz="4" w:space="0" w:color="auto"/>
              <w:left w:val="nil"/>
              <w:bottom w:val="dotted" w:sz="4" w:space="0" w:color="auto"/>
              <w:right w:val="nil"/>
            </w:tcBorders>
            <w:shd w:val="clear" w:color="auto" w:fill="auto"/>
            <w:noWrap/>
            <w:vAlign w:val="center"/>
            <w:hideMark/>
          </w:tcPr>
          <w:p>
            <w:pPr>
              <w:rPr>
                <w:noProof/>
                <w:sz w:val="20"/>
                <w:szCs w:val="20"/>
              </w:rPr>
            </w:pPr>
          </w:p>
        </w:tc>
        <w:tc>
          <w:tcPr>
            <w:tcW w:w="1250" w:type="dxa"/>
            <w:gridSpan w:val="2"/>
            <w:tcBorders>
              <w:top w:val="dotted" w:sz="4" w:space="0" w:color="auto"/>
              <w:left w:val="nil"/>
              <w:bottom w:val="dotted" w:sz="4" w:space="0" w:color="auto"/>
              <w:right w:val="nil"/>
            </w:tcBorders>
            <w:shd w:val="clear" w:color="auto" w:fill="auto"/>
            <w:noWrap/>
            <w:vAlign w:val="center"/>
            <w:hideMark/>
          </w:tcPr>
          <w:p>
            <w:pPr>
              <w:rPr>
                <w:noProof/>
                <w:sz w:val="20"/>
                <w:szCs w:val="20"/>
              </w:rPr>
            </w:pPr>
          </w:p>
        </w:tc>
        <w:tc>
          <w:tcPr>
            <w:tcW w:w="1250" w:type="dxa"/>
            <w:gridSpan w:val="3"/>
            <w:tcBorders>
              <w:top w:val="dotted" w:sz="4" w:space="0" w:color="auto"/>
              <w:left w:val="nil"/>
              <w:bottom w:val="dotted" w:sz="4" w:space="0" w:color="auto"/>
              <w:right w:val="nil"/>
            </w:tcBorders>
            <w:shd w:val="clear" w:color="auto" w:fill="auto"/>
            <w:noWrap/>
            <w:vAlign w:val="center"/>
            <w:hideMark/>
          </w:tcPr>
          <w:p>
            <w:pPr>
              <w:rPr>
                <w:noProof/>
                <w:sz w:val="20"/>
                <w:szCs w:val="20"/>
              </w:rPr>
            </w:pPr>
          </w:p>
        </w:tc>
        <w:tc>
          <w:tcPr>
            <w:tcW w:w="1250" w:type="dxa"/>
            <w:gridSpan w:val="2"/>
            <w:tcBorders>
              <w:top w:val="dotted" w:sz="4" w:space="0" w:color="auto"/>
              <w:left w:val="nil"/>
              <w:bottom w:val="dotted" w:sz="4" w:space="0" w:color="auto"/>
              <w:right w:val="nil"/>
            </w:tcBorders>
            <w:shd w:val="clear" w:color="auto" w:fill="auto"/>
            <w:noWrap/>
            <w:vAlign w:val="center"/>
            <w:hideMark/>
          </w:tcPr>
          <w:p>
            <w:pPr>
              <w:rPr>
                <w:noProof/>
                <w:sz w:val="20"/>
                <w:szCs w:val="20"/>
              </w:rPr>
            </w:pPr>
          </w:p>
        </w:tc>
        <w:tc>
          <w:tcPr>
            <w:tcW w:w="1250" w:type="dxa"/>
            <w:gridSpan w:val="3"/>
            <w:tcBorders>
              <w:top w:val="dotted" w:sz="4" w:space="0" w:color="auto"/>
              <w:left w:val="nil"/>
              <w:bottom w:val="dotted" w:sz="4" w:space="0" w:color="auto"/>
              <w:right w:val="nil"/>
            </w:tcBorders>
            <w:shd w:val="clear" w:color="auto" w:fill="auto"/>
            <w:noWrap/>
            <w:vAlign w:val="center"/>
            <w:hideMark/>
          </w:tcPr>
          <w:p>
            <w:pPr>
              <w:rPr>
                <w:noProof/>
                <w:sz w:val="20"/>
                <w:szCs w:val="20"/>
              </w:rPr>
            </w:pPr>
          </w:p>
        </w:tc>
      </w:tr>
      <w:tr>
        <w:trPr>
          <w:gridAfter w:val="6"/>
          <w:wAfter w:w="6491" w:type="dxa"/>
          <w:trHeight w:val="310"/>
        </w:trPr>
        <w:tc>
          <w:tcPr>
            <w:tcW w:w="4706" w:type="dxa"/>
            <w:gridSpan w:val="2"/>
            <w:tcBorders>
              <w:top w:val="dotted" w:sz="4" w:space="0" w:color="auto"/>
              <w:left w:val="nil"/>
              <w:bottom w:val="dotted" w:sz="4" w:space="0" w:color="auto"/>
              <w:right w:val="nil"/>
            </w:tcBorders>
            <w:shd w:val="clear" w:color="auto" w:fill="CCFFCC"/>
            <w:noWrap/>
            <w:vAlign w:val="center"/>
            <w:hideMark/>
          </w:tcPr>
          <w:p>
            <w:pPr>
              <w:rPr>
                <w:b/>
                <w:bCs/>
                <w:noProof/>
                <w:color w:val="000000"/>
                <w:sz w:val="20"/>
                <w:szCs w:val="20"/>
              </w:rPr>
            </w:pPr>
            <w:r>
              <w:rPr>
                <w:b/>
                <w:bCs/>
                <w:noProof/>
                <w:color w:val="000000"/>
                <w:sz w:val="20"/>
                <w:szCs w:val="20"/>
              </w:rPr>
              <w:t>ВХОДЯЩИ ПОТОЦИ</w:t>
            </w:r>
          </w:p>
        </w:tc>
        <w:tc>
          <w:tcPr>
            <w:tcW w:w="1316" w:type="dxa"/>
            <w:gridSpan w:val="2"/>
            <w:tcBorders>
              <w:top w:val="dotted" w:sz="4" w:space="0" w:color="auto"/>
              <w:left w:val="nil"/>
              <w:bottom w:val="dotted" w:sz="4" w:space="0" w:color="auto"/>
              <w:right w:val="nil"/>
            </w:tcBorders>
            <w:shd w:val="clear" w:color="auto" w:fill="CCFFCC"/>
            <w:noWrap/>
            <w:vAlign w:val="center"/>
            <w:hideMark/>
          </w:tcPr>
          <w:p>
            <w:pPr>
              <w:rPr>
                <w:noProof/>
                <w:color w:val="000000"/>
                <w:sz w:val="20"/>
                <w:szCs w:val="20"/>
              </w:rPr>
            </w:pPr>
            <w:r>
              <w:rPr>
                <w:noProof/>
                <w:color w:val="000000"/>
                <w:sz w:val="20"/>
                <w:szCs w:val="20"/>
              </w:rPr>
              <w:t xml:space="preserve"> </w:t>
            </w:r>
          </w:p>
        </w:tc>
        <w:tc>
          <w:tcPr>
            <w:tcW w:w="1250" w:type="dxa"/>
            <w:gridSpan w:val="2"/>
            <w:tcBorders>
              <w:top w:val="dotted" w:sz="4" w:space="0" w:color="auto"/>
              <w:left w:val="nil"/>
              <w:bottom w:val="dotted" w:sz="4" w:space="0" w:color="auto"/>
              <w:right w:val="nil"/>
            </w:tcBorders>
            <w:shd w:val="clear" w:color="auto" w:fill="CCFFCC"/>
            <w:noWrap/>
            <w:vAlign w:val="center"/>
            <w:hideMark/>
          </w:tcPr>
          <w:p>
            <w:pPr>
              <w:rPr>
                <w:noProof/>
                <w:color w:val="000000"/>
                <w:sz w:val="20"/>
                <w:szCs w:val="20"/>
              </w:rPr>
            </w:pPr>
            <w:r>
              <w:rPr>
                <w:noProof/>
                <w:color w:val="000000"/>
                <w:sz w:val="20"/>
                <w:szCs w:val="20"/>
              </w:rPr>
              <w:t xml:space="preserve"> </w:t>
            </w:r>
          </w:p>
        </w:tc>
        <w:tc>
          <w:tcPr>
            <w:tcW w:w="1250" w:type="dxa"/>
            <w:gridSpan w:val="3"/>
            <w:tcBorders>
              <w:top w:val="dotted" w:sz="4" w:space="0" w:color="auto"/>
              <w:left w:val="nil"/>
              <w:bottom w:val="dotted" w:sz="4" w:space="0" w:color="auto"/>
              <w:right w:val="nil"/>
            </w:tcBorders>
            <w:shd w:val="clear" w:color="auto" w:fill="CCFFCC"/>
            <w:noWrap/>
            <w:vAlign w:val="center"/>
            <w:hideMark/>
          </w:tcPr>
          <w:p>
            <w:pPr>
              <w:rPr>
                <w:noProof/>
                <w:color w:val="000000"/>
                <w:sz w:val="20"/>
                <w:szCs w:val="20"/>
              </w:rPr>
            </w:pPr>
            <w:r>
              <w:rPr>
                <w:noProof/>
                <w:color w:val="000000"/>
                <w:sz w:val="20"/>
                <w:szCs w:val="20"/>
              </w:rPr>
              <w:t xml:space="preserve"> </w:t>
            </w:r>
          </w:p>
        </w:tc>
        <w:tc>
          <w:tcPr>
            <w:tcW w:w="1250" w:type="dxa"/>
            <w:gridSpan w:val="2"/>
            <w:tcBorders>
              <w:top w:val="dotted" w:sz="4" w:space="0" w:color="auto"/>
              <w:left w:val="nil"/>
              <w:bottom w:val="dotted" w:sz="4" w:space="0" w:color="auto"/>
              <w:right w:val="nil"/>
            </w:tcBorders>
            <w:shd w:val="clear" w:color="auto" w:fill="CCFFCC"/>
            <w:noWrap/>
            <w:vAlign w:val="center"/>
            <w:hideMark/>
          </w:tcPr>
          <w:p>
            <w:pPr>
              <w:rPr>
                <w:noProof/>
                <w:color w:val="000000"/>
                <w:sz w:val="20"/>
                <w:szCs w:val="20"/>
              </w:rPr>
            </w:pPr>
            <w:r>
              <w:rPr>
                <w:noProof/>
                <w:color w:val="000000"/>
                <w:sz w:val="20"/>
                <w:szCs w:val="20"/>
              </w:rPr>
              <w:t xml:space="preserve"> </w:t>
            </w:r>
          </w:p>
        </w:tc>
        <w:tc>
          <w:tcPr>
            <w:tcW w:w="1250" w:type="dxa"/>
            <w:gridSpan w:val="3"/>
            <w:tcBorders>
              <w:top w:val="dotted" w:sz="4" w:space="0" w:color="auto"/>
              <w:left w:val="nil"/>
              <w:bottom w:val="dotted" w:sz="4" w:space="0" w:color="auto"/>
              <w:right w:val="nil"/>
            </w:tcBorders>
            <w:shd w:val="clear" w:color="auto" w:fill="CCFFCC"/>
            <w:noWrap/>
            <w:vAlign w:val="center"/>
            <w:hideMark/>
          </w:tcPr>
          <w:p>
            <w:pPr>
              <w:rPr>
                <w:noProof/>
                <w:color w:val="000000"/>
                <w:sz w:val="20"/>
                <w:szCs w:val="20"/>
              </w:rPr>
            </w:pPr>
            <w:r>
              <w:rPr>
                <w:noProof/>
                <w:color w:val="000000"/>
                <w:sz w:val="20"/>
                <w:szCs w:val="20"/>
              </w:rPr>
              <w:t xml:space="preserve"> </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i/>
                <w:iCs/>
                <w:noProof/>
                <w:color w:val="215967"/>
                <w:sz w:val="20"/>
                <w:szCs w:val="20"/>
              </w:rPr>
            </w:pPr>
            <w:r>
              <w:rPr>
                <w:i/>
                <w:iCs/>
                <w:noProof/>
                <w:color w:val="215967"/>
                <w:sz w:val="20"/>
                <w:szCs w:val="20"/>
              </w:rPr>
              <w:t>Таван на собствените ресурси в % от брутния национален доход на ЕС</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1,40 %</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1,40 %</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1,40 %</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1,40 %</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215967"/>
                <w:sz w:val="20"/>
                <w:szCs w:val="20"/>
              </w:rPr>
            </w:pPr>
            <w:r>
              <w:rPr>
                <w:i/>
                <w:iCs/>
                <w:noProof/>
                <w:color w:val="215967"/>
                <w:sz w:val="20"/>
                <w:szCs w:val="20"/>
              </w:rPr>
              <w:t>1,40 %</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i/>
                <w:iCs/>
                <w:noProof/>
                <w:color w:val="215967"/>
                <w:sz w:val="20"/>
                <w:szCs w:val="20"/>
              </w:rPr>
            </w:pPr>
            <w:r>
              <w:rPr>
                <w:i/>
                <w:iCs/>
                <w:noProof/>
                <w:color w:val="215967"/>
                <w:sz w:val="20"/>
                <w:szCs w:val="20"/>
              </w:rPr>
              <w:t>Таван на собствените ресурси, изразен в милиарди евро***</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196,0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202,9</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210,1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217,8</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215967"/>
                <w:sz w:val="20"/>
                <w:szCs w:val="20"/>
              </w:rPr>
            </w:pPr>
            <w:r>
              <w:rPr>
                <w:i/>
                <w:iCs/>
                <w:noProof/>
                <w:color w:val="215967"/>
                <w:sz w:val="20"/>
                <w:szCs w:val="20"/>
              </w:rPr>
              <w:t>223,9</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Общо собствени ресурси****:</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154,6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157,4</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164,8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171,2</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176,6</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noWrap/>
            <w:vAlign w:val="center"/>
            <w:hideMark/>
          </w:tcPr>
          <w:p>
            <w:pPr>
              <w:jc w:val="right"/>
              <w:rPr>
                <w:i/>
                <w:iCs/>
                <w:noProof/>
                <w:color w:val="000000"/>
                <w:sz w:val="20"/>
                <w:szCs w:val="20"/>
              </w:rPr>
            </w:pPr>
            <w:r>
              <w:rPr>
                <w:i/>
                <w:iCs/>
                <w:noProof/>
                <w:color w:val="000000"/>
                <w:sz w:val="20"/>
                <w:szCs w:val="20"/>
              </w:rPr>
              <w:t>от които нетен размер на традиционните собствени ресурси</w:t>
            </w:r>
          </w:p>
        </w:tc>
        <w:tc>
          <w:tcPr>
            <w:tcW w:w="1316" w:type="dxa"/>
            <w:gridSpan w:val="2"/>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19,7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19,9</w:t>
            </w:r>
          </w:p>
        </w:tc>
        <w:tc>
          <w:tcPr>
            <w:tcW w:w="1250" w:type="dxa"/>
            <w:gridSpan w:val="3"/>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20,6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21,4</w:t>
            </w:r>
          </w:p>
        </w:tc>
        <w:tc>
          <w:tcPr>
            <w:tcW w:w="1250" w:type="dxa"/>
            <w:gridSpan w:val="3"/>
            <w:tcBorders>
              <w:top w:val="dotted" w:sz="4" w:space="0" w:color="auto"/>
              <w:left w:val="dotted" w:sz="4" w:space="0" w:color="auto"/>
              <w:bottom w:val="dotted" w:sz="4" w:space="0" w:color="auto"/>
              <w:right w:val="nil"/>
            </w:tcBorders>
            <w:shd w:val="clear" w:color="auto" w:fill="FFFFFF" w:themeFill="background1"/>
            <w:noWrap/>
            <w:vAlign w:val="center"/>
            <w:hideMark/>
          </w:tcPr>
          <w:p>
            <w:pPr>
              <w:jc w:val="right"/>
              <w:rPr>
                <w:noProof/>
                <w:color w:val="000000"/>
                <w:sz w:val="20"/>
                <w:szCs w:val="20"/>
              </w:rPr>
            </w:pPr>
            <w:r>
              <w:rPr>
                <w:noProof/>
                <w:color w:val="000000"/>
                <w:sz w:val="20"/>
                <w:szCs w:val="20"/>
              </w:rPr>
              <w:t>22,0</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vAlign w:val="center"/>
            <w:hideMark/>
          </w:tcPr>
          <w:p>
            <w:pPr>
              <w:jc w:val="right"/>
              <w:rPr>
                <w:i/>
                <w:iCs/>
                <w:noProof/>
                <w:color w:val="000000"/>
                <w:sz w:val="20"/>
                <w:szCs w:val="20"/>
              </w:rPr>
            </w:pPr>
            <w:r>
              <w:rPr>
                <w:i/>
                <w:iCs/>
                <w:noProof/>
                <w:color w:val="000000"/>
                <w:sz w:val="20"/>
                <w:szCs w:val="20"/>
              </w:rPr>
              <w:t>от които национални вноски и нови собствени ресурси****</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noProof/>
                <w:color w:val="000000"/>
                <w:sz w:val="20"/>
                <w:szCs w:val="20"/>
              </w:rPr>
            </w:pPr>
            <w:r>
              <w:rPr>
                <w:noProof/>
                <w:color w:val="000000"/>
                <w:sz w:val="20"/>
                <w:szCs w:val="20"/>
              </w:rPr>
              <w:t>134,8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noProof/>
                <w:color w:val="000000"/>
                <w:sz w:val="20"/>
                <w:szCs w:val="20"/>
              </w:rPr>
            </w:pPr>
            <w:r>
              <w:rPr>
                <w:noProof/>
                <w:color w:val="000000"/>
                <w:sz w:val="20"/>
                <w:szCs w:val="20"/>
              </w:rPr>
              <w:t>137,4</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noProof/>
                <w:color w:val="000000"/>
                <w:sz w:val="20"/>
                <w:szCs w:val="20"/>
              </w:rPr>
            </w:pPr>
            <w:r>
              <w:rPr>
                <w:noProof/>
                <w:color w:val="000000"/>
                <w:sz w:val="20"/>
                <w:szCs w:val="20"/>
              </w:rPr>
              <w:t>144,1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noProof/>
                <w:color w:val="000000"/>
                <w:sz w:val="20"/>
                <w:szCs w:val="20"/>
              </w:rPr>
            </w:pPr>
            <w:r>
              <w:rPr>
                <w:noProof/>
                <w:color w:val="000000"/>
                <w:sz w:val="20"/>
                <w:szCs w:val="20"/>
              </w:rPr>
              <w:t>149,8</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noProof/>
                <w:color w:val="000000"/>
                <w:sz w:val="20"/>
                <w:szCs w:val="20"/>
              </w:rPr>
            </w:pPr>
            <w:r>
              <w:rPr>
                <w:noProof/>
                <w:color w:val="000000"/>
                <w:sz w:val="20"/>
                <w:szCs w:val="20"/>
              </w:rPr>
              <w:t>154,6</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vAlign w:val="center"/>
            <w:hideMark/>
          </w:tcPr>
          <w:p>
            <w:pPr>
              <w:rPr>
                <w:noProof/>
                <w:color w:val="000000"/>
                <w:sz w:val="20"/>
                <w:szCs w:val="20"/>
              </w:rPr>
            </w:pPr>
            <w:r>
              <w:rPr>
                <w:noProof/>
                <w:color w:val="000000"/>
                <w:sz w:val="20"/>
                <w:szCs w:val="20"/>
              </w:rPr>
              <w:t>Други приходи (включително временна вноска на Обединеното кралство)</w:t>
            </w:r>
          </w:p>
        </w:tc>
        <w:tc>
          <w:tcPr>
            <w:tcW w:w="1316" w:type="dxa"/>
            <w:gridSpan w:val="2"/>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8,9</w:t>
            </w:r>
          </w:p>
        </w:tc>
        <w:tc>
          <w:tcPr>
            <w:tcW w:w="1250" w:type="dxa"/>
            <w:gridSpan w:val="2"/>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12,7</w:t>
            </w:r>
          </w:p>
        </w:tc>
        <w:tc>
          <w:tcPr>
            <w:tcW w:w="1250" w:type="dxa"/>
            <w:gridSpan w:val="3"/>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9,7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6,8</w:t>
            </w:r>
          </w:p>
        </w:tc>
        <w:tc>
          <w:tcPr>
            <w:tcW w:w="1250" w:type="dxa"/>
            <w:gridSpan w:val="3"/>
            <w:tcBorders>
              <w:top w:val="dotted" w:sz="4" w:space="0" w:color="auto"/>
              <w:left w:val="dotted" w:sz="4" w:space="0" w:color="auto"/>
              <w:bottom w:val="dotted" w:sz="4" w:space="0" w:color="auto"/>
              <w:right w:val="nil"/>
            </w:tcBorders>
            <w:shd w:val="clear" w:color="auto" w:fill="FFFFFF" w:themeFill="background1"/>
            <w:noWrap/>
            <w:vAlign w:val="center"/>
            <w:hideMark/>
          </w:tcPr>
          <w:p>
            <w:pPr>
              <w:jc w:val="right"/>
              <w:rPr>
                <w:noProof/>
                <w:color w:val="000000"/>
                <w:sz w:val="20"/>
                <w:szCs w:val="20"/>
              </w:rPr>
            </w:pPr>
            <w:r>
              <w:rPr>
                <w:noProof/>
                <w:color w:val="000000"/>
                <w:sz w:val="20"/>
                <w:szCs w:val="20"/>
              </w:rPr>
              <w:t>4,9</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Общо приходи</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163,5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170,1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174,5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178,0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181,6</w:t>
            </w:r>
          </w:p>
        </w:tc>
      </w:tr>
      <w:tr>
        <w:trPr>
          <w:trHeight w:val="135"/>
        </w:trPr>
        <w:tc>
          <w:tcPr>
            <w:tcW w:w="8434" w:type="dxa"/>
            <w:gridSpan w:val="7"/>
            <w:tcBorders>
              <w:top w:val="nil"/>
              <w:left w:val="nil"/>
              <w:bottom w:val="nil"/>
              <w:right w:val="nil"/>
            </w:tcBorders>
            <w:shd w:val="clear" w:color="auto" w:fill="auto"/>
            <w:noWrap/>
            <w:vAlign w:val="center"/>
            <w:hideMark/>
          </w:tcPr>
          <w:p>
            <w:pPr>
              <w:jc w:val="right"/>
              <w:rPr>
                <w:b/>
                <w:bCs/>
                <w:noProof/>
                <w:color w:val="000000"/>
                <w:sz w:val="20"/>
                <w:szCs w:val="20"/>
              </w:rPr>
            </w:pPr>
          </w:p>
        </w:tc>
        <w:tc>
          <w:tcPr>
            <w:tcW w:w="3091" w:type="dxa"/>
            <w:gridSpan w:val="9"/>
            <w:tcBorders>
              <w:top w:val="nil"/>
              <w:left w:val="nil"/>
              <w:bottom w:val="nil"/>
              <w:right w:val="nil"/>
            </w:tcBorders>
            <w:shd w:val="clear" w:color="auto" w:fill="auto"/>
            <w:noWrap/>
            <w:vAlign w:val="center"/>
            <w:hideMark/>
          </w:tcPr>
          <w:p>
            <w:pPr>
              <w:rPr>
                <w:noProof/>
                <w:sz w:val="20"/>
                <w:szCs w:val="20"/>
              </w:rPr>
            </w:pPr>
          </w:p>
        </w:tc>
        <w:tc>
          <w:tcPr>
            <w:tcW w:w="1656" w:type="dxa"/>
            <w:tcBorders>
              <w:top w:val="nil"/>
              <w:left w:val="nil"/>
              <w:bottom w:val="nil"/>
              <w:right w:val="nil"/>
            </w:tcBorders>
            <w:shd w:val="clear" w:color="auto" w:fill="auto"/>
            <w:noWrap/>
            <w:vAlign w:val="center"/>
            <w:hideMark/>
          </w:tcPr>
          <w:p>
            <w:pPr>
              <w:rPr>
                <w:noProof/>
                <w:sz w:val="20"/>
                <w:szCs w:val="20"/>
              </w:rPr>
            </w:pPr>
          </w:p>
        </w:tc>
        <w:tc>
          <w:tcPr>
            <w:tcW w:w="1656" w:type="dxa"/>
            <w:tcBorders>
              <w:top w:val="nil"/>
              <w:left w:val="nil"/>
              <w:bottom w:val="nil"/>
              <w:right w:val="nil"/>
            </w:tcBorders>
            <w:shd w:val="clear" w:color="auto" w:fill="auto"/>
            <w:noWrap/>
            <w:vAlign w:val="center"/>
            <w:hideMark/>
          </w:tcPr>
          <w:p>
            <w:pPr>
              <w:rPr>
                <w:noProof/>
                <w:sz w:val="20"/>
                <w:szCs w:val="20"/>
              </w:rPr>
            </w:pPr>
          </w:p>
        </w:tc>
        <w:tc>
          <w:tcPr>
            <w:tcW w:w="1656" w:type="dxa"/>
            <w:tcBorders>
              <w:top w:val="nil"/>
              <w:left w:val="nil"/>
              <w:bottom w:val="nil"/>
              <w:right w:val="nil"/>
            </w:tcBorders>
            <w:shd w:val="clear" w:color="auto" w:fill="auto"/>
            <w:noWrap/>
            <w:vAlign w:val="center"/>
            <w:hideMark/>
          </w:tcPr>
          <w:p>
            <w:pPr>
              <w:rPr>
                <w:noProof/>
                <w:sz w:val="20"/>
                <w:szCs w:val="20"/>
              </w:rPr>
            </w:pPr>
          </w:p>
        </w:tc>
        <w:tc>
          <w:tcPr>
            <w:tcW w:w="1020" w:type="dxa"/>
            <w:tcBorders>
              <w:top w:val="nil"/>
              <w:left w:val="nil"/>
              <w:bottom w:val="nil"/>
              <w:right w:val="nil"/>
            </w:tcBorders>
            <w:shd w:val="clear" w:color="auto" w:fill="auto"/>
            <w:noWrap/>
            <w:vAlign w:val="center"/>
            <w:hideMark/>
          </w:tcPr>
          <w:p>
            <w:pPr>
              <w:rPr>
                <w:noProof/>
                <w:sz w:val="20"/>
                <w:szCs w:val="20"/>
              </w:rPr>
            </w:pPr>
          </w:p>
        </w:tc>
      </w:tr>
      <w:tr>
        <w:trPr>
          <w:gridAfter w:val="8"/>
          <w:wAfter w:w="7582" w:type="dxa"/>
          <w:trHeight w:val="570"/>
        </w:trPr>
        <w:tc>
          <w:tcPr>
            <w:tcW w:w="9931" w:type="dxa"/>
            <w:gridSpan w:val="12"/>
            <w:tcBorders>
              <w:top w:val="nil"/>
              <w:left w:val="nil"/>
              <w:bottom w:val="nil"/>
              <w:right w:val="nil"/>
            </w:tcBorders>
            <w:shd w:val="clear" w:color="auto" w:fill="FFFFFF" w:themeFill="background1"/>
            <w:vAlign w:val="center"/>
            <w:hideMark/>
          </w:tcPr>
          <w:p>
            <w:pPr>
              <w:rPr>
                <w:i/>
                <w:iCs/>
                <w:noProof/>
                <w:color w:val="000000"/>
                <w:sz w:val="20"/>
                <w:szCs w:val="20"/>
              </w:rPr>
            </w:pPr>
            <w:r>
              <w:rPr>
                <w:i/>
                <w:iCs/>
                <w:noProof/>
                <w:color w:val="000000"/>
                <w:sz w:val="20"/>
                <w:szCs w:val="20"/>
              </w:rPr>
              <w:t>* 2022—2025 г.: В общата сума за всяка функция са добавени плащанията за потенциалното използване на маржовете, като тези плащания са временно разпределени пропорционално на плащанията по функциите.</w:t>
            </w:r>
          </w:p>
        </w:tc>
      </w:tr>
      <w:tr>
        <w:trPr>
          <w:gridAfter w:val="8"/>
          <w:wAfter w:w="7582" w:type="dxa"/>
          <w:trHeight w:val="1080"/>
        </w:trPr>
        <w:tc>
          <w:tcPr>
            <w:tcW w:w="9931" w:type="dxa"/>
            <w:gridSpan w:val="12"/>
            <w:tcBorders>
              <w:top w:val="nil"/>
              <w:left w:val="nil"/>
              <w:bottom w:val="nil"/>
              <w:right w:val="nil"/>
            </w:tcBorders>
            <w:shd w:val="clear" w:color="auto" w:fill="FFFFFF" w:themeFill="background1"/>
            <w:vAlign w:val="center"/>
            <w:hideMark/>
          </w:tcPr>
          <w:p>
            <w:pPr>
              <w:rPr>
                <w:i/>
                <w:iCs/>
                <w:noProof/>
                <w:color w:val="000000"/>
                <w:sz w:val="20"/>
                <w:szCs w:val="20"/>
              </w:rPr>
            </w:pPr>
            <w:r>
              <w:rPr>
                <w:i/>
                <w:iCs/>
                <w:noProof/>
                <w:color w:val="000000"/>
                <w:sz w:val="20"/>
                <w:szCs w:val="20"/>
              </w:rPr>
              <w:t>** Следните суми съответстват на плащанията, предвидени в проектобюджета за 2021 г. за Европейския фонд за приспособяване към глобализацията, Резерва за солидарност и спешна помощ. Поради специфичния им характер използването на тези инструменти след 2021 г. не може да се прогнозира.</w:t>
            </w:r>
            <w:r>
              <w:rPr>
                <w:noProof/>
              </w:rPr>
              <w:t xml:space="preserve"> </w:t>
            </w:r>
            <w:r>
              <w:rPr>
                <w:noProof/>
              </w:rPr>
              <w:br/>
            </w:r>
            <w:r>
              <w:rPr>
                <w:i/>
                <w:iCs/>
                <w:noProof/>
                <w:color w:val="000000"/>
                <w:sz w:val="20"/>
                <w:szCs w:val="20"/>
              </w:rPr>
              <w:t>Бюджетните кредити за тези инструменти се разглеждат извън таваните, предвидени в многогодишната финансова рамка, за целите на изчисляването на съответните маржове. Това важи и за бюджетните кредити, свързани с Инструмента за гъвкавост.</w:t>
            </w:r>
          </w:p>
        </w:tc>
      </w:tr>
      <w:tr>
        <w:trPr>
          <w:gridAfter w:val="8"/>
          <w:wAfter w:w="7582" w:type="dxa"/>
          <w:trHeight w:val="300"/>
        </w:trPr>
        <w:tc>
          <w:tcPr>
            <w:tcW w:w="9931" w:type="dxa"/>
            <w:gridSpan w:val="12"/>
            <w:tcBorders>
              <w:top w:val="nil"/>
              <w:left w:val="nil"/>
              <w:bottom w:val="nil"/>
              <w:right w:val="nil"/>
            </w:tcBorders>
            <w:shd w:val="clear" w:color="auto" w:fill="FFFFFF" w:themeFill="background1"/>
            <w:vAlign w:val="center"/>
            <w:hideMark/>
          </w:tcPr>
          <w:p>
            <w:pPr>
              <w:rPr>
                <w:i/>
                <w:iCs/>
                <w:noProof/>
                <w:color w:val="000000"/>
                <w:sz w:val="20"/>
                <w:szCs w:val="20"/>
              </w:rPr>
            </w:pPr>
            <w:r>
              <w:rPr>
                <w:i/>
                <w:iCs/>
                <w:noProof/>
                <w:color w:val="000000"/>
                <w:sz w:val="20"/>
                <w:szCs w:val="20"/>
              </w:rPr>
              <w:t>*** Изчислен въз основа на последната икономическа прогноза за брутния национален доход на ЕС-27 за периода 2021—2025 г.</w:t>
            </w:r>
          </w:p>
        </w:tc>
      </w:tr>
      <w:tr>
        <w:trPr>
          <w:gridAfter w:val="8"/>
          <w:wAfter w:w="7582" w:type="dxa"/>
          <w:trHeight w:val="960"/>
        </w:trPr>
        <w:tc>
          <w:tcPr>
            <w:tcW w:w="9931" w:type="dxa"/>
            <w:gridSpan w:val="12"/>
            <w:tcBorders>
              <w:top w:val="nil"/>
              <w:left w:val="nil"/>
              <w:bottom w:val="nil"/>
              <w:right w:val="nil"/>
            </w:tcBorders>
            <w:shd w:val="clear" w:color="auto" w:fill="FFFFFF" w:themeFill="background1"/>
            <w:vAlign w:val="center"/>
            <w:hideMark/>
          </w:tcPr>
          <w:p>
            <w:pPr>
              <w:rPr>
                <w:i/>
                <w:iCs/>
                <w:noProof/>
                <w:sz w:val="20"/>
                <w:szCs w:val="20"/>
              </w:rPr>
            </w:pPr>
            <w:r>
              <w:rPr>
                <w:i/>
                <w:iCs/>
                <w:noProof/>
                <w:sz w:val="20"/>
                <w:szCs w:val="20"/>
              </w:rPr>
              <w:t xml:space="preserve">**** Традиционните собствени ресурси се оценяват въз основа на 10 % процент на приспадане на разходите по събирането. Националните вноски включват собствения ресурс на база на брутния национален доход, собствения ресурс на база на променения данък добавена стойност и новите собствени ресурси, включени в предложението на Комисията за МФР за периода 2021—2027 г. </w:t>
            </w:r>
            <w:r>
              <w:rPr>
                <w:noProof/>
              </w:rPr>
              <w:br/>
            </w:r>
          </w:p>
        </w:tc>
      </w:tr>
    </w:tbl>
    <w:p>
      <w:pPr>
        <w:rPr>
          <w:noProof/>
        </w:rPr>
      </w:pPr>
    </w:p>
    <w:p>
      <w:pPr>
        <w:rPr>
          <w:noProof/>
        </w:rPr>
      </w:pPr>
    </w:p>
    <w:p>
      <w:pPr>
        <w:pStyle w:val="Caption"/>
        <w:keepNext/>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xml:space="preserve"> — Прогноза за отменените бюджетни кредити за периода 2021—2025 г.</w:t>
      </w:r>
    </w:p>
    <w:tbl>
      <w:tblPr>
        <w:tblW w:w="9432" w:type="dxa"/>
        <w:tblInd w:w="108" w:type="dxa"/>
        <w:tblLook w:val="04A0" w:firstRow="1" w:lastRow="0" w:firstColumn="1" w:lastColumn="0" w:noHBand="0" w:noVBand="1"/>
      </w:tblPr>
      <w:tblGrid>
        <w:gridCol w:w="7356"/>
        <w:gridCol w:w="2076"/>
      </w:tblGrid>
      <w:tr>
        <w:trPr>
          <w:trHeight w:val="290"/>
        </w:trPr>
        <w:tc>
          <w:tcPr>
            <w:tcW w:w="9432" w:type="dxa"/>
            <w:gridSpan w:val="2"/>
            <w:tcBorders>
              <w:top w:val="nil"/>
              <w:left w:val="nil"/>
              <w:bottom w:val="dotted" w:sz="4" w:space="0" w:color="auto"/>
              <w:right w:val="nil"/>
            </w:tcBorders>
            <w:shd w:val="clear" w:color="auto" w:fill="auto"/>
            <w:noWrap/>
            <w:vAlign w:val="center"/>
            <w:hideMark/>
          </w:tcPr>
          <w:p>
            <w:pPr>
              <w:jc w:val="right"/>
              <w:rPr>
                <w:i/>
                <w:iCs/>
                <w:noProof/>
                <w:color w:val="000000"/>
                <w:sz w:val="22"/>
                <w:szCs w:val="22"/>
              </w:rPr>
            </w:pPr>
            <w:bookmarkStart w:id="23" w:name="RANGE!B1:E14"/>
            <w:bookmarkEnd w:id="23"/>
            <w:r>
              <w:rPr>
                <w:i/>
                <w:iCs/>
                <w:noProof/>
                <w:color w:val="000000"/>
                <w:sz w:val="22"/>
                <w:szCs w:val="22"/>
              </w:rPr>
              <w:t>В милиарди евро по текущи цени</w:t>
            </w:r>
          </w:p>
        </w:tc>
      </w:tr>
      <w:tr>
        <w:trPr>
          <w:trHeight w:val="253"/>
        </w:trPr>
        <w:tc>
          <w:tcPr>
            <w:tcW w:w="7356" w:type="dxa"/>
            <w:vMerge w:val="restart"/>
            <w:tcBorders>
              <w:top w:val="dotted" w:sz="4" w:space="0" w:color="auto"/>
              <w:left w:val="nil"/>
              <w:bottom w:val="dotted" w:sz="4" w:space="0" w:color="auto"/>
              <w:right w:val="nil"/>
            </w:tcBorders>
            <w:shd w:val="clear" w:color="auto" w:fill="auto"/>
            <w:vAlign w:val="center"/>
            <w:hideMark/>
          </w:tcPr>
          <w:p>
            <w:pPr>
              <w:jc w:val="center"/>
              <w:rPr>
                <w:b/>
                <w:bCs/>
                <w:noProof/>
                <w:sz w:val="22"/>
                <w:szCs w:val="22"/>
              </w:rPr>
            </w:pPr>
            <w:r>
              <w:rPr>
                <w:b/>
                <w:bCs/>
                <w:noProof/>
                <w:sz w:val="22"/>
                <w:szCs w:val="22"/>
              </w:rPr>
              <w:t>Отмяна на бюджетни кредити</w:t>
            </w:r>
          </w:p>
        </w:tc>
        <w:tc>
          <w:tcPr>
            <w:tcW w:w="2076" w:type="dxa"/>
            <w:vMerge w:val="restart"/>
            <w:tcBorders>
              <w:top w:val="dotted" w:sz="4" w:space="0" w:color="auto"/>
              <w:left w:val="nil"/>
              <w:bottom w:val="dotted" w:sz="4" w:space="0" w:color="auto"/>
              <w:right w:val="nil"/>
            </w:tcBorders>
            <w:shd w:val="clear" w:color="auto" w:fill="auto"/>
            <w:vAlign w:val="center"/>
            <w:hideMark/>
          </w:tcPr>
          <w:p>
            <w:pPr>
              <w:jc w:val="center"/>
              <w:rPr>
                <w:b/>
                <w:bCs/>
                <w:noProof/>
                <w:sz w:val="22"/>
                <w:szCs w:val="22"/>
              </w:rPr>
            </w:pPr>
            <w:r>
              <w:rPr>
                <w:b/>
                <w:bCs/>
                <w:noProof/>
                <w:sz w:val="22"/>
                <w:szCs w:val="22"/>
              </w:rPr>
              <w:t>2021—2025 г.</w:t>
            </w:r>
          </w:p>
        </w:tc>
      </w:tr>
      <w:tr>
        <w:trPr>
          <w:trHeight w:val="293"/>
        </w:trPr>
        <w:tc>
          <w:tcPr>
            <w:tcW w:w="7356" w:type="dxa"/>
            <w:vMerge/>
            <w:tcBorders>
              <w:top w:val="dotted" w:sz="4" w:space="0" w:color="auto"/>
              <w:left w:val="nil"/>
              <w:bottom w:val="dotted" w:sz="4" w:space="0" w:color="auto"/>
              <w:right w:val="nil"/>
            </w:tcBorders>
            <w:vAlign w:val="center"/>
            <w:hideMark/>
          </w:tcPr>
          <w:p>
            <w:pPr>
              <w:rPr>
                <w:b/>
                <w:bCs/>
                <w:noProof/>
                <w:sz w:val="22"/>
                <w:szCs w:val="22"/>
              </w:rPr>
            </w:pPr>
          </w:p>
        </w:tc>
        <w:tc>
          <w:tcPr>
            <w:tcW w:w="2076" w:type="dxa"/>
            <w:vMerge/>
            <w:tcBorders>
              <w:top w:val="dotted" w:sz="4" w:space="0" w:color="auto"/>
              <w:left w:val="nil"/>
              <w:bottom w:val="dotted" w:sz="4" w:space="0" w:color="auto"/>
              <w:right w:val="nil"/>
            </w:tcBorders>
            <w:vAlign w:val="center"/>
            <w:hideMark/>
          </w:tcPr>
          <w:p>
            <w:pPr>
              <w:rPr>
                <w:b/>
                <w:bCs/>
                <w:noProof/>
                <w:sz w:val="22"/>
                <w:szCs w:val="22"/>
              </w:rPr>
            </w:pP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1. Единен пазар, иновации и цифрова сфера</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-1,0</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 xml:space="preserve">2. Сближаване и ценности </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-5,1</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от които: Икономическо, социално и териториално сближаване</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-5,0</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3. Природни ресурси и околна среда</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-2,1</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4. Миграция и управление на границите</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-0,6</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5. Устойчивост, сигурност и отбрана</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-0,1</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6. Съседните региони и светът</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-0,1</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7. Европейска публична администрация</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0,0</w:t>
            </w:r>
          </w:p>
        </w:tc>
      </w:tr>
      <w:tr>
        <w:trPr>
          <w:trHeight w:val="370"/>
        </w:trPr>
        <w:tc>
          <w:tcPr>
            <w:tcW w:w="7356" w:type="dxa"/>
            <w:tcBorders>
              <w:top w:val="dotted" w:sz="4" w:space="0" w:color="auto"/>
              <w:left w:val="nil"/>
              <w:bottom w:val="nil"/>
              <w:right w:val="nil"/>
            </w:tcBorders>
            <w:shd w:val="clear" w:color="auto" w:fill="auto"/>
            <w:noWrap/>
            <w:vAlign w:val="center"/>
            <w:hideMark/>
          </w:tcPr>
          <w:p>
            <w:pPr>
              <w:jc w:val="right"/>
              <w:rPr>
                <w:b/>
                <w:bCs/>
                <w:noProof/>
                <w:sz w:val="22"/>
                <w:szCs w:val="22"/>
              </w:rPr>
            </w:pPr>
            <w:r>
              <w:rPr>
                <w:b/>
                <w:bCs/>
                <w:noProof/>
                <w:sz w:val="22"/>
                <w:szCs w:val="22"/>
              </w:rPr>
              <w:t>ОБЩО</w:t>
            </w:r>
          </w:p>
        </w:tc>
        <w:tc>
          <w:tcPr>
            <w:tcW w:w="2076" w:type="dxa"/>
            <w:tcBorders>
              <w:top w:val="dotted" w:sz="4" w:space="0" w:color="auto"/>
              <w:left w:val="nil"/>
              <w:bottom w:val="nil"/>
              <w:right w:val="nil"/>
            </w:tcBorders>
            <w:shd w:val="clear" w:color="auto" w:fill="auto"/>
            <w:noWrap/>
            <w:vAlign w:val="center"/>
            <w:hideMark/>
          </w:tcPr>
          <w:p>
            <w:pPr>
              <w:jc w:val="right"/>
              <w:rPr>
                <w:b/>
                <w:bCs/>
                <w:noProof/>
                <w:sz w:val="22"/>
                <w:szCs w:val="22"/>
              </w:rPr>
            </w:pPr>
            <w:r>
              <w:rPr>
                <w:b/>
                <w:bCs/>
                <w:noProof/>
                <w:sz w:val="22"/>
                <w:szCs w:val="22"/>
              </w:rPr>
              <w:t>-9,0</w:t>
            </w:r>
          </w:p>
        </w:tc>
      </w:tr>
      <w:tr>
        <w:trPr>
          <w:trHeight w:val="290"/>
        </w:trPr>
        <w:tc>
          <w:tcPr>
            <w:tcW w:w="9432" w:type="dxa"/>
            <w:gridSpan w:val="2"/>
            <w:tcBorders>
              <w:top w:val="nil"/>
              <w:left w:val="nil"/>
              <w:bottom w:val="nil"/>
              <w:right w:val="nil"/>
            </w:tcBorders>
            <w:shd w:val="clear" w:color="auto" w:fill="auto"/>
            <w:noWrap/>
            <w:vAlign w:val="bottom"/>
            <w:hideMark/>
          </w:tcPr>
          <w:p>
            <w:pPr>
              <w:rPr>
                <w:i/>
                <w:iCs/>
                <w:noProof/>
                <w:sz w:val="22"/>
                <w:szCs w:val="22"/>
              </w:rPr>
            </w:pPr>
            <w:r>
              <w:rPr>
                <w:i/>
                <w:iCs/>
                <w:noProof/>
                <w:sz w:val="18"/>
                <w:szCs w:val="18"/>
              </w:rPr>
              <w:t>* Не се очаква отмяна на бюджетни кредити във връзка с поетите задължения, предложени за финансовата рамка за 2021—2027 г.</w:t>
            </w:r>
          </w:p>
        </w:tc>
      </w:tr>
    </w:tbl>
    <w:p>
      <w:pPr>
        <w:pStyle w:val="Text1"/>
        <w:ind w:left="0"/>
        <w:rPr>
          <w:i/>
          <w:noProof/>
          <w:sz w:val="20"/>
        </w:rPr>
      </w:pPr>
    </w:p>
    <w:p>
      <w:pPr>
        <w:pStyle w:val="Caption"/>
        <w:keepNext/>
        <w:jc w:val="both"/>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xml:space="preserve"> — Промяна в общия размер на неизпълнените поети задължения от 2021 до 2025 г.</w:t>
      </w:r>
    </w:p>
    <w:tbl>
      <w:tblPr>
        <w:tblW w:w="9607" w:type="dxa"/>
        <w:tblInd w:w="93" w:type="dxa"/>
        <w:tblLook w:val="04A0" w:firstRow="1" w:lastRow="0" w:firstColumn="1" w:lastColumn="0" w:noHBand="0" w:noVBand="1"/>
      </w:tblPr>
      <w:tblGrid>
        <w:gridCol w:w="25"/>
        <w:gridCol w:w="2778"/>
        <w:gridCol w:w="1701"/>
        <w:gridCol w:w="1701"/>
        <w:gridCol w:w="1701"/>
        <w:gridCol w:w="1618"/>
        <w:gridCol w:w="83"/>
      </w:tblGrid>
      <w:tr>
        <w:trPr>
          <w:gridAfter w:val="1"/>
          <w:wAfter w:w="83" w:type="dxa"/>
          <w:trHeight w:val="315"/>
        </w:trPr>
        <w:tc>
          <w:tcPr>
            <w:tcW w:w="9524" w:type="dxa"/>
            <w:gridSpan w:val="6"/>
            <w:tcBorders>
              <w:top w:val="nil"/>
              <w:left w:val="nil"/>
              <w:bottom w:val="nil"/>
              <w:right w:val="nil"/>
            </w:tcBorders>
            <w:shd w:val="clear" w:color="auto" w:fill="auto"/>
            <w:noWrap/>
            <w:vAlign w:val="center"/>
            <w:hideMark/>
          </w:tcPr>
          <w:p>
            <w:pPr>
              <w:jc w:val="right"/>
              <w:rPr>
                <w:i/>
                <w:iCs/>
                <w:noProof/>
                <w:color w:val="000000"/>
                <w:sz w:val="20"/>
                <w:szCs w:val="20"/>
              </w:rPr>
            </w:pPr>
            <w:r>
              <w:rPr>
                <w:i/>
                <w:iCs/>
                <w:noProof/>
                <w:color w:val="000000"/>
                <w:sz w:val="20"/>
                <w:szCs w:val="20"/>
              </w:rPr>
              <w:t>В милиарди евро по текущи цени</w:t>
            </w:r>
          </w:p>
        </w:tc>
      </w:tr>
      <w:tr>
        <w:trPr>
          <w:gridBefore w:val="1"/>
          <w:wBefore w:w="25" w:type="dxa"/>
          <w:trHeight w:val="720"/>
        </w:trPr>
        <w:tc>
          <w:tcPr>
            <w:tcW w:w="2778" w:type="dxa"/>
            <w:tcBorders>
              <w:top w:val="single" w:sz="8" w:space="0" w:color="auto"/>
              <w:left w:val="single" w:sz="8" w:space="0" w:color="auto"/>
              <w:bottom w:val="nil"/>
              <w:right w:val="single" w:sz="8" w:space="0" w:color="auto"/>
            </w:tcBorders>
            <w:shd w:val="clear" w:color="auto" w:fill="auto"/>
            <w:noWrap/>
            <w:vAlign w:val="center"/>
            <w:hideMark/>
          </w:tcPr>
          <w:p>
            <w:pPr>
              <w:jc w:val="center"/>
              <w:rPr>
                <w:b/>
                <w:bCs/>
                <w:noProof/>
                <w:color w:val="000000"/>
                <w:sz w:val="22"/>
                <w:szCs w:val="22"/>
              </w:rPr>
            </w:pPr>
            <w:r>
              <w:rPr>
                <w:b/>
                <w:bCs/>
                <w:noProof/>
                <w:color w:val="000000"/>
                <w:sz w:val="22"/>
                <w:szCs w:val="22"/>
              </w:rPr>
              <w:t>RAL към края на 2020 г.*</w:t>
            </w:r>
          </w:p>
        </w:tc>
        <w:tc>
          <w:tcPr>
            <w:tcW w:w="1701" w:type="dxa"/>
            <w:tcBorders>
              <w:top w:val="single" w:sz="8" w:space="0" w:color="auto"/>
              <w:left w:val="nil"/>
              <w:bottom w:val="nil"/>
              <w:right w:val="nil"/>
            </w:tcBorders>
            <w:shd w:val="clear" w:color="auto" w:fill="auto"/>
            <w:noWrap/>
            <w:vAlign w:val="center"/>
            <w:hideMark/>
          </w:tcPr>
          <w:p>
            <w:pPr>
              <w:jc w:val="center"/>
              <w:rPr>
                <w:b/>
                <w:bCs/>
                <w:noProof/>
                <w:color w:val="000000"/>
                <w:sz w:val="22"/>
                <w:szCs w:val="22"/>
              </w:rPr>
            </w:pPr>
            <w:r>
              <w:rPr>
                <w:b/>
                <w:bCs/>
                <w:noProof/>
                <w:color w:val="000000"/>
                <w:sz w:val="22"/>
                <w:szCs w:val="22"/>
              </w:rPr>
              <w:t>Поети задължения за 2021—2025 г.</w:t>
            </w:r>
          </w:p>
        </w:tc>
        <w:tc>
          <w:tcPr>
            <w:tcW w:w="1701" w:type="dxa"/>
            <w:tcBorders>
              <w:top w:val="single" w:sz="8" w:space="0" w:color="auto"/>
              <w:left w:val="single" w:sz="8" w:space="0" w:color="auto"/>
              <w:bottom w:val="nil"/>
              <w:right w:val="nil"/>
            </w:tcBorders>
            <w:shd w:val="clear" w:color="auto" w:fill="auto"/>
            <w:noWrap/>
            <w:vAlign w:val="center"/>
            <w:hideMark/>
          </w:tcPr>
          <w:p>
            <w:pPr>
              <w:jc w:val="center"/>
              <w:rPr>
                <w:b/>
                <w:bCs/>
                <w:noProof/>
                <w:color w:val="000000"/>
                <w:sz w:val="22"/>
                <w:szCs w:val="22"/>
              </w:rPr>
            </w:pPr>
            <w:r>
              <w:rPr>
                <w:b/>
                <w:bCs/>
                <w:noProof/>
                <w:color w:val="000000"/>
                <w:sz w:val="22"/>
                <w:szCs w:val="22"/>
              </w:rPr>
              <w:t>Плащания за 2021—2025 г.</w:t>
            </w:r>
          </w:p>
        </w:tc>
        <w:tc>
          <w:tcPr>
            <w:tcW w:w="1701" w:type="dxa"/>
            <w:tcBorders>
              <w:top w:val="single" w:sz="8" w:space="0" w:color="auto"/>
              <w:left w:val="single" w:sz="8" w:space="0" w:color="auto"/>
              <w:bottom w:val="nil"/>
              <w:right w:val="nil"/>
            </w:tcBorders>
            <w:shd w:val="clear" w:color="auto" w:fill="auto"/>
            <w:vAlign w:val="center"/>
            <w:hideMark/>
          </w:tcPr>
          <w:p>
            <w:pPr>
              <w:jc w:val="center"/>
              <w:rPr>
                <w:b/>
                <w:bCs/>
                <w:noProof/>
                <w:color w:val="000000"/>
                <w:sz w:val="22"/>
                <w:szCs w:val="22"/>
              </w:rPr>
            </w:pPr>
            <w:r>
              <w:rPr>
                <w:b/>
                <w:bCs/>
                <w:noProof/>
                <w:color w:val="000000"/>
                <w:sz w:val="22"/>
                <w:szCs w:val="22"/>
              </w:rPr>
              <w:t>Отмяна на бюджетни кредити</w:t>
            </w:r>
          </w:p>
        </w:tc>
        <w:tc>
          <w:tcPr>
            <w:tcW w:w="1701" w:type="dxa"/>
            <w:gridSpan w:val="2"/>
            <w:tcBorders>
              <w:top w:val="single" w:sz="8" w:space="0" w:color="auto"/>
              <w:left w:val="single" w:sz="8" w:space="0" w:color="auto"/>
              <w:bottom w:val="nil"/>
              <w:right w:val="single" w:sz="8" w:space="0" w:color="auto"/>
            </w:tcBorders>
            <w:shd w:val="clear" w:color="auto" w:fill="auto"/>
            <w:noWrap/>
            <w:vAlign w:val="center"/>
            <w:hideMark/>
          </w:tcPr>
          <w:p>
            <w:pPr>
              <w:jc w:val="center"/>
              <w:rPr>
                <w:b/>
                <w:bCs/>
                <w:noProof/>
                <w:color w:val="000000"/>
                <w:sz w:val="22"/>
                <w:szCs w:val="22"/>
              </w:rPr>
            </w:pPr>
            <w:r>
              <w:rPr>
                <w:b/>
                <w:bCs/>
                <w:noProof/>
                <w:color w:val="000000"/>
                <w:sz w:val="22"/>
                <w:szCs w:val="22"/>
              </w:rPr>
              <w:t>RAL към края на 2025 г.</w:t>
            </w:r>
          </w:p>
        </w:tc>
      </w:tr>
      <w:tr>
        <w:trPr>
          <w:gridBefore w:val="1"/>
          <w:wBefore w:w="25" w:type="dxa"/>
          <w:trHeight w:val="290"/>
        </w:trPr>
        <w:tc>
          <w:tcPr>
            <w:tcW w:w="2778" w:type="dxa"/>
            <w:tcBorders>
              <w:top w:val="nil"/>
              <w:left w:val="single" w:sz="8" w:space="0" w:color="auto"/>
              <w:bottom w:val="nil"/>
              <w:right w:val="single" w:sz="8" w:space="0" w:color="auto"/>
            </w:tcBorders>
            <w:shd w:val="clear" w:color="auto" w:fill="auto"/>
            <w:noWrap/>
            <w:vAlign w:val="center"/>
            <w:hideMark/>
          </w:tcPr>
          <w:p>
            <w:pPr>
              <w:jc w:val="center"/>
              <w:rPr>
                <w:i/>
                <w:iCs/>
                <w:noProof/>
                <w:color w:val="000000"/>
                <w:sz w:val="18"/>
                <w:szCs w:val="18"/>
              </w:rPr>
            </w:pPr>
            <w:r>
              <w:rPr>
                <w:i/>
                <w:iCs/>
                <w:noProof/>
                <w:color w:val="000000"/>
                <w:sz w:val="18"/>
                <w:szCs w:val="18"/>
              </w:rPr>
              <w:t>(а)</w:t>
            </w:r>
          </w:p>
        </w:tc>
        <w:tc>
          <w:tcPr>
            <w:tcW w:w="1701" w:type="dxa"/>
            <w:tcBorders>
              <w:top w:val="nil"/>
              <w:left w:val="nil"/>
              <w:bottom w:val="nil"/>
              <w:right w:val="nil"/>
            </w:tcBorders>
            <w:shd w:val="clear" w:color="auto" w:fill="auto"/>
            <w:noWrap/>
            <w:vAlign w:val="center"/>
            <w:hideMark/>
          </w:tcPr>
          <w:p>
            <w:pPr>
              <w:jc w:val="center"/>
              <w:rPr>
                <w:i/>
                <w:iCs/>
                <w:noProof/>
                <w:color w:val="000000"/>
                <w:sz w:val="18"/>
                <w:szCs w:val="18"/>
              </w:rPr>
            </w:pPr>
            <w:r>
              <w:rPr>
                <w:i/>
                <w:iCs/>
                <w:noProof/>
                <w:color w:val="000000"/>
                <w:sz w:val="18"/>
                <w:szCs w:val="18"/>
              </w:rPr>
              <w:t>(б)</w:t>
            </w:r>
          </w:p>
        </w:tc>
        <w:tc>
          <w:tcPr>
            <w:tcW w:w="1701" w:type="dxa"/>
            <w:tcBorders>
              <w:top w:val="nil"/>
              <w:left w:val="single" w:sz="8" w:space="0" w:color="auto"/>
              <w:bottom w:val="nil"/>
              <w:right w:val="nil"/>
            </w:tcBorders>
            <w:shd w:val="clear" w:color="auto" w:fill="auto"/>
            <w:noWrap/>
            <w:vAlign w:val="center"/>
            <w:hideMark/>
          </w:tcPr>
          <w:p>
            <w:pPr>
              <w:jc w:val="center"/>
              <w:rPr>
                <w:i/>
                <w:iCs/>
                <w:noProof/>
                <w:color w:val="000000"/>
                <w:sz w:val="18"/>
                <w:szCs w:val="18"/>
              </w:rPr>
            </w:pPr>
            <w:r>
              <w:rPr>
                <w:i/>
                <w:iCs/>
                <w:noProof/>
                <w:color w:val="000000"/>
                <w:sz w:val="18"/>
                <w:szCs w:val="18"/>
              </w:rPr>
              <w:t>(в)</w:t>
            </w:r>
          </w:p>
        </w:tc>
        <w:tc>
          <w:tcPr>
            <w:tcW w:w="1701" w:type="dxa"/>
            <w:tcBorders>
              <w:top w:val="nil"/>
              <w:left w:val="single" w:sz="8" w:space="0" w:color="auto"/>
              <w:bottom w:val="nil"/>
              <w:right w:val="nil"/>
            </w:tcBorders>
            <w:shd w:val="clear" w:color="auto" w:fill="auto"/>
            <w:vAlign w:val="center"/>
            <w:hideMark/>
          </w:tcPr>
          <w:p>
            <w:pPr>
              <w:jc w:val="center"/>
              <w:rPr>
                <w:i/>
                <w:iCs/>
                <w:noProof/>
                <w:color w:val="000000"/>
                <w:sz w:val="16"/>
                <w:szCs w:val="16"/>
              </w:rPr>
            </w:pPr>
            <w:r>
              <w:rPr>
                <w:i/>
                <w:iCs/>
                <w:noProof/>
                <w:color w:val="000000"/>
                <w:sz w:val="16"/>
                <w:szCs w:val="16"/>
              </w:rPr>
              <w:t>(г)</w:t>
            </w:r>
          </w:p>
        </w:tc>
        <w:tc>
          <w:tcPr>
            <w:tcW w:w="1701" w:type="dxa"/>
            <w:gridSpan w:val="2"/>
            <w:tcBorders>
              <w:top w:val="nil"/>
              <w:left w:val="single" w:sz="8" w:space="0" w:color="auto"/>
              <w:bottom w:val="nil"/>
              <w:right w:val="single" w:sz="8" w:space="0" w:color="auto"/>
            </w:tcBorders>
            <w:shd w:val="clear" w:color="auto" w:fill="auto"/>
            <w:noWrap/>
            <w:vAlign w:val="center"/>
            <w:hideMark/>
          </w:tcPr>
          <w:p>
            <w:pPr>
              <w:jc w:val="center"/>
              <w:rPr>
                <w:i/>
                <w:iCs/>
                <w:noProof/>
                <w:color w:val="000000"/>
                <w:sz w:val="18"/>
                <w:szCs w:val="18"/>
              </w:rPr>
            </w:pPr>
            <w:r>
              <w:rPr>
                <w:i/>
                <w:iCs/>
                <w:noProof/>
                <w:color w:val="000000"/>
                <w:sz w:val="18"/>
                <w:szCs w:val="18"/>
              </w:rPr>
              <w:t>(а+б-в+г)</w:t>
            </w:r>
          </w:p>
        </w:tc>
      </w:tr>
      <w:tr>
        <w:trPr>
          <w:gridBefore w:val="1"/>
          <w:wBefore w:w="25" w:type="dxa"/>
          <w:trHeight w:val="380"/>
        </w:trPr>
        <w:tc>
          <w:tcPr>
            <w:tcW w:w="277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pPr>
              <w:jc w:val="center"/>
              <w:rPr>
                <w:noProof/>
                <w:color w:val="000000"/>
                <w:sz w:val="22"/>
                <w:szCs w:val="22"/>
              </w:rPr>
            </w:pPr>
            <w:r>
              <w:rPr>
                <w:noProof/>
                <w:color w:val="000000"/>
                <w:sz w:val="22"/>
                <w:szCs w:val="22"/>
              </w:rPr>
              <w:t>307,9</w:t>
            </w:r>
          </w:p>
        </w:tc>
        <w:tc>
          <w:tcPr>
            <w:tcW w:w="1701" w:type="dxa"/>
            <w:tcBorders>
              <w:top w:val="single" w:sz="4" w:space="0" w:color="auto"/>
              <w:left w:val="nil"/>
              <w:bottom w:val="single" w:sz="8" w:space="0" w:color="auto"/>
              <w:right w:val="nil"/>
            </w:tcBorders>
            <w:shd w:val="clear" w:color="auto" w:fill="auto"/>
            <w:noWrap/>
            <w:vAlign w:val="center"/>
            <w:hideMark/>
          </w:tcPr>
          <w:p>
            <w:pPr>
              <w:jc w:val="center"/>
              <w:rPr>
                <w:noProof/>
                <w:color w:val="000000"/>
                <w:sz w:val="22"/>
                <w:szCs w:val="22"/>
              </w:rPr>
            </w:pPr>
            <w:r>
              <w:rPr>
                <w:noProof/>
                <w:color w:val="000000"/>
                <w:sz w:val="22"/>
                <w:szCs w:val="22"/>
              </w:rPr>
              <w:t>859,4</w:t>
            </w:r>
          </w:p>
        </w:tc>
        <w:tc>
          <w:tcPr>
            <w:tcW w:w="1701" w:type="dxa"/>
            <w:tcBorders>
              <w:top w:val="single" w:sz="4" w:space="0" w:color="auto"/>
              <w:left w:val="single" w:sz="8" w:space="0" w:color="auto"/>
              <w:bottom w:val="single" w:sz="8" w:space="0" w:color="auto"/>
              <w:right w:val="nil"/>
            </w:tcBorders>
            <w:shd w:val="clear" w:color="auto" w:fill="auto"/>
            <w:noWrap/>
            <w:vAlign w:val="center"/>
            <w:hideMark/>
          </w:tcPr>
          <w:p>
            <w:pPr>
              <w:jc w:val="center"/>
              <w:rPr>
                <w:noProof/>
                <w:color w:val="000000"/>
                <w:sz w:val="22"/>
                <w:szCs w:val="22"/>
              </w:rPr>
            </w:pPr>
            <w:r>
              <w:rPr>
                <w:noProof/>
                <w:color w:val="000000"/>
                <w:sz w:val="22"/>
                <w:szCs w:val="22"/>
              </w:rPr>
              <w:t>866,1</w:t>
            </w:r>
          </w:p>
        </w:tc>
        <w:tc>
          <w:tcPr>
            <w:tcW w:w="1701" w:type="dxa"/>
            <w:tcBorders>
              <w:top w:val="single" w:sz="4" w:space="0" w:color="auto"/>
              <w:left w:val="single" w:sz="8" w:space="0" w:color="auto"/>
              <w:bottom w:val="single" w:sz="8" w:space="0" w:color="auto"/>
              <w:right w:val="nil"/>
            </w:tcBorders>
            <w:shd w:val="clear" w:color="auto" w:fill="auto"/>
            <w:noWrap/>
            <w:vAlign w:val="center"/>
            <w:hideMark/>
          </w:tcPr>
          <w:p>
            <w:pPr>
              <w:jc w:val="center"/>
              <w:rPr>
                <w:noProof/>
                <w:color w:val="000000"/>
                <w:sz w:val="22"/>
                <w:szCs w:val="22"/>
              </w:rPr>
            </w:pPr>
            <w:r>
              <w:rPr>
                <w:noProof/>
                <w:color w:val="000000"/>
                <w:sz w:val="22"/>
                <w:szCs w:val="22"/>
              </w:rPr>
              <w:t>-9,0</w:t>
            </w: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pPr>
              <w:jc w:val="center"/>
              <w:rPr>
                <w:noProof/>
                <w:color w:val="000000"/>
                <w:sz w:val="22"/>
                <w:szCs w:val="22"/>
              </w:rPr>
            </w:pPr>
            <w:r>
              <w:rPr>
                <w:noProof/>
                <w:color w:val="000000"/>
                <w:sz w:val="22"/>
                <w:szCs w:val="22"/>
              </w:rPr>
              <w:t>292,3</w:t>
            </w:r>
          </w:p>
        </w:tc>
      </w:tr>
      <w:tr>
        <w:trPr>
          <w:gridBefore w:val="1"/>
          <w:wBefore w:w="25" w:type="dxa"/>
          <w:trHeight w:val="435"/>
        </w:trPr>
        <w:tc>
          <w:tcPr>
            <w:tcW w:w="2778" w:type="dxa"/>
            <w:tcBorders>
              <w:top w:val="nil"/>
              <w:left w:val="nil"/>
              <w:bottom w:val="nil"/>
              <w:right w:val="nil"/>
            </w:tcBorders>
            <w:shd w:val="clear" w:color="auto" w:fill="auto"/>
            <w:noWrap/>
            <w:vAlign w:val="center"/>
            <w:hideMark/>
          </w:tcPr>
          <w:p>
            <w:pPr>
              <w:outlineLvl w:val="0"/>
              <w:rPr>
                <w:i/>
                <w:iCs/>
                <w:noProof/>
                <w:color w:val="000000"/>
                <w:sz w:val="22"/>
                <w:szCs w:val="22"/>
              </w:rPr>
            </w:pPr>
            <w:r>
              <w:rPr>
                <w:i/>
                <w:iCs/>
                <w:noProof/>
                <w:color w:val="000000"/>
                <w:sz w:val="22"/>
                <w:szCs w:val="22"/>
              </w:rPr>
              <w:t>От които по:</w:t>
            </w:r>
          </w:p>
        </w:tc>
        <w:tc>
          <w:tcPr>
            <w:tcW w:w="1701" w:type="dxa"/>
            <w:tcBorders>
              <w:top w:val="nil"/>
              <w:left w:val="nil"/>
              <w:bottom w:val="nil"/>
              <w:right w:val="nil"/>
            </w:tcBorders>
            <w:shd w:val="clear" w:color="auto" w:fill="auto"/>
            <w:noWrap/>
            <w:vAlign w:val="center"/>
            <w:hideMark/>
          </w:tcPr>
          <w:p>
            <w:pPr>
              <w:outlineLvl w:val="0"/>
              <w:rPr>
                <w:i/>
                <w:iCs/>
                <w:noProof/>
                <w:color w:val="000000"/>
                <w:sz w:val="22"/>
                <w:szCs w:val="22"/>
              </w:rPr>
            </w:pPr>
          </w:p>
        </w:tc>
        <w:tc>
          <w:tcPr>
            <w:tcW w:w="1701" w:type="dxa"/>
            <w:tcBorders>
              <w:top w:val="nil"/>
              <w:left w:val="nil"/>
              <w:bottom w:val="nil"/>
              <w:right w:val="nil"/>
            </w:tcBorders>
            <w:shd w:val="clear" w:color="auto" w:fill="auto"/>
            <w:noWrap/>
            <w:vAlign w:val="center"/>
            <w:hideMark/>
          </w:tcPr>
          <w:p>
            <w:pPr>
              <w:outlineLvl w:val="0"/>
              <w:rPr>
                <w:noProof/>
                <w:sz w:val="20"/>
                <w:szCs w:val="20"/>
              </w:rPr>
            </w:pPr>
          </w:p>
        </w:tc>
        <w:tc>
          <w:tcPr>
            <w:tcW w:w="1701" w:type="dxa"/>
            <w:tcBorders>
              <w:top w:val="nil"/>
              <w:left w:val="nil"/>
              <w:bottom w:val="nil"/>
              <w:right w:val="nil"/>
            </w:tcBorders>
            <w:shd w:val="clear" w:color="auto" w:fill="auto"/>
            <w:noWrap/>
            <w:vAlign w:val="center"/>
            <w:hideMark/>
          </w:tcPr>
          <w:p>
            <w:pPr>
              <w:outlineLvl w:val="0"/>
              <w:rPr>
                <w:noProof/>
                <w:sz w:val="20"/>
                <w:szCs w:val="20"/>
              </w:rPr>
            </w:pPr>
          </w:p>
        </w:tc>
        <w:tc>
          <w:tcPr>
            <w:tcW w:w="1701" w:type="dxa"/>
            <w:gridSpan w:val="2"/>
            <w:tcBorders>
              <w:top w:val="nil"/>
              <w:left w:val="nil"/>
              <w:bottom w:val="nil"/>
              <w:right w:val="nil"/>
            </w:tcBorders>
            <w:shd w:val="clear" w:color="auto" w:fill="auto"/>
            <w:noWrap/>
            <w:vAlign w:val="center"/>
            <w:hideMark/>
          </w:tcPr>
          <w:p>
            <w:pPr>
              <w:outlineLvl w:val="0"/>
              <w:rPr>
                <w:noProof/>
                <w:sz w:val="20"/>
                <w:szCs w:val="20"/>
              </w:rPr>
            </w:pPr>
          </w:p>
        </w:tc>
      </w:tr>
      <w:tr>
        <w:trPr>
          <w:gridBefore w:val="1"/>
          <w:wBefore w:w="25" w:type="dxa"/>
          <w:trHeight w:val="310"/>
        </w:trPr>
        <w:tc>
          <w:tcPr>
            <w:tcW w:w="2778" w:type="dxa"/>
            <w:tcBorders>
              <w:top w:val="single" w:sz="8" w:space="0" w:color="auto"/>
              <w:left w:val="single" w:sz="8" w:space="0" w:color="auto"/>
              <w:bottom w:val="nil"/>
              <w:right w:val="single" w:sz="8" w:space="0" w:color="auto"/>
            </w:tcBorders>
            <w:shd w:val="clear" w:color="auto" w:fill="auto"/>
            <w:noWrap/>
            <w:vAlign w:val="center"/>
            <w:hideMark/>
          </w:tcPr>
          <w:p>
            <w:pPr>
              <w:jc w:val="center"/>
              <w:outlineLvl w:val="0"/>
              <w:rPr>
                <w:b/>
                <w:bCs/>
                <w:noProof/>
                <w:color w:val="000000"/>
                <w:sz w:val="22"/>
                <w:szCs w:val="22"/>
              </w:rPr>
            </w:pPr>
            <w:r>
              <w:rPr>
                <w:b/>
                <w:bCs/>
                <w:noProof/>
                <w:color w:val="000000"/>
                <w:sz w:val="22"/>
                <w:szCs w:val="22"/>
              </w:rPr>
              <w:t>МФР ЗА 2014—2020 г.</w:t>
            </w:r>
          </w:p>
        </w:tc>
        <w:tc>
          <w:tcPr>
            <w:tcW w:w="1701" w:type="dxa"/>
            <w:tcBorders>
              <w:top w:val="single" w:sz="8"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xml:space="preserve"> </w:t>
            </w:r>
          </w:p>
        </w:tc>
        <w:tc>
          <w:tcPr>
            <w:tcW w:w="1701" w:type="dxa"/>
            <w:tcBorders>
              <w:top w:val="single" w:sz="8"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xml:space="preserve"> </w:t>
            </w:r>
          </w:p>
        </w:tc>
        <w:tc>
          <w:tcPr>
            <w:tcW w:w="1701" w:type="dxa"/>
            <w:tcBorders>
              <w:top w:val="single" w:sz="8" w:space="0" w:color="auto"/>
              <w:left w:val="nil"/>
              <w:bottom w:val="nil"/>
              <w:right w:val="nil"/>
            </w:tcBorders>
            <w:shd w:val="clear" w:color="auto" w:fill="auto"/>
            <w:vAlign w:val="center"/>
            <w:hideMark/>
          </w:tcPr>
          <w:p>
            <w:pPr>
              <w:jc w:val="center"/>
              <w:outlineLvl w:val="0"/>
              <w:rPr>
                <w:noProof/>
                <w:color w:val="000000"/>
                <w:sz w:val="18"/>
                <w:szCs w:val="18"/>
              </w:rPr>
            </w:pPr>
            <w:r>
              <w:rPr>
                <w:noProof/>
                <w:color w:val="000000"/>
                <w:sz w:val="18"/>
                <w:szCs w:val="18"/>
              </w:rPr>
              <w:t xml:space="preserve"> </w:t>
            </w:r>
          </w:p>
        </w:tc>
        <w:tc>
          <w:tcPr>
            <w:tcW w:w="1701" w:type="dxa"/>
            <w:gridSpan w:val="2"/>
            <w:tcBorders>
              <w:top w:val="single" w:sz="8" w:space="0" w:color="auto"/>
              <w:left w:val="single" w:sz="8" w:space="0" w:color="auto"/>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xml:space="preserve"> </w:t>
            </w:r>
          </w:p>
        </w:tc>
      </w:tr>
      <w:tr>
        <w:trPr>
          <w:gridBefore w:val="1"/>
          <w:wBefore w:w="25" w:type="dxa"/>
          <w:trHeight w:val="290"/>
        </w:trPr>
        <w:tc>
          <w:tcPr>
            <w:tcW w:w="2778" w:type="dxa"/>
            <w:tcBorders>
              <w:top w:val="nil"/>
              <w:left w:val="single" w:sz="8" w:space="0" w:color="auto"/>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307,9</w:t>
            </w:r>
          </w:p>
        </w:tc>
        <w:tc>
          <w:tcPr>
            <w:tcW w:w="1701" w:type="dxa"/>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n/a</w:t>
            </w:r>
          </w:p>
        </w:tc>
        <w:tc>
          <w:tcPr>
            <w:tcW w:w="1701" w:type="dxa"/>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282,6</w:t>
            </w:r>
          </w:p>
        </w:tc>
        <w:tc>
          <w:tcPr>
            <w:tcW w:w="1701" w:type="dxa"/>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-9,0</w:t>
            </w:r>
          </w:p>
        </w:tc>
        <w:tc>
          <w:tcPr>
            <w:tcW w:w="1701"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16,3</w:t>
            </w:r>
          </w:p>
        </w:tc>
      </w:tr>
      <w:tr>
        <w:trPr>
          <w:gridBefore w:val="1"/>
          <w:wBefore w:w="25" w:type="dxa"/>
          <w:trHeight w:val="290"/>
        </w:trPr>
        <w:tc>
          <w:tcPr>
            <w:tcW w:w="2778" w:type="dxa"/>
            <w:tcBorders>
              <w:top w:val="single" w:sz="4" w:space="0" w:color="auto"/>
              <w:left w:val="single" w:sz="8" w:space="0" w:color="auto"/>
              <w:bottom w:val="nil"/>
              <w:right w:val="single" w:sz="8" w:space="0" w:color="auto"/>
            </w:tcBorders>
            <w:shd w:val="clear" w:color="auto" w:fill="auto"/>
            <w:noWrap/>
            <w:vAlign w:val="center"/>
            <w:hideMark/>
          </w:tcPr>
          <w:p>
            <w:pPr>
              <w:jc w:val="center"/>
              <w:outlineLvl w:val="0"/>
              <w:rPr>
                <w:b/>
                <w:bCs/>
                <w:noProof/>
                <w:color w:val="000000"/>
                <w:sz w:val="22"/>
                <w:szCs w:val="22"/>
              </w:rPr>
            </w:pPr>
            <w:r>
              <w:rPr>
                <w:b/>
                <w:bCs/>
                <w:noProof/>
                <w:color w:val="000000"/>
                <w:sz w:val="22"/>
                <w:szCs w:val="22"/>
              </w:rPr>
              <w:t>МФР ЗА 2021—2027 г.</w:t>
            </w:r>
          </w:p>
        </w:tc>
        <w:tc>
          <w:tcPr>
            <w:tcW w:w="1701" w:type="dxa"/>
            <w:tcBorders>
              <w:top w:val="single" w:sz="4"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xml:space="preserve"> </w:t>
            </w:r>
          </w:p>
        </w:tc>
        <w:tc>
          <w:tcPr>
            <w:tcW w:w="1701" w:type="dxa"/>
            <w:tcBorders>
              <w:top w:val="single" w:sz="4"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xml:space="preserve"> </w:t>
            </w:r>
          </w:p>
        </w:tc>
        <w:tc>
          <w:tcPr>
            <w:tcW w:w="1701" w:type="dxa"/>
            <w:tcBorders>
              <w:top w:val="single" w:sz="4" w:space="0" w:color="auto"/>
              <w:left w:val="nil"/>
              <w:bottom w:val="nil"/>
              <w:right w:val="single" w:sz="8" w:space="0" w:color="auto"/>
            </w:tcBorders>
            <w:shd w:val="clear" w:color="auto" w:fill="auto"/>
            <w:vAlign w:val="center"/>
            <w:hideMark/>
          </w:tcPr>
          <w:p>
            <w:pPr>
              <w:jc w:val="center"/>
              <w:outlineLvl w:val="0"/>
              <w:rPr>
                <w:noProof/>
                <w:color w:val="000000"/>
                <w:sz w:val="18"/>
                <w:szCs w:val="18"/>
              </w:rPr>
            </w:pPr>
            <w:r>
              <w:rPr>
                <w:noProof/>
                <w:color w:val="000000"/>
                <w:sz w:val="18"/>
                <w:szCs w:val="18"/>
              </w:rPr>
              <w:t xml:space="preserve"> </w:t>
            </w:r>
          </w:p>
        </w:tc>
        <w:tc>
          <w:tcPr>
            <w:tcW w:w="1701" w:type="dxa"/>
            <w:gridSpan w:val="2"/>
            <w:tcBorders>
              <w:top w:val="single" w:sz="4" w:space="0" w:color="auto"/>
              <w:left w:val="nil"/>
              <w:bottom w:val="nil"/>
              <w:right w:val="single" w:sz="8" w:space="0" w:color="auto"/>
            </w:tcBorders>
            <w:shd w:val="clear" w:color="auto" w:fill="auto"/>
            <w:noWrap/>
            <w:vAlign w:val="center"/>
            <w:hideMark/>
          </w:tcPr>
          <w:p>
            <w:pPr>
              <w:outlineLvl w:val="0"/>
              <w:rPr>
                <w:noProof/>
                <w:color w:val="FF0000"/>
                <w:sz w:val="22"/>
                <w:szCs w:val="22"/>
              </w:rPr>
            </w:pPr>
            <w:r>
              <w:rPr>
                <w:noProof/>
                <w:color w:val="FF0000"/>
                <w:sz w:val="22"/>
                <w:szCs w:val="22"/>
              </w:rPr>
              <w:t xml:space="preserve"> </w:t>
            </w:r>
          </w:p>
        </w:tc>
      </w:tr>
      <w:tr>
        <w:trPr>
          <w:gridBefore w:val="1"/>
          <w:wBefore w:w="25" w:type="dxa"/>
          <w:trHeight w:val="300"/>
        </w:trPr>
        <w:tc>
          <w:tcPr>
            <w:tcW w:w="2778" w:type="dxa"/>
            <w:tcBorders>
              <w:top w:val="nil"/>
              <w:left w:val="single" w:sz="8" w:space="0" w:color="auto"/>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n/a</w:t>
            </w:r>
          </w:p>
        </w:tc>
        <w:tc>
          <w:tcPr>
            <w:tcW w:w="1701" w:type="dxa"/>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859,4</w:t>
            </w:r>
          </w:p>
        </w:tc>
        <w:tc>
          <w:tcPr>
            <w:tcW w:w="1701" w:type="dxa"/>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583,5</w:t>
            </w:r>
          </w:p>
        </w:tc>
        <w:tc>
          <w:tcPr>
            <w:tcW w:w="1701" w:type="dxa"/>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w:t>
            </w:r>
          </w:p>
        </w:tc>
        <w:tc>
          <w:tcPr>
            <w:tcW w:w="1701"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275,9</w:t>
            </w:r>
          </w:p>
        </w:tc>
      </w:tr>
      <w:tr>
        <w:trPr>
          <w:gridBefore w:val="1"/>
          <w:wBefore w:w="25" w:type="dxa"/>
          <w:trHeight w:val="290"/>
        </w:trPr>
        <w:tc>
          <w:tcPr>
            <w:tcW w:w="9582" w:type="dxa"/>
            <w:gridSpan w:val="6"/>
            <w:tcBorders>
              <w:top w:val="single" w:sz="8" w:space="0" w:color="auto"/>
              <w:left w:val="nil"/>
              <w:bottom w:val="nil"/>
              <w:right w:val="nil"/>
            </w:tcBorders>
            <w:shd w:val="clear" w:color="auto" w:fill="auto"/>
            <w:vAlign w:val="center"/>
            <w:hideMark/>
          </w:tcPr>
          <w:p>
            <w:pPr>
              <w:rPr>
                <w:i/>
                <w:iCs/>
                <w:noProof/>
                <w:sz w:val="22"/>
                <w:szCs w:val="22"/>
              </w:rPr>
            </w:pPr>
            <w:r>
              <w:rPr>
                <w:i/>
                <w:iCs/>
                <w:noProof/>
                <w:sz w:val="22"/>
                <w:szCs w:val="22"/>
              </w:rPr>
              <w:t>* В RAL не са включени неизпълнените поети задължения, генерирани от външни целеви приходи</w:t>
            </w:r>
          </w:p>
        </w:tc>
      </w:tr>
    </w:tbl>
    <w:p>
      <w:pPr>
        <w:rPr>
          <w:i/>
          <w:noProof/>
          <w:sz w:val="20"/>
        </w:rPr>
      </w:pPr>
      <w:r>
        <w:rPr>
          <w:noProof/>
        </w:rPr>
        <w:tab/>
      </w:r>
      <w:r>
        <w:rPr>
          <w:noProof/>
        </w:rPr>
        <w:tab/>
      </w:r>
      <w:r>
        <w:rPr>
          <w:noProof/>
        </w:rPr>
        <w:tab/>
      </w:r>
      <w:r>
        <w:rPr>
          <w:noProof/>
        </w:rPr>
        <w:tab/>
      </w:r>
    </w:p>
    <w:sectPr>
      <w:headerReference w:type="even" r:id="rId19"/>
      <w:headerReference w:type="default" r:id="rId20"/>
      <w:footerReference w:type="even" r:id="rId21"/>
      <w:footerReference w:type="default" r:id="rId22"/>
      <w:headerReference w:type="first" r:id="rId23"/>
      <w:footerReference w:type="first" r:id="rId24"/>
      <w:pgSz w:w="11906" w:h="16838"/>
      <w:pgMar w:top="1320" w:right="1151" w:bottom="1440" w:left="1151" w:header="720" w:footer="720" w:gutter="0"/>
      <w:pgNumType w:fmt="numberInDash"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4169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- 2 -</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p/>
  </w:footnote>
  <w:footnote w:id="2">
    <w:p>
      <w:pPr>
        <w:pStyle w:val="FootnoteText"/>
      </w:pPr>
      <w:r>
        <w:rPr>
          <w:rStyle w:val="FootnoteReference"/>
        </w:rPr>
        <w:footnoteRef/>
      </w:r>
      <w:r>
        <w:t xml:space="preserve"> Финансов регламент, приложим за общия бюджет на Съюза, и правилата за прилагането му, Регламент (ЕС, Евратом) 2018/1046 от 30.7.2018 г.</w:t>
      </w:r>
    </w:p>
  </w:footnote>
  <w:footnote w:id="3">
    <w:p>
      <w:pPr>
        <w:pStyle w:val="FootnoteText"/>
      </w:pPr>
      <w:r>
        <w:rPr>
          <w:rStyle w:val="FootnoteReference"/>
        </w:rPr>
        <w:footnoteRef/>
      </w:r>
      <w:r>
        <w:t xml:space="preserve"> OВ C66 I, 19.2.2019 г., стр. 1.</w:t>
      </w:r>
    </w:p>
  </w:footnote>
  <w:footnote w:id="4">
    <w:p>
      <w:pPr>
        <w:pStyle w:val="FootnoteText"/>
      </w:pPr>
      <w:r>
        <w:rPr>
          <w:rStyle w:val="FootnoteReference"/>
        </w:rPr>
        <w:footnoteRef/>
      </w:r>
      <w:r>
        <w:t xml:space="preserve"> COM(2020) 442 final от 27.5.2020 г.</w:t>
      </w:r>
    </w:p>
  </w:footnote>
  <w:footnote w:id="5">
    <w:p>
      <w:pPr>
        <w:pStyle w:val="FootnoteText"/>
      </w:pPr>
      <w:r>
        <w:rPr>
          <w:rStyle w:val="FootnoteReference"/>
        </w:rPr>
        <w:footnoteRef/>
      </w:r>
      <w:r>
        <w:t xml:space="preserve"> COM(2019) 305 final от 26.6.2019 г.</w:t>
      </w:r>
    </w:p>
  </w:footnote>
  <w:footnote w:id="6">
    <w:p>
      <w:pPr>
        <w:pStyle w:val="FootnoteText"/>
      </w:pPr>
      <w:r>
        <w:rPr>
          <w:rStyle w:val="FootnoteReference"/>
        </w:rPr>
        <w:footnoteRef/>
      </w:r>
      <w:r>
        <w:t xml:space="preserve"> </w:t>
      </w:r>
      <w:r>
        <w:rPr>
          <w:b/>
        </w:rPr>
        <w:t>№°1</w:t>
      </w:r>
      <w:r>
        <w:t xml:space="preserve"> 2020/536, ОВ L 126, 21.4.2020 г., </w:t>
      </w:r>
      <w:r>
        <w:rPr>
          <w:b/>
        </w:rPr>
        <w:t>№°2</w:t>
      </w:r>
      <w:r>
        <w:t xml:space="preserve">: 2020/537, ОВ L 126, 21.4.2020 г., </w:t>
      </w:r>
      <w:r>
        <w:rPr>
          <w:b/>
        </w:rPr>
        <w:t>№°3</w:t>
      </w:r>
      <w:r>
        <w:t xml:space="preserve"> COM(2020) 180 final от 15.4.2020 г., </w:t>
      </w:r>
      <w:r>
        <w:rPr>
          <w:b/>
        </w:rPr>
        <w:t xml:space="preserve">№°4 </w:t>
      </w:r>
      <w:r>
        <w:t xml:space="preserve">COM(2020) 190 final от 30.4.2020 г., </w:t>
      </w:r>
      <w:r>
        <w:rPr>
          <w:b/>
        </w:rPr>
        <w:t xml:space="preserve">№°5 </w:t>
      </w:r>
      <w:r>
        <w:t xml:space="preserve">COM(2020) 421 final от 3.6.2020 г., </w:t>
      </w:r>
      <w:r>
        <w:rPr>
          <w:b/>
        </w:rPr>
        <w:t>№°6</w:t>
      </w:r>
      <w:r>
        <w:t xml:space="preserve"> COM(2020) 423 final от 3.6.2020 г.</w:t>
      </w:r>
    </w:p>
  </w:footnote>
  <w:footnote w:id="7">
    <w:p>
      <w:pPr>
        <w:pStyle w:val="FootnoteText"/>
      </w:pPr>
      <w:r>
        <w:rPr>
          <w:rStyle w:val="FootnoteReference"/>
        </w:rPr>
        <w:footnoteRef/>
      </w:r>
      <w:r>
        <w:t xml:space="preserve"> COM(2020) 300 от 24.6.2020 г.</w:t>
      </w:r>
    </w:p>
  </w:footnote>
  <w:footnote w:id="8">
    <w:p>
      <w:pPr>
        <w:pStyle w:val="FootnoteText"/>
      </w:pPr>
      <w:r>
        <w:rPr>
          <w:rStyle w:val="FootnoteReference"/>
        </w:rPr>
        <w:footnoteRef/>
      </w:r>
      <w:r>
        <w:t xml:space="preserve"> Тази сума не включва 3,5 милиарда евро под формата на RAL, генерирани чрез вноски от трети държави, тъй като съответните плащания вече са предоставени на бюджета на ЕС.</w:t>
      </w:r>
    </w:p>
  </w:footnote>
  <w:footnote w:id="9">
    <w:p>
      <w:pPr>
        <w:pStyle w:val="FootnoteText"/>
      </w:pPr>
      <w:r>
        <w:rPr>
          <w:rStyle w:val="FootnoteReference"/>
        </w:rPr>
        <w:footnoteRef/>
      </w:r>
      <w:r>
        <w:t xml:space="preserve"> COM(2018) 325 final от 2.5.2018 г., изменено с COM(2020) 445 final от 28.5.2020 г.</w:t>
      </w:r>
    </w:p>
  </w:footnote>
  <w:footnote w:id="10">
    <w:p>
      <w:pPr>
        <w:pStyle w:val="FootnoteText"/>
      </w:pPr>
      <w:r>
        <w:rPr>
          <w:rStyle w:val="FootnoteReference"/>
        </w:rPr>
        <w:footnoteRef/>
      </w:r>
      <w:r>
        <w:t xml:space="preserve"> </w:t>
      </w:r>
      <w:r>
        <w:rPr>
          <w:color w:val="444444"/>
          <w:sz w:val="21"/>
          <w:szCs w:val="21"/>
          <w:shd w:val="clear" w:color="auto" w:fill="FFFFFF"/>
        </w:rPr>
        <w:t xml:space="preserve">2014/335/ЕС, Евратом: Решение на Съвета относно системата на собствените ресурси на Европейския съюз, </w:t>
      </w:r>
      <w:r>
        <w:t>ОВ L 168, 4.6.2014 г., стр. 105.</w:t>
      </w:r>
    </w:p>
  </w:footnote>
  <w:footnote w:id="11">
    <w:p>
      <w:pPr>
        <w:pStyle w:val="FootnoteText"/>
      </w:pPr>
      <w:r>
        <w:rPr>
          <w:rStyle w:val="FootnoteReference"/>
        </w:rPr>
        <w:footnoteRef/>
      </w:r>
      <w:r>
        <w:t xml:space="preserve"> Включително митата, установени от Обединеното кралство, които ще нараснат през ноември и декември 2020 г. и които съгласно член 10, параграф 1 от Регламент (EС, Евратом) № 609/2014 (MAR — предоставяне на традиционните собствени ресурси) се дължат от Обединеното кралство съответно на 20 януари 2021 г. и 22 февруари 2021 г. Въз основа на член 136, параграф 1 и параграф 3, буква б) от Споразумението за оттегляне тези мита продължават да се считат за собствени ресурси за 2021 г.</w:t>
      </w:r>
    </w:p>
  </w:footnote>
  <w:footnote w:id="12">
    <w:p>
      <w:pPr>
        <w:pStyle w:val="FootnoteText"/>
      </w:pPr>
      <w:r>
        <w:rPr>
          <w:rStyle w:val="FootnoteReference"/>
        </w:rPr>
        <w:footnoteRef/>
      </w:r>
      <w:r>
        <w:t xml:space="preserve"> COM(2018) 325 final от 2.5.2018 г., изменено с COM(2020) 445 final от 28.5.2020 г.</w:t>
      </w:r>
    </w:p>
  </w:footnote>
  <w:footnote w:id="13">
    <w:p>
      <w:pPr>
        <w:pStyle w:val="FootnoteText"/>
      </w:pPr>
      <w:r>
        <w:rPr>
          <w:rStyle w:val="FootnoteReference"/>
        </w:rPr>
        <w:footnoteRef/>
      </w:r>
      <w:r>
        <w:t xml:space="preserve"> COM(2020) 442 final от 27.5.2020 г.</w:t>
      </w:r>
    </w:p>
  </w:footnote>
  <w:footnote w:id="14">
    <w:p>
      <w:pPr>
        <w:pStyle w:val="FootnoteText"/>
      </w:pPr>
      <w:r>
        <w:rPr>
          <w:rStyle w:val="FootnoteReference"/>
        </w:rPr>
        <w:footnoteRef/>
      </w:r>
      <w:r>
        <w:t xml:space="preserve"> Всички компоненти на вноската на Обединеното кралство са посочени в член 148 от Споразумението за оттегляне. Изчисленията включват само компонентите на вноската на Обединеното кралство, които биха могли да бъдат количествено определени на този етап, а именно временната вноска на Обединеното кралство във финансирането на плащанията за RAL преди 2021 г. и пенсионните задължения съгласно член 142, параграф 5 от Споразумението за оттегляне.</w:t>
      </w:r>
    </w:p>
  </w:footnote>
  <w:footnote w:id="15">
    <w:p>
      <w:pPr>
        <w:pStyle w:val="FootnoteText"/>
      </w:pPr>
      <w:r>
        <w:rPr>
          <w:rStyle w:val="FootnoteReference"/>
        </w:rPr>
        <w:footnoteRef/>
      </w:r>
      <w:r>
        <w:t xml:space="preserve"> С изключение на неизпълнените поети задължения, произтичащи от предложения проект на коригиращ бюджет № 6 към бюджета за 2020 г.</w:t>
      </w:r>
    </w:p>
  </w:footnote>
  <w:footnote w:id="16">
    <w:p>
      <w:pPr>
        <w:pStyle w:val="FootnoteText"/>
      </w:pPr>
      <w:r>
        <w:rPr>
          <w:rStyle w:val="FootnoteReference"/>
        </w:rPr>
        <w:footnoteRef/>
      </w:r>
      <w:r>
        <w:t xml:space="preserve"> Делът на Обединеното кралство е определен в член 139 от Споразумението за оттегляне.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F2"/>
    <w:multiLevelType w:val="singleLevel"/>
    <w:tmpl w:val="4190AB00"/>
    <w:name w:val="Tiret 0"/>
    <w:lvl w:ilvl="0">
      <w:start w:val="1"/>
      <w:numFmt w:val="bullet"/>
      <w:lvlText w:val="–"/>
      <w:lvlJc w:val="left"/>
      <w:pPr>
        <w:tabs>
          <w:tab w:val="num" w:pos="850"/>
        </w:tabs>
        <w:ind w:left="850" w:hanging="850"/>
      </w:pPr>
    </w:lvl>
  </w:abstractNum>
  <w:abstractNum w:abstractNumId="1">
    <w:nsid w:val="04421258"/>
    <w:multiLevelType w:val="hybridMultilevel"/>
    <w:tmpl w:val="F3A242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157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4D226D"/>
    <w:multiLevelType w:val="hybridMultilevel"/>
    <w:tmpl w:val="B6A09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D505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22A140F0"/>
    <w:multiLevelType w:val="hybridMultilevel"/>
    <w:tmpl w:val="F38E451C"/>
    <w:lvl w:ilvl="0" w:tplc="ED0211A2">
      <w:numFmt w:val="bullet"/>
      <w:lvlText w:val="-"/>
      <w:lvlJc w:val="left"/>
      <w:pPr>
        <w:ind w:left="842" w:hanging="360"/>
      </w:pPr>
      <w:rPr>
        <w:rFonts w:ascii="Times New Roman" w:eastAsia="Times New Roman" w:hAnsi="Times New Roman" w:cs="Times New Roman" w:hint="default"/>
      </w:rPr>
    </w:lvl>
    <w:lvl w:ilvl="1" w:tplc="18090003" w:tentative="1">
      <w:start w:val="1"/>
      <w:numFmt w:val="bullet"/>
      <w:lvlText w:val="o"/>
      <w:lvlJc w:val="left"/>
      <w:pPr>
        <w:ind w:left="1562" w:hanging="360"/>
      </w:pPr>
      <w:rPr>
        <w:rFonts w:ascii="Courier New" w:hAnsi="Courier New" w:cs="Courier New" w:hint="default"/>
      </w:rPr>
    </w:lvl>
    <w:lvl w:ilvl="2" w:tplc="18090005" w:tentative="1">
      <w:start w:val="1"/>
      <w:numFmt w:val="bullet"/>
      <w:lvlText w:val=""/>
      <w:lvlJc w:val="left"/>
      <w:pPr>
        <w:ind w:left="2282" w:hanging="360"/>
      </w:pPr>
      <w:rPr>
        <w:rFonts w:ascii="Wingdings" w:hAnsi="Wingdings" w:hint="default"/>
      </w:rPr>
    </w:lvl>
    <w:lvl w:ilvl="3" w:tplc="18090001" w:tentative="1">
      <w:start w:val="1"/>
      <w:numFmt w:val="bullet"/>
      <w:lvlText w:val=""/>
      <w:lvlJc w:val="left"/>
      <w:pPr>
        <w:ind w:left="3002" w:hanging="360"/>
      </w:pPr>
      <w:rPr>
        <w:rFonts w:ascii="Symbol" w:hAnsi="Symbol" w:hint="default"/>
      </w:rPr>
    </w:lvl>
    <w:lvl w:ilvl="4" w:tplc="18090003" w:tentative="1">
      <w:start w:val="1"/>
      <w:numFmt w:val="bullet"/>
      <w:lvlText w:val="o"/>
      <w:lvlJc w:val="left"/>
      <w:pPr>
        <w:ind w:left="3722" w:hanging="360"/>
      </w:pPr>
      <w:rPr>
        <w:rFonts w:ascii="Courier New" w:hAnsi="Courier New" w:cs="Courier New" w:hint="default"/>
      </w:rPr>
    </w:lvl>
    <w:lvl w:ilvl="5" w:tplc="18090005" w:tentative="1">
      <w:start w:val="1"/>
      <w:numFmt w:val="bullet"/>
      <w:lvlText w:val=""/>
      <w:lvlJc w:val="left"/>
      <w:pPr>
        <w:ind w:left="4442" w:hanging="360"/>
      </w:pPr>
      <w:rPr>
        <w:rFonts w:ascii="Wingdings" w:hAnsi="Wingdings" w:hint="default"/>
      </w:rPr>
    </w:lvl>
    <w:lvl w:ilvl="6" w:tplc="18090001" w:tentative="1">
      <w:start w:val="1"/>
      <w:numFmt w:val="bullet"/>
      <w:lvlText w:val=""/>
      <w:lvlJc w:val="left"/>
      <w:pPr>
        <w:ind w:left="5162" w:hanging="360"/>
      </w:pPr>
      <w:rPr>
        <w:rFonts w:ascii="Symbol" w:hAnsi="Symbol" w:hint="default"/>
      </w:rPr>
    </w:lvl>
    <w:lvl w:ilvl="7" w:tplc="18090003" w:tentative="1">
      <w:start w:val="1"/>
      <w:numFmt w:val="bullet"/>
      <w:lvlText w:val="o"/>
      <w:lvlJc w:val="left"/>
      <w:pPr>
        <w:ind w:left="5882" w:hanging="360"/>
      </w:pPr>
      <w:rPr>
        <w:rFonts w:ascii="Courier New" w:hAnsi="Courier New" w:cs="Courier New" w:hint="default"/>
      </w:rPr>
    </w:lvl>
    <w:lvl w:ilvl="8" w:tplc="18090005" w:tentative="1">
      <w:start w:val="1"/>
      <w:numFmt w:val="bullet"/>
      <w:lvlText w:val=""/>
      <w:lvlJc w:val="left"/>
      <w:pPr>
        <w:ind w:left="6602" w:hanging="360"/>
      </w:pPr>
      <w:rPr>
        <w:rFonts w:ascii="Wingdings" w:hAnsi="Wingdings" w:hint="default"/>
      </w:rPr>
    </w:lvl>
  </w:abstractNum>
  <w:abstractNum w:abstractNumId="6">
    <w:nsid w:val="29572355"/>
    <w:multiLevelType w:val="hybridMultilevel"/>
    <w:tmpl w:val="5608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9C68F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566"/>
        </w:tabs>
        <w:ind w:left="156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C371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42E10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AC28B0"/>
    <w:multiLevelType w:val="hybridMultilevel"/>
    <w:tmpl w:val="213685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40A54562"/>
    <w:multiLevelType w:val="hybridMultilevel"/>
    <w:tmpl w:val="8286EDAC"/>
    <w:lvl w:ilvl="0" w:tplc="08090001">
      <w:start w:val="1"/>
      <w:numFmt w:val="bullet"/>
      <w:lvlText w:val=""/>
      <w:lvlJc w:val="left"/>
      <w:pPr>
        <w:tabs>
          <w:tab w:val="num" w:pos="720"/>
        </w:tabs>
        <w:ind w:left="720" w:hanging="360"/>
      </w:pPr>
      <w:rPr>
        <w:rFonts w:ascii="Symbol" w:hAnsi="Symbol" w:hint="default"/>
      </w:rPr>
    </w:lvl>
    <w:lvl w:ilvl="1" w:tplc="08090019">
      <w:start w:val="1"/>
      <w:numFmt w:val="bullet"/>
      <w:lvlText w:val=""/>
      <w:lvlJc w:val="left"/>
      <w:pPr>
        <w:tabs>
          <w:tab w:val="num" w:pos="3905"/>
        </w:tabs>
        <w:ind w:left="3905" w:hanging="360"/>
      </w:pPr>
      <w:rPr>
        <w:rFonts w:ascii="Wingdings" w:hAnsi="Wingdings" w:hint="default"/>
      </w:rPr>
    </w:lvl>
    <w:lvl w:ilvl="2" w:tplc="0809001B">
      <w:start w:val="1"/>
      <w:numFmt w:val="decimal"/>
      <w:lvlText w:val="%3."/>
      <w:lvlJc w:val="left"/>
      <w:pPr>
        <w:tabs>
          <w:tab w:val="num" w:pos="2160"/>
        </w:tabs>
        <w:ind w:left="2160" w:hanging="360"/>
      </w:pPr>
      <w:rPr>
        <w:rFonts w:hint="default"/>
      </w:rPr>
    </w:lvl>
    <w:lvl w:ilvl="3" w:tplc="8184259A">
      <w:numFmt w:val="bullet"/>
      <w:lvlText w:val="•"/>
      <w:lvlJc w:val="left"/>
      <w:pPr>
        <w:ind w:left="2880" w:hanging="360"/>
      </w:pPr>
      <w:rPr>
        <w:rFonts w:ascii="Times New Roman" w:eastAsia="Times New Roman" w:hAnsi="Times New Roman" w:cs="Times New Roman"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nsid w:val="489956A0"/>
    <w:multiLevelType w:val="singleLevel"/>
    <w:tmpl w:val="6520E3F6"/>
    <w:lvl w:ilvl="0">
      <w:start w:val="1"/>
      <w:numFmt w:val="bullet"/>
      <w:lvlRestart w:val="0"/>
      <w:pStyle w:val="Tiret0"/>
      <w:lvlText w:val="–"/>
      <w:lvlJc w:val="left"/>
      <w:pPr>
        <w:tabs>
          <w:tab w:val="num" w:pos="850"/>
        </w:tabs>
        <w:ind w:left="850" w:hanging="850"/>
      </w:pPr>
    </w:lvl>
  </w:abstractNum>
  <w:abstractNum w:abstractNumId="14">
    <w:nsid w:val="4D3527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F8732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6913628"/>
    <w:multiLevelType w:val="hybridMultilevel"/>
    <w:tmpl w:val="C5E810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3905"/>
        </w:tabs>
        <w:ind w:left="3905" w:hanging="360"/>
      </w:pPr>
      <w:rPr>
        <w:rFonts w:ascii="Wingdings" w:hAnsi="Wingdings" w:hint="default"/>
      </w:rPr>
    </w:lvl>
    <w:lvl w:ilvl="2" w:tplc="08090005">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7BF14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AD31103"/>
    <w:multiLevelType w:val="hybridMultilevel"/>
    <w:tmpl w:val="9228A8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3D65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4C4580"/>
    <w:multiLevelType w:val="hybridMultilevel"/>
    <w:tmpl w:val="0D28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4B0DA2"/>
    <w:multiLevelType w:val="hybridMultilevel"/>
    <w:tmpl w:val="5E5C631A"/>
    <w:name w:val="Heading"/>
    <w:lvl w:ilvl="0" w:tplc="70C0E33E">
      <w:start w:val="1"/>
      <w:numFmt w:val="bullet"/>
      <w:lvlText w:val=""/>
      <w:lvlJc w:val="left"/>
      <w:pPr>
        <w:tabs>
          <w:tab w:val="num" w:pos="720"/>
        </w:tabs>
        <w:ind w:left="720" w:hanging="360"/>
      </w:pPr>
      <w:rPr>
        <w:rFonts w:ascii="Wingdings" w:hAnsi="Wingdings" w:hint="default"/>
      </w:rPr>
    </w:lvl>
    <w:lvl w:ilvl="1" w:tplc="5608EE86" w:tentative="1">
      <w:start w:val="1"/>
      <w:numFmt w:val="bullet"/>
      <w:lvlText w:val="o"/>
      <w:lvlJc w:val="left"/>
      <w:pPr>
        <w:tabs>
          <w:tab w:val="num" w:pos="1440"/>
        </w:tabs>
        <w:ind w:left="1440" w:hanging="360"/>
      </w:pPr>
      <w:rPr>
        <w:rFonts w:ascii="Courier New" w:hAnsi="Courier New" w:cs="Courier New" w:hint="default"/>
      </w:rPr>
    </w:lvl>
    <w:lvl w:ilvl="2" w:tplc="30244C20" w:tentative="1">
      <w:start w:val="1"/>
      <w:numFmt w:val="bullet"/>
      <w:lvlText w:val=""/>
      <w:lvlJc w:val="left"/>
      <w:pPr>
        <w:tabs>
          <w:tab w:val="num" w:pos="2160"/>
        </w:tabs>
        <w:ind w:left="2160" w:hanging="360"/>
      </w:pPr>
      <w:rPr>
        <w:rFonts w:ascii="Wingdings" w:hAnsi="Wingdings" w:hint="default"/>
      </w:rPr>
    </w:lvl>
    <w:lvl w:ilvl="3" w:tplc="E5CE95E6" w:tentative="1">
      <w:start w:val="1"/>
      <w:numFmt w:val="bullet"/>
      <w:lvlText w:val=""/>
      <w:lvlJc w:val="left"/>
      <w:pPr>
        <w:tabs>
          <w:tab w:val="num" w:pos="2880"/>
        </w:tabs>
        <w:ind w:left="2880" w:hanging="360"/>
      </w:pPr>
      <w:rPr>
        <w:rFonts w:ascii="Symbol" w:hAnsi="Symbol" w:hint="default"/>
      </w:rPr>
    </w:lvl>
    <w:lvl w:ilvl="4" w:tplc="0100D990" w:tentative="1">
      <w:start w:val="1"/>
      <w:numFmt w:val="bullet"/>
      <w:lvlText w:val="o"/>
      <w:lvlJc w:val="left"/>
      <w:pPr>
        <w:tabs>
          <w:tab w:val="num" w:pos="3600"/>
        </w:tabs>
        <w:ind w:left="3600" w:hanging="360"/>
      </w:pPr>
      <w:rPr>
        <w:rFonts w:ascii="Courier New" w:hAnsi="Courier New" w:cs="Courier New" w:hint="default"/>
      </w:rPr>
    </w:lvl>
    <w:lvl w:ilvl="5" w:tplc="FC88B498" w:tentative="1">
      <w:start w:val="1"/>
      <w:numFmt w:val="bullet"/>
      <w:lvlText w:val=""/>
      <w:lvlJc w:val="left"/>
      <w:pPr>
        <w:tabs>
          <w:tab w:val="num" w:pos="4320"/>
        </w:tabs>
        <w:ind w:left="4320" w:hanging="360"/>
      </w:pPr>
      <w:rPr>
        <w:rFonts w:ascii="Wingdings" w:hAnsi="Wingdings" w:hint="default"/>
      </w:rPr>
    </w:lvl>
    <w:lvl w:ilvl="6" w:tplc="D4D21692" w:tentative="1">
      <w:start w:val="1"/>
      <w:numFmt w:val="bullet"/>
      <w:lvlText w:val=""/>
      <w:lvlJc w:val="left"/>
      <w:pPr>
        <w:tabs>
          <w:tab w:val="num" w:pos="5040"/>
        </w:tabs>
        <w:ind w:left="5040" w:hanging="360"/>
      </w:pPr>
      <w:rPr>
        <w:rFonts w:ascii="Symbol" w:hAnsi="Symbol" w:hint="default"/>
      </w:rPr>
    </w:lvl>
    <w:lvl w:ilvl="7" w:tplc="3B12B370" w:tentative="1">
      <w:start w:val="1"/>
      <w:numFmt w:val="bullet"/>
      <w:lvlText w:val="o"/>
      <w:lvlJc w:val="left"/>
      <w:pPr>
        <w:tabs>
          <w:tab w:val="num" w:pos="5760"/>
        </w:tabs>
        <w:ind w:left="5760" w:hanging="360"/>
      </w:pPr>
      <w:rPr>
        <w:rFonts w:ascii="Courier New" w:hAnsi="Courier New" w:cs="Courier New" w:hint="default"/>
      </w:rPr>
    </w:lvl>
    <w:lvl w:ilvl="8" w:tplc="46463BCA" w:tentative="1">
      <w:start w:val="1"/>
      <w:numFmt w:val="bullet"/>
      <w:lvlText w:val=""/>
      <w:lvlJc w:val="left"/>
      <w:pPr>
        <w:tabs>
          <w:tab w:val="num" w:pos="6480"/>
        </w:tabs>
        <w:ind w:left="6480" w:hanging="360"/>
      </w:pPr>
      <w:rPr>
        <w:rFonts w:ascii="Wingdings" w:hAnsi="Wingdings" w:hint="default"/>
      </w:rPr>
    </w:lvl>
  </w:abstractNum>
  <w:abstractNum w:abstractNumId="22">
    <w:nsid w:val="66870614"/>
    <w:multiLevelType w:val="hybridMultilevel"/>
    <w:tmpl w:val="995A9EAA"/>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3">
    <w:nsid w:val="6715525B"/>
    <w:multiLevelType w:val="hybridMultilevel"/>
    <w:tmpl w:val="F3905F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E0215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410A66"/>
    <w:multiLevelType w:val="hybridMultilevel"/>
    <w:tmpl w:val="9F7E1F10"/>
    <w:lvl w:ilvl="0" w:tplc="361C460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2DB0E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5215256"/>
    <w:multiLevelType w:val="hybridMultilevel"/>
    <w:tmpl w:val="F8F0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460620"/>
    <w:multiLevelType w:val="hybridMultilevel"/>
    <w:tmpl w:val="6E620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C3634E"/>
    <w:multiLevelType w:val="hybridMultilevel"/>
    <w:tmpl w:val="F3905F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F117AE3"/>
    <w:multiLevelType w:val="hybridMultilevel"/>
    <w:tmpl w:val="F7EEF178"/>
    <w:lvl w:ilvl="0" w:tplc="6AAA8028">
      <w:start w:val="1"/>
      <w:numFmt w:val="bullet"/>
      <w:lvlText w:val=""/>
      <w:lvlJc w:val="left"/>
      <w:pPr>
        <w:tabs>
          <w:tab w:val="num" w:pos="720"/>
        </w:tabs>
        <w:ind w:left="720" w:hanging="360"/>
      </w:pPr>
      <w:rPr>
        <w:rFonts w:ascii="Wingdings" w:hAnsi="Wingdings" w:hint="default"/>
      </w:rPr>
    </w:lvl>
    <w:lvl w:ilvl="1" w:tplc="F9AE0BC2">
      <w:start w:val="1"/>
      <w:numFmt w:val="bullet"/>
      <w:lvlText w:val=""/>
      <w:lvlJc w:val="left"/>
      <w:pPr>
        <w:tabs>
          <w:tab w:val="num" w:pos="3905"/>
        </w:tabs>
        <w:ind w:left="3905" w:hanging="360"/>
      </w:pPr>
      <w:rPr>
        <w:rFonts w:ascii="Wingdings" w:hAnsi="Wingdings" w:hint="default"/>
      </w:rPr>
    </w:lvl>
    <w:lvl w:ilvl="2" w:tplc="6FC8AB52">
      <w:start w:val="1"/>
      <w:numFmt w:val="decimal"/>
      <w:lvlText w:val="%3."/>
      <w:lvlJc w:val="left"/>
      <w:pPr>
        <w:tabs>
          <w:tab w:val="num" w:pos="2160"/>
        </w:tabs>
        <w:ind w:left="2160" w:hanging="360"/>
      </w:pPr>
      <w:rPr>
        <w:rFonts w:hint="default"/>
      </w:rPr>
    </w:lvl>
    <w:lvl w:ilvl="3" w:tplc="0E96D468" w:tentative="1">
      <w:start w:val="1"/>
      <w:numFmt w:val="bullet"/>
      <w:lvlText w:val=""/>
      <w:lvlJc w:val="left"/>
      <w:pPr>
        <w:tabs>
          <w:tab w:val="num" w:pos="2880"/>
        </w:tabs>
        <w:ind w:left="2880" w:hanging="360"/>
      </w:pPr>
      <w:rPr>
        <w:rFonts w:ascii="Symbol" w:hAnsi="Symbol" w:hint="default"/>
      </w:rPr>
    </w:lvl>
    <w:lvl w:ilvl="4" w:tplc="2F8C92AC" w:tentative="1">
      <w:start w:val="1"/>
      <w:numFmt w:val="bullet"/>
      <w:lvlText w:val="o"/>
      <w:lvlJc w:val="left"/>
      <w:pPr>
        <w:tabs>
          <w:tab w:val="num" w:pos="3600"/>
        </w:tabs>
        <w:ind w:left="3600" w:hanging="360"/>
      </w:pPr>
      <w:rPr>
        <w:rFonts w:ascii="Courier New" w:hAnsi="Courier New" w:cs="Courier New" w:hint="default"/>
      </w:rPr>
    </w:lvl>
    <w:lvl w:ilvl="5" w:tplc="68BEBA64" w:tentative="1">
      <w:start w:val="1"/>
      <w:numFmt w:val="bullet"/>
      <w:lvlText w:val=""/>
      <w:lvlJc w:val="left"/>
      <w:pPr>
        <w:tabs>
          <w:tab w:val="num" w:pos="4320"/>
        </w:tabs>
        <w:ind w:left="4320" w:hanging="360"/>
      </w:pPr>
      <w:rPr>
        <w:rFonts w:ascii="Wingdings" w:hAnsi="Wingdings" w:hint="default"/>
      </w:rPr>
    </w:lvl>
    <w:lvl w:ilvl="6" w:tplc="466CF938" w:tentative="1">
      <w:start w:val="1"/>
      <w:numFmt w:val="bullet"/>
      <w:lvlText w:val=""/>
      <w:lvlJc w:val="left"/>
      <w:pPr>
        <w:tabs>
          <w:tab w:val="num" w:pos="5040"/>
        </w:tabs>
        <w:ind w:left="5040" w:hanging="360"/>
      </w:pPr>
      <w:rPr>
        <w:rFonts w:ascii="Symbol" w:hAnsi="Symbol" w:hint="default"/>
      </w:rPr>
    </w:lvl>
    <w:lvl w:ilvl="7" w:tplc="8FE826AC" w:tentative="1">
      <w:start w:val="1"/>
      <w:numFmt w:val="bullet"/>
      <w:lvlText w:val="o"/>
      <w:lvlJc w:val="left"/>
      <w:pPr>
        <w:tabs>
          <w:tab w:val="num" w:pos="5760"/>
        </w:tabs>
        <w:ind w:left="5760" w:hanging="360"/>
      </w:pPr>
      <w:rPr>
        <w:rFonts w:ascii="Courier New" w:hAnsi="Courier New" w:cs="Courier New" w:hint="default"/>
      </w:rPr>
    </w:lvl>
    <w:lvl w:ilvl="8" w:tplc="E0524B4E"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8"/>
  </w:num>
  <w:num w:numId="4">
    <w:abstractNumId w:val="30"/>
  </w:num>
  <w:num w:numId="5">
    <w:abstractNumId w:val="16"/>
  </w:num>
  <w:num w:numId="6">
    <w:abstractNumId w:val="12"/>
  </w:num>
  <w:num w:numId="7">
    <w:abstractNumId w:val="4"/>
  </w:num>
  <w:num w:numId="8">
    <w:abstractNumId w:val="29"/>
  </w:num>
  <w:num w:numId="9">
    <w:abstractNumId w:val="3"/>
  </w:num>
  <w:num w:numId="10">
    <w:abstractNumId w:val="27"/>
  </w:num>
  <w:num w:numId="11">
    <w:abstractNumId w:val="1"/>
  </w:num>
  <w:num w:numId="12">
    <w:abstractNumId w:val="6"/>
  </w:num>
  <w:num w:numId="13">
    <w:abstractNumId w:val="22"/>
  </w:num>
  <w:num w:numId="14">
    <w:abstractNumId w:val="28"/>
  </w:num>
  <w:num w:numId="15">
    <w:abstractNumId w:val="7"/>
  </w:num>
  <w:num w:numId="16">
    <w:abstractNumId w:val="23"/>
  </w:num>
  <w:num w:numId="17">
    <w:abstractNumId w:val="18"/>
  </w:num>
  <w:num w:numId="18">
    <w:abstractNumId w:val="11"/>
  </w:num>
  <w:num w:numId="19">
    <w:abstractNumId w:val="20"/>
  </w:num>
  <w:num w:numId="20">
    <w:abstractNumId w:val="30"/>
    <w:lvlOverride w:ilvl="0"/>
    <w:lvlOverride w:ilvl="1"/>
    <w:lvlOverride w:ilvl="2">
      <w:startOverride w:val="1"/>
    </w:lvlOverride>
    <w:lvlOverride w:ilvl="3"/>
    <w:lvlOverride w:ilvl="4"/>
    <w:lvlOverride w:ilvl="5"/>
    <w:lvlOverride w:ilvl="6"/>
    <w:lvlOverride w:ilvl="7"/>
    <w:lvlOverride w:ilvl="8"/>
  </w:num>
  <w:num w:numId="21">
    <w:abstractNumId w:val="2"/>
  </w:num>
  <w:num w:numId="22">
    <w:abstractNumId w:val="18"/>
  </w:num>
  <w:num w:numId="23">
    <w:abstractNumId w:val="16"/>
    <w:lvlOverride w:ilvl="0"/>
    <w:lvlOverride w:ilvl="1"/>
    <w:lvlOverride w:ilvl="2">
      <w:startOverride w:val="1"/>
    </w:lvlOverride>
    <w:lvlOverride w:ilvl="3"/>
    <w:lvlOverride w:ilvl="4"/>
    <w:lvlOverride w:ilvl="5"/>
    <w:lvlOverride w:ilvl="6"/>
    <w:lvlOverride w:ilvl="7"/>
    <w:lvlOverride w:ilvl="8"/>
  </w:num>
  <w:num w:numId="24">
    <w:abstractNumId w:val="14"/>
  </w:num>
  <w:num w:numId="25">
    <w:abstractNumId w:val="26"/>
  </w:num>
  <w:num w:numId="26">
    <w:abstractNumId w:val="9"/>
  </w:num>
  <w:num w:numId="27">
    <w:abstractNumId w:val="17"/>
  </w:num>
  <w:num w:numId="28">
    <w:abstractNumId w:val="19"/>
  </w:num>
  <w:num w:numId="29">
    <w:abstractNumId w:val="15"/>
  </w:num>
  <w:num w:numId="30">
    <w:abstractNumId w:val="0"/>
  </w:num>
  <w:num w:numId="31">
    <w:abstractNumId w:val="5"/>
  </w:num>
  <w:num w:numId="32">
    <w:abstractNumId w:val="25"/>
  </w:num>
  <w:num w:numId="33">
    <w:abstractNumId w:val="24"/>
  </w:num>
  <w:num w:numId="3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noPunctuationKerning/>
  <w:characterSpacingControl w:val="doNotCompress"/>
  <w:hdrShapeDefaults>
    <o:shapedefaults v:ext="edit" spidmax="14950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C4918C19-2208-4392-9F85-414A2E1D0547"/>
    <w:docVar w:name="LW_COVERPAGE_TYPE" w:val="1"/>
    <w:docVar w:name="LW_CROSSREFERENCE" w:val="&lt;UNUSED&gt;"/>
    <w:docVar w:name="LW_DocType" w:val="NORMAL"/>
    <w:docVar w:name="LW_EMISSION" w:val="30.6.2020"/>
    <w:docVar w:name="LW_EMISSION_ISODATE" w:val="2020-06-3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98?\u1083?\u1075?\u1086?\u1089?\u1088?\u1086?\u1095?\u1085?\u1072? \u1087?\u1088?\u1086?\u1075?\u1085?\u1086?\u1079?\u1072? \u1079?\u1072? \u1073?\u1098?\u1076?\u1077?\u1097?\u1080?\u1090?\u1077? \u1074?\u1093?\u1086?\u1076?\u1103?\u1097?\u1080? \u1080? \u1080?\u1079?\u1093?\u1086?\u1076?\u1103?\u1097?\u1080? \u1087?\u1072?\u1088?\u1080?\u1095?\u1085?\u1080? \u1087?\u1086?\u1090?\u1086?\u1094?\u1080? \u1085?\u1072? \u1073?\u1102?\u1076?\u1078?\u1077?\u1090?\u1072? \u1085?\u1072? \u1045?\u1057? (2021-2025 \u1075?.) "/>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tabs>
        <w:tab w:val="num" w:pos="480"/>
      </w:tabs>
      <w:spacing w:before="240" w:after="240"/>
      <w:ind w:left="480" w:hanging="480"/>
      <w:jc w:val="both"/>
      <w:outlineLvl w:val="0"/>
    </w:pPr>
    <w:rPr>
      <w:b/>
      <w:smallCaps/>
      <w:szCs w:val="20"/>
      <w:lang w:eastAsia="en-US"/>
    </w:rPr>
  </w:style>
  <w:style w:type="paragraph" w:styleId="Heading2">
    <w:name w:val="heading 2"/>
    <w:basedOn w:val="Normal"/>
    <w:next w:val="Normal"/>
    <w:link w:val="Heading2Char"/>
    <w:qFormat/>
    <w:pPr>
      <w:keepNext/>
      <w:tabs>
        <w:tab w:val="num" w:pos="1200"/>
      </w:tabs>
      <w:spacing w:after="240"/>
      <w:ind w:left="1200" w:hanging="720"/>
      <w:jc w:val="both"/>
      <w:outlineLvl w:val="1"/>
    </w:pPr>
    <w:rPr>
      <w:b/>
      <w:szCs w:val="20"/>
      <w:lang w:eastAsia="en-US"/>
    </w:rPr>
  </w:style>
  <w:style w:type="paragraph" w:styleId="Heading3">
    <w:name w:val="heading 3"/>
    <w:basedOn w:val="Normal"/>
    <w:next w:val="Normal"/>
    <w:qFormat/>
    <w:pPr>
      <w:keepNext/>
      <w:spacing w:before="240" w:after="60"/>
      <w:outlineLvl w:val="2"/>
    </w:pPr>
    <w:rPr>
      <w:rFonts w:ascii="Arial" w:hAnsi="Arial"/>
      <w:szCs w:val="20"/>
    </w:rPr>
  </w:style>
  <w:style w:type="paragraph" w:styleId="Heading4">
    <w:name w:val="heading 4"/>
    <w:basedOn w:val="Normal"/>
    <w:next w:val="Normal"/>
    <w:qFormat/>
    <w:pPr>
      <w:keepNext/>
      <w:tabs>
        <w:tab w:val="num" w:pos="1920"/>
      </w:tabs>
      <w:spacing w:after="240"/>
      <w:ind w:left="1920" w:hanging="72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rPr>
      <w:szCs w:val="20"/>
    </w:rPr>
  </w:style>
  <w:style w:type="paragraph" w:styleId="Header">
    <w:name w:val="head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rPr>
      <w:sz w:val="20"/>
      <w:szCs w:val="20"/>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customStyle="1" w:styleId="ZCom">
    <w:name w:val="Z_Com"/>
    <w:basedOn w:val="Normal"/>
    <w:next w:val="ZDGName"/>
    <w:pPr>
      <w:widowControl w:val="0"/>
      <w:autoSpaceDE w:val="0"/>
      <w:autoSpaceDN w:val="0"/>
      <w:ind w:right="85"/>
      <w:jc w:val="both"/>
    </w:pPr>
    <w:rPr>
      <w:rFonts w:ascii="Arial" w:hAnsi="Arial" w:cs="Arial"/>
      <w:lang w:eastAsia="ko-KR"/>
    </w:rPr>
  </w:style>
  <w:style w:type="paragraph" w:customStyle="1" w:styleId="ZDGName">
    <w:name w:val="Z_DGName"/>
    <w:basedOn w:val="Normal"/>
    <w:pPr>
      <w:widowControl w:val="0"/>
      <w:autoSpaceDE w:val="0"/>
      <w:autoSpaceDN w:val="0"/>
      <w:ind w:right="85"/>
    </w:pPr>
    <w:rPr>
      <w:rFonts w:ascii="Arial" w:hAnsi="Arial" w:cs="Arial"/>
      <w:sz w:val="16"/>
      <w:szCs w:val="16"/>
      <w:lang w:eastAsia="ko-KR"/>
    </w:rPr>
  </w:style>
  <w:style w:type="paragraph" w:customStyle="1" w:styleId="NoteHead">
    <w:name w:val="NoteHead"/>
    <w:basedOn w:val="Normal"/>
    <w:next w:val="Normal"/>
    <w:pPr>
      <w:spacing w:before="720" w:after="720"/>
      <w:jc w:val="center"/>
    </w:pPr>
    <w:rPr>
      <w:b/>
      <w:smallCaps/>
      <w:szCs w:val="20"/>
      <w:lang w:eastAsia="en-US"/>
    </w:rPr>
  </w:style>
  <w:style w:type="paragraph" w:customStyle="1" w:styleId="Text3">
    <w:name w:val="Text 3"/>
    <w:basedOn w:val="Normal"/>
    <w:pPr>
      <w:spacing w:before="120" w:after="120"/>
      <w:ind w:left="851"/>
      <w:jc w:val="both"/>
    </w:pPr>
    <w:rPr>
      <w:szCs w:val="20"/>
      <w:lang w:eastAsia="fr-BE"/>
    </w:rPr>
  </w:style>
  <w:style w:type="paragraph" w:customStyle="1" w:styleId="Tiret0">
    <w:name w:val="Tiret 0"/>
    <w:basedOn w:val="Normal"/>
    <w:link w:val="Tiret0Char"/>
    <w:uiPriority w:val="99"/>
    <w:pPr>
      <w:numPr>
        <w:numId w:val="1"/>
      </w:numPr>
      <w:spacing w:before="120" w:after="120"/>
      <w:jc w:val="both"/>
    </w:pPr>
  </w:style>
  <w:style w:type="character" w:customStyle="1" w:styleId="Tiret0Char">
    <w:name w:val="Tiret 0 Char"/>
    <w:basedOn w:val="DefaultParagraphFont"/>
    <w:link w:val="Tiret0"/>
    <w:rPr>
      <w:sz w:val="24"/>
      <w:szCs w:val="24"/>
    </w:rPr>
  </w:style>
  <w:style w:type="character" w:styleId="PageNumber">
    <w:name w:val="page number"/>
    <w:basedOn w:val="DefaultParagraphFont"/>
  </w:style>
  <w:style w:type="paragraph" w:customStyle="1" w:styleId="Text1">
    <w:name w:val="Text 1"/>
    <w:basedOn w:val="Normal"/>
    <w:link w:val="Text1Char"/>
    <w:pPr>
      <w:spacing w:after="240"/>
      <w:ind w:left="482"/>
      <w:jc w:val="both"/>
    </w:pPr>
    <w:rPr>
      <w:szCs w:val="20"/>
      <w:lang w:eastAsia="en-US"/>
    </w:rPr>
  </w:style>
  <w:style w:type="paragraph" w:customStyle="1" w:styleId="Text2">
    <w:name w:val="Text 2"/>
    <w:basedOn w:val="Normal"/>
    <w:pPr>
      <w:tabs>
        <w:tab w:val="left" w:pos="2160"/>
      </w:tabs>
      <w:spacing w:after="240"/>
      <w:ind w:left="1077"/>
      <w:jc w:val="both"/>
    </w:pPr>
    <w:rPr>
      <w:szCs w:val="20"/>
      <w:lang w:eastAsia="en-US"/>
    </w:rPr>
  </w:style>
  <w:style w:type="paragraph" w:styleId="ListBullet2">
    <w:name w:val="List Bullet 2"/>
    <w:basedOn w:val="Text2"/>
    <w:pPr>
      <w:numPr>
        <w:numId w:val="3"/>
      </w:numPr>
      <w:tabs>
        <w:tab w:val="clear" w:pos="2160"/>
      </w:tabs>
    </w:pPr>
  </w:style>
  <w:style w:type="table" w:styleId="TableGrid">
    <w:name w:val="Table Grid"/>
    <w:basedOn w:val="TableNormal"/>
    <w:uiPriority w:val="5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pPr>
      <w:spacing w:after="480"/>
      <w:ind w:left="1191" w:hanging="1191"/>
    </w:pPr>
    <w:rPr>
      <w:b/>
      <w:szCs w:val="20"/>
      <w:lang w:eastAsia="en-US"/>
    </w:rPr>
  </w:style>
  <w:style w:type="character" w:customStyle="1" w:styleId="Text1Char">
    <w:name w:val="Text 1 Char"/>
    <w:basedOn w:val="DefaultParagraphFont"/>
    <w:link w:val="Text1"/>
    <w:rPr>
      <w:sz w:val="24"/>
      <w:lang w:val="bg-BG"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rPr>
      <w:rFonts w:ascii="Calibri" w:hAnsi="Calibri"/>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FooterChar">
    <w:name w:val="Footer Char"/>
    <w:basedOn w:val="DefaultParagraphFont"/>
    <w:link w:val="Footer"/>
    <w:uiPriority w:val="99"/>
    <w:rPr>
      <w:sz w:val="24"/>
      <w:lang w:val="bg-BG"/>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tabs>
        <w:tab w:val="clear" w:pos="480"/>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paragraph" w:styleId="TOC1">
    <w:name w:val="toc 1"/>
    <w:basedOn w:val="Normal"/>
    <w:next w:val="Normal"/>
    <w:autoRedefine/>
    <w:uiPriority w:val="39"/>
    <w:qFormat/>
    <w:pPr>
      <w:spacing w:after="100"/>
    </w:pPr>
  </w:style>
  <w:style w:type="paragraph" w:styleId="TOC2">
    <w:name w:val="toc 2"/>
    <w:basedOn w:val="Normal"/>
    <w:next w:val="Normal"/>
    <w:autoRedefine/>
    <w:uiPriority w:val="39"/>
    <w:qFormat/>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 w:val="22"/>
      <w:szCs w:val="22"/>
      <w:lang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aptionChar">
    <w:name w:val="Caption Char"/>
    <w:basedOn w:val="DefaultParagraphFont"/>
    <w:link w:val="Caption"/>
    <w:rPr>
      <w:b/>
      <w:bCs/>
      <w:color w:val="4F81BD" w:themeColor="accent1"/>
      <w:sz w:val="18"/>
      <w:szCs w:val="18"/>
    </w:rPr>
  </w:style>
  <w:style w:type="character" w:customStyle="1" w:styleId="FooterCoverPageChar">
    <w:name w:val="Footer Cover Page Char"/>
    <w:basedOn w:val="CaptionChar"/>
    <w:link w:val="FooterCoverPage"/>
    <w:rPr>
      <w:b w:val="0"/>
      <w:bCs w:val="0"/>
      <w:color w:val="4F81BD" w:themeColor="accent1"/>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aptionChar"/>
    <w:link w:val="FooterSensitivity"/>
    <w:rPr>
      <w:b/>
      <w:bCs w:val="0"/>
      <w:color w:val="4F81BD" w:themeColor="accent1"/>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aptionChar"/>
    <w:link w:val="HeaderCoverPage"/>
    <w:rPr>
      <w:b w:val="0"/>
      <w:bCs w:val="0"/>
      <w:color w:val="4F81BD" w:themeColor="accent1"/>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aptionChar"/>
    <w:link w:val="HeaderSensitivity"/>
    <w:rPr>
      <w:b/>
      <w:bCs w:val="0"/>
      <w:color w:val="4F81BD" w:themeColor="accent1"/>
      <w:sz w:val="32"/>
      <w:szCs w:val="24"/>
    </w:rPr>
  </w:style>
  <w:style w:type="character" w:customStyle="1" w:styleId="WW8Num4z1">
    <w:name w:val="WW8Num4z1"/>
    <w:rPr>
      <w:rFonts w:ascii="Wingdings" w:hAnsi="Wingdings" w:cs="Symbol" w:hint="default"/>
    </w:rPr>
  </w:style>
  <w:style w:type="character" w:customStyle="1" w:styleId="footnotereference0">
    <w:name w:val="footnotereference"/>
    <w:basedOn w:val="DefaultParagraphFont"/>
    <w:rPr>
      <w:rFonts w:ascii="Times New Roman" w:hAnsi="Times New Roman" w:cs="Times New Roman" w:hint="default"/>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tabs>
        <w:tab w:val="num" w:pos="480"/>
      </w:tabs>
      <w:spacing w:before="240" w:after="240"/>
      <w:ind w:left="480" w:hanging="480"/>
      <w:jc w:val="both"/>
      <w:outlineLvl w:val="0"/>
    </w:pPr>
    <w:rPr>
      <w:b/>
      <w:smallCaps/>
      <w:szCs w:val="20"/>
      <w:lang w:eastAsia="en-US"/>
    </w:rPr>
  </w:style>
  <w:style w:type="paragraph" w:styleId="Heading2">
    <w:name w:val="heading 2"/>
    <w:basedOn w:val="Normal"/>
    <w:next w:val="Normal"/>
    <w:link w:val="Heading2Char"/>
    <w:qFormat/>
    <w:pPr>
      <w:keepNext/>
      <w:tabs>
        <w:tab w:val="num" w:pos="1200"/>
      </w:tabs>
      <w:spacing w:after="240"/>
      <w:ind w:left="1200" w:hanging="720"/>
      <w:jc w:val="both"/>
      <w:outlineLvl w:val="1"/>
    </w:pPr>
    <w:rPr>
      <w:b/>
      <w:szCs w:val="20"/>
      <w:lang w:eastAsia="en-US"/>
    </w:rPr>
  </w:style>
  <w:style w:type="paragraph" w:styleId="Heading3">
    <w:name w:val="heading 3"/>
    <w:basedOn w:val="Normal"/>
    <w:next w:val="Normal"/>
    <w:qFormat/>
    <w:pPr>
      <w:keepNext/>
      <w:spacing w:before="240" w:after="60"/>
      <w:outlineLvl w:val="2"/>
    </w:pPr>
    <w:rPr>
      <w:rFonts w:ascii="Arial" w:hAnsi="Arial"/>
      <w:szCs w:val="20"/>
    </w:rPr>
  </w:style>
  <w:style w:type="paragraph" w:styleId="Heading4">
    <w:name w:val="heading 4"/>
    <w:basedOn w:val="Normal"/>
    <w:next w:val="Normal"/>
    <w:qFormat/>
    <w:pPr>
      <w:keepNext/>
      <w:tabs>
        <w:tab w:val="num" w:pos="1920"/>
      </w:tabs>
      <w:spacing w:after="240"/>
      <w:ind w:left="1920" w:hanging="72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rPr>
      <w:szCs w:val="20"/>
    </w:rPr>
  </w:style>
  <w:style w:type="paragraph" w:styleId="Header">
    <w:name w:val="head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rPr>
      <w:sz w:val="20"/>
      <w:szCs w:val="20"/>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customStyle="1" w:styleId="ZCom">
    <w:name w:val="Z_Com"/>
    <w:basedOn w:val="Normal"/>
    <w:next w:val="ZDGName"/>
    <w:pPr>
      <w:widowControl w:val="0"/>
      <w:autoSpaceDE w:val="0"/>
      <w:autoSpaceDN w:val="0"/>
      <w:ind w:right="85"/>
      <w:jc w:val="both"/>
    </w:pPr>
    <w:rPr>
      <w:rFonts w:ascii="Arial" w:hAnsi="Arial" w:cs="Arial"/>
      <w:lang w:eastAsia="ko-KR"/>
    </w:rPr>
  </w:style>
  <w:style w:type="paragraph" w:customStyle="1" w:styleId="ZDGName">
    <w:name w:val="Z_DGName"/>
    <w:basedOn w:val="Normal"/>
    <w:pPr>
      <w:widowControl w:val="0"/>
      <w:autoSpaceDE w:val="0"/>
      <w:autoSpaceDN w:val="0"/>
      <w:ind w:right="85"/>
    </w:pPr>
    <w:rPr>
      <w:rFonts w:ascii="Arial" w:hAnsi="Arial" w:cs="Arial"/>
      <w:sz w:val="16"/>
      <w:szCs w:val="16"/>
      <w:lang w:eastAsia="ko-KR"/>
    </w:rPr>
  </w:style>
  <w:style w:type="paragraph" w:customStyle="1" w:styleId="NoteHead">
    <w:name w:val="NoteHead"/>
    <w:basedOn w:val="Normal"/>
    <w:next w:val="Normal"/>
    <w:pPr>
      <w:spacing w:before="720" w:after="720"/>
      <w:jc w:val="center"/>
    </w:pPr>
    <w:rPr>
      <w:b/>
      <w:smallCaps/>
      <w:szCs w:val="20"/>
      <w:lang w:eastAsia="en-US"/>
    </w:rPr>
  </w:style>
  <w:style w:type="paragraph" w:customStyle="1" w:styleId="Text3">
    <w:name w:val="Text 3"/>
    <w:basedOn w:val="Normal"/>
    <w:pPr>
      <w:spacing w:before="120" w:after="120"/>
      <w:ind w:left="851"/>
      <w:jc w:val="both"/>
    </w:pPr>
    <w:rPr>
      <w:szCs w:val="20"/>
      <w:lang w:eastAsia="fr-BE"/>
    </w:rPr>
  </w:style>
  <w:style w:type="paragraph" w:customStyle="1" w:styleId="Tiret0">
    <w:name w:val="Tiret 0"/>
    <w:basedOn w:val="Normal"/>
    <w:link w:val="Tiret0Char"/>
    <w:uiPriority w:val="99"/>
    <w:pPr>
      <w:numPr>
        <w:numId w:val="1"/>
      </w:numPr>
      <w:spacing w:before="120" w:after="120"/>
      <w:jc w:val="both"/>
    </w:pPr>
  </w:style>
  <w:style w:type="character" w:customStyle="1" w:styleId="Tiret0Char">
    <w:name w:val="Tiret 0 Char"/>
    <w:basedOn w:val="DefaultParagraphFont"/>
    <w:link w:val="Tiret0"/>
    <w:rPr>
      <w:sz w:val="24"/>
      <w:szCs w:val="24"/>
    </w:rPr>
  </w:style>
  <w:style w:type="character" w:styleId="PageNumber">
    <w:name w:val="page number"/>
    <w:basedOn w:val="DefaultParagraphFont"/>
  </w:style>
  <w:style w:type="paragraph" w:customStyle="1" w:styleId="Text1">
    <w:name w:val="Text 1"/>
    <w:basedOn w:val="Normal"/>
    <w:link w:val="Text1Char"/>
    <w:pPr>
      <w:spacing w:after="240"/>
      <w:ind w:left="482"/>
      <w:jc w:val="both"/>
    </w:pPr>
    <w:rPr>
      <w:szCs w:val="20"/>
      <w:lang w:eastAsia="en-US"/>
    </w:rPr>
  </w:style>
  <w:style w:type="paragraph" w:customStyle="1" w:styleId="Text2">
    <w:name w:val="Text 2"/>
    <w:basedOn w:val="Normal"/>
    <w:pPr>
      <w:tabs>
        <w:tab w:val="left" w:pos="2160"/>
      </w:tabs>
      <w:spacing w:after="240"/>
      <w:ind w:left="1077"/>
      <w:jc w:val="both"/>
    </w:pPr>
    <w:rPr>
      <w:szCs w:val="20"/>
      <w:lang w:eastAsia="en-US"/>
    </w:rPr>
  </w:style>
  <w:style w:type="paragraph" w:styleId="ListBullet2">
    <w:name w:val="List Bullet 2"/>
    <w:basedOn w:val="Text2"/>
    <w:pPr>
      <w:numPr>
        <w:numId w:val="3"/>
      </w:numPr>
      <w:tabs>
        <w:tab w:val="clear" w:pos="2160"/>
      </w:tabs>
    </w:pPr>
  </w:style>
  <w:style w:type="table" w:styleId="TableGrid">
    <w:name w:val="Table Grid"/>
    <w:basedOn w:val="TableNormal"/>
    <w:uiPriority w:val="5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pPr>
      <w:spacing w:after="480"/>
      <w:ind w:left="1191" w:hanging="1191"/>
    </w:pPr>
    <w:rPr>
      <w:b/>
      <w:szCs w:val="20"/>
      <w:lang w:eastAsia="en-US"/>
    </w:rPr>
  </w:style>
  <w:style w:type="character" w:customStyle="1" w:styleId="Text1Char">
    <w:name w:val="Text 1 Char"/>
    <w:basedOn w:val="DefaultParagraphFont"/>
    <w:link w:val="Text1"/>
    <w:rPr>
      <w:sz w:val="24"/>
      <w:lang w:val="bg-BG"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rPr>
      <w:rFonts w:ascii="Calibri" w:hAnsi="Calibri"/>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FooterChar">
    <w:name w:val="Footer Char"/>
    <w:basedOn w:val="DefaultParagraphFont"/>
    <w:link w:val="Footer"/>
    <w:uiPriority w:val="99"/>
    <w:rPr>
      <w:sz w:val="24"/>
      <w:lang w:val="bg-BG"/>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tabs>
        <w:tab w:val="clear" w:pos="480"/>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paragraph" w:styleId="TOC1">
    <w:name w:val="toc 1"/>
    <w:basedOn w:val="Normal"/>
    <w:next w:val="Normal"/>
    <w:autoRedefine/>
    <w:uiPriority w:val="39"/>
    <w:qFormat/>
    <w:pPr>
      <w:spacing w:after="100"/>
    </w:pPr>
  </w:style>
  <w:style w:type="paragraph" w:styleId="TOC2">
    <w:name w:val="toc 2"/>
    <w:basedOn w:val="Normal"/>
    <w:next w:val="Normal"/>
    <w:autoRedefine/>
    <w:uiPriority w:val="39"/>
    <w:qFormat/>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 w:val="22"/>
      <w:szCs w:val="22"/>
      <w:lang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aptionChar">
    <w:name w:val="Caption Char"/>
    <w:basedOn w:val="DefaultParagraphFont"/>
    <w:link w:val="Caption"/>
    <w:rPr>
      <w:b/>
      <w:bCs/>
      <w:color w:val="4F81BD" w:themeColor="accent1"/>
      <w:sz w:val="18"/>
      <w:szCs w:val="18"/>
    </w:rPr>
  </w:style>
  <w:style w:type="character" w:customStyle="1" w:styleId="FooterCoverPageChar">
    <w:name w:val="Footer Cover Page Char"/>
    <w:basedOn w:val="CaptionChar"/>
    <w:link w:val="FooterCoverPage"/>
    <w:rPr>
      <w:b w:val="0"/>
      <w:bCs w:val="0"/>
      <w:color w:val="4F81BD" w:themeColor="accent1"/>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aptionChar"/>
    <w:link w:val="FooterSensitivity"/>
    <w:rPr>
      <w:b/>
      <w:bCs w:val="0"/>
      <w:color w:val="4F81BD" w:themeColor="accent1"/>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aptionChar"/>
    <w:link w:val="HeaderCoverPage"/>
    <w:rPr>
      <w:b w:val="0"/>
      <w:bCs w:val="0"/>
      <w:color w:val="4F81BD" w:themeColor="accent1"/>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aptionChar"/>
    <w:link w:val="HeaderSensitivity"/>
    <w:rPr>
      <w:b/>
      <w:bCs w:val="0"/>
      <w:color w:val="4F81BD" w:themeColor="accent1"/>
      <w:sz w:val="32"/>
      <w:szCs w:val="24"/>
    </w:rPr>
  </w:style>
  <w:style w:type="character" w:customStyle="1" w:styleId="WW8Num4z1">
    <w:name w:val="WW8Num4z1"/>
    <w:rPr>
      <w:rFonts w:ascii="Wingdings" w:hAnsi="Wingdings" w:cs="Symbol" w:hint="default"/>
    </w:rPr>
  </w:style>
  <w:style w:type="character" w:customStyle="1" w:styleId="footnotereference0">
    <w:name w:val="footnotereference"/>
    <w:basedOn w:val="DefaultParagraphFont"/>
    <w:rPr>
      <w:rFonts w:ascii="Times New Roman" w:hAnsi="Times New Roman" w:cs="Times New Roman" w:hint="default"/>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6312">
      <w:bodyDiv w:val="1"/>
      <w:marLeft w:val="0"/>
      <w:marRight w:val="0"/>
      <w:marTop w:val="0"/>
      <w:marBottom w:val="0"/>
      <w:divBdr>
        <w:top w:val="none" w:sz="0" w:space="0" w:color="auto"/>
        <w:left w:val="none" w:sz="0" w:space="0" w:color="auto"/>
        <w:bottom w:val="none" w:sz="0" w:space="0" w:color="auto"/>
        <w:right w:val="none" w:sz="0" w:space="0" w:color="auto"/>
      </w:divBdr>
    </w:div>
    <w:div w:id="50464669">
      <w:bodyDiv w:val="1"/>
      <w:marLeft w:val="0"/>
      <w:marRight w:val="0"/>
      <w:marTop w:val="0"/>
      <w:marBottom w:val="0"/>
      <w:divBdr>
        <w:top w:val="none" w:sz="0" w:space="0" w:color="auto"/>
        <w:left w:val="none" w:sz="0" w:space="0" w:color="auto"/>
        <w:bottom w:val="none" w:sz="0" w:space="0" w:color="auto"/>
        <w:right w:val="none" w:sz="0" w:space="0" w:color="auto"/>
      </w:divBdr>
    </w:div>
    <w:div w:id="69893873">
      <w:bodyDiv w:val="1"/>
      <w:marLeft w:val="0"/>
      <w:marRight w:val="0"/>
      <w:marTop w:val="0"/>
      <w:marBottom w:val="0"/>
      <w:divBdr>
        <w:top w:val="none" w:sz="0" w:space="0" w:color="auto"/>
        <w:left w:val="none" w:sz="0" w:space="0" w:color="auto"/>
        <w:bottom w:val="none" w:sz="0" w:space="0" w:color="auto"/>
        <w:right w:val="none" w:sz="0" w:space="0" w:color="auto"/>
      </w:divBdr>
    </w:div>
    <w:div w:id="124977635">
      <w:bodyDiv w:val="1"/>
      <w:marLeft w:val="0"/>
      <w:marRight w:val="0"/>
      <w:marTop w:val="0"/>
      <w:marBottom w:val="0"/>
      <w:divBdr>
        <w:top w:val="none" w:sz="0" w:space="0" w:color="auto"/>
        <w:left w:val="none" w:sz="0" w:space="0" w:color="auto"/>
        <w:bottom w:val="none" w:sz="0" w:space="0" w:color="auto"/>
        <w:right w:val="none" w:sz="0" w:space="0" w:color="auto"/>
      </w:divBdr>
    </w:div>
    <w:div w:id="168714907">
      <w:bodyDiv w:val="1"/>
      <w:marLeft w:val="0"/>
      <w:marRight w:val="0"/>
      <w:marTop w:val="0"/>
      <w:marBottom w:val="0"/>
      <w:divBdr>
        <w:top w:val="none" w:sz="0" w:space="0" w:color="auto"/>
        <w:left w:val="none" w:sz="0" w:space="0" w:color="auto"/>
        <w:bottom w:val="none" w:sz="0" w:space="0" w:color="auto"/>
        <w:right w:val="none" w:sz="0" w:space="0" w:color="auto"/>
      </w:divBdr>
    </w:div>
    <w:div w:id="236675874">
      <w:bodyDiv w:val="1"/>
      <w:marLeft w:val="0"/>
      <w:marRight w:val="0"/>
      <w:marTop w:val="0"/>
      <w:marBottom w:val="0"/>
      <w:divBdr>
        <w:top w:val="none" w:sz="0" w:space="0" w:color="auto"/>
        <w:left w:val="none" w:sz="0" w:space="0" w:color="auto"/>
        <w:bottom w:val="none" w:sz="0" w:space="0" w:color="auto"/>
        <w:right w:val="none" w:sz="0" w:space="0" w:color="auto"/>
      </w:divBdr>
    </w:div>
    <w:div w:id="353387099">
      <w:bodyDiv w:val="1"/>
      <w:marLeft w:val="0"/>
      <w:marRight w:val="0"/>
      <w:marTop w:val="0"/>
      <w:marBottom w:val="0"/>
      <w:divBdr>
        <w:top w:val="none" w:sz="0" w:space="0" w:color="auto"/>
        <w:left w:val="none" w:sz="0" w:space="0" w:color="auto"/>
        <w:bottom w:val="none" w:sz="0" w:space="0" w:color="auto"/>
        <w:right w:val="none" w:sz="0" w:space="0" w:color="auto"/>
      </w:divBdr>
    </w:div>
    <w:div w:id="406146174">
      <w:bodyDiv w:val="1"/>
      <w:marLeft w:val="0"/>
      <w:marRight w:val="0"/>
      <w:marTop w:val="0"/>
      <w:marBottom w:val="0"/>
      <w:divBdr>
        <w:top w:val="none" w:sz="0" w:space="0" w:color="auto"/>
        <w:left w:val="none" w:sz="0" w:space="0" w:color="auto"/>
        <w:bottom w:val="none" w:sz="0" w:space="0" w:color="auto"/>
        <w:right w:val="none" w:sz="0" w:space="0" w:color="auto"/>
      </w:divBdr>
    </w:div>
    <w:div w:id="430708809">
      <w:bodyDiv w:val="1"/>
      <w:marLeft w:val="0"/>
      <w:marRight w:val="0"/>
      <w:marTop w:val="0"/>
      <w:marBottom w:val="0"/>
      <w:divBdr>
        <w:top w:val="none" w:sz="0" w:space="0" w:color="auto"/>
        <w:left w:val="none" w:sz="0" w:space="0" w:color="auto"/>
        <w:bottom w:val="none" w:sz="0" w:space="0" w:color="auto"/>
        <w:right w:val="none" w:sz="0" w:space="0" w:color="auto"/>
      </w:divBdr>
    </w:div>
    <w:div w:id="472019001">
      <w:bodyDiv w:val="1"/>
      <w:marLeft w:val="0"/>
      <w:marRight w:val="0"/>
      <w:marTop w:val="0"/>
      <w:marBottom w:val="0"/>
      <w:divBdr>
        <w:top w:val="none" w:sz="0" w:space="0" w:color="auto"/>
        <w:left w:val="none" w:sz="0" w:space="0" w:color="auto"/>
        <w:bottom w:val="none" w:sz="0" w:space="0" w:color="auto"/>
        <w:right w:val="none" w:sz="0" w:space="0" w:color="auto"/>
      </w:divBdr>
    </w:div>
    <w:div w:id="585460266">
      <w:bodyDiv w:val="1"/>
      <w:marLeft w:val="0"/>
      <w:marRight w:val="0"/>
      <w:marTop w:val="0"/>
      <w:marBottom w:val="0"/>
      <w:divBdr>
        <w:top w:val="none" w:sz="0" w:space="0" w:color="auto"/>
        <w:left w:val="none" w:sz="0" w:space="0" w:color="auto"/>
        <w:bottom w:val="none" w:sz="0" w:space="0" w:color="auto"/>
        <w:right w:val="none" w:sz="0" w:space="0" w:color="auto"/>
      </w:divBdr>
    </w:div>
    <w:div w:id="622687901">
      <w:bodyDiv w:val="1"/>
      <w:marLeft w:val="0"/>
      <w:marRight w:val="0"/>
      <w:marTop w:val="0"/>
      <w:marBottom w:val="0"/>
      <w:divBdr>
        <w:top w:val="none" w:sz="0" w:space="0" w:color="auto"/>
        <w:left w:val="none" w:sz="0" w:space="0" w:color="auto"/>
        <w:bottom w:val="none" w:sz="0" w:space="0" w:color="auto"/>
        <w:right w:val="none" w:sz="0" w:space="0" w:color="auto"/>
      </w:divBdr>
    </w:div>
    <w:div w:id="624040646">
      <w:bodyDiv w:val="1"/>
      <w:marLeft w:val="0"/>
      <w:marRight w:val="0"/>
      <w:marTop w:val="0"/>
      <w:marBottom w:val="0"/>
      <w:divBdr>
        <w:top w:val="none" w:sz="0" w:space="0" w:color="auto"/>
        <w:left w:val="none" w:sz="0" w:space="0" w:color="auto"/>
        <w:bottom w:val="none" w:sz="0" w:space="0" w:color="auto"/>
        <w:right w:val="none" w:sz="0" w:space="0" w:color="auto"/>
      </w:divBdr>
    </w:div>
    <w:div w:id="630672173">
      <w:bodyDiv w:val="1"/>
      <w:marLeft w:val="0"/>
      <w:marRight w:val="0"/>
      <w:marTop w:val="0"/>
      <w:marBottom w:val="0"/>
      <w:divBdr>
        <w:top w:val="none" w:sz="0" w:space="0" w:color="auto"/>
        <w:left w:val="none" w:sz="0" w:space="0" w:color="auto"/>
        <w:bottom w:val="none" w:sz="0" w:space="0" w:color="auto"/>
        <w:right w:val="none" w:sz="0" w:space="0" w:color="auto"/>
      </w:divBdr>
    </w:div>
    <w:div w:id="667103096">
      <w:bodyDiv w:val="1"/>
      <w:marLeft w:val="0"/>
      <w:marRight w:val="0"/>
      <w:marTop w:val="0"/>
      <w:marBottom w:val="0"/>
      <w:divBdr>
        <w:top w:val="none" w:sz="0" w:space="0" w:color="auto"/>
        <w:left w:val="none" w:sz="0" w:space="0" w:color="auto"/>
        <w:bottom w:val="none" w:sz="0" w:space="0" w:color="auto"/>
        <w:right w:val="none" w:sz="0" w:space="0" w:color="auto"/>
      </w:divBdr>
    </w:div>
    <w:div w:id="715662890">
      <w:bodyDiv w:val="1"/>
      <w:marLeft w:val="0"/>
      <w:marRight w:val="0"/>
      <w:marTop w:val="0"/>
      <w:marBottom w:val="0"/>
      <w:divBdr>
        <w:top w:val="none" w:sz="0" w:space="0" w:color="auto"/>
        <w:left w:val="none" w:sz="0" w:space="0" w:color="auto"/>
        <w:bottom w:val="none" w:sz="0" w:space="0" w:color="auto"/>
        <w:right w:val="none" w:sz="0" w:space="0" w:color="auto"/>
      </w:divBdr>
    </w:div>
    <w:div w:id="725570813">
      <w:bodyDiv w:val="1"/>
      <w:marLeft w:val="0"/>
      <w:marRight w:val="0"/>
      <w:marTop w:val="0"/>
      <w:marBottom w:val="0"/>
      <w:divBdr>
        <w:top w:val="none" w:sz="0" w:space="0" w:color="auto"/>
        <w:left w:val="none" w:sz="0" w:space="0" w:color="auto"/>
        <w:bottom w:val="none" w:sz="0" w:space="0" w:color="auto"/>
        <w:right w:val="none" w:sz="0" w:space="0" w:color="auto"/>
      </w:divBdr>
    </w:div>
    <w:div w:id="792291661">
      <w:bodyDiv w:val="1"/>
      <w:marLeft w:val="0"/>
      <w:marRight w:val="0"/>
      <w:marTop w:val="0"/>
      <w:marBottom w:val="0"/>
      <w:divBdr>
        <w:top w:val="none" w:sz="0" w:space="0" w:color="auto"/>
        <w:left w:val="none" w:sz="0" w:space="0" w:color="auto"/>
        <w:bottom w:val="none" w:sz="0" w:space="0" w:color="auto"/>
        <w:right w:val="none" w:sz="0" w:space="0" w:color="auto"/>
      </w:divBdr>
    </w:div>
    <w:div w:id="819732435">
      <w:bodyDiv w:val="1"/>
      <w:marLeft w:val="0"/>
      <w:marRight w:val="0"/>
      <w:marTop w:val="0"/>
      <w:marBottom w:val="0"/>
      <w:divBdr>
        <w:top w:val="none" w:sz="0" w:space="0" w:color="auto"/>
        <w:left w:val="none" w:sz="0" w:space="0" w:color="auto"/>
        <w:bottom w:val="none" w:sz="0" w:space="0" w:color="auto"/>
        <w:right w:val="none" w:sz="0" w:space="0" w:color="auto"/>
      </w:divBdr>
    </w:div>
    <w:div w:id="820000942">
      <w:bodyDiv w:val="1"/>
      <w:marLeft w:val="0"/>
      <w:marRight w:val="0"/>
      <w:marTop w:val="0"/>
      <w:marBottom w:val="0"/>
      <w:divBdr>
        <w:top w:val="none" w:sz="0" w:space="0" w:color="auto"/>
        <w:left w:val="none" w:sz="0" w:space="0" w:color="auto"/>
        <w:bottom w:val="none" w:sz="0" w:space="0" w:color="auto"/>
        <w:right w:val="none" w:sz="0" w:space="0" w:color="auto"/>
      </w:divBdr>
    </w:div>
    <w:div w:id="830294736">
      <w:bodyDiv w:val="1"/>
      <w:marLeft w:val="0"/>
      <w:marRight w:val="0"/>
      <w:marTop w:val="0"/>
      <w:marBottom w:val="0"/>
      <w:divBdr>
        <w:top w:val="none" w:sz="0" w:space="0" w:color="auto"/>
        <w:left w:val="none" w:sz="0" w:space="0" w:color="auto"/>
        <w:bottom w:val="none" w:sz="0" w:space="0" w:color="auto"/>
        <w:right w:val="none" w:sz="0" w:space="0" w:color="auto"/>
      </w:divBdr>
    </w:div>
    <w:div w:id="854731241">
      <w:bodyDiv w:val="1"/>
      <w:marLeft w:val="0"/>
      <w:marRight w:val="0"/>
      <w:marTop w:val="0"/>
      <w:marBottom w:val="0"/>
      <w:divBdr>
        <w:top w:val="none" w:sz="0" w:space="0" w:color="auto"/>
        <w:left w:val="none" w:sz="0" w:space="0" w:color="auto"/>
        <w:bottom w:val="none" w:sz="0" w:space="0" w:color="auto"/>
        <w:right w:val="none" w:sz="0" w:space="0" w:color="auto"/>
      </w:divBdr>
    </w:div>
    <w:div w:id="867137089">
      <w:bodyDiv w:val="1"/>
      <w:marLeft w:val="0"/>
      <w:marRight w:val="0"/>
      <w:marTop w:val="0"/>
      <w:marBottom w:val="0"/>
      <w:divBdr>
        <w:top w:val="none" w:sz="0" w:space="0" w:color="auto"/>
        <w:left w:val="none" w:sz="0" w:space="0" w:color="auto"/>
        <w:bottom w:val="none" w:sz="0" w:space="0" w:color="auto"/>
        <w:right w:val="none" w:sz="0" w:space="0" w:color="auto"/>
      </w:divBdr>
    </w:div>
    <w:div w:id="884566238">
      <w:bodyDiv w:val="1"/>
      <w:marLeft w:val="0"/>
      <w:marRight w:val="0"/>
      <w:marTop w:val="0"/>
      <w:marBottom w:val="0"/>
      <w:divBdr>
        <w:top w:val="none" w:sz="0" w:space="0" w:color="auto"/>
        <w:left w:val="none" w:sz="0" w:space="0" w:color="auto"/>
        <w:bottom w:val="none" w:sz="0" w:space="0" w:color="auto"/>
        <w:right w:val="none" w:sz="0" w:space="0" w:color="auto"/>
      </w:divBdr>
    </w:div>
    <w:div w:id="1009984523">
      <w:bodyDiv w:val="1"/>
      <w:marLeft w:val="0"/>
      <w:marRight w:val="0"/>
      <w:marTop w:val="0"/>
      <w:marBottom w:val="0"/>
      <w:divBdr>
        <w:top w:val="none" w:sz="0" w:space="0" w:color="auto"/>
        <w:left w:val="none" w:sz="0" w:space="0" w:color="auto"/>
        <w:bottom w:val="none" w:sz="0" w:space="0" w:color="auto"/>
        <w:right w:val="none" w:sz="0" w:space="0" w:color="auto"/>
      </w:divBdr>
    </w:div>
    <w:div w:id="1012879705">
      <w:bodyDiv w:val="1"/>
      <w:marLeft w:val="0"/>
      <w:marRight w:val="0"/>
      <w:marTop w:val="0"/>
      <w:marBottom w:val="0"/>
      <w:divBdr>
        <w:top w:val="none" w:sz="0" w:space="0" w:color="auto"/>
        <w:left w:val="none" w:sz="0" w:space="0" w:color="auto"/>
        <w:bottom w:val="none" w:sz="0" w:space="0" w:color="auto"/>
        <w:right w:val="none" w:sz="0" w:space="0" w:color="auto"/>
      </w:divBdr>
    </w:div>
    <w:div w:id="1047219610">
      <w:bodyDiv w:val="1"/>
      <w:marLeft w:val="0"/>
      <w:marRight w:val="0"/>
      <w:marTop w:val="0"/>
      <w:marBottom w:val="0"/>
      <w:divBdr>
        <w:top w:val="none" w:sz="0" w:space="0" w:color="auto"/>
        <w:left w:val="none" w:sz="0" w:space="0" w:color="auto"/>
        <w:bottom w:val="none" w:sz="0" w:space="0" w:color="auto"/>
        <w:right w:val="none" w:sz="0" w:space="0" w:color="auto"/>
      </w:divBdr>
    </w:div>
    <w:div w:id="1082143029">
      <w:bodyDiv w:val="1"/>
      <w:marLeft w:val="0"/>
      <w:marRight w:val="0"/>
      <w:marTop w:val="0"/>
      <w:marBottom w:val="0"/>
      <w:divBdr>
        <w:top w:val="none" w:sz="0" w:space="0" w:color="auto"/>
        <w:left w:val="none" w:sz="0" w:space="0" w:color="auto"/>
        <w:bottom w:val="none" w:sz="0" w:space="0" w:color="auto"/>
        <w:right w:val="none" w:sz="0" w:space="0" w:color="auto"/>
      </w:divBdr>
    </w:div>
    <w:div w:id="1172601851">
      <w:bodyDiv w:val="1"/>
      <w:marLeft w:val="0"/>
      <w:marRight w:val="0"/>
      <w:marTop w:val="0"/>
      <w:marBottom w:val="0"/>
      <w:divBdr>
        <w:top w:val="none" w:sz="0" w:space="0" w:color="auto"/>
        <w:left w:val="none" w:sz="0" w:space="0" w:color="auto"/>
        <w:bottom w:val="none" w:sz="0" w:space="0" w:color="auto"/>
        <w:right w:val="none" w:sz="0" w:space="0" w:color="auto"/>
      </w:divBdr>
    </w:div>
    <w:div w:id="1180923783">
      <w:bodyDiv w:val="1"/>
      <w:marLeft w:val="0"/>
      <w:marRight w:val="0"/>
      <w:marTop w:val="0"/>
      <w:marBottom w:val="0"/>
      <w:divBdr>
        <w:top w:val="none" w:sz="0" w:space="0" w:color="auto"/>
        <w:left w:val="none" w:sz="0" w:space="0" w:color="auto"/>
        <w:bottom w:val="none" w:sz="0" w:space="0" w:color="auto"/>
        <w:right w:val="none" w:sz="0" w:space="0" w:color="auto"/>
      </w:divBdr>
    </w:div>
    <w:div w:id="1216624823">
      <w:bodyDiv w:val="1"/>
      <w:marLeft w:val="0"/>
      <w:marRight w:val="0"/>
      <w:marTop w:val="0"/>
      <w:marBottom w:val="0"/>
      <w:divBdr>
        <w:top w:val="none" w:sz="0" w:space="0" w:color="auto"/>
        <w:left w:val="none" w:sz="0" w:space="0" w:color="auto"/>
        <w:bottom w:val="none" w:sz="0" w:space="0" w:color="auto"/>
        <w:right w:val="none" w:sz="0" w:space="0" w:color="auto"/>
      </w:divBdr>
    </w:div>
    <w:div w:id="1249847079">
      <w:bodyDiv w:val="1"/>
      <w:marLeft w:val="0"/>
      <w:marRight w:val="0"/>
      <w:marTop w:val="0"/>
      <w:marBottom w:val="0"/>
      <w:divBdr>
        <w:top w:val="none" w:sz="0" w:space="0" w:color="auto"/>
        <w:left w:val="none" w:sz="0" w:space="0" w:color="auto"/>
        <w:bottom w:val="none" w:sz="0" w:space="0" w:color="auto"/>
        <w:right w:val="none" w:sz="0" w:space="0" w:color="auto"/>
      </w:divBdr>
    </w:div>
    <w:div w:id="1279408014">
      <w:bodyDiv w:val="1"/>
      <w:marLeft w:val="0"/>
      <w:marRight w:val="0"/>
      <w:marTop w:val="0"/>
      <w:marBottom w:val="0"/>
      <w:divBdr>
        <w:top w:val="none" w:sz="0" w:space="0" w:color="auto"/>
        <w:left w:val="none" w:sz="0" w:space="0" w:color="auto"/>
        <w:bottom w:val="none" w:sz="0" w:space="0" w:color="auto"/>
        <w:right w:val="none" w:sz="0" w:space="0" w:color="auto"/>
      </w:divBdr>
    </w:div>
    <w:div w:id="1281035987">
      <w:bodyDiv w:val="1"/>
      <w:marLeft w:val="0"/>
      <w:marRight w:val="0"/>
      <w:marTop w:val="0"/>
      <w:marBottom w:val="0"/>
      <w:divBdr>
        <w:top w:val="none" w:sz="0" w:space="0" w:color="auto"/>
        <w:left w:val="none" w:sz="0" w:space="0" w:color="auto"/>
        <w:bottom w:val="none" w:sz="0" w:space="0" w:color="auto"/>
        <w:right w:val="none" w:sz="0" w:space="0" w:color="auto"/>
      </w:divBdr>
    </w:div>
    <w:div w:id="1303345598">
      <w:bodyDiv w:val="1"/>
      <w:marLeft w:val="0"/>
      <w:marRight w:val="0"/>
      <w:marTop w:val="0"/>
      <w:marBottom w:val="0"/>
      <w:divBdr>
        <w:top w:val="none" w:sz="0" w:space="0" w:color="auto"/>
        <w:left w:val="none" w:sz="0" w:space="0" w:color="auto"/>
        <w:bottom w:val="none" w:sz="0" w:space="0" w:color="auto"/>
        <w:right w:val="none" w:sz="0" w:space="0" w:color="auto"/>
      </w:divBdr>
    </w:div>
    <w:div w:id="1382484313">
      <w:bodyDiv w:val="1"/>
      <w:marLeft w:val="0"/>
      <w:marRight w:val="0"/>
      <w:marTop w:val="0"/>
      <w:marBottom w:val="0"/>
      <w:divBdr>
        <w:top w:val="none" w:sz="0" w:space="0" w:color="auto"/>
        <w:left w:val="none" w:sz="0" w:space="0" w:color="auto"/>
        <w:bottom w:val="none" w:sz="0" w:space="0" w:color="auto"/>
        <w:right w:val="none" w:sz="0" w:space="0" w:color="auto"/>
      </w:divBdr>
    </w:div>
    <w:div w:id="1390685599">
      <w:bodyDiv w:val="1"/>
      <w:marLeft w:val="0"/>
      <w:marRight w:val="0"/>
      <w:marTop w:val="0"/>
      <w:marBottom w:val="0"/>
      <w:divBdr>
        <w:top w:val="none" w:sz="0" w:space="0" w:color="auto"/>
        <w:left w:val="none" w:sz="0" w:space="0" w:color="auto"/>
        <w:bottom w:val="none" w:sz="0" w:space="0" w:color="auto"/>
        <w:right w:val="none" w:sz="0" w:space="0" w:color="auto"/>
      </w:divBdr>
    </w:div>
    <w:div w:id="1494880304">
      <w:bodyDiv w:val="1"/>
      <w:marLeft w:val="0"/>
      <w:marRight w:val="0"/>
      <w:marTop w:val="0"/>
      <w:marBottom w:val="0"/>
      <w:divBdr>
        <w:top w:val="none" w:sz="0" w:space="0" w:color="auto"/>
        <w:left w:val="none" w:sz="0" w:space="0" w:color="auto"/>
        <w:bottom w:val="none" w:sz="0" w:space="0" w:color="auto"/>
        <w:right w:val="none" w:sz="0" w:space="0" w:color="auto"/>
      </w:divBdr>
    </w:div>
    <w:div w:id="1546135416">
      <w:bodyDiv w:val="1"/>
      <w:marLeft w:val="0"/>
      <w:marRight w:val="0"/>
      <w:marTop w:val="0"/>
      <w:marBottom w:val="0"/>
      <w:divBdr>
        <w:top w:val="none" w:sz="0" w:space="0" w:color="auto"/>
        <w:left w:val="none" w:sz="0" w:space="0" w:color="auto"/>
        <w:bottom w:val="none" w:sz="0" w:space="0" w:color="auto"/>
        <w:right w:val="none" w:sz="0" w:space="0" w:color="auto"/>
      </w:divBdr>
    </w:div>
    <w:div w:id="1575428796">
      <w:bodyDiv w:val="1"/>
      <w:marLeft w:val="0"/>
      <w:marRight w:val="0"/>
      <w:marTop w:val="0"/>
      <w:marBottom w:val="0"/>
      <w:divBdr>
        <w:top w:val="none" w:sz="0" w:space="0" w:color="auto"/>
        <w:left w:val="none" w:sz="0" w:space="0" w:color="auto"/>
        <w:bottom w:val="none" w:sz="0" w:space="0" w:color="auto"/>
        <w:right w:val="none" w:sz="0" w:space="0" w:color="auto"/>
      </w:divBdr>
    </w:div>
    <w:div w:id="1581716515">
      <w:bodyDiv w:val="1"/>
      <w:marLeft w:val="0"/>
      <w:marRight w:val="0"/>
      <w:marTop w:val="0"/>
      <w:marBottom w:val="0"/>
      <w:divBdr>
        <w:top w:val="none" w:sz="0" w:space="0" w:color="auto"/>
        <w:left w:val="none" w:sz="0" w:space="0" w:color="auto"/>
        <w:bottom w:val="none" w:sz="0" w:space="0" w:color="auto"/>
        <w:right w:val="none" w:sz="0" w:space="0" w:color="auto"/>
      </w:divBdr>
    </w:div>
    <w:div w:id="1694306379">
      <w:bodyDiv w:val="1"/>
      <w:marLeft w:val="0"/>
      <w:marRight w:val="0"/>
      <w:marTop w:val="0"/>
      <w:marBottom w:val="0"/>
      <w:divBdr>
        <w:top w:val="none" w:sz="0" w:space="0" w:color="auto"/>
        <w:left w:val="none" w:sz="0" w:space="0" w:color="auto"/>
        <w:bottom w:val="none" w:sz="0" w:space="0" w:color="auto"/>
        <w:right w:val="none" w:sz="0" w:space="0" w:color="auto"/>
      </w:divBdr>
    </w:div>
    <w:div w:id="1709836315">
      <w:bodyDiv w:val="1"/>
      <w:marLeft w:val="0"/>
      <w:marRight w:val="0"/>
      <w:marTop w:val="0"/>
      <w:marBottom w:val="0"/>
      <w:divBdr>
        <w:top w:val="none" w:sz="0" w:space="0" w:color="auto"/>
        <w:left w:val="none" w:sz="0" w:space="0" w:color="auto"/>
        <w:bottom w:val="none" w:sz="0" w:space="0" w:color="auto"/>
        <w:right w:val="none" w:sz="0" w:space="0" w:color="auto"/>
      </w:divBdr>
    </w:div>
    <w:div w:id="1736581803">
      <w:bodyDiv w:val="1"/>
      <w:marLeft w:val="0"/>
      <w:marRight w:val="0"/>
      <w:marTop w:val="0"/>
      <w:marBottom w:val="0"/>
      <w:divBdr>
        <w:top w:val="none" w:sz="0" w:space="0" w:color="auto"/>
        <w:left w:val="none" w:sz="0" w:space="0" w:color="auto"/>
        <w:bottom w:val="none" w:sz="0" w:space="0" w:color="auto"/>
        <w:right w:val="none" w:sz="0" w:space="0" w:color="auto"/>
      </w:divBdr>
    </w:div>
    <w:div w:id="1739743782">
      <w:bodyDiv w:val="1"/>
      <w:marLeft w:val="0"/>
      <w:marRight w:val="0"/>
      <w:marTop w:val="0"/>
      <w:marBottom w:val="0"/>
      <w:divBdr>
        <w:top w:val="none" w:sz="0" w:space="0" w:color="auto"/>
        <w:left w:val="none" w:sz="0" w:space="0" w:color="auto"/>
        <w:bottom w:val="none" w:sz="0" w:space="0" w:color="auto"/>
        <w:right w:val="none" w:sz="0" w:space="0" w:color="auto"/>
      </w:divBdr>
    </w:div>
    <w:div w:id="1750498497">
      <w:bodyDiv w:val="1"/>
      <w:marLeft w:val="0"/>
      <w:marRight w:val="0"/>
      <w:marTop w:val="0"/>
      <w:marBottom w:val="0"/>
      <w:divBdr>
        <w:top w:val="none" w:sz="0" w:space="0" w:color="auto"/>
        <w:left w:val="none" w:sz="0" w:space="0" w:color="auto"/>
        <w:bottom w:val="none" w:sz="0" w:space="0" w:color="auto"/>
        <w:right w:val="none" w:sz="0" w:space="0" w:color="auto"/>
      </w:divBdr>
    </w:div>
    <w:div w:id="1857382742">
      <w:bodyDiv w:val="1"/>
      <w:marLeft w:val="0"/>
      <w:marRight w:val="0"/>
      <w:marTop w:val="0"/>
      <w:marBottom w:val="0"/>
      <w:divBdr>
        <w:top w:val="none" w:sz="0" w:space="0" w:color="auto"/>
        <w:left w:val="none" w:sz="0" w:space="0" w:color="auto"/>
        <w:bottom w:val="none" w:sz="0" w:space="0" w:color="auto"/>
        <w:right w:val="none" w:sz="0" w:space="0" w:color="auto"/>
      </w:divBdr>
    </w:div>
    <w:div w:id="1870340211">
      <w:bodyDiv w:val="1"/>
      <w:marLeft w:val="0"/>
      <w:marRight w:val="0"/>
      <w:marTop w:val="0"/>
      <w:marBottom w:val="0"/>
      <w:divBdr>
        <w:top w:val="none" w:sz="0" w:space="0" w:color="auto"/>
        <w:left w:val="none" w:sz="0" w:space="0" w:color="auto"/>
        <w:bottom w:val="none" w:sz="0" w:space="0" w:color="auto"/>
        <w:right w:val="none" w:sz="0" w:space="0" w:color="auto"/>
      </w:divBdr>
    </w:div>
    <w:div w:id="1874733109">
      <w:bodyDiv w:val="1"/>
      <w:marLeft w:val="0"/>
      <w:marRight w:val="0"/>
      <w:marTop w:val="0"/>
      <w:marBottom w:val="0"/>
      <w:divBdr>
        <w:top w:val="none" w:sz="0" w:space="0" w:color="auto"/>
        <w:left w:val="none" w:sz="0" w:space="0" w:color="auto"/>
        <w:bottom w:val="none" w:sz="0" w:space="0" w:color="auto"/>
        <w:right w:val="none" w:sz="0" w:space="0" w:color="auto"/>
      </w:divBdr>
    </w:div>
    <w:div w:id="1879659289">
      <w:bodyDiv w:val="1"/>
      <w:marLeft w:val="0"/>
      <w:marRight w:val="0"/>
      <w:marTop w:val="0"/>
      <w:marBottom w:val="0"/>
      <w:divBdr>
        <w:top w:val="none" w:sz="0" w:space="0" w:color="auto"/>
        <w:left w:val="none" w:sz="0" w:space="0" w:color="auto"/>
        <w:bottom w:val="none" w:sz="0" w:space="0" w:color="auto"/>
        <w:right w:val="none" w:sz="0" w:space="0" w:color="auto"/>
      </w:divBdr>
    </w:div>
    <w:div w:id="1920096061">
      <w:bodyDiv w:val="1"/>
      <w:marLeft w:val="0"/>
      <w:marRight w:val="0"/>
      <w:marTop w:val="0"/>
      <w:marBottom w:val="0"/>
      <w:divBdr>
        <w:top w:val="none" w:sz="0" w:space="0" w:color="auto"/>
        <w:left w:val="none" w:sz="0" w:space="0" w:color="auto"/>
        <w:bottom w:val="none" w:sz="0" w:space="0" w:color="auto"/>
        <w:right w:val="none" w:sz="0" w:space="0" w:color="auto"/>
      </w:divBdr>
    </w:div>
    <w:div w:id="1991591538">
      <w:bodyDiv w:val="1"/>
      <w:marLeft w:val="0"/>
      <w:marRight w:val="0"/>
      <w:marTop w:val="0"/>
      <w:marBottom w:val="0"/>
      <w:divBdr>
        <w:top w:val="none" w:sz="0" w:space="0" w:color="auto"/>
        <w:left w:val="none" w:sz="0" w:space="0" w:color="auto"/>
        <w:bottom w:val="none" w:sz="0" w:space="0" w:color="auto"/>
        <w:right w:val="none" w:sz="0" w:space="0" w:color="auto"/>
      </w:divBdr>
    </w:div>
    <w:div w:id="20108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E377D5BE2854C93CC381DB84F9DF0" ma:contentTypeVersion="0" ma:contentTypeDescription="Create a new document." ma:contentTypeScope="" ma:versionID="4e5ee0dda7aee4e869795e9e71fbdf04">
  <xsd:schema xmlns:xsd="http://www.w3.org/2001/XMLSchema" xmlns:xs="http://www.w3.org/2001/XMLSchema" xmlns:p="http://schemas.microsoft.com/office/2006/metadata/properties" targetNamespace="http://schemas.microsoft.com/office/2006/metadata/properties" ma:root="true" ma:fieldsID="929a7624b9dffaa02f4ebdecb79f49b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F7396-A041-4930-86F0-D4D37D19E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F87588-63F7-4CCB-9A5E-721A7E7433A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0F616932-97BF-4380-AA52-EC87C9B9D092}">
  <ds:schemaRefs>
    <ds:schemaRef ds:uri="http://schemas.microsoft.com/sharepoint/v3/contenttype/forms"/>
  </ds:schemaRefs>
</ds:datastoreItem>
</file>

<file path=customXml/itemProps4.xml><?xml version="1.0" encoding="utf-8"?>
<ds:datastoreItem xmlns:ds="http://schemas.openxmlformats.org/officeDocument/2006/customXml" ds:itemID="{1206A783-7E02-4323-95A9-AB548505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4828</Words>
  <Characters>26560</Characters>
  <Application>Microsoft Office Word</Application>
  <DocSecurity>0</DocSecurity>
  <Lines>698</Lines>
  <Paragraphs>392</Paragraphs>
  <ScaleCrop>false</ScaleCrop>
  <HeadingPairs>
    <vt:vector size="2" baseType="variant">
      <vt:variant>
        <vt:lpstr>Title</vt:lpstr>
      </vt:variant>
      <vt:variant>
        <vt:i4>1</vt:i4>
      </vt:variant>
    </vt:vector>
  </HeadingPairs>
  <TitlesOfParts>
    <vt:vector size="1" baseType="lpstr">
      <vt:lpstr>Oral question O-0008/05</vt:lpstr>
    </vt:vector>
  </TitlesOfParts>
  <Manager/>
  <Company/>
  <LinksUpToDate>false</LinksUpToDate>
  <CharactersWithSpaces>30996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question O-0008/05</dc:title>
  <dc:creator/>
  <cp:lastModifiedBy>DIGIT/C6</cp:lastModifiedBy>
  <cp:revision>22</cp:revision>
  <cp:lastPrinted>2019-06-04T11:54:00Z</cp:lastPrinted>
  <dcterms:created xsi:type="dcterms:W3CDTF">2020-06-26T09:10:00Z</dcterms:created>
  <dcterms:modified xsi:type="dcterms:W3CDTF">2020-06-30T09:48:00Z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Last edited using">
    <vt:lpwstr>LW 7.0.1, Build 20190916</vt:lpwstr>
  </property>
  <property fmtid="{D5CDD505-2E9C-101B-9397-08002B2CF9AE}" pid="9" name="IsMyDocuments">
    <vt:bool>true</vt:bool>
  </property>
  <property fmtid="{D5CDD505-2E9C-101B-9397-08002B2CF9AE}" pid="10" name="CPTemplateID">
    <vt:lpwstr>CP-006</vt:lpwstr>
  </property>
  <property fmtid="{D5CDD505-2E9C-101B-9397-08002B2CF9AE}" pid="11" name="_LW_INVALIDATED__LW_INVALIDATED__LW_INVALIDATED_ContentTypeId">
    <vt:lpwstr>0x0101005C9E377D5BE2854C93CC381DB84F9DF0</vt:lpwstr>
  </property>
  <property fmtid="{D5CDD505-2E9C-101B-9397-08002B2CF9AE}" pid="12" name="_LW_INVALIDATED__LW_INVALIDATED_ContentTypeId">
    <vt:lpwstr>0x0101005C9E377D5BE2854C93CC381DB84F9DF0</vt:lpwstr>
  </property>
</Properties>
</file>